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13G</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 5 )*</w:t>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ExlService Holdings Inc</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CUSIP Number: 302081104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80" w:right="10500" w:firstLine="4"/>
        <w:spacing w:after="0" w:line="299" w:lineRule="auto"/>
        <w:tabs>
          <w:tab w:leader="none" w:pos="376"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2" w:lineRule="exact"/>
        <w:rPr>
          <w:sz w:val="24"/>
          <w:szCs w:val="24"/>
          <w:color w:val="auto"/>
        </w:rPr>
      </w:pPr>
    </w:p>
    <w:p>
      <w:pPr>
        <w:ind w:right="3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7" w:lineRule="exact"/>
        <w:rPr>
          <w:sz w:val="24"/>
          <w:szCs w:val="24"/>
          <w:color w:val="auto"/>
        </w:rPr>
      </w:pPr>
    </w:p>
    <w:p>
      <w:pPr>
        <w:ind w:firstLine="87"/>
        <w:spacing w:after="0" w:line="30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64667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1900"/>
          </w:cols>
          <w:pgMar w:left="120" w:top="94" w:right="220" w:bottom="1440" w:gutter="0" w:footer="0" w:header="0"/>
        </w:sectPr>
      </w:pPr>
    </w:p>
    <w:bookmarkStart w:id="1" w:name="page2"/>
    <w:bookmarkEnd w:id="1"/>
    <w:p>
      <w:pPr>
        <w:ind w:left="5846"/>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8"/>
          <w:szCs w:val="18"/>
          <w:color w:val="auto"/>
        </w:rPr>
        <w:t>CUSIP No.: 302081104</w:t>
      </w:r>
    </w:p>
    <w:p>
      <w:pPr>
        <w:spacing w:after="0" w:line="200" w:lineRule="exact"/>
        <w:rPr>
          <w:sz w:val="20"/>
          <w:szCs w:val="20"/>
          <w:color w:val="auto"/>
        </w:rPr>
      </w:pPr>
    </w:p>
    <w:p>
      <w:pPr>
        <w:spacing w:after="0" w:line="219" w:lineRule="exact"/>
        <w:rPr>
          <w:sz w:val="20"/>
          <w:szCs w:val="20"/>
          <w:color w:val="auto"/>
        </w:rPr>
      </w:pPr>
    </w:p>
    <w:p>
      <w:pPr>
        <w:ind w:left="226" w:hanging="226"/>
        <w:spacing w:after="0"/>
        <w:tabs>
          <w:tab w:leader="none" w:pos="226"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86"/>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6" w:hanging="226"/>
        <w:spacing w:after="0"/>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0" w:lineRule="exact"/>
        <w:rPr>
          <w:rFonts w:ascii="Arial" w:cs="Arial" w:eastAsia="Arial" w:hAnsi="Arial"/>
          <w:sz w:val="18"/>
          <w:szCs w:val="18"/>
          <w:color w:val="auto"/>
        </w:rPr>
      </w:pPr>
    </w:p>
    <w:p>
      <w:pPr>
        <w:ind w:left="646" w:hanging="543"/>
        <w:spacing w:after="0"/>
        <w:tabs>
          <w:tab w:leader="none" w:pos="646"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2" w:lineRule="exact"/>
        <w:rPr>
          <w:rFonts w:ascii="Arial" w:cs="Arial" w:eastAsia="Arial" w:hAnsi="Arial"/>
          <w:sz w:val="18"/>
          <w:szCs w:val="18"/>
          <w:color w:val="auto"/>
        </w:rPr>
      </w:pPr>
    </w:p>
    <w:p>
      <w:pPr>
        <w:ind w:left="646"/>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04" w:lineRule="exact"/>
        <w:rPr>
          <w:rFonts w:ascii="Arial" w:cs="Arial" w:eastAsia="Arial" w:hAnsi="Arial"/>
          <w:sz w:val="18"/>
          <w:szCs w:val="18"/>
          <w:color w:val="auto"/>
        </w:rPr>
      </w:pPr>
    </w:p>
    <w:p>
      <w:pPr>
        <w:ind w:left="226" w:hanging="226"/>
        <w:spacing w:after="0"/>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226" w:hanging="226"/>
        <w:spacing w:after="0"/>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2" w:lineRule="exact"/>
        <w:rPr>
          <w:sz w:val="20"/>
          <w:szCs w:val="20"/>
          <w:color w:val="auto"/>
        </w:rPr>
      </w:pPr>
    </w:p>
    <w:p>
      <w:pPr>
        <w:ind w:left="86" w:right="8600" w:hanging="86"/>
        <w:spacing w:after="0" w:line="496" w:lineRule="auto"/>
        <w:tabs>
          <w:tab w:leader="none" w:pos="221"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69,208</w:t>
      </w:r>
    </w:p>
    <w:p>
      <w:pPr>
        <w:ind w:left="86" w:right="8320" w:hanging="86"/>
        <w:spacing w:after="0" w:line="496" w:lineRule="auto"/>
        <w:tabs>
          <w:tab w:leader="none" w:pos="221"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5,534</w:t>
      </w:r>
    </w:p>
    <w:p>
      <w:pPr>
        <w:ind w:left="86" w:right="8200" w:hanging="86"/>
        <w:spacing w:after="0" w:line="496" w:lineRule="auto"/>
        <w:tabs>
          <w:tab w:leader="none" w:pos="221"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3,359,853</w:t>
      </w:r>
    </w:p>
    <w:p>
      <w:pPr>
        <w:ind w:left="126" w:right="7920" w:hanging="126"/>
        <w:spacing w:after="0" w:line="496" w:lineRule="auto"/>
        <w:tabs>
          <w:tab w:leader="none" w:pos="216"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71,545</w:t>
      </w:r>
    </w:p>
    <w:p>
      <w:pPr>
        <w:ind w:left="86" w:right="3900" w:hanging="86"/>
        <w:spacing w:after="0" w:line="496" w:lineRule="auto"/>
        <w:tabs>
          <w:tab w:leader="none" w:pos="211"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3,431,398</w:t>
      </w:r>
    </w:p>
    <w:p>
      <w:pPr>
        <w:ind w:left="86" w:right="3280" w:hanging="86"/>
        <w:spacing w:after="0" w:line="496" w:lineRule="auto"/>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06" w:hanging="306"/>
        <w:spacing w:after="0"/>
        <w:tabs>
          <w:tab w:leader="none" w:pos="306"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sz w:val="20"/>
          <w:szCs w:val="20"/>
          <w:color w:val="auto"/>
        </w:rPr>
      </w:pPr>
    </w:p>
    <w:p>
      <w:pPr>
        <w:ind w:left="86"/>
        <w:spacing w:after="0"/>
        <w:rPr>
          <w:sz w:val="20"/>
          <w:szCs w:val="20"/>
          <w:color w:val="auto"/>
        </w:rPr>
      </w:pPr>
      <w:r>
        <w:rPr>
          <w:rFonts w:ascii="Arial" w:cs="Arial" w:eastAsia="Arial" w:hAnsi="Arial"/>
          <w:sz w:val="18"/>
          <w:szCs w:val="18"/>
          <w:color w:val="auto"/>
        </w:rPr>
        <w:t>10.01%</w:t>
      </w:r>
    </w:p>
    <w:p>
      <w:pPr>
        <w:spacing w:after="0" w:line="221" w:lineRule="exact"/>
        <w:rPr>
          <w:sz w:val="20"/>
          <w:szCs w:val="20"/>
          <w:color w:val="auto"/>
        </w:rPr>
      </w:pPr>
    </w:p>
    <w:p>
      <w:pPr>
        <w:ind w:left="306" w:hanging="306"/>
        <w:spacing w:after="0"/>
        <w:tabs>
          <w:tab w:leader="none" w:pos="306"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0" w:lineRule="exact"/>
        <w:rPr>
          <w:rFonts w:ascii="Arial" w:cs="Arial" w:eastAsia="Arial" w:hAnsi="Arial"/>
          <w:sz w:val="18"/>
          <w:szCs w:val="18"/>
          <w:color w:val="auto"/>
        </w:rPr>
      </w:pPr>
    </w:p>
    <w:p>
      <w:pPr>
        <w:ind w:left="86"/>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87630</wp:posOffset>
            </wp:positionV>
            <wp:extent cx="764667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0686"/>
          </w:cols>
          <w:pgMar w:left="114" w:top="236" w:right="1440" w:bottom="1440" w:gutter="0" w:footer="0" w:header="0"/>
        </w:sectPr>
      </w:pPr>
    </w:p>
    <w:bookmarkStart w:id="2" w:name="page3"/>
    <w:bookmarkEnd w:id="2"/>
    <w:p>
      <w:pPr>
        <w:jc w:val="center"/>
        <w:ind w:right="-129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99"/>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p>
      <w:pPr>
        <w:jc w:val="center"/>
        <w:ind w:right="-1299"/>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99"/>
        <w:spacing w:after="0"/>
        <w:rPr>
          <w:sz w:val="20"/>
          <w:szCs w:val="20"/>
          <w:color w:val="auto"/>
        </w:rPr>
      </w:pPr>
      <w:r>
        <w:rPr>
          <w:rFonts w:ascii="Arial" w:cs="Arial" w:eastAsia="Arial" w:hAnsi="Arial"/>
          <w:sz w:val="18"/>
          <w:szCs w:val="18"/>
          <w:color w:val="auto"/>
        </w:rPr>
        <w:t>Under the Securities Act of 1934</w:t>
      </w:r>
    </w:p>
    <w:p>
      <w:pPr>
        <w:spacing w:after="0" w:line="205"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Check the following [line] if a fee is being paid with this statement</w:t>
        <w:tab/>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ExlService Holdings Inc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280 PARK AVENUE</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38th Floor</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New York, NY 10017</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Vanguard Group - 23-1945930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â€“ Address of Principal Business Office or, if none, residence:</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Malvern, PA 19355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â€“ Citizenship:</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Pennsylvania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302081104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This statement is being filed pursuant to Rule 13d-1. An investment adviser in accordance with Â§240.13d-1(b)(1)(ii)(E).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1" w:lineRule="exact"/>
        <w:rPr>
          <w:sz w:val="20"/>
          <w:szCs w:val="20"/>
          <w:color w:val="auto"/>
        </w:rPr>
      </w:pPr>
    </w:p>
    <w:p>
      <w:pPr>
        <w:ind w:left="80" w:right="8220" w:firstLine="4"/>
        <w:spacing w:after="0" w:line="496" w:lineRule="auto"/>
        <w:tabs>
          <w:tab w:leader="none" w:pos="32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3,431,398</w:t>
      </w:r>
    </w:p>
    <w:p>
      <w:pPr>
        <w:ind w:left="340" w:hanging="256"/>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64667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0680"/>
          </w:cols>
          <w:pgMar w:left="120" w:top="236" w:right="1440" w:bottom="1440" w:gutter="0" w:footer="0" w:header="0"/>
        </w:sectPr>
      </w:pPr>
    </w:p>
    <w:bookmarkStart w:id="3" w:name="page4"/>
    <w:bookmarkEnd w:id="3"/>
    <w:p>
      <w:pPr>
        <w:ind w:left="380" w:hanging="296"/>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0" w:lineRule="exact"/>
        <w:rPr>
          <w:rFonts w:ascii="Arial" w:cs="Arial" w:eastAsia="Arial" w:hAnsi="Arial"/>
          <w:sz w:val="18"/>
          <w:szCs w:val="18"/>
          <w:color w:val="auto"/>
        </w:rPr>
      </w:pPr>
    </w:p>
    <w:p>
      <w:pPr>
        <w:ind w:left="340" w:hanging="256"/>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69,208</w:t>
      </w:r>
    </w:p>
    <w:p>
      <w:pPr>
        <w:spacing w:after="0" w:line="220" w:lineRule="exact"/>
        <w:rPr>
          <w:rFonts w:ascii="Arial" w:cs="Arial" w:eastAsia="Arial" w:hAnsi="Arial"/>
          <w:sz w:val="18"/>
          <w:szCs w:val="18"/>
          <w:color w:val="auto"/>
        </w:rPr>
      </w:pPr>
    </w:p>
    <w:p>
      <w:pPr>
        <w:ind w:left="400" w:hanging="316"/>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 5,534</w:t>
      </w:r>
    </w:p>
    <w:p>
      <w:pPr>
        <w:spacing w:after="0" w:line="220" w:lineRule="exact"/>
        <w:rPr>
          <w:rFonts w:ascii="Arial" w:cs="Arial" w:eastAsia="Arial" w:hAnsi="Arial"/>
          <w:sz w:val="18"/>
          <w:szCs w:val="18"/>
          <w:color w:val="auto"/>
        </w:rPr>
      </w:pPr>
    </w:p>
    <w:p>
      <w:pPr>
        <w:ind w:left="80" w:right="6620" w:firstLine="4"/>
        <w:spacing w:after="0" w:line="558" w:lineRule="auto"/>
        <w:tabs>
          <w:tab w:leader="none" w:pos="4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3,359,853 (iv) shared power to dispose or to direct the disposition of: 71,545</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See Attached Appendix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1" w:lineRule="exact"/>
        <w:rPr>
          <w:sz w:val="20"/>
          <w:szCs w:val="20"/>
          <w:color w:val="auto"/>
        </w:rPr>
      </w:pPr>
    </w:p>
    <w:p>
      <w:pPr>
        <w:jc w:val="both"/>
        <w:ind w:firstLine="90"/>
        <w:spacing w:after="0" w:line="261"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 01/10/2019</w:t>
      </w:r>
    </w:p>
    <w:p>
      <w:pPr>
        <w:spacing w:after="0" w:line="227"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-11430</wp:posOffset>
            </wp:positionV>
            <wp:extent cx="1297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3"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Name: Christine M. Buchanan</w:t>
      </w:r>
    </w:p>
    <w:p>
      <w:pPr>
        <w:spacing w:after="0" w:line="10"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64667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1820"/>
          </w:cols>
          <w:pgMar w:left="120" w:top="236" w:right="30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1" w:lineRule="exact"/>
        <w:rPr>
          <w:sz w:val="20"/>
          <w:szCs w:val="20"/>
          <w:color w:val="auto"/>
        </w:rPr>
      </w:pPr>
    </w:p>
    <w:p>
      <w:pPr>
        <w:ind w:firstLine="42"/>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66,011 shares or .19% of the Common Stock outstanding of the Company as a result of its serving as investment manager of collective trust accounts.</w:t>
      </w:r>
    </w:p>
    <w:p>
      <w:pPr>
        <w:spacing w:after="0" w:line="16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Vanguard Investments Australia, Ltd. ("VIA"), a wholly-owned subsidiary of The Vanguard Group, Inc., is the beneficial owner of 8,731 shares or .02% of the Common Stock outstanding of the Company as a result of its serving as investment manager of Australian investment offerings.</w:t>
      </w:r>
    </w:p>
    <w:sectPr>
      <w:pgSz w:w="12240" w:h="15840" w:orient="portrait"/>
      <w:cols w:equalWidth="0" w:num="1">
        <w:col w:w="11700"/>
      </w:cols>
      <w:pgMar w:left="120" w:top="236" w:right="4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2019-12-15T10:37:42Z</dcterms:created>
  <dcterms:modified xsi:type="dcterms:W3CDTF">2019-12-15T10:37:42Z</dcterms:modified>
</cp:coreProperties>
</file>