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76" w:lineRule="exact"/>
        <w:rPr>
          <w:sz w:val="24"/>
          <w:szCs w:val="24"/>
          <w:color w:val="auto"/>
        </w:rPr>
      </w:pPr>
    </w:p>
    <w:p>
      <w:pPr>
        <w:ind w:left="260" w:hanging="225"/>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47" w:lineRule="exact"/>
        <w:rPr>
          <w:rFonts w:ascii="MS PGothic" w:cs="MS PGothic" w:eastAsia="MS PGothic" w:hAnsi="MS PGothic"/>
          <w:sz w:val="18"/>
          <w:szCs w:val="18"/>
          <w:color w:val="auto"/>
        </w:rPr>
      </w:pPr>
    </w:p>
    <w:p>
      <w:pPr>
        <w:ind w:left="36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JUNE 30, 2016</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260" w:hanging="225"/>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5" w:lineRule="exact"/>
        <w:rPr>
          <w:sz w:val="24"/>
          <w:szCs w:val="24"/>
          <w:color w:val="auto"/>
        </w:rPr>
      </w:pPr>
    </w:p>
    <w:p>
      <w:pPr>
        <w:ind w:left="3220"/>
        <w:spacing w:after="0"/>
        <w:tabs>
          <w:tab w:leader="none" w:pos="71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3979545</wp:posOffset>
            </wp:positionH>
            <wp:positionV relativeFrom="paragraph">
              <wp:posOffset>-4445</wp:posOffset>
            </wp:positionV>
            <wp:extent cx="1227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001-33089</w:t>
      </w:r>
    </w:p>
    <w:p>
      <w:pPr>
        <w:spacing w:after="0" w:line="21"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EXLSERVICE HOLDINGS, INC.</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156" w:lineRule="exact"/>
        <w:rPr>
          <w:sz w:val="24"/>
          <w:szCs w:val="24"/>
          <w:color w:val="auto"/>
        </w:rPr>
      </w:pPr>
    </w:p>
    <w:tbl>
      <w:tblPr>
        <w:tblLayout w:type="fixed"/>
        <w:tblInd w:w="1460" w:type="dxa"/>
        <w:tblCellMar>
          <w:top w:w="0" w:type="dxa"/>
          <w:left w:w="0" w:type="dxa"/>
          <w:bottom w:w="0" w:type="dxa"/>
          <w:right w:w="0" w:type="dxa"/>
        </w:tblCellMar>
      </w:tblPr>
      <w:tr>
        <w:trPr>
          <w:trHeight w:val="210"/>
        </w:trPr>
        <w:tc>
          <w:tcPr>
            <w:tcW w:w="2600" w:type="dxa"/>
            <w:vAlign w:val="bottom"/>
          </w:tcPr>
          <w:p>
            <w:pPr>
              <w:jc w:val="center"/>
              <w:spacing w:after="0"/>
              <w:rPr>
                <w:sz w:val="20"/>
                <w:szCs w:val="20"/>
                <w:color w:val="auto"/>
              </w:rPr>
            </w:pPr>
            <w:r>
              <w:rPr>
                <w:rFonts w:ascii="Arial" w:cs="Arial" w:eastAsia="Arial" w:hAnsi="Arial"/>
                <w:sz w:val="16"/>
                <w:szCs w:val="16"/>
                <w:b w:val="1"/>
                <w:bCs w:val="1"/>
                <w:color w:val="auto"/>
                <w:w w:val="97"/>
              </w:rPr>
              <w:t>DELAWARE</w:t>
            </w:r>
          </w:p>
        </w:tc>
        <w:tc>
          <w:tcPr>
            <w:tcW w:w="5120" w:type="dxa"/>
            <w:vAlign w:val="bottom"/>
          </w:tcPr>
          <w:p>
            <w:pPr>
              <w:jc w:val="right"/>
              <w:ind w:right="84"/>
              <w:spacing w:after="0"/>
              <w:rPr>
                <w:sz w:val="20"/>
                <w:szCs w:val="20"/>
                <w:color w:val="auto"/>
              </w:rPr>
            </w:pPr>
            <w:r>
              <w:rPr>
                <w:rFonts w:ascii="Arial" w:cs="Arial" w:eastAsia="Arial" w:hAnsi="Arial"/>
                <w:sz w:val="16"/>
                <w:szCs w:val="16"/>
                <w:b w:val="1"/>
                <w:bCs w:val="1"/>
                <w:color w:val="auto"/>
              </w:rPr>
              <w:t>82-0572194</w:t>
            </w:r>
          </w:p>
        </w:tc>
      </w:tr>
      <w:tr>
        <w:trPr>
          <w:trHeight w:val="186"/>
        </w:trPr>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120" w:type="dxa"/>
            <w:vAlign w:val="bottom"/>
          </w:tcPr>
          <w:p>
            <w:pPr>
              <w:jc w:val="center"/>
              <w:ind w:left="3924"/>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20" w:type="dxa"/>
            <w:vAlign w:val="bottom"/>
          </w:tcPr>
          <w:p>
            <w:pPr>
              <w:jc w:val="center"/>
              <w:ind w:left="3924"/>
              <w:spacing w:after="0"/>
              <w:rPr>
                <w:sz w:val="20"/>
                <w:szCs w:val="20"/>
                <w:color w:val="auto"/>
              </w:rPr>
            </w:pPr>
            <w:r>
              <w:rPr>
                <w:rFonts w:ascii="Arial" w:cs="Arial" w:eastAsia="Arial" w:hAnsi="Arial"/>
                <w:sz w:val="14"/>
                <w:szCs w:val="14"/>
                <w:b w:val="1"/>
                <w:bCs w:val="1"/>
                <w:color w:val="auto"/>
                <w:w w:val="94"/>
              </w:rPr>
              <w:t>Identification No.)</w:t>
            </w:r>
          </w:p>
        </w:tc>
      </w:tr>
      <w:tr>
        <w:trPr>
          <w:trHeight w:val="349"/>
        </w:trPr>
        <w:tc>
          <w:tcPr>
            <w:tcW w:w="2600" w:type="dxa"/>
            <w:vAlign w:val="bottom"/>
          </w:tcPr>
          <w:p>
            <w:pPr>
              <w:jc w:val="center"/>
              <w:spacing w:after="0"/>
              <w:rPr>
                <w:sz w:val="20"/>
                <w:szCs w:val="20"/>
                <w:color w:val="auto"/>
              </w:rPr>
            </w:pPr>
            <w:r>
              <w:rPr>
                <w:rFonts w:ascii="Arial" w:cs="Arial" w:eastAsia="Arial" w:hAnsi="Arial"/>
                <w:sz w:val="16"/>
                <w:szCs w:val="16"/>
                <w:b w:val="1"/>
                <w:bCs w:val="1"/>
                <w:color w:val="auto"/>
                <w:w w:val="99"/>
              </w:rPr>
              <w:t>280 PARK AVENUE, 38TH FLOOR,</w:t>
            </w:r>
          </w:p>
        </w:tc>
        <w:tc>
          <w:tcPr>
            <w:tcW w:w="5120" w:type="dxa"/>
            <w:vAlign w:val="bottom"/>
          </w:tcPr>
          <w:p>
            <w:pPr>
              <w:spacing w:after="0"/>
              <w:rPr>
                <w:sz w:val="24"/>
                <w:szCs w:val="24"/>
                <w:color w:val="auto"/>
              </w:rPr>
            </w:pPr>
          </w:p>
        </w:tc>
      </w:tr>
      <w:tr>
        <w:trPr>
          <w:trHeight w:val="210"/>
        </w:trPr>
        <w:tc>
          <w:tcPr>
            <w:tcW w:w="2600" w:type="dxa"/>
            <w:vAlign w:val="bottom"/>
          </w:tcPr>
          <w:p>
            <w:pPr>
              <w:jc w:val="center"/>
              <w:spacing w:after="0"/>
              <w:rPr>
                <w:sz w:val="20"/>
                <w:szCs w:val="20"/>
                <w:color w:val="auto"/>
              </w:rPr>
            </w:pPr>
            <w:r>
              <w:rPr>
                <w:rFonts w:ascii="Arial" w:cs="Arial" w:eastAsia="Arial" w:hAnsi="Arial"/>
                <w:sz w:val="16"/>
                <w:szCs w:val="16"/>
                <w:b w:val="1"/>
                <w:bCs w:val="1"/>
                <w:color w:val="auto"/>
              </w:rPr>
              <w:t>NEW YORK, NEW YORK</w:t>
            </w:r>
          </w:p>
        </w:tc>
        <w:tc>
          <w:tcPr>
            <w:tcW w:w="5120" w:type="dxa"/>
            <w:vAlign w:val="bottom"/>
          </w:tcPr>
          <w:p>
            <w:pPr>
              <w:jc w:val="right"/>
              <w:ind w:right="284"/>
              <w:spacing w:after="0"/>
              <w:rPr>
                <w:sz w:val="20"/>
                <w:szCs w:val="20"/>
                <w:color w:val="auto"/>
              </w:rPr>
            </w:pPr>
            <w:r>
              <w:rPr>
                <w:rFonts w:ascii="Arial" w:cs="Arial" w:eastAsia="Arial" w:hAnsi="Arial"/>
                <w:sz w:val="16"/>
                <w:szCs w:val="16"/>
                <w:b w:val="1"/>
                <w:bCs w:val="1"/>
                <w:color w:val="auto"/>
              </w:rPr>
              <w:t>10017</w:t>
            </w:r>
          </w:p>
        </w:tc>
      </w:tr>
      <w:tr>
        <w:trPr>
          <w:trHeight w:val="224"/>
        </w:trPr>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20" w:type="dxa"/>
            <w:vAlign w:val="bottom"/>
          </w:tcPr>
          <w:p>
            <w:pPr>
              <w:jc w:val="center"/>
              <w:ind w:left="3944"/>
              <w:spacing w:after="0"/>
              <w:rPr>
                <w:sz w:val="20"/>
                <w:szCs w:val="20"/>
                <w:color w:val="auto"/>
              </w:rPr>
            </w:pPr>
            <w:r>
              <w:rPr>
                <w:rFonts w:ascii="Arial" w:cs="Arial" w:eastAsia="Arial" w:hAnsi="Arial"/>
                <w:sz w:val="14"/>
                <w:szCs w:val="14"/>
                <w:b w:val="1"/>
                <w:bCs w:val="1"/>
                <w:color w:val="auto"/>
                <w:w w:val="92"/>
              </w:rPr>
              <w:t>(Zip code)</w:t>
            </w:r>
          </w:p>
        </w:tc>
      </w:tr>
      <w:tr>
        <w:trPr>
          <w:trHeight w:val="263"/>
        </w:trPr>
        <w:tc>
          <w:tcPr>
            <w:tcW w:w="2600" w:type="dxa"/>
            <w:vAlign w:val="bottom"/>
          </w:tcPr>
          <w:p>
            <w:pPr>
              <w:spacing w:after="0"/>
              <w:rPr>
                <w:sz w:val="22"/>
                <w:szCs w:val="22"/>
                <w:color w:val="auto"/>
              </w:rPr>
            </w:pPr>
          </w:p>
        </w:tc>
        <w:tc>
          <w:tcPr>
            <w:tcW w:w="5120" w:type="dxa"/>
            <w:vAlign w:val="bottom"/>
          </w:tcPr>
          <w:p>
            <w:pPr>
              <w:jc w:val="right"/>
              <w:ind w:right="2884"/>
              <w:spacing w:after="0"/>
              <w:rPr>
                <w:sz w:val="20"/>
                <w:szCs w:val="20"/>
                <w:color w:val="auto"/>
              </w:rPr>
            </w:pPr>
            <w:r>
              <w:rPr>
                <w:rFonts w:ascii="Arial" w:cs="Arial" w:eastAsia="Arial" w:hAnsi="Arial"/>
                <w:sz w:val="16"/>
                <w:szCs w:val="16"/>
                <w:b w:val="1"/>
                <w:bCs w:val="1"/>
                <w:color w:val="auto"/>
              </w:rPr>
              <w:t>(212) 277-7100</w:t>
            </w:r>
          </w:p>
        </w:tc>
      </w:tr>
      <w:tr>
        <w:trPr>
          <w:trHeight w:val="210"/>
        </w:trPr>
        <w:tc>
          <w:tcPr>
            <w:tcW w:w="2600" w:type="dxa"/>
            <w:vAlign w:val="bottom"/>
          </w:tcPr>
          <w:p>
            <w:pPr>
              <w:spacing w:after="0"/>
              <w:rPr>
                <w:sz w:val="18"/>
                <w:szCs w:val="18"/>
                <w:color w:val="auto"/>
              </w:rPr>
            </w:pPr>
          </w:p>
        </w:tc>
        <w:tc>
          <w:tcPr>
            <w:tcW w:w="5120" w:type="dxa"/>
            <w:vAlign w:val="bottom"/>
          </w:tcPr>
          <w:p>
            <w:pPr>
              <w:jc w:val="center"/>
              <w:ind w:right="1744"/>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ind w:left="3200"/>
        <w:spacing w:after="0"/>
        <w:rPr>
          <w:sz w:val="20"/>
          <w:szCs w:val="20"/>
          <w:color w:val="auto"/>
        </w:rPr>
      </w:pPr>
      <w:r>
        <w:rPr>
          <w:rFonts w:ascii="Arial" w:cs="Arial" w:eastAsia="Arial" w:hAnsi="Arial"/>
          <w:sz w:val="18"/>
          <w:szCs w:val="18"/>
          <w:b w:val="1"/>
          <w:bCs w:val="1"/>
          <w:color w:val="auto"/>
        </w:rPr>
        <w:t>________________________________________________________</w:t>
      </w:r>
    </w:p>
    <w:p>
      <w:pPr>
        <w:spacing w:after="0" w:line="52" w:lineRule="exact"/>
        <w:rPr>
          <w:sz w:val="24"/>
          <w:szCs w:val="24"/>
          <w:color w:val="auto"/>
        </w:rPr>
      </w:pPr>
    </w:p>
    <w:p>
      <w:pPr>
        <w:jc w:val="both"/>
        <w:ind w:right="52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38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firstLine="324"/>
        <w:spacing w:after="0" w:line="31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445" w:right="259" w:bottom="1440" w:gutter="0" w:footer="0" w:header="0"/>
        </w:sectPr>
      </w:pPr>
    </w:p>
    <w:p>
      <w:pPr>
        <w:spacing w:after="0" w:line="104"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2200" w:space="720"/>
            <w:col w:w="4560" w:space="720"/>
            <w:col w:w="1900" w:space="720"/>
            <w:col w:w="580"/>
          </w:cols>
          <w:pgMar w:left="240" w:top="445" w:right="25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78"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4">
            <w:col w:w="2200" w:space="720"/>
            <w:col w:w="4560" w:space="720"/>
            <w:col w:w="1900" w:space="720"/>
            <w:col w:w="580"/>
          </w:cols>
          <w:pgMar w:left="240" w:top="445" w:right="259" w:bottom="1440" w:gutter="0" w:footer="0" w:header="0"/>
          <w:type w:val="continuous"/>
        </w:sectPr>
      </w:pPr>
    </w:p>
    <w:p>
      <w:pPr>
        <w:ind w:left="340"/>
        <w:spacing w:after="0" w:line="173" w:lineRule="exact"/>
        <w:tabs>
          <w:tab w:leader="none" w:pos="78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70" w:lineRule="exact"/>
        <w:rPr>
          <w:sz w:val="24"/>
          <w:szCs w:val="24"/>
          <w:color w:val="auto"/>
        </w:rPr>
      </w:pPr>
    </w:p>
    <w:p>
      <w:pPr>
        <w:sectPr>
          <w:pgSz w:w="11900" w:h="16838" w:orient="portrait"/>
          <w:cols w:equalWidth="0" w:num="2">
            <w:col w:w="8320" w:space="160"/>
            <w:col w:w="2920"/>
          </w:cols>
          <w:pgMar w:left="240" w:top="445" w:right="259" w:bottom="1440" w:gutter="0" w:footer="0" w:header="0"/>
          <w:type w:val="continuous"/>
        </w:sectPr>
      </w:pPr>
    </w:p>
    <w:p>
      <w:pPr>
        <w:ind w:left="340"/>
        <w:spacing w:after="0"/>
        <w:rPr>
          <w:sz w:val="20"/>
          <w:szCs w:val="20"/>
          <w:color w:val="auto"/>
        </w:rPr>
      </w:pPr>
      <w:r>
        <w:rPr>
          <w:rFonts w:ascii="Arial" w:cs="Arial" w:eastAsia="Arial" w:hAnsi="Arial"/>
          <w:sz w:val="14"/>
          <w:szCs w:val="14"/>
          <w:color w:val="auto"/>
        </w:rPr>
        <w:t>As of July 25, 2016, there were 33,499,649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ITEM</w:t>
            </w:r>
          </w:p>
        </w:tc>
        <w:tc>
          <w:tcPr>
            <w:tcW w:w="9200" w:type="dxa"/>
            <w:vAlign w:val="bottom"/>
            <w:gridSpan w:val="20"/>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1. Financial Information</w:t>
              </w:r>
            </w:hyperlink>
          </w:p>
        </w:tc>
        <w:tc>
          <w:tcPr>
            <w:tcW w:w="660" w:type="dxa"/>
            <w:vAlign w:val="bottom"/>
            <w:vMerge w:val="restart"/>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0" w:type="dxa"/>
            <w:vAlign w:val="bottom"/>
            <w:gridSpan w:val="20"/>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4"/>
                <w:szCs w:val="24"/>
                <w:color w:val="auto"/>
              </w:rPr>
            </w:pPr>
          </w:p>
        </w:tc>
        <w:tc>
          <w:tcPr>
            <w:tcW w:w="15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580" w:type="dxa"/>
            <w:vAlign w:val="bottom"/>
            <w:tcBorders>
              <w:top w:val="single" w:sz="8" w:color="0000EE"/>
            </w:tcBorders>
            <w:gridSpan w:val="4"/>
          </w:tcPr>
          <w:p>
            <w:pPr>
              <w:spacing w:after="0"/>
              <w:rPr>
                <w:sz w:val="24"/>
                <w:szCs w:val="24"/>
                <w:color w:val="auto"/>
              </w:rPr>
            </w:pPr>
          </w:p>
        </w:tc>
        <w:tc>
          <w:tcPr>
            <w:tcW w:w="7120" w:type="dxa"/>
            <w:vAlign w:val="bottom"/>
            <w:gridSpan w:val="10"/>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June 30, 2016 (Unaudited) and December 31, 2015</w:t>
              </w:r>
            </w:hyperlink>
          </w:p>
        </w:tc>
        <w:tc>
          <w:tcPr>
            <w:tcW w:w="66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19"/>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Consolidated Statements of Income (Unaudited) for the Three Months and Six Months Ended June 30, 2016 and 2015</w:t>
              </w:r>
            </w:hyperlink>
          </w:p>
        </w:tc>
        <w:tc>
          <w:tcPr>
            <w:tcW w:w="660" w:type="dxa"/>
            <w:vAlign w:val="bottom"/>
          </w:tcPr>
          <w:p>
            <w:pPr>
              <w:ind w:left="20"/>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19"/>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Consolidated Statements of Comprehensive Income (Unaudited) for the Three Months and Six Months Ended June 30,</w:t>
              </w:r>
            </w:hyperlink>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2016 and 2015</w:t>
              </w:r>
            </w:hyperlink>
          </w:p>
        </w:tc>
        <w:tc>
          <w:tcPr>
            <w:tcW w:w="400" w:type="dxa"/>
            <w:vAlign w:val="bottom"/>
          </w:tcPr>
          <w:p>
            <w:pPr>
              <w:spacing w:after="0"/>
              <w:rPr>
                <w:sz w:val="17"/>
                <w:szCs w:val="17"/>
                <w:color w:val="auto"/>
              </w:rPr>
            </w:pPr>
          </w:p>
        </w:tc>
        <w:tc>
          <w:tcPr>
            <w:tcW w:w="660" w:type="dxa"/>
            <w:vAlign w:val="bottom"/>
          </w:tcPr>
          <w:p>
            <w:pPr>
              <w:ind w:left="20"/>
              <w:spacing w:after="0" w:line="196" w:lineRule="exact"/>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 for the Six Months Ended June 30, 2016 and 2015</w:t>
              </w:r>
            </w:hyperlink>
          </w:p>
        </w:tc>
        <w:tc>
          <w:tcPr>
            <w:tcW w:w="660" w:type="dxa"/>
            <w:vAlign w:val="bottom"/>
          </w:tcPr>
          <w:p>
            <w:pPr>
              <w:ind w:left="20"/>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40" w:type="dxa"/>
            <w:vAlign w:val="bottom"/>
            <w:tcBorders>
              <w:top w:val="single" w:sz="8" w:color="0000EE"/>
            </w:tcBorders>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1520" w:type="dxa"/>
            <w:vAlign w:val="bottom"/>
            <w:gridSpan w:val="3"/>
          </w:tcPr>
          <w:p>
            <w:pPr>
              <w:spacing w:after="0"/>
              <w:rPr>
                <w:sz w:val="21"/>
                <w:szCs w:val="21"/>
                <w:color w:val="auto"/>
              </w:rPr>
            </w:pPr>
          </w:p>
        </w:tc>
        <w:tc>
          <w:tcPr>
            <w:tcW w:w="660" w:type="dxa"/>
            <w:vAlign w:val="bottom"/>
          </w:tcPr>
          <w:p>
            <w:pPr>
              <w:ind w:left="20"/>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4"/>
                <w:szCs w:val="24"/>
                <w:color w:val="auto"/>
              </w:rPr>
            </w:pP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2740" w:type="dxa"/>
            <w:vAlign w:val="bottom"/>
            <w:gridSpan w:val="4"/>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24"/>
                <w:szCs w:val="24"/>
                <w:color w:val="auto"/>
              </w:rPr>
            </w:pP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Quantitative and Qualitative Disclosures About Market Risk</w:t>
              </w:r>
            </w:hyperlink>
          </w:p>
        </w:tc>
        <w:tc>
          <w:tcPr>
            <w:tcW w:w="4840" w:type="dxa"/>
            <w:vAlign w:val="bottom"/>
            <w:gridSpan w:val="6"/>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24"/>
                <w:szCs w:val="24"/>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Controls and Procedures</w:t>
              </w:r>
            </w:hyperlink>
          </w:p>
        </w:tc>
        <w:tc>
          <w:tcPr>
            <w:tcW w:w="7420" w:type="dxa"/>
            <w:vAlign w:val="bottom"/>
            <w:gridSpan w:val="12"/>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Part II. Other Information</w:t>
              </w:r>
            </w:hyperlink>
          </w:p>
        </w:tc>
        <w:tc>
          <w:tcPr>
            <w:tcW w:w="7340" w:type="dxa"/>
            <w:vAlign w:val="bottom"/>
            <w:gridSpan w:val="11"/>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4"/>
                <w:szCs w:val="24"/>
                <w:color w:val="auto"/>
              </w:rPr>
            </w:pPr>
          </w:p>
        </w:tc>
        <w:tc>
          <w:tcPr>
            <w:tcW w:w="920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660" w:type="dxa"/>
            <w:vAlign w:val="bottom"/>
          </w:tcPr>
          <w:p>
            <w:pPr>
              <w:ind w:left="20"/>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spacing w:after="0"/>
              <w:rPr>
                <w:sz w:val="20"/>
                <w:szCs w:val="20"/>
                <w:color w:val="auto"/>
              </w:rPr>
            </w:pPr>
            <w:r>
              <w:rPr>
                <w:rFonts w:ascii="Arial" w:cs="Arial" w:eastAsia="Arial" w:hAnsi="Arial"/>
                <w:sz w:val="18"/>
                <w:szCs w:val="18"/>
                <w:color w:val="auto"/>
              </w:rPr>
              <w:t>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7880" w:type="dxa"/>
            <w:vAlign w:val="bottom"/>
            <w:gridSpan w:val="15"/>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4"/>
                <w:szCs w:val="24"/>
                <w:color w:val="auto"/>
              </w:rPr>
            </w:pPr>
          </w:p>
        </w:tc>
        <w:tc>
          <w:tcPr>
            <w:tcW w:w="920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660" w:type="dxa"/>
            <w:vAlign w:val="bottom"/>
          </w:tcPr>
          <w:p>
            <w:pPr>
              <w:ind w:left="20"/>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4860" w:type="dxa"/>
            <w:vAlign w:val="bottom"/>
            <w:gridSpan w:val="7"/>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24"/>
                <w:szCs w:val="24"/>
                <w:color w:val="auto"/>
              </w:rPr>
            </w:pPr>
          </w:p>
        </w:tc>
        <w:tc>
          <w:tcPr>
            <w:tcW w:w="920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660" w:type="dxa"/>
            <w:vAlign w:val="bottom"/>
          </w:tcPr>
          <w:p>
            <w:pPr>
              <w:ind w:left="20"/>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5.</w:t>
            </w:r>
          </w:p>
        </w:tc>
        <w:tc>
          <w:tcPr>
            <w:tcW w:w="740" w:type="dxa"/>
            <w:vAlign w:val="bottom"/>
          </w:tcPr>
          <w:p>
            <w:pPr>
              <w:spacing w:after="0"/>
              <w:rPr>
                <w:sz w:val="24"/>
                <w:szCs w:val="24"/>
                <w:color w:val="auto"/>
              </w:rPr>
            </w:pP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7440" w:type="dxa"/>
            <w:vAlign w:val="bottom"/>
            <w:gridSpan w:val="13"/>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24"/>
                <w:szCs w:val="24"/>
                <w:color w:val="auto"/>
              </w:rPr>
            </w:pP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7900" w:type="dxa"/>
            <w:vAlign w:val="bottom"/>
            <w:gridSpan w:val="16"/>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507"/>
        </w:trPr>
        <w:tc>
          <w:tcPr>
            <w:tcW w:w="7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4300" w:type="dxa"/>
            <w:vAlign w:val="bottom"/>
            <w:gridSpan w:val="12"/>
          </w:tcPr>
          <w:p>
            <w:pPr>
              <w:ind w:left="41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7"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2"/>
              </w:rPr>
              <w:t>June 30, 2016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December 31, 2015</w:t>
            </w:r>
          </w:p>
        </w:tc>
        <w:tc>
          <w:tcPr>
            <w:tcW w:w="0" w:type="dxa"/>
            <w:vAlign w:val="bottom"/>
          </w:tcPr>
          <w:p>
            <w:pPr>
              <w:spacing w:after="0"/>
              <w:rPr>
                <w:sz w:val="1"/>
                <w:szCs w:val="1"/>
                <w:color w:val="auto"/>
              </w:rPr>
            </w:pPr>
          </w:p>
        </w:tc>
      </w:tr>
      <w:tr>
        <w:trPr>
          <w:trHeight w:val="237"/>
        </w:trPr>
        <w:tc>
          <w:tcPr>
            <w:tcW w:w="7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93,113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205,323</w:t>
            </w:r>
          </w:p>
        </w:tc>
        <w:tc>
          <w:tcPr>
            <w:tcW w:w="0" w:type="dxa"/>
            <w:vAlign w:val="bottom"/>
          </w:tcPr>
          <w:p>
            <w:pPr>
              <w:spacing w:after="0"/>
              <w:rPr>
                <w:sz w:val="1"/>
                <w:szCs w:val="1"/>
                <w:color w:val="auto"/>
              </w:rPr>
            </w:pPr>
          </w:p>
        </w:tc>
      </w:tr>
      <w:tr>
        <w:trPr>
          <w:trHeight w:val="224"/>
        </w:trPr>
        <w:tc>
          <w:tcPr>
            <w:tcW w:w="7860" w:type="dxa"/>
            <w:vAlign w:val="bottom"/>
          </w:tcPr>
          <w:p>
            <w:pPr>
              <w:ind w:left="380"/>
              <w:spacing w:after="0"/>
              <w:rPr>
                <w:sz w:val="20"/>
                <w:szCs w:val="20"/>
                <w:color w:val="auto"/>
              </w:rPr>
            </w:pPr>
            <w:r>
              <w:rPr>
                <w:rFonts w:ascii="Arial" w:cs="Arial" w:eastAsia="Arial" w:hAnsi="Arial"/>
                <w:sz w:val="16"/>
                <w:szCs w:val="16"/>
                <w:color w:val="auto"/>
              </w:rPr>
              <w:t>Short-term investments</w:t>
            </w:r>
          </w:p>
        </w:tc>
        <w:tc>
          <w:tcPr>
            <w:tcW w:w="28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107,594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13,676</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cash</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1,872</w:t>
            </w:r>
          </w:p>
        </w:tc>
        <w:tc>
          <w:tcPr>
            <w:tcW w:w="0" w:type="dxa"/>
            <w:vAlign w:val="bottom"/>
          </w:tcPr>
          <w:p>
            <w:pPr>
              <w:spacing w:after="0"/>
              <w:rPr>
                <w:sz w:val="1"/>
                <w:szCs w:val="1"/>
                <w:color w:val="auto"/>
              </w:rPr>
            </w:pPr>
          </w:p>
        </w:tc>
      </w:tr>
      <w:tr>
        <w:trPr>
          <w:trHeight w:val="224"/>
        </w:trPr>
        <w:tc>
          <w:tcPr>
            <w:tcW w:w="786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111,383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92,650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8,027</w:t>
            </w:r>
          </w:p>
        </w:tc>
        <w:tc>
          <w:tcPr>
            <w:tcW w:w="0" w:type="dxa"/>
            <w:vAlign w:val="bottom"/>
          </w:tcPr>
          <w:p>
            <w:pPr>
              <w:spacing w:after="0"/>
              <w:rPr>
                <w:sz w:val="1"/>
                <w:szCs w:val="1"/>
                <w:color w:val="auto"/>
              </w:rPr>
            </w:pPr>
          </w:p>
        </w:tc>
      </w:tr>
      <w:tr>
        <w:trPr>
          <w:trHeight w:val="224"/>
        </w:trPr>
        <w:tc>
          <w:tcPr>
            <w:tcW w:w="7860" w:type="dxa"/>
            <w:vAlign w:val="bottom"/>
          </w:tcPr>
          <w:p>
            <w:pPr>
              <w:ind w:left="380"/>
              <w:spacing w:after="0"/>
              <w:rPr>
                <w:sz w:val="20"/>
                <w:szCs w:val="20"/>
                <w:color w:val="auto"/>
              </w:rPr>
            </w:pPr>
            <w:r>
              <w:rPr>
                <w:rFonts w:ascii="Arial" w:cs="Arial" w:eastAsia="Arial" w:hAnsi="Arial"/>
                <w:sz w:val="16"/>
                <w:szCs w:val="16"/>
                <w:color w:val="auto"/>
              </w:rPr>
              <w:t>Advance income tax, net</w:t>
            </w:r>
          </w:p>
        </w:tc>
        <w:tc>
          <w:tcPr>
            <w:tcW w:w="28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5,568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2,432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16,685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15,219</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343,772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339,199</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assets, net</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49,708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47,991</w:t>
            </w:r>
          </w:p>
        </w:tc>
        <w:tc>
          <w:tcPr>
            <w:tcW w:w="0" w:type="dxa"/>
            <w:vAlign w:val="bottom"/>
          </w:tcPr>
          <w:p>
            <w:pPr>
              <w:spacing w:after="0"/>
              <w:rPr>
                <w:sz w:val="1"/>
                <w:szCs w:val="1"/>
                <w:color w:val="auto"/>
              </w:rPr>
            </w:pP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3,277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3,319</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 net</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13,749</w:t>
            </w:r>
          </w:p>
        </w:tc>
        <w:tc>
          <w:tcPr>
            <w:tcW w:w="0" w:type="dxa"/>
            <w:vAlign w:val="bottom"/>
          </w:tcPr>
          <w:p>
            <w:pPr>
              <w:spacing w:after="0"/>
              <w:rPr>
                <w:sz w:val="1"/>
                <w:szCs w:val="1"/>
                <w:color w:val="auto"/>
              </w:rPr>
            </w:pP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47,278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52,733</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171,035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171,535</w:t>
            </w:r>
          </w:p>
        </w:tc>
        <w:tc>
          <w:tcPr>
            <w:tcW w:w="0" w:type="dxa"/>
            <w:vAlign w:val="bottom"/>
          </w:tcPr>
          <w:p>
            <w:pPr>
              <w:spacing w:after="0"/>
              <w:rPr>
                <w:sz w:val="1"/>
                <w:szCs w:val="1"/>
                <w:color w:val="auto"/>
              </w:rPr>
            </w:pP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21,724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22,257</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646,897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650,783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78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86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4,491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6,401</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borrowings</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24"/>
        </w:trPr>
        <w:tc>
          <w:tcPr>
            <w:tcW w:w="786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16,157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11,518</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employee cost</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33,644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44,526</w:t>
            </w:r>
          </w:p>
        </w:tc>
        <w:tc>
          <w:tcPr>
            <w:tcW w:w="0" w:type="dxa"/>
            <w:vAlign w:val="bottom"/>
          </w:tcPr>
          <w:p>
            <w:pPr>
              <w:spacing w:after="0"/>
              <w:rPr>
                <w:sz w:val="1"/>
                <w:szCs w:val="1"/>
                <w:color w:val="auto"/>
              </w:rPr>
            </w:pPr>
          </w:p>
        </w:tc>
      </w:tr>
      <w:tr>
        <w:trPr>
          <w:trHeight w:val="224"/>
        </w:trPr>
        <w:tc>
          <w:tcPr>
            <w:tcW w:w="786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35,948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34,250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capital lease obligations</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100,461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107,079</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 term borrowings</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Capital lease obligations, less current portion</w:t>
            </w:r>
          </w:p>
        </w:tc>
        <w:tc>
          <w:tcPr>
            <w:tcW w:w="28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14,185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17,655</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149,898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185,012</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 (See Note 16)</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28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860" w:type="dxa"/>
            <w:vAlign w:val="bottom"/>
          </w:tcPr>
          <w:p>
            <w:pPr>
              <w:ind w:left="380"/>
              <w:spacing w:after="0"/>
              <w:rPr>
                <w:sz w:val="20"/>
                <w:szCs w:val="20"/>
                <w:color w:val="auto"/>
              </w:rPr>
            </w:pPr>
            <w:r>
              <w:rPr>
                <w:rFonts w:ascii="Arial" w:cs="Arial" w:eastAsia="Arial" w:hAnsi="Arial"/>
                <w:sz w:val="16"/>
                <w:szCs w:val="16"/>
                <w:color w:val="auto"/>
                <w:w w:val="90"/>
              </w:rPr>
              <w:t>Common stock, $0.001 par value; 100,000,000 shares authorized, 35,370,296 shares issued and 33,469,481 shares</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380"/>
              <w:spacing w:after="0"/>
              <w:rPr>
                <w:sz w:val="20"/>
                <w:szCs w:val="20"/>
                <w:color w:val="auto"/>
              </w:rPr>
            </w:pPr>
            <w:r>
              <w:rPr>
                <w:rFonts w:ascii="Arial" w:cs="Arial" w:eastAsia="Arial" w:hAnsi="Arial"/>
                <w:sz w:val="16"/>
                <w:szCs w:val="16"/>
                <w:color w:val="auto"/>
                <w:w w:val="91"/>
              </w:rPr>
              <w:t>outstanding as of June 30, 2016 and 34,781,201 shares issued and 33,091,223 shares outstanding as of December</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60" w:type="dxa"/>
            <w:vAlign w:val="bottom"/>
          </w:tcPr>
          <w:p>
            <w:pPr>
              <w:ind w:left="380"/>
              <w:spacing w:after="0"/>
              <w:rPr>
                <w:sz w:val="20"/>
                <w:szCs w:val="20"/>
                <w:color w:val="auto"/>
              </w:rPr>
            </w:pPr>
            <w:r>
              <w:rPr>
                <w:rFonts w:ascii="Arial" w:cs="Arial" w:eastAsia="Arial" w:hAnsi="Arial"/>
                <w:sz w:val="16"/>
                <w:szCs w:val="16"/>
                <w:color w:val="auto"/>
              </w:rPr>
              <w:t>31, 2015</w:t>
            </w:r>
          </w:p>
        </w:tc>
        <w:tc>
          <w:tcPr>
            <w:tcW w:w="28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paid-in-capital</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268,506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254,052</w:t>
            </w:r>
          </w:p>
        </w:tc>
        <w:tc>
          <w:tcPr>
            <w:tcW w:w="0" w:type="dxa"/>
            <w:vAlign w:val="bottom"/>
          </w:tcPr>
          <w:p>
            <w:pPr>
              <w:spacing w:after="0"/>
              <w:rPr>
                <w:sz w:val="1"/>
                <w:szCs w:val="1"/>
                <w:color w:val="auto"/>
              </w:rPr>
            </w:pPr>
          </w:p>
        </w:tc>
      </w:tr>
      <w:tr>
        <w:trPr>
          <w:trHeight w:val="224"/>
        </w:trPr>
        <w:tc>
          <w:tcPr>
            <w:tcW w:w="786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351,184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320,989</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(71,045)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(67,325)</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including shares held in treasury</w:t>
            </w: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548,680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507,751</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4"/>
              </w:rPr>
              <w:t>Less: 1,900,815 shares as of June 30, 2016 and 1,689,978 shares as of December 31, 2015, held in treasury, at cost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(42,159)</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ExlService Holdings, Inc. stockholders’ equity</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496,817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465,592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equity</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496,999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465,771</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646,897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650,783</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00"/>
          </w:cols>
          <w:pgMar w:left="240" w:top="337" w:right="259" w:bottom="1440"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337" w:right="25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320" w:type="dxa"/>
            <w:vAlign w:val="bottom"/>
          </w:tcPr>
          <w:p>
            <w:pPr>
              <w:spacing w:after="0"/>
              <w:rPr>
                <w:sz w:val="20"/>
                <w:szCs w:val="20"/>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5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5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170,478</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155,621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337,514</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299,131</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Cost of revenues (exclusive of depreciation and amortization)</w:t>
            </w: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112,026</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100,478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220,405</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193,603</w:t>
            </w:r>
          </w:p>
        </w:tc>
      </w:tr>
      <w:tr>
        <w:trPr>
          <w:trHeight w:val="27"/>
        </w:trPr>
        <w:tc>
          <w:tcPr>
            <w:tcW w:w="5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58,452</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117,109</w:t>
            </w:r>
          </w:p>
        </w:tc>
        <w:tc>
          <w:tcPr>
            <w:tcW w:w="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105,528</w:t>
            </w: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21,148</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41,766</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38,611</w:t>
            </w: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color w:val="auto"/>
              </w:rPr>
              <w:t>Selling and marketing expenses</w:t>
            </w: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12,798</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11,844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26,252</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23,087</w:t>
            </w: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8,270</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8,061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16,403</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15,114</w:t>
            </w: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42,216</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39,895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84,421</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76,812</w:t>
            </w:r>
          </w:p>
        </w:tc>
      </w:tr>
      <w:tr>
        <w:trPr>
          <w:trHeight w:val="27"/>
        </w:trPr>
        <w:tc>
          <w:tcPr>
            <w:tcW w:w="5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16,236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32,688</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28,716</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Foreign exchange gain</w:t>
            </w: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1,363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1,832</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2,156</w:t>
            </w: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5,784</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8,578</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2,513</w:t>
            </w: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23,383</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17,605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43,098</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33,385</w:t>
            </w: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7,008</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12,903</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11,744</w:t>
            </w:r>
          </w:p>
        </w:tc>
      </w:tr>
      <w:tr>
        <w:trPr>
          <w:trHeight w:val="297"/>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16,375</w:t>
            </w:r>
          </w:p>
        </w:tc>
        <w:tc>
          <w:tcPr>
            <w:tcW w:w="2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12,074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30,195</w:t>
            </w:r>
          </w:p>
        </w:tc>
        <w:tc>
          <w:tcPr>
            <w:tcW w:w="18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21,641</w:t>
            </w:r>
          </w:p>
        </w:tc>
      </w:tr>
      <w:tr>
        <w:trPr>
          <w:trHeight w:val="237"/>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0.49</w:t>
            </w:r>
          </w:p>
        </w:tc>
        <w:tc>
          <w:tcPr>
            <w:tcW w:w="2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0.90</w:t>
            </w:r>
          </w:p>
        </w:tc>
        <w:tc>
          <w:tcPr>
            <w:tcW w:w="1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0.65</w:t>
            </w: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0.47</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0.88</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0.63</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w w:val="90"/>
              </w:rPr>
              <w:t>Weighted-average number of shares used in computing earnings per</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share:</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33,621,444</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33,417,079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33,500,736</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33,327,169</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34,510,400</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34,207,973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34,431,028</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34,130,472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37"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38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80"/>
        </w:trPr>
        <w:tc>
          <w:tcPr>
            <w:tcW w:w="1360" w:type="dxa"/>
            <w:vAlign w:val="bottom"/>
            <w:tcBorders>
              <w:top w:val="single" w:sz="8" w:color="0000EE"/>
            </w:tcBorders>
          </w:tcPr>
          <w:p>
            <w:pPr>
              <w:spacing w:after="0"/>
              <w:rPr>
                <w:sz w:val="24"/>
                <w:szCs w:val="24"/>
                <w:color w:val="auto"/>
              </w:rPr>
            </w:pPr>
          </w:p>
        </w:tc>
        <w:tc>
          <w:tcPr>
            <w:tcW w:w="5860" w:type="dxa"/>
            <w:vAlign w:val="bottom"/>
            <w:gridSpan w:val="5"/>
          </w:tcPr>
          <w:p>
            <w:pPr>
              <w:jc w:val="center"/>
              <w:ind w:left="2770"/>
              <w:spacing w:after="0"/>
              <w:rPr>
                <w:sz w:val="20"/>
                <w:szCs w:val="20"/>
                <w:color w:val="auto"/>
              </w:rPr>
            </w:pPr>
            <w:r>
              <w:rPr>
                <w:rFonts w:ascii="Arial" w:cs="Arial" w:eastAsia="Arial" w:hAnsi="Arial"/>
                <w:sz w:val="18"/>
                <w:szCs w:val="18"/>
                <w:b w:val="1"/>
                <w:bCs w:val="1"/>
                <w:color w:val="auto"/>
              </w:rPr>
              <w:t>EXLSERVICE HOLDINGS, INC.</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6"/>
        </w:trPr>
        <w:tc>
          <w:tcPr>
            <w:tcW w:w="1360" w:type="dxa"/>
            <w:vAlign w:val="bottom"/>
          </w:tcPr>
          <w:p>
            <w:pPr>
              <w:spacing w:after="0"/>
              <w:rPr>
                <w:sz w:val="24"/>
                <w:szCs w:val="24"/>
                <w:color w:val="auto"/>
              </w:rPr>
            </w:pPr>
          </w:p>
        </w:tc>
        <w:tc>
          <w:tcPr>
            <w:tcW w:w="8580" w:type="dxa"/>
            <w:vAlign w:val="bottom"/>
            <w:gridSpan w:val="10"/>
          </w:tcPr>
          <w:p>
            <w:pPr>
              <w:jc w:val="center"/>
              <w:ind w:left="30"/>
              <w:spacing w:after="0"/>
              <w:rPr>
                <w:sz w:val="20"/>
                <w:szCs w:val="20"/>
                <w:color w:val="auto"/>
              </w:rPr>
            </w:pPr>
            <w:r>
              <w:rPr>
                <w:rFonts w:ascii="Arial" w:cs="Arial" w:eastAsia="Arial" w:hAnsi="Arial"/>
                <w:sz w:val="18"/>
                <w:szCs w:val="18"/>
                <w:b w:val="1"/>
                <w:bCs w:val="1"/>
                <w:color w:val="auto"/>
              </w:rPr>
              <w:t>UNAUDITED CONSOLIDATED STATEMENTS OF COMPREHENSIVE INCOME</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5540" w:type="dxa"/>
            <w:vAlign w:val="bottom"/>
            <w:gridSpan w:val="4"/>
          </w:tcPr>
          <w:p>
            <w:pPr>
              <w:jc w:val="center"/>
              <w:ind w:left="3090"/>
              <w:spacing w:after="0"/>
              <w:rPr>
                <w:sz w:val="20"/>
                <w:szCs w:val="20"/>
                <w:color w:val="auto"/>
              </w:rPr>
            </w:pPr>
            <w:r>
              <w:rPr>
                <w:rFonts w:ascii="Arial" w:cs="Arial" w:eastAsia="Arial" w:hAnsi="Arial"/>
                <w:sz w:val="18"/>
                <w:szCs w:val="18"/>
                <w:b w:val="1"/>
                <w:bCs w:val="1"/>
                <w:color w:val="auto"/>
                <w:w w:val="90"/>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1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June 30,</w:t>
            </w:r>
          </w:p>
        </w:tc>
        <w:tc>
          <w:tcPr>
            <w:tcW w:w="320" w:type="dxa"/>
            <w:vAlign w:val="bottom"/>
          </w:tcPr>
          <w:p>
            <w:pPr>
              <w:spacing w:after="0"/>
              <w:rPr>
                <w:sz w:val="24"/>
                <w:szCs w:val="24"/>
                <w:color w:val="auto"/>
              </w:rPr>
            </w:pPr>
          </w:p>
        </w:tc>
        <w:tc>
          <w:tcPr>
            <w:tcW w:w="27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13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136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21,641</w:t>
            </w: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income/(loss):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13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5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3"/>
              </w:rPr>
              <w:t>Unrealized gain/(loss) on effective cash flow hedges, net of taxes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53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($376), ($358), $27 and $95,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r>
      <w:tr>
        <w:trPr>
          <w:trHeight w:val="243"/>
        </w:trPr>
        <w:tc>
          <w:tcPr>
            <w:tcW w:w="5380" w:type="dxa"/>
            <w:vAlign w:val="bottom"/>
            <w:gridSpan w:val="2"/>
          </w:tcPr>
          <w:p>
            <w:pPr>
              <w:ind w:left="50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(2,834)</w:t>
            </w:r>
          </w:p>
        </w:tc>
      </w:tr>
      <w:tr>
        <w:trPr>
          <w:trHeight w:val="27"/>
        </w:trPr>
        <w:tc>
          <w:tcPr>
            <w:tcW w:w="13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0"/>
              </w:rPr>
              <w:t>Retirement benefits, net of taxes $15, $4, $20 and $10,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Reclassification adjustments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13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5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1"/>
              </w:rPr>
              <w:t>Realized (gain)/loss on cash flow hedges, net of taxes ($156), $92,</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5380" w:type="dxa"/>
            <w:vAlign w:val="bottom"/>
            <w:gridSpan w:val="2"/>
            <w:shd w:val="clear" w:color="auto" w:fill="CCEEFF"/>
          </w:tcPr>
          <w:p>
            <w:pPr>
              <w:ind w:left="500"/>
              <w:spacing w:after="0" w:line="257" w:lineRule="exact"/>
              <w:rPr>
                <w:sz w:val="20"/>
                <w:szCs w:val="20"/>
                <w:color w:val="auto"/>
              </w:rPr>
            </w:pPr>
            <w:r>
              <w:rPr>
                <w:rFonts w:ascii="Arial" w:cs="Arial" w:eastAsia="Arial" w:hAnsi="Arial"/>
                <w:sz w:val="18"/>
                <w:szCs w:val="18"/>
                <w:color w:val="auto"/>
              </w:rPr>
              <w:t>($181) and $218, respectively</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r>
      <w:tr>
        <w:trPr>
          <w:trHeight w:val="229"/>
        </w:trPr>
        <w:tc>
          <w:tcPr>
            <w:tcW w:w="5380" w:type="dxa"/>
            <w:vAlign w:val="bottom"/>
            <w:gridSpan w:val="2"/>
          </w:tcPr>
          <w:p>
            <w:pPr>
              <w:ind w:left="500"/>
              <w:spacing w:after="0"/>
              <w:rPr>
                <w:sz w:val="20"/>
                <w:szCs w:val="20"/>
                <w:color w:val="auto"/>
              </w:rPr>
            </w:pPr>
            <w:r>
              <w:rPr>
                <w:rFonts w:ascii="Arial" w:cs="Arial" w:eastAsia="Arial" w:hAnsi="Arial"/>
                <w:sz w:val="18"/>
                <w:szCs w:val="18"/>
                <w:color w:val="auto"/>
              </w:rPr>
              <w:t>Retirement benefits, net of taxes $1, $13, $2 and $16,</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7"/>
        </w:trPr>
        <w:tc>
          <w:tcPr>
            <w:tcW w:w="5380" w:type="dxa"/>
            <w:vAlign w:val="bottom"/>
            <w:tcBorders>
              <w:bottom w:val="single" w:sz="8" w:color="CCEEFF"/>
            </w:tcBorders>
            <w:gridSpan w:val="2"/>
          </w:tcPr>
          <w:p>
            <w:pPr>
              <w:ind w:left="500"/>
              <w:spacing w:after="0" w:line="257" w:lineRule="exact"/>
              <w:rPr>
                <w:sz w:val="20"/>
                <w:szCs w:val="20"/>
                <w:color w:val="auto"/>
              </w:rPr>
            </w:pPr>
            <w:r>
              <w:rPr>
                <w:rFonts w:ascii="Arial" w:cs="Arial" w:eastAsia="Arial" w:hAnsi="Arial"/>
                <w:sz w:val="18"/>
                <w:szCs w:val="18"/>
                <w:color w:val="auto"/>
              </w:rPr>
              <w:t>respectively</w:t>
            </w:r>
            <w:r>
              <w:rPr>
                <w:rFonts w:ascii="Arial" w:cs="Arial" w:eastAsia="Arial" w:hAnsi="Arial"/>
                <w:sz w:val="25"/>
                <w:szCs w:val="25"/>
                <w:color w:val="auto"/>
                <w:vertAlign w:val="superscript"/>
              </w:rPr>
              <w:t>(2)</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r>
      <w:tr>
        <w:trPr>
          <w:trHeight w:val="264"/>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comprehensive loss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r>
      <w:tr>
        <w:trPr>
          <w:trHeight w:val="25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comprehensive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9,417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8,172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26,475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20,233</w:t>
            </w:r>
          </w:p>
        </w:tc>
      </w:tr>
      <w:tr>
        <w:trPr>
          <w:trHeight w:val="20"/>
        </w:trPr>
        <w:tc>
          <w:tcPr>
            <w:tcW w:w="13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514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540" w:right="580" w:hanging="532"/>
        <w:spacing w:after="0" w:line="255" w:lineRule="auto"/>
        <w:tabs>
          <w:tab w:leader="none" w:pos="5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in the foreign exchange gain/(loss) in the unaudited consolidated statements of income. See Note 7 to the consolidated financial statements.</w:t>
      </w:r>
    </w:p>
    <w:p>
      <w:pPr>
        <w:spacing w:after="0" w:line="1" w:lineRule="exact"/>
        <w:rPr>
          <w:rFonts w:ascii="Arial" w:cs="Arial" w:eastAsia="Arial" w:hAnsi="Arial"/>
          <w:sz w:val="16"/>
          <w:szCs w:val="16"/>
          <w:i w:val="1"/>
          <w:iCs w:val="1"/>
          <w:color w:val="auto"/>
        </w:rPr>
      </w:pPr>
    </w:p>
    <w:p>
      <w:pPr>
        <w:ind w:left="540" w:right="60" w:hanging="532"/>
        <w:spacing w:after="0" w:line="257" w:lineRule="auto"/>
        <w:tabs>
          <w:tab w:leader="none" w:pos="5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in the computation of net periodic pension costs in the unaudited consolidated statements of income. See Note 11 to the consolidated financial statements</w:t>
      </w:r>
      <w:r>
        <w:rPr>
          <w:rFonts w:ascii="Arial" w:cs="Arial" w:eastAsia="Arial" w:hAnsi="Arial"/>
          <w:sz w:val="16"/>
          <w:szCs w:val="16"/>
          <w:color w:val="auto"/>
          <w:shd w:val="clear" w:color="auto" w:fill="CCEE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24"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9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2015</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30,195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21,641</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16,403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15,114</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Unrealized gain on short term investments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(760)</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foreign exchange gain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3,607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3,272</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earn-out consideration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Others, net</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(1,197)</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(1,143)</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4,996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2,516</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employee costs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(8,175)</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4,413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(3,058)</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Advance income tax, net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3,625</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26,915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27,167</w:t>
            </w:r>
          </w:p>
        </w:tc>
      </w:tr>
      <w:tr>
        <w:trPr>
          <w:trHeight w:val="264"/>
        </w:trPr>
        <w:tc>
          <w:tcPr>
            <w:tcW w:w="79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 of fixed assets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(14,380)</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acquisition (net of cash acquired)</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(44,270)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 of short-term investments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(132,275)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(71,863)</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redemption of short-term investments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41,179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for investing activities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(105,968)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(124,512)</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payments on capital lease obligations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borrowings</w:t>
            </w: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30,000</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borrowings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Payment of debt issuance costs</w:t>
            </w: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treasury stock</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4,195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2,366</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for)/provided by financing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16,829</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(1,332)</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(81,848)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205,323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176,499</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93,113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94,651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337"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37"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ExlService Holdings, Inc. (“ExlService Holdings”) is organized as a corporation under the laws of the state of Delaware. ExlService Holdings, together with its subsidiaries (collectively, the “Company”), is a leading Operations Management and Analytics company that helps businesses enhance growth and profitability. Using its proprietary platforms, methodologies and tools the Company looks deeper to help companies improve global operations, enhance data-driven insights, increase customer satisfaction, and manage risk and compliance. The Company’s clients are located principally in the U.S. and the U.K.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unaudited interim consolidated financial statements have been prepared in accordance with U.S.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2015.</w:t>
      </w:r>
    </w:p>
    <w:p>
      <w:pPr>
        <w:spacing w:after="0" w:line="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Effective for the quarter and year ended December 31, 2015, the Company merged two of its operating segments (Operations Consulting and Finance Transformation, previously part of the Analytics and Business Transformation reportable segment) into the Consulting operating segment to reflect recent organizational changes. The Company has also revised its reportable segments to reflect management’s focus on the Analytics operating segment. All other operating segments have been aggregated into the Operations Management reportable segment.</w:t>
      </w:r>
    </w:p>
    <w:p>
      <w:pPr>
        <w:spacing w:after="0" w:line="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reportable segments are as follows:</w:t>
      </w:r>
    </w:p>
    <w:p>
      <w:pPr>
        <w:spacing w:after="0" w:line="90" w:lineRule="exact"/>
        <w:rPr>
          <w:sz w:val="20"/>
          <w:szCs w:val="20"/>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Operations Management, and</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Analytics</w:t>
      </w:r>
    </w:p>
    <w:p>
      <w:pPr>
        <w:spacing w:after="0" w:line="10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segment information for all prior periods presented herein has been restated to conform to the current presentation. This change in segment presentation does not affect the Company’s consolidated statements of income, comprehensive income, balance sheets or statements of cash flows.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Principles of Consolidation</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All intercompany balances and transactions have been eliminated in consolidation.</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non-controlling interest represents the minority partner’s interest in the operations of ExlService Colombia S.A.S. ("Exl Colombia") and the profits associated with the minority partner’s interest in those operations, in the consolidated balance sheets and consolidated statements of income, respectively. The non-controlling interests in such operations for all the periods presented were insignificant and are included under general and administrative expenses in the unaudited consolidated statements of income.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financial statements include, but are not limited to, allowance for doubtful receivables, service tax receivables, assets and obligations related to employee benefit plans, deferred tax valuation allowances, income-tax uncertainties and other contingencies, valuation of derivative financial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37"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instruments, stock-based compensation expense, depreciation and amortization periods, purchase price allocation, recoverability of long-term assets including goodwill and intangibles, and estimates to complete the fixed price contracts.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Other current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assets consists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5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4"/>
                <w:szCs w:val="14"/>
                <w:b w:val="1"/>
                <w:bCs w:val="1"/>
                <w:color w:val="auto"/>
                <w:w w:val="90"/>
              </w:rPr>
              <w:t>June 30, 2016</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rPr>
              <w:t>December 31, 2015</w:t>
            </w:r>
          </w:p>
        </w:tc>
        <w:tc>
          <w:tcPr>
            <w:tcW w:w="5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6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560" w:type="dxa"/>
            <w:vAlign w:val="bottom"/>
            <w:tcBorders>
              <w:bottom w:val="single" w:sz="8" w:color="CCEEFF"/>
              <w:right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680" w:type="dxa"/>
            <w:vAlign w:val="bottom"/>
            <w:gridSpan w:val="3"/>
          </w:tcPr>
          <w:p>
            <w:pPr>
              <w:ind w:left="20"/>
              <w:spacing w:after="0"/>
              <w:rPr>
                <w:sz w:val="20"/>
                <w:szCs w:val="20"/>
                <w:color w:val="auto"/>
              </w:rPr>
            </w:pPr>
            <w:r>
              <w:rPr>
                <w:rFonts w:ascii="Arial" w:cs="Arial" w:eastAsia="Arial" w:hAnsi="Arial"/>
                <w:sz w:val="18"/>
                <w:szCs w:val="18"/>
                <w:color w:val="auto"/>
              </w:rPr>
              <w:t>Advances to suppliers</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1,545</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6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Receivables from statutory authorities</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680" w:type="dxa"/>
            <w:vAlign w:val="bottom"/>
            <w:gridSpan w:val="3"/>
          </w:tcPr>
          <w:p>
            <w:pPr>
              <w:ind w:left="20"/>
              <w:spacing w:after="0"/>
              <w:rPr>
                <w:sz w:val="20"/>
                <w:szCs w:val="20"/>
                <w:color w:val="auto"/>
              </w:rPr>
            </w:pPr>
            <w:r>
              <w:rPr>
                <w:rFonts w:ascii="Arial" w:cs="Arial" w:eastAsia="Arial" w:hAnsi="Arial"/>
                <w:sz w:val="18"/>
                <w:szCs w:val="18"/>
                <w:color w:val="auto"/>
              </w:rPr>
              <w:t>Others</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1,989</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 w:type="dxa"/>
            <w:vAlign w:val="bottom"/>
          </w:tcPr>
          <w:p>
            <w:pPr>
              <w:spacing w:after="0"/>
              <w:rPr>
                <w:sz w:val="22"/>
                <w:szCs w:val="22"/>
                <w:color w:val="auto"/>
              </w:rPr>
            </w:pPr>
          </w:p>
        </w:tc>
        <w:tc>
          <w:tcPr>
            <w:tcW w:w="6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16,685</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right w:val="single" w:sz="8" w:color="CCEEFF"/>
            </w:tcBorders>
            <w:shd w:val="clear" w:color="auto" w:fill="CCEEFF"/>
          </w:tcPr>
          <w:p>
            <w:pPr>
              <w:jc w:val="center"/>
              <w:ind w:right="139"/>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right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15,219</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00" w:type="dxa"/>
            <w:vAlign w:val="bottom"/>
            <w:gridSpan w:val="4"/>
            <w:vMerge w:val="restart"/>
          </w:tcPr>
          <w:p>
            <w:pPr>
              <w:spacing w:after="0"/>
              <w:rPr>
                <w:sz w:val="20"/>
                <w:szCs w:val="20"/>
                <w:color w:val="auto"/>
              </w:rPr>
            </w:pPr>
            <w:r>
              <w:rPr>
                <w:rFonts w:ascii="Arial" w:cs="Arial" w:eastAsia="Arial" w:hAnsi="Arial"/>
                <w:sz w:val="18"/>
                <w:szCs w:val="18"/>
                <w:b w:val="1"/>
                <w:bCs w:val="1"/>
                <w:i w:val="1"/>
                <w:iCs w:val="1"/>
                <w:color w:val="auto"/>
              </w:rPr>
              <w:t>(d) Accrued expenses and other current liabilities</w:t>
            </w: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10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0" w:type="dxa"/>
            <w:vAlign w:val="bottom"/>
          </w:tcPr>
          <w:p>
            <w:pPr>
              <w:spacing w:after="0"/>
              <w:rPr>
                <w:sz w:val="24"/>
                <w:szCs w:val="24"/>
                <w:color w:val="auto"/>
              </w:rPr>
            </w:pPr>
          </w:p>
        </w:tc>
        <w:tc>
          <w:tcPr>
            <w:tcW w:w="6680" w:type="dxa"/>
            <w:vAlign w:val="bottom"/>
            <w:gridSpan w:val="3"/>
          </w:tcPr>
          <w:p>
            <w:pPr>
              <w:ind w:left="20"/>
              <w:spacing w:after="0"/>
              <w:rPr>
                <w:sz w:val="20"/>
                <w:szCs w:val="20"/>
                <w:color w:val="auto"/>
              </w:rPr>
            </w:pPr>
            <w:r>
              <w:rPr>
                <w:rFonts w:ascii="Arial" w:cs="Arial" w:eastAsia="Arial" w:hAnsi="Arial"/>
                <w:sz w:val="18"/>
                <w:szCs w:val="18"/>
                <w:color w:val="auto"/>
              </w:rPr>
              <w:t>Accrued expenses and other current liabilities consists of the following:</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5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w w:val="96"/>
              </w:rPr>
              <w:t>June 30, 2016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right w:val="single" w:sz="8" w:color="CCEEFF"/>
            </w:tcBorders>
            <w:gridSpan w:val="4"/>
            <w:shd w:val="clear" w:color="auto" w:fill="CCEEFF"/>
          </w:tcPr>
          <w:p>
            <w:pPr>
              <w:jc w:val="right"/>
              <w:ind w:right="39"/>
              <w:spacing w:after="0"/>
              <w:rPr>
                <w:sz w:val="20"/>
                <w:szCs w:val="20"/>
                <w:color w:val="auto"/>
              </w:rPr>
            </w:pPr>
            <w:r>
              <w:rPr>
                <w:rFonts w:ascii="Arial" w:cs="Arial" w:eastAsia="Arial" w:hAnsi="Arial"/>
                <w:sz w:val="18"/>
                <w:szCs w:val="18"/>
                <w:color w:val="auto"/>
              </w:rPr>
              <w:t>28,394</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w w:val="87"/>
              </w:rPr>
              <w:t>26,238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20" w:type="dxa"/>
            <w:vAlign w:val="bottom"/>
            <w:gridSpan w:val="2"/>
          </w:tcPr>
          <w:p>
            <w:pPr>
              <w:ind w:left="20"/>
              <w:spacing w:after="0"/>
              <w:rPr>
                <w:sz w:val="20"/>
                <w:szCs w:val="20"/>
                <w:color w:val="auto"/>
              </w:rPr>
            </w:pPr>
            <w:r>
              <w:rPr>
                <w:rFonts w:ascii="Arial" w:cs="Arial" w:eastAsia="Arial" w:hAnsi="Arial"/>
                <w:sz w:val="18"/>
                <w:szCs w:val="18"/>
                <w:color w:val="auto"/>
              </w:rPr>
              <w:t>Derivative instruments</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gridSpan w:val="3"/>
          </w:tcPr>
          <w:p>
            <w:pPr>
              <w:jc w:val="right"/>
              <w:ind w:right="39"/>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w w:val="88"/>
              </w:rPr>
              <w:t>1,226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Client liability account</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right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w w:val="93"/>
              </w:rPr>
              <w:t>1,796</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w w:val="88"/>
              </w:rPr>
              <w:t>2,217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gridSpan w:val="3"/>
          </w:tcPr>
          <w:p>
            <w:pPr>
              <w:jc w:val="right"/>
              <w:ind w:right="39"/>
              <w:spacing w:after="0"/>
              <w:rPr>
                <w:sz w:val="20"/>
                <w:szCs w:val="20"/>
                <w:color w:val="auto"/>
              </w:rPr>
            </w:pPr>
            <w:r>
              <w:rPr>
                <w:rFonts w:ascii="Arial" w:cs="Arial" w:eastAsia="Arial" w:hAnsi="Arial"/>
                <w:sz w:val="18"/>
                <w:szCs w:val="18"/>
                <w:color w:val="auto"/>
                <w:w w:val="93"/>
              </w:rPr>
              <w:t>5,022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w w:val="88"/>
              </w:rPr>
              <w:t>4,569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right w:val="single" w:sz="8" w:color="CCEEFF"/>
            </w:tcBorders>
            <w:gridSpan w:val="4"/>
            <w:shd w:val="clear" w:color="auto" w:fill="CCEEFF"/>
          </w:tcPr>
          <w:p>
            <w:pPr>
              <w:jc w:val="right"/>
              <w:ind w:right="39"/>
              <w:spacing w:after="0"/>
              <w:rPr>
                <w:sz w:val="20"/>
                <w:szCs w:val="20"/>
                <w:color w:val="auto"/>
              </w:rPr>
            </w:pPr>
            <w:r>
              <w:rPr>
                <w:rFonts w:ascii="Arial" w:cs="Arial" w:eastAsia="Arial" w:hAnsi="Arial"/>
                <w:sz w:val="18"/>
                <w:szCs w:val="18"/>
                <w:color w:val="auto"/>
              </w:rPr>
              <w:t>35,948</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w w:val="87"/>
              </w:rPr>
              <w:t>34,250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5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100" w:type="dxa"/>
            <w:vAlign w:val="bottom"/>
            <w:gridSpan w:val="4"/>
            <w:vMerge w:val="restart"/>
          </w:tcPr>
          <w:p>
            <w:pPr>
              <w:spacing w:after="0"/>
              <w:rPr>
                <w:sz w:val="20"/>
                <w:szCs w:val="20"/>
                <w:color w:val="auto"/>
              </w:rPr>
            </w:pPr>
            <w:r>
              <w:rPr>
                <w:rFonts w:ascii="Arial" w:cs="Arial" w:eastAsia="Arial" w:hAnsi="Arial"/>
                <w:sz w:val="18"/>
                <w:szCs w:val="18"/>
                <w:b w:val="1"/>
                <w:bCs w:val="1"/>
                <w:i w:val="1"/>
                <w:iCs w:val="1"/>
                <w:color w:val="auto"/>
              </w:rPr>
              <w:t>(e) Non-current liabilities</w:t>
            </w: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10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0" w:type="dxa"/>
            <w:vAlign w:val="bottom"/>
          </w:tcPr>
          <w:p>
            <w:pPr>
              <w:spacing w:after="0"/>
              <w:rPr>
                <w:sz w:val="24"/>
                <w:szCs w:val="24"/>
                <w:color w:val="auto"/>
              </w:rPr>
            </w:pPr>
          </w:p>
        </w:tc>
        <w:tc>
          <w:tcPr>
            <w:tcW w:w="6680" w:type="dxa"/>
            <w:vAlign w:val="bottom"/>
            <w:gridSpan w:val="3"/>
          </w:tcPr>
          <w:p>
            <w:pPr>
              <w:ind w:left="20"/>
              <w:spacing w:after="0"/>
              <w:rPr>
                <w:sz w:val="20"/>
                <w:szCs w:val="20"/>
                <w:color w:val="auto"/>
              </w:rPr>
            </w:pPr>
            <w:r>
              <w:rPr>
                <w:rFonts w:ascii="Arial" w:cs="Arial" w:eastAsia="Arial" w:hAnsi="Arial"/>
                <w:sz w:val="18"/>
                <w:szCs w:val="18"/>
                <w:color w:val="auto"/>
              </w:rPr>
              <w:t>Non-current liabilities consists of the following:</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June 30, 2016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right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8"/>
              </w:rPr>
              <w:t>1,060</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1,132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Unrecognized tax benefits</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gridSpan w:val="3"/>
          </w:tcPr>
          <w:p>
            <w:pPr>
              <w:jc w:val="center"/>
              <w:spacing w:after="0"/>
              <w:rPr>
                <w:sz w:val="20"/>
                <w:szCs w:val="20"/>
                <w:color w:val="auto"/>
              </w:rPr>
            </w:pPr>
            <w:r>
              <w:rPr>
                <w:rFonts w:ascii="Arial" w:cs="Arial" w:eastAsia="Arial" w:hAnsi="Arial"/>
                <w:sz w:val="18"/>
                <w:szCs w:val="18"/>
                <w:color w:val="auto"/>
                <w:w w:val="88"/>
              </w:rPr>
              <w:t>3,107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ind w:left="900"/>
              <w:spacing w:after="0"/>
              <w:rPr>
                <w:sz w:val="20"/>
                <w:szCs w:val="20"/>
                <w:color w:val="auto"/>
              </w:rPr>
            </w:pPr>
            <w:r>
              <w:rPr>
                <w:rFonts w:ascii="Arial" w:cs="Arial" w:eastAsia="Arial" w:hAnsi="Arial"/>
                <w:sz w:val="18"/>
                <w:szCs w:val="18"/>
                <w:color w:val="auto"/>
              </w:rPr>
              <w:t>3,066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right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8"/>
              </w:rPr>
              <w:t>6,937</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6,515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Retirement benefits</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gridSpan w:val="3"/>
          </w:tcPr>
          <w:p>
            <w:pPr>
              <w:jc w:val="center"/>
              <w:spacing w:after="0"/>
              <w:rPr>
                <w:sz w:val="20"/>
                <w:szCs w:val="20"/>
                <w:color w:val="auto"/>
              </w:rPr>
            </w:pPr>
            <w:r>
              <w:rPr>
                <w:rFonts w:ascii="Arial" w:cs="Arial" w:eastAsia="Arial" w:hAnsi="Arial"/>
                <w:sz w:val="18"/>
                <w:szCs w:val="18"/>
                <w:color w:val="auto"/>
                <w:w w:val="88"/>
              </w:rPr>
              <w:t>1,441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ind w:left="900"/>
              <w:spacing w:after="0"/>
              <w:rPr>
                <w:sz w:val="20"/>
                <w:szCs w:val="20"/>
                <w:color w:val="auto"/>
              </w:rPr>
            </w:pPr>
            <w:r>
              <w:rPr>
                <w:rFonts w:ascii="Arial" w:cs="Arial" w:eastAsia="Arial" w:hAnsi="Arial"/>
                <w:sz w:val="18"/>
                <w:szCs w:val="18"/>
                <w:color w:val="auto"/>
              </w:rPr>
              <w:t>1,441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8"/>
              </w:rPr>
              <w:t>1,640</w:t>
            </w: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5,501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56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gridSpan w:val="4"/>
          </w:tcPr>
          <w:p>
            <w:pPr>
              <w:jc w:val="right"/>
              <w:ind w:right="19"/>
              <w:spacing w:after="0"/>
              <w:rPr>
                <w:sz w:val="20"/>
                <w:szCs w:val="20"/>
                <w:color w:val="auto"/>
              </w:rPr>
            </w:pPr>
            <w:r>
              <w:rPr>
                <w:rFonts w:ascii="Arial" w:cs="Arial" w:eastAsia="Arial" w:hAnsi="Arial"/>
                <w:sz w:val="18"/>
                <w:szCs w:val="18"/>
                <w:color w:val="auto"/>
              </w:rPr>
              <w:t>14,185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gridSpan w:val="2"/>
          </w:tcPr>
          <w:p>
            <w:pPr>
              <w:ind w:left="820"/>
              <w:spacing w:after="0"/>
              <w:rPr>
                <w:sz w:val="20"/>
                <w:szCs w:val="20"/>
                <w:color w:val="auto"/>
              </w:rPr>
            </w:pPr>
            <w:r>
              <w:rPr>
                <w:rFonts w:ascii="Arial" w:cs="Arial" w:eastAsia="Arial" w:hAnsi="Arial"/>
                <w:sz w:val="18"/>
                <w:szCs w:val="18"/>
                <w:color w:val="auto"/>
              </w:rPr>
              <w:t>17,655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Accumulated Other Comprehensive Loss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Company, accumulated other comprehensive loss consists of amortization of actuarial gain/(loss) on retirement benefits and changes in the cumulative foreign currency translation adjustments. In addition, the Company enters into foreign currency exchange contracts, which are designated as cash flow hedges in accordance with ASC topic 815, "Derivatives and Hedging" ("ASC 815"). Changes in the fair values of contracts that are deemed effective are recorded as a component of accumulated other comprehensive loss until the settlement of those contracts. The balances as of June 30, 2016 and December 31, 2015 are as follows: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December 31, 2015</w:t>
            </w:r>
          </w:p>
        </w:tc>
      </w:tr>
      <w:tr>
        <w:trPr>
          <w:trHeight w:val="250"/>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Cumulative currency translation adjustments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(68,063)</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Unrealized gain on cash flow hedges, net of taxes of $508 and $662</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824</w:t>
            </w:r>
          </w:p>
        </w:tc>
      </w:tr>
      <w:tr>
        <w:trPr>
          <w:trHeight w:val="27"/>
        </w:trPr>
        <w:tc>
          <w:tcPr>
            <w:tcW w:w="6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Retirement benefits, net of taxes of ($179) and ($201)</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(71,045)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(67,325)</w:t>
            </w:r>
          </w:p>
        </w:tc>
      </w:tr>
      <w:tr>
        <w:trPr>
          <w:trHeight w:val="27"/>
        </w:trPr>
        <w:tc>
          <w:tcPr>
            <w:tcW w:w="6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6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Other Income, net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net consists of the following:</w:t>
      </w:r>
    </w:p>
    <w:p>
      <w:pPr>
        <w:spacing w:after="0" w:line="338"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440" w:type="dxa"/>
            <w:vAlign w:val="bottom"/>
            <w:tcBorders>
              <w:bottom w:val="single" w:sz="8" w:color="auto"/>
            </w:tcBorders>
            <w:gridSpan w:val="4"/>
          </w:tcPr>
          <w:p>
            <w:pPr>
              <w:jc w:val="center"/>
              <w:ind w:left="479"/>
              <w:spacing w:after="0"/>
              <w:rPr>
                <w:sz w:val="20"/>
                <w:szCs w:val="20"/>
                <w:color w:val="auto"/>
              </w:rPr>
            </w:pPr>
            <w:r>
              <w:rPr>
                <w:rFonts w:ascii="Arial" w:cs="Arial" w:eastAsia="Arial" w:hAnsi="Arial"/>
                <w:sz w:val="14"/>
                <w:szCs w:val="14"/>
                <w:b w:val="1"/>
                <w:bCs w:val="1"/>
                <w:color w:val="auto"/>
                <w:w w:val="91"/>
              </w:rPr>
              <w:t>Three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4"/>
                <w:szCs w:val="14"/>
                <w:b w:val="1"/>
                <w:bCs w:val="1"/>
                <w:color w:val="auto"/>
                <w:w w:val="90"/>
              </w:rPr>
              <w:t>Six months ended June 30,</w:t>
            </w:r>
          </w:p>
        </w:tc>
        <w:tc>
          <w:tcPr>
            <w:tcW w:w="660" w:type="dxa"/>
            <w:vAlign w:val="bottom"/>
            <w:tcBorders>
              <w:bottom w:val="single" w:sz="8" w:color="auto"/>
            </w:tcBorders>
          </w:tcPr>
          <w:p>
            <w:pPr>
              <w:spacing w:after="0"/>
              <w:rPr>
                <w:sz w:val="16"/>
                <w:szCs w:val="16"/>
                <w:color w:val="auto"/>
              </w:rPr>
            </w:pPr>
          </w:p>
        </w:tc>
      </w:tr>
      <w:tr>
        <w:trPr>
          <w:trHeight w:val="250"/>
        </w:trPr>
        <w:tc>
          <w:tcPr>
            <w:tcW w:w="37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1"/>
                <w:szCs w:val="2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dividend income*</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2,261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4,483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2,912</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(643)</w:t>
            </w:r>
          </w:p>
        </w:tc>
      </w:tr>
      <w:tr>
        <w:trPr>
          <w:trHeight w:val="27"/>
        </w:trPr>
        <w:tc>
          <w:tcPr>
            <w:tcW w:w="3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Change in fair value of earn-out consideration**</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3,810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8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244</w:t>
            </w:r>
          </w:p>
        </w:tc>
      </w:tr>
      <w:tr>
        <w:trPr>
          <w:trHeight w:val="27"/>
        </w:trPr>
        <w:tc>
          <w:tcPr>
            <w:tcW w:w="37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5,784</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center"/>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1,335</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8,578</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2,513</w:t>
            </w:r>
          </w:p>
        </w:tc>
      </w:tr>
      <w:tr>
        <w:trPr>
          <w:trHeight w:val="20"/>
        </w:trPr>
        <w:tc>
          <w:tcPr>
            <w:tcW w:w="3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413"/>
        <w:spacing w:after="0" w:line="342" w:lineRule="auto"/>
        <w:tabs>
          <w:tab w:leader="none" w:pos="551"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unrealized gain of $1,459 and $2,984 on investments carried under ASC topic 825, "Financial Instruments" ("ASC 825"), fair value option for the three and six months ended June 30, 2016, respectively and $718 and $760, respectively, for the three and six months ending June 30, 2015.</w:t>
      </w:r>
    </w:p>
    <w:p>
      <w:pPr>
        <w:spacing w:after="0" w:line="16" w:lineRule="exact"/>
        <w:rPr>
          <w:sz w:val="20"/>
          <w:szCs w:val="20"/>
          <w:color w:val="auto"/>
        </w:rPr>
      </w:pPr>
    </w:p>
    <w:p>
      <w:pPr>
        <w:ind w:firstLine="413"/>
        <w:spacing w:after="0" w:line="308" w:lineRule="auto"/>
        <w:tabs>
          <w:tab w:leader="none" w:pos="64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recognized $3,810 and $4,060 of other income during the three and six months ended June 30, 2016 due to the changes in the fair value of the earn-out consideration related to its acquisition of RPM Direct, LLC and RPM Data Solutions, LLC (the "RPM acquisition").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The new standard is effective for reporting periods beginning after December 15, 2017 and early adoption is not permitted. The comprehensive new standard will supersede existing revenue recognition guidance and require revenue to be recognized when promised goods or services are transferred to customers in amounts that reflect the consideration to which the Company expects to be entitled in exchange for those goods or services. Adoption of the new rules could affect the timing of revenue recognition for certain transactions of the Company. ASU No. 2014-09 is effective for the Company in the first quarter of fiscal 2018 using either one of two methods: (i) retrospectively to each prior reporting period presented with the option to elect certain practical expedients as defined within ASU No. 2014-09; or (ii) retrospectively with the cumulative effect of initially applying ASU No. 2014-09 recognized at the date of initial application and providing certain additional disclosures as defined per ASU No. 2014-09. The Company is currently evaluating the impact of adoption and the implementation approach to be used.</w:t>
      </w:r>
    </w:p>
    <w:p>
      <w:pPr>
        <w:spacing w:after="0" w:line="7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January 2016, FASB issued ASU No. 2016-01, "Financial Instruments - Overall (Subtopic 825-10): Recognition and Measurement of Financial Assets and Financial Liabilities". This guidance makes targeted improvements to existing US GAAP for financial instruments, including requiring equity investments (except those accounted for under the equity method of accounting, or those that result in consolidation of the investee) to be measured at fair value with changes in fair value recognized in net income; requiring entities to use the exit price notion when measuring the fair value of financial instruments for disclosure purposes; requiring separate presentation of financial assets and financial liabilities by measurement category and form of financial asset and requiring entities to present separately in other comprehensive income the portion of the total change in the fair value of a liability resulting from a change in the instrument-specific credit risk (also referred to as “own credit”) when the organization has elected to measure the liability at fair value in accordance with the fair value option. The new guidance is effective for public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companies for fiscal years beginning after December 15, 2017. Early adoption of the own credit provision is permitted. The Company is currently evaluating the impact that the adoption of this guidance will have on its consolidated financial statements.</w:t>
      </w:r>
    </w:p>
    <w:p>
      <w:pPr>
        <w:spacing w:after="0" w:line="6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February 2016, the FASB issued ASU No. 2016-02, Leases (Topic 842). ASU No. 2016-02 requires the identification of arrangements that should be accounted for as leases by lessees. In general, for lease arrangements exceeding a twelve month term, these arrangements must now be recognized as assets and liabilities on the balance sheet of the lessee. Under ASU No. 2016-02, a right-of-use asset and lease obligation will be recorded for all leases, whether operating or financing, while the income statement will reflect lease expense for operating leases and amortization/interest expense for financing leases. The balance sheet amount recorded for existing leases at the date of adoption of ASU No. 2016-02 must be calculated using the applicable incremental borrowing rate at the date of adoption. In addition, ASU No. 2016-02 requires the use of the modified retrospective method, which will require adjustment to all comparative periods presented in the consolidated financial statements. The new guidance is effective for fiscal years beginning after December 15, 2018, including interim periods within those fiscal years. The Company is currently evaluating the impact that the adoption of this guidance will have on its consolidated financial statements and the implementation approach to be used.</w:t>
      </w:r>
    </w:p>
    <w:p>
      <w:pPr>
        <w:spacing w:after="0" w:line="7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March 2016, FASB issued ASU No. 2016-05, Derivatives and Hedging: Effect of Derivative Contract Novations on Existing Hedge Accounting Relationships, which clarifies that a change in the counterparty to a derivative instrument that has been designated as a hedging instrument does not, in and of itself, require de-designation of that hedging relationship provided that all other hedge accounting criteria continue to be met. The new guidance is effective for fiscal years beginning after December 15, 2016, including interim periods within those fiscal years. An entity has the option to apply ASU No. 2016-05 on either a prospective basis or a modified retrospective basis. Early adoption is permitted. The adoption of ASU No. 2016-05 is not expected to have a material effect on the Company's consolidated financial statements.</w:t>
      </w:r>
    </w:p>
    <w:p>
      <w:pPr>
        <w:spacing w:after="0" w:line="8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March 2016, the FASB issued ASU No. 2016-08, Revenue from Contracts with Customers (Topic 606): Principal versus Agent Considerations (Reporting Revenue Gross versus Net). ASU No. 2016-08 clarifies the implementation guidance on principal versus agent considerations. The guidance includes indicators to assist an entity in determining whether it controls a specified good or service before it is transferred to the customers. The amendments are effective for all entities for fiscal years, and interim periods within those fiscal years, beginning after December 15, 2018. The Company is currently evaluating the impact that the adoption of this guidance will have on its consolidated financial statements.</w:t>
      </w:r>
    </w:p>
    <w:p>
      <w:pPr>
        <w:spacing w:after="0" w:line="6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March 2016, the FASB issued ASU No. 2016-09, Compensation – Stock Compensation (Topic 718). ASU No. 2016-09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amendments are effective for all entities for fiscal years, and interim periods within those fiscal years, beginning after December 15, 2016. Early adoption is permitted but all of the guidance must be adopted in the same period. The Company is currently evaluating the impact that the adoption of this guidance will have on its consolidated financial statements.</w:t>
      </w:r>
    </w:p>
    <w:p>
      <w:pPr>
        <w:spacing w:after="0" w:line="7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June 2016, FASB issued ASU No. 2016-13, Financial Instruments - Credit Losses, which require a financial asset (or a group of financial assets) measured at amortized cost basis to be presented at the net amount expected to be collected. The allowance for credit losses is a valuation account that is to be deducted from the amortized cost basis of the financial asset(s) to present the net carrying value at the amount expected to be collected on the financial asset. The new guidance is effective for fiscal years beginning after December 15, 2019, including interim periods within those fiscal years. The amendment should be applied through a modified retrospective approach. Early adoption as of the fiscal years beginning after December 15, 2018 is permitted. The Company is currently evaluating the impact that the adoption of this guidance will have on its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75"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0"/>
                <w:szCs w:val="20"/>
                <w:color w:val="auto"/>
              </w:rPr>
            </w:pPr>
          </w:p>
        </w:tc>
        <w:tc>
          <w:tcPr>
            <w:tcW w:w="33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7"/>
        </w:trPr>
        <w:tc>
          <w:tcPr>
            <w:tcW w:w="3600" w:type="dxa"/>
            <w:vAlign w:val="bottom"/>
          </w:tcPr>
          <w:p>
            <w:pPr>
              <w:ind w:left="40"/>
              <w:spacing w:after="0"/>
              <w:rPr>
                <w:sz w:val="20"/>
                <w:szCs w:val="20"/>
                <w:color w:val="auto"/>
              </w:rPr>
            </w:pPr>
            <w:r>
              <w:rPr>
                <w:rFonts w:ascii="Arial" w:cs="Arial" w:eastAsia="Arial" w:hAnsi="Arial"/>
                <w:sz w:val="18"/>
                <w:szCs w:val="18"/>
                <w:color w:val="auto"/>
              </w:rPr>
              <w:t>Numerators:</w:t>
            </w:r>
          </w:p>
        </w:tc>
        <w:tc>
          <w:tcPr>
            <w:tcW w:w="3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21,641</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Denominators:</w:t>
            </w: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weighted average common shares</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3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33,621,444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33,417,079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33,500,736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33,327,169</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Dilutive effect of share based awards</w:t>
            </w:r>
          </w:p>
        </w:tc>
        <w:tc>
          <w:tcPr>
            <w:tcW w:w="3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888,956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790,894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930,292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803,303</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shares</w:t>
            </w:r>
          </w:p>
        </w:tc>
        <w:tc>
          <w:tcPr>
            <w:tcW w:w="36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34,510,400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34,207,973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34,431,028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34,130,472</w:t>
            </w: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3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ind w:left="40"/>
              <w:spacing w:after="0"/>
              <w:rPr>
                <w:sz w:val="20"/>
                <w:szCs w:val="20"/>
                <w:color w:val="auto"/>
              </w:rPr>
            </w:pPr>
            <w:r>
              <w:rPr>
                <w:rFonts w:ascii="Arial" w:cs="Arial" w:eastAsia="Arial" w:hAnsi="Arial"/>
                <w:sz w:val="18"/>
                <w:szCs w:val="18"/>
                <w:color w:val="auto"/>
              </w:rPr>
              <w:t>Earnings per share:</w:t>
            </w: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Weighted average common shares considered</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anti-dilutive in computing diluted earnings per</w:t>
            </w: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w:t>
            </w:r>
          </w:p>
        </w:tc>
        <w:tc>
          <w:tcPr>
            <w:tcW w:w="36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59,455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62,084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130,103</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116,922</w:t>
            </w:r>
          </w:p>
        </w:tc>
        <w:tc>
          <w:tcPr>
            <w:tcW w:w="0" w:type="dxa"/>
            <w:vAlign w:val="bottom"/>
          </w:tcPr>
          <w:p>
            <w:pPr>
              <w:spacing w:after="0"/>
              <w:rPr>
                <w:sz w:val="1"/>
                <w:szCs w:val="1"/>
                <w:color w:val="auto"/>
              </w:rPr>
            </w:pPr>
          </w:p>
        </w:tc>
      </w:tr>
      <w:tr>
        <w:trPr>
          <w:trHeight w:val="27"/>
        </w:trPr>
        <w:tc>
          <w:tcPr>
            <w:tcW w:w="36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12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Company's operating segments are significant strategic business units that align its products and services with how it manages its business, approaches key markets and interacts with its clients. Effective for the quarter and year ended December 31, 2015, the Company merged two of its operating segments (Operations Consulting and Finance Transformation, previously part of the Analytics and Business Transformation reportable segment) into the Consulting operating segment to reflect recent organizational changes. The Company has also revised its reportable segments to reflect management’s focus on the Analytics operating segment. All the other operating segments have been aggregated into the Operations Management reportable segment.</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new reportable segments are as follows:</w:t>
      </w:r>
    </w:p>
    <w:p>
      <w:pPr>
        <w:spacing w:after="0" w:line="2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Operations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Analytics</w:t>
      </w:r>
    </w:p>
    <w:p>
      <w:pPr>
        <w:spacing w:after="0" w:line="10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 has restated the segment information for all prior periods presented herein to conform to the current presentation. This change in segment presentation does not affect the Company's consolidated statements of income, balance sheets or statements of cash flows.</w:t>
      </w:r>
    </w:p>
    <w:p>
      <w:pPr>
        <w:spacing w:after="0" w:line="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chief operating decision maker (“CODM”) generally reviews operating segment revenues and cost of revenues. The Company does not allocate and therefore the CODM does not evaluate operating expenses, foreign exchange gain/loss and other income/loss, net and income taxes by segment. The Company’s operating assets are shared by multiple segments. The Company manages assets on a total company basis, not by operating segment, and therefore asset information and capital expenditures by operating segment are not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Revenues and cost of revenues for each of the three months ended June 30, 2016 and 2015 for the Company's Operations Management and Analytics segments, respectively, are as follows: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80" w:type="dxa"/>
            <w:vAlign w:val="bottom"/>
            <w:gridSpan w:val="7"/>
          </w:tcPr>
          <w:p>
            <w:pPr>
              <w:jc w:val="right"/>
              <w:ind w:right="650"/>
              <w:spacing w:after="0"/>
              <w:rPr>
                <w:sz w:val="20"/>
                <w:szCs w:val="20"/>
                <w:color w:val="auto"/>
              </w:rPr>
            </w:pPr>
            <w:r>
              <w:rPr>
                <w:rFonts w:ascii="Arial" w:cs="Arial" w:eastAsia="Arial" w:hAnsi="Arial"/>
                <w:sz w:val="18"/>
                <w:szCs w:val="18"/>
                <w:b w:val="1"/>
                <w:bCs w:val="1"/>
                <w:color w:val="auto"/>
              </w:rPr>
              <w:t>Three Months Ended June 30, 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0" w:type="dxa"/>
            <w:vAlign w:val="bottom"/>
            <w:gridSpan w:val="7"/>
          </w:tcPr>
          <w:p>
            <w:pPr>
              <w:jc w:val="right"/>
              <w:ind w:right="630"/>
              <w:spacing w:after="0"/>
              <w:rPr>
                <w:sz w:val="20"/>
                <w:szCs w:val="20"/>
                <w:color w:val="auto"/>
              </w:rPr>
            </w:pPr>
            <w:r>
              <w:rPr>
                <w:rFonts w:ascii="Arial" w:cs="Arial" w:eastAsia="Arial" w:hAnsi="Arial"/>
                <w:sz w:val="18"/>
                <w:szCs w:val="18"/>
                <w:b w:val="1"/>
                <w:bCs w:val="1"/>
                <w:color w:val="auto"/>
              </w:rPr>
              <w:t>Three Months Ended June 30, 2015</w:t>
            </w:r>
          </w:p>
        </w:tc>
      </w:tr>
      <w:tr>
        <w:trPr>
          <w:trHeight w:val="27"/>
        </w:trPr>
        <w:tc>
          <w:tcPr>
            <w:tcW w:w="2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8"/>
        </w:trPr>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Operations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Management</w:t>
            </w:r>
          </w:p>
        </w:tc>
        <w:tc>
          <w:tcPr>
            <w:tcW w:w="22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Analytics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Management</w:t>
            </w: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Analytics</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2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Revenues,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130,869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39,609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170,478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125,048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30,573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155,621</w:t>
            </w:r>
          </w:p>
        </w:tc>
      </w:tr>
      <w:tr>
        <w:trPr>
          <w:trHeight w:val="27"/>
        </w:trPr>
        <w:tc>
          <w:tcPr>
            <w:tcW w:w="2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 (exclusive of</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112,026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80,809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19,669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100,478</w:t>
            </w:r>
          </w:p>
        </w:tc>
      </w:tr>
      <w:tr>
        <w:trPr>
          <w:trHeight w:val="297"/>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44,387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14,065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58,452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44,239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10,904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55,143</w:t>
            </w:r>
          </w:p>
        </w:tc>
      </w:tr>
      <w:tr>
        <w:trPr>
          <w:trHeight w:val="23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39,895</w:t>
            </w:r>
          </w:p>
        </w:tc>
      </w:tr>
      <w:tr>
        <w:trPr>
          <w:trHeight w:val="229"/>
        </w:trPr>
        <w:tc>
          <w:tcPr>
            <w:tcW w:w="2840" w:type="dxa"/>
            <w:vAlign w:val="bottom"/>
          </w:tcPr>
          <w:p>
            <w:pPr>
              <w:ind w:left="20"/>
              <w:spacing w:after="0"/>
              <w:rPr>
                <w:sz w:val="20"/>
                <w:szCs w:val="20"/>
                <w:color w:val="auto"/>
              </w:rPr>
            </w:pPr>
            <w:r>
              <w:rPr>
                <w:rFonts w:ascii="Arial" w:cs="Arial" w:eastAsia="Arial" w:hAnsi="Arial"/>
                <w:sz w:val="18"/>
                <w:szCs w:val="18"/>
                <w:color w:val="auto"/>
              </w:rPr>
              <w:t>Foreign exchange gain and Other</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income, net</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2,357</w:t>
            </w:r>
          </w:p>
        </w:tc>
      </w:tr>
      <w:tr>
        <w:trPr>
          <w:trHeight w:val="27"/>
        </w:trPr>
        <w:tc>
          <w:tcPr>
            <w:tcW w:w="2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5,531</w:t>
            </w:r>
          </w:p>
        </w:tc>
      </w:tr>
      <w:tr>
        <w:trPr>
          <w:trHeight w:val="257"/>
        </w:trPr>
        <w:tc>
          <w:tcPr>
            <w:tcW w:w="28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16,375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12,074</w:t>
            </w:r>
          </w:p>
        </w:tc>
      </w:tr>
      <w:tr>
        <w:trPr>
          <w:trHeight w:val="20"/>
        </w:trPr>
        <w:tc>
          <w:tcPr>
            <w:tcW w:w="2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Revenues and cost of revenues for each of the six months ended June 30, 2016 and 2015 for the Company's Operations Management and Analytics segments, respectively, are as follows: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60" w:type="dxa"/>
            <w:vAlign w:val="bottom"/>
            <w:gridSpan w:val="7"/>
          </w:tcPr>
          <w:p>
            <w:pPr>
              <w:jc w:val="right"/>
              <w:ind w:right="730"/>
              <w:spacing w:after="0"/>
              <w:rPr>
                <w:sz w:val="20"/>
                <w:szCs w:val="20"/>
                <w:color w:val="auto"/>
              </w:rPr>
            </w:pPr>
            <w:r>
              <w:rPr>
                <w:rFonts w:ascii="Arial" w:cs="Arial" w:eastAsia="Arial" w:hAnsi="Arial"/>
                <w:sz w:val="18"/>
                <w:szCs w:val="18"/>
                <w:b w:val="1"/>
                <w:bCs w:val="1"/>
                <w:color w:val="auto"/>
              </w:rPr>
              <w:t>Six months ended June 30, 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80" w:type="dxa"/>
            <w:vAlign w:val="bottom"/>
            <w:gridSpan w:val="6"/>
          </w:tcPr>
          <w:p>
            <w:pPr>
              <w:jc w:val="right"/>
              <w:spacing w:after="0"/>
              <w:rPr>
                <w:sz w:val="20"/>
                <w:szCs w:val="20"/>
                <w:color w:val="auto"/>
              </w:rPr>
            </w:pPr>
            <w:r>
              <w:rPr>
                <w:rFonts w:ascii="Arial" w:cs="Arial" w:eastAsia="Arial" w:hAnsi="Arial"/>
                <w:sz w:val="18"/>
                <w:szCs w:val="18"/>
                <w:b w:val="1"/>
                <w:bCs w:val="1"/>
                <w:color w:val="auto"/>
              </w:rPr>
              <w:t>Six months ended June 30, 2015</w:t>
            </w:r>
          </w:p>
        </w:tc>
        <w:tc>
          <w:tcPr>
            <w:tcW w:w="840" w:type="dxa"/>
            <w:vAlign w:val="bottom"/>
          </w:tcPr>
          <w:p>
            <w:pPr>
              <w:spacing w:after="0"/>
              <w:rPr>
                <w:sz w:val="20"/>
                <w:szCs w:val="20"/>
                <w:color w:val="auto"/>
              </w:rPr>
            </w:pPr>
          </w:p>
        </w:tc>
      </w:tr>
      <w:tr>
        <w:trPr>
          <w:trHeight w:val="27"/>
        </w:trPr>
        <w:tc>
          <w:tcPr>
            <w:tcW w:w="2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8"/>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4"/>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Management</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Analytics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Management</w:t>
            </w: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Analytics</w:t>
            </w:r>
          </w:p>
        </w:tc>
        <w:tc>
          <w:tcPr>
            <w:tcW w:w="40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88"/>
              </w:rPr>
              <w:t>Total</w:t>
            </w:r>
          </w:p>
        </w:tc>
      </w:tr>
      <w:tr>
        <w:trPr>
          <w:trHeight w:val="27"/>
        </w:trPr>
        <w:tc>
          <w:tcPr>
            <w:tcW w:w="2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2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Revenues,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258,939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78,575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337,514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248,901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50,230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299,131</w:t>
            </w:r>
          </w:p>
        </w:tc>
      </w:tr>
      <w:tr>
        <w:trPr>
          <w:trHeight w:val="27"/>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 (exclusive of</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5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170,090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220,405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160,538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33,065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193,603</w:t>
            </w:r>
          </w:p>
        </w:tc>
      </w:tr>
      <w:tr>
        <w:trPr>
          <w:trHeight w:val="297"/>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88,849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28,260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117,109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88,363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17,165</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105,528</w:t>
            </w:r>
          </w:p>
        </w:tc>
      </w:tr>
      <w:tr>
        <w:trPr>
          <w:trHeight w:val="23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84,421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76,812</w:t>
            </w: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Foreign exchange gain and Other</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income, net</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10,410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4,669</w:t>
            </w:r>
          </w:p>
        </w:tc>
      </w:tr>
      <w:tr>
        <w:trPr>
          <w:trHeight w:val="27"/>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11,744</w:t>
            </w:r>
          </w:p>
        </w:tc>
      </w:tr>
      <w:tr>
        <w:trPr>
          <w:trHeight w:val="257"/>
        </w:trPr>
        <w:tc>
          <w:tcPr>
            <w:tcW w:w="29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30,195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21,641</w:t>
            </w:r>
          </w:p>
        </w:tc>
      </w:tr>
      <w:tr>
        <w:trPr>
          <w:trHeight w:val="20"/>
        </w:trPr>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details of the Company’s goodwill balance as of June 30, 2016:</w:t>
      </w:r>
    </w:p>
    <w:p>
      <w:pPr>
        <w:spacing w:after="0" w:line="338"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Operations Management</w:t>
            </w:r>
          </w:p>
        </w:tc>
        <w:tc>
          <w:tcPr>
            <w:tcW w:w="320" w:type="dxa"/>
            <w:vAlign w:val="bottom"/>
          </w:tcPr>
          <w:p>
            <w:pPr>
              <w:spacing w:after="0"/>
              <w:rPr>
                <w:sz w:val="16"/>
                <w:szCs w:val="16"/>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Analytics</w:t>
            </w:r>
          </w:p>
        </w:tc>
        <w:tc>
          <w:tcPr>
            <w:tcW w:w="500" w:type="dxa"/>
            <w:vAlign w:val="bottom"/>
          </w:tcPr>
          <w:p>
            <w:pPr>
              <w:spacing w:after="0"/>
              <w:rPr>
                <w:sz w:val="16"/>
                <w:szCs w:val="16"/>
                <w:color w:val="auto"/>
              </w:rPr>
            </w:pPr>
          </w:p>
        </w:tc>
        <w:tc>
          <w:tcPr>
            <w:tcW w:w="1560" w:type="dxa"/>
            <w:vAlign w:val="bottom"/>
          </w:tcPr>
          <w:p>
            <w:pPr>
              <w:jc w:val="right"/>
              <w:ind w:right="773"/>
              <w:spacing w:after="0"/>
              <w:rPr>
                <w:sz w:val="20"/>
                <w:szCs w:val="20"/>
                <w:color w:val="auto"/>
              </w:rPr>
            </w:pPr>
            <w:r>
              <w:rPr>
                <w:rFonts w:ascii="Arial" w:cs="Arial" w:eastAsia="Arial" w:hAnsi="Arial"/>
                <w:sz w:val="14"/>
                <w:szCs w:val="14"/>
                <w:b w:val="1"/>
                <w:bCs w:val="1"/>
                <w:color w:val="auto"/>
              </w:rPr>
              <w:t>Total</w:t>
            </w:r>
          </w:p>
        </w:tc>
      </w:tr>
      <w:tr>
        <w:trPr>
          <w:trHeight w:val="250"/>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2015</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122,814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139,599</w:t>
            </w: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Goodwill arising from RPM acquisition</w:t>
            </w:r>
          </w:p>
        </w:tc>
        <w:tc>
          <w:tcPr>
            <w:tcW w:w="200" w:type="dxa"/>
            <w:vAlign w:val="bottom"/>
          </w:tcPr>
          <w:p>
            <w:pPr>
              <w:spacing w:after="0"/>
              <w:rPr>
                <w:sz w:val="21"/>
                <w:szCs w:val="21"/>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33,155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33,155</w:t>
            </w: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translation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color w:val="auto"/>
              </w:rPr>
              <w:t>Balance at December 31, 2015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121,595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49,940</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171,535</w:t>
            </w: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translation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color w:val="auto"/>
              </w:rPr>
              <w:t>Balance at June 30, 2016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121,095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49,940</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171,035</w:t>
            </w:r>
          </w:p>
        </w:tc>
      </w:tr>
      <w:tr>
        <w:trPr>
          <w:trHeight w:val="27"/>
        </w:trPr>
        <w:tc>
          <w:tcPr>
            <w:tcW w:w="4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4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the Company’s intangible assets is set forth below:</w:t>
      </w:r>
    </w:p>
    <w:p>
      <w:pPr>
        <w:spacing w:after="0" w:line="163"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As of June 30, 2016</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52"/>
        </w:trPr>
        <w:tc>
          <w:tcPr>
            <w:tcW w:w="5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center"/>
              <w:ind w:right="54"/>
              <w:spacing w:after="0" w:line="153"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3"/>
                <w:szCs w:val="13"/>
                <w:color w:val="auto"/>
              </w:rPr>
            </w:pPr>
          </w:p>
        </w:tc>
        <w:tc>
          <w:tcPr>
            <w:tcW w:w="1200" w:type="dxa"/>
            <w:vAlign w:val="bottom"/>
          </w:tcPr>
          <w:p>
            <w:pPr>
              <w:jc w:val="center"/>
              <w:ind w:right="94"/>
              <w:spacing w:after="0" w:line="153" w:lineRule="exact"/>
              <w:rPr>
                <w:sz w:val="20"/>
                <w:szCs w:val="20"/>
                <w:color w:val="auto"/>
              </w:rPr>
            </w:pPr>
            <w:r>
              <w:rPr>
                <w:rFonts w:ascii="Arial" w:cs="Arial" w:eastAsia="Arial" w:hAnsi="Arial"/>
                <w:sz w:val="14"/>
                <w:szCs w:val="14"/>
                <w:b w:val="1"/>
                <w:bCs w:val="1"/>
                <w:color w:val="auto"/>
                <w:w w:val="97"/>
              </w:rPr>
              <w:t>Net Carrying</w:t>
            </w:r>
          </w:p>
        </w:tc>
      </w:tr>
      <w:tr>
        <w:trPr>
          <w:trHeight w:val="192"/>
        </w:trPr>
        <w:tc>
          <w:tcPr>
            <w:tcW w:w="5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Carrying Amount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8"/>
              </w:rPr>
              <w:t>Amount</w:t>
            </w: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64,799</w:t>
            </w:r>
          </w:p>
        </w:tc>
        <w:tc>
          <w:tcPr>
            <w:tcW w:w="3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36,636</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12,234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6,864</w:t>
            </w:r>
          </w:p>
        </w:tc>
      </w:tr>
      <w:tr>
        <w:trPr>
          <w:trHeight w:val="27"/>
        </w:trPr>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2,697</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Leasehold benefits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2,732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568</w:t>
            </w:r>
          </w:p>
        </w:tc>
      </w:tr>
      <w:tr>
        <w:trPr>
          <w:trHeight w:val="27"/>
        </w:trPr>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w:t>
            </w:r>
          </w:p>
        </w:tc>
      </w:tr>
      <w:tr>
        <w:trPr>
          <w:trHeight w:val="237"/>
        </w:trPr>
        <w:tc>
          <w:tcPr>
            <w:tcW w:w="5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87,480</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(40,202)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47,278</w:t>
            </w:r>
          </w:p>
        </w:tc>
      </w:tr>
      <w:tr>
        <w:trPr>
          <w:trHeight w:val="27"/>
        </w:trPr>
        <w:tc>
          <w:tcPr>
            <w:tcW w:w="5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69"/>
        </w:trPr>
        <w:tc>
          <w:tcPr>
            <w:tcW w:w="5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9"/>
              </w:rPr>
              <w:t>As of December 31, 2015</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52"/>
        </w:trPr>
        <w:tc>
          <w:tcPr>
            <w:tcW w:w="5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center"/>
              <w:ind w:right="54"/>
              <w:spacing w:after="0" w:line="153"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3"/>
                <w:szCs w:val="13"/>
                <w:color w:val="auto"/>
              </w:rPr>
            </w:pPr>
          </w:p>
        </w:tc>
        <w:tc>
          <w:tcPr>
            <w:tcW w:w="1200" w:type="dxa"/>
            <w:vAlign w:val="bottom"/>
          </w:tcPr>
          <w:p>
            <w:pPr>
              <w:jc w:val="center"/>
              <w:ind w:right="94"/>
              <w:spacing w:after="0" w:line="153" w:lineRule="exact"/>
              <w:rPr>
                <w:sz w:val="20"/>
                <w:szCs w:val="20"/>
                <w:color w:val="auto"/>
              </w:rPr>
            </w:pPr>
            <w:r>
              <w:rPr>
                <w:rFonts w:ascii="Arial" w:cs="Arial" w:eastAsia="Arial" w:hAnsi="Arial"/>
                <w:sz w:val="14"/>
                <w:szCs w:val="14"/>
                <w:b w:val="1"/>
                <w:bCs w:val="1"/>
                <w:color w:val="auto"/>
                <w:w w:val="97"/>
              </w:rPr>
              <w:t>Net Carrying</w:t>
            </w:r>
          </w:p>
        </w:tc>
      </w:tr>
      <w:tr>
        <w:trPr>
          <w:trHeight w:val="192"/>
        </w:trPr>
        <w:tc>
          <w:tcPr>
            <w:tcW w:w="5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Carrying Amount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8"/>
              </w:rPr>
              <w:t>Amount</w:t>
            </w: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64,816</w:t>
            </w:r>
          </w:p>
        </w:tc>
        <w:tc>
          <w:tcPr>
            <w:tcW w:w="3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40,601</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12,234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7,871</w:t>
            </w:r>
          </w:p>
        </w:tc>
      </w:tr>
      <w:tr>
        <w:trPr>
          <w:trHeight w:val="27"/>
        </w:trPr>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2,987</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Leasehold benefits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2,789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680</w:t>
            </w:r>
          </w:p>
        </w:tc>
      </w:tr>
      <w:tr>
        <w:trPr>
          <w:trHeight w:val="27"/>
        </w:trPr>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594</w:t>
            </w:r>
          </w:p>
        </w:tc>
      </w:tr>
      <w:tr>
        <w:trPr>
          <w:trHeight w:val="237"/>
        </w:trPr>
        <w:tc>
          <w:tcPr>
            <w:tcW w:w="5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87,554</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(34,821)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52,733</w:t>
            </w:r>
          </w:p>
        </w:tc>
      </w:tr>
      <w:tr>
        <w:trPr>
          <w:trHeight w:val="27"/>
        </w:trPr>
        <w:tc>
          <w:tcPr>
            <w:tcW w:w="5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firstLine="432"/>
        <w:spacing w:after="0" w:line="257" w:lineRule="auto"/>
        <w:rPr>
          <w:sz w:val="20"/>
          <w:szCs w:val="20"/>
          <w:color w:val="auto"/>
        </w:rPr>
      </w:pPr>
      <w:r>
        <w:rPr>
          <w:rFonts w:ascii="Arial" w:cs="Arial" w:eastAsia="Arial" w:hAnsi="Arial"/>
          <w:sz w:val="18"/>
          <w:szCs w:val="18"/>
          <w:color w:val="auto"/>
        </w:rPr>
        <w:t>Amortization expense for the three months ended June 30, 2016 and 2015 was $2,718 and $2,808, respectively, and for the six months ended June 30, 2016 and 2015 was $5,433 and $4,867, respectively. The remaining weighted average life of intangible assets was 6.0 years for customer relationships, 4.3 years for developed technology, 5.9 years for trade names and trademarks excluding indefinite life trade names and trademarks, 2.9 years for leasehold benefits and 3.0 years for non-compete agreements. The Company has $900 of indefinite lived trade names and trademarks as of June 30, 2016 and December 31, 2015.</w:t>
      </w:r>
    </w:p>
    <w:p>
      <w:pPr>
        <w:spacing w:after="0" w:line="130"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Estimated amortization of intangible assets during the year ending June 30,</w:t>
            </w: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3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10,858</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2018</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10,617</w:t>
            </w:r>
          </w:p>
        </w:tc>
      </w:tr>
      <w:tr>
        <w:trPr>
          <w:trHeight w:val="27"/>
        </w:trPr>
        <w:tc>
          <w:tcPr>
            <w:tcW w:w="6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3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10,391</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2020</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6,288</w:t>
            </w:r>
          </w:p>
        </w:tc>
      </w:tr>
      <w:tr>
        <w:trPr>
          <w:trHeight w:val="27"/>
        </w:trPr>
        <w:tc>
          <w:tcPr>
            <w:tcW w:w="6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and thereafter</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8,224</w:t>
            </w:r>
          </w:p>
        </w:tc>
      </w:tr>
      <w:tr>
        <w:trPr>
          <w:trHeight w:val="27"/>
        </w:trPr>
        <w:tc>
          <w:tcPr>
            <w:tcW w:w="67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25"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following table sets forth the Company’s assets and liabilities that were accounted for at fair value as of June 30, 2016 and December 31, 2015. The table excludes accounts receivable, accounts payable and accrued expenses for which fair values approximate their carrying amounts.</w:t>
      </w:r>
    </w:p>
    <w:p>
      <w:pPr>
        <w:spacing w:after="0" w:line="260"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200" w:type="dxa"/>
            <w:vAlign w:val="bottom"/>
          </w:tcPr>
          <w:p>
            <w:pPr>
              <w:spacing w:after="0"/>
              <w:rPr>
                <w:sz w:val="16"/>
                <w:szCs w:val="16"/>
                <w:color w:val="auto"/>
              </w:rPr>
            </w:pPr>
          </w:p>
        </w:tc>
        <w:tc>
          <w:tcPr>
            <w:tcW w:w="38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June 30, 2016</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Money market and mutual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105,947</w:t>
            </w:r>
          </w:p>
        </w:tc>
        <w:tc>
          <w:tcPr>
            <w:tcW w:w="100" w:type="dxa"/>
            <w:vAlign w:val="bottom"/>
          </w:tcPr>
          <w:p>
            <w:pPr>
              <w:spacing w:after="0"/>
              <w:rPr>
                <w:sz w:val="21"/>
                <w:szCs w:val="21"/>
                <w:color w:val="auto"/>
              </w:rPr>
            </w:pP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105,947</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 w:type="dxa"/>
            <w:vAlign w:val="bottom"/>
          </w:tcPr>
          <w:p>
            <w:pPr>
              <w:spacing w:after="0"/>
              <w:rPr>
                <w:sz w:val="23"/>
                <w:szCs w:val="23"/>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3,602</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3,602</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105,947</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3,602</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109,549</w:t>
            </w:r>
          </w:p>
        </w:tc>
        <w:tc>
          <w:tcPr>
            <w:tcW w:w="0" w:type="dxa"/>
            <w:vAlign w:val="bottom"/>
          </w:tcPr>
          <w:p>
            <w:pPr>
              <w:spacing w:after="0"/>
              <w:rPr>
                <w:sz w:val="1"/>
                <w:szCs w:val="1"/>
                <w:color w:val="auto"/>
              </w:rPr>
            </w:pPr>
          </w:p>
        </w:tc>
      </w:tr>
      <w:tr>
        <w:trPr>
          <w:trHeight w:val="67"/>
        </w:trPr>
        <w:tc>
          <w:tcPr>
            <w:tcW w:w="200" w:type="dxa"/>
            <w:vAlign w:val="bottom"/>
          </w:tcPr>
          <w:p>
            <w:pPr>
              <w:spacing w:after="0"/>
              <w:rPr>
                <w:sz w:val="5"/>
                <w:szCs w:val="5"/>
                <w:color w:val="auto"/>
              </w:rPr>
            </w:pPr>
          </w:p>
        </w:tc>
        <w:tc>
          <w:tcPr>
            <w:tcW w:w="320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00" w:type="dxa"/>
            <w:vAlign w:val="bottom"/>
          </w:tcPr>
          <w:p>
            <w:pPr>
              <w:spacing w:after="0"/>
              <w:rPr>
                <w:sz w:val="20"/>
                <w:szCs w:val="20"/>
                <w:color w:val="auto"/>
              </w:rPr>
            </w:pPr>
          </w:p>
        </w:tc>
        <w:tc>
          <w:tcPr>
            <w:tcW w:w="38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1,796</w:t>
            </w:r>
          </w:p>
        </w:tc>
        <w:tc>
          <w:tcPr>
            <w:tcW w:w="120" w:type="dxa"/>
            <w:vAlign w:val="bottom"/>
          </w:tcPr>
          <w:p>
            <w:pPr>
              <w:spacing w:after="0"/>
              <w:rPr>
                <w:sz w:val="21"/>
                <w:szCs w:val="21"/>
                <w:color w:val="auto"/>
              </w:rPr>
            </w:pP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1,796</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0" w:type="dxa"/>
            <w:vAlign w:val="bottom"/>
          </w:tcPr>
          <w:p>
            <w:pPr>
              <w:spacing w:after="0"/>
              <w:rPr>
                <w:sz w:val="21"/>
                <w:szCs w:val="21"/>
                <w:color w:val="auto"/>
              </w:rPr>
            </w:pPr>
          </w:p>
        </w:tc>
        <w:tc>
          <w:tcPr>
            <w:tcW w:w="32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 of December 31, 2015</w:t>
            </w: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Level 1</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Level 2</w:t>
            </w: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Level 3</w:t>
            </w: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3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and mutual funds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118,478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118,478</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4,184</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4,184</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118,478</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4,184</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122,662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0" w:type="dxa"/>
            <w:vAlign w:val="bottom"/>
          </w:tcPr>
          <w:p>
            <w:pPr>
              <w:spacing w:after="0"/>
              <w:rPr>
                <w:sz w:val="17"/>
                <w:szCs w:val="17"/>
                <w:color w:val="auto"/>
              </w:rPr>
            </w:pPr>
          </w:p>
        </w:tc>
        <w:tc>
          <w:tcPr>
            <w:tcW w:w="38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0" w:type="dxa"/>
            <w:vAlign w:val="bottom"/>
          </w:tcPr>
          <w:p>
            <w:pPr>
              <w:spacing w:after="0"/>
              <w:rPr>
                <w:sz w:val="4"/>
                <w:szCs w:val="4"/>
                <w:color w:val="auto"/>
              </w:rPr>
            </w:pPr>
          </w:p>
        </w:tc>
        <w:tc>
          <w:tcPr>
            <w:tcW w:w="3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2,358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304"/>
        </w:trPr>
        <w:tc>
          <w:tcPr>
            <w:tcW w:w="200" w:type="dxa"/>
            <w:vAlign w:val="bottom"/>
          </w:tcPr>
          <w:p>
            <w:pPr>
              <w:spacing w:after="0"/>
              <w:rPr>
                <w:sz w:val="24"/>
                <w:szCs w:val="24"/>
                <w:color w:val="auto"/>
              </w:rPr>
            </w:pPr>
          </w:p>
        </w:tc>
        <w:tc>
          <w:tcPr>
            <w:tcW w:w="38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Fair value of earn-out consideration</w:t>
            </w: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4,060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62"/>
        </w:trPr>
        <w:tc>
          <w:tcPr>
            <w:tcW w:w="20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2,358</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4,060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6,418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Includes short-term investments carried on fair value option under ASC 825 of $94,779 as of June 30, 2016.</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The Company’s derivative financial instruments consist primarily of foreign currency forward exchange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values for derivative financial instruments are based on independent sources including highly rated financial institutions and are classified as Level 2. See Note 7 to our unaudited consolidated financial statements contained herein for further details on Derivatives and Hedge Accounting.</w:t>
      </w:r>
    </w:p>
    <w:p>
      <w:pPr>
        <w:spacing w:after="0" w:line="16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i w:val="1"/>
          <w:iCs w:val="1"/>
          <w:color w:val="auto"/>
        </w:rPr>
        <w:t xml:space="preserve">Fair value of earn-out consideration: </w:t>
      </w:r>
      <w:r>
        <w:rPr>
          <w:rFonts w:ascii="Arial" w:cs="Arial" w:eastAsia="Arial" w:hAnsi="Arial"/>
          <w:sz w:val="16"/>
          <w:szCs w:val="16"/>
          <w:color w:val="auto"/>
        </w:rPr>
        <w:t>The fair value measurement of earn-out consideration is determined using Level 3 inputs. The Company’s earn-out consideration represents a component of the total purchase consideration for the March 2015 RPM acquisition. The measurement is calculated using unobservable inputs based on the Company’s own assessment of achievement of certain performance goals by RPM during the 2015 and 2016 calendar years. As of December 31, 2015, the Company estimated the fair value of the earn out consideration to be $4,060, utilizing a Monte Carlo simulation. During the six months ended June 30, 2016, the Company re-estimated its earn-out liability utilizing a Monte Carlo simulation based on its assessment of the achievement of the performance goals of RPM during calendar year 2016 and accordingly reduced the liability to nil as of June 30, 2016.</w:t>
      </w:r>
    </w:p>
    <w:p>
      <w:pPr>
        <w:spacing w:after="0" w:line="16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Monte-Carlo simulation model simulates a range of possible performance levels and estimates the probabilities of the potential payouts. This model also incorporates a range of assumptions like discount rate, risk-free rate, assumed cost of debt, etc.</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Hedge Accounting</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 rates. The Company’s derivative financial instruments consist of forward foreign exchange contracts and range forward contracts (a transaction where both a put option is purchased and a call option is sold), that are designated effective and that qualify as cash flow hedges under ASC 815. The Company had outstanding cash flow hedges totaling $219,427 (including $5,100 of range forward contracts) as of June 30, 2016 and $230,894 as of December 31, 2015. The fair value of these cash flow hedges is included in the accumulated other comprehensive loss ("AOCI")on the Company's unaudited consolidated balance sheet.</w:t>
      </w:r>
    </w:p>
    <w:p>
      <w:pPr>
        <w:spacing w:after="0" w:line="8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also enters into foreign currency forward contracts to economically hedge its intercompany balances and other monetary assets and liabilities denominated in currencies other than functional currencies. These derivatives do not qualify as fair value hedges under ASC No. 815. Changes in the fair value of these derivatives are recognized in the consolidated statements of income and are included in foreign exchange gain/loss. The Company’s primary exchange rate exposure is with the Indian Rupee, the U.K. pound sterling and the Philippine peso. The Company also has exposure to Colombian pesos, Czech Koruna, Euro, South African ZAR and other local currencies in which it operates. Outstanding foreign currency forward contracts amounted to $59,868 and GBP 16,823 as of June 30, 2016 and amounted to $61,641 and GBP 13,256 as of December 31, 2015.</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estimates that approximately $2,113 of net derivative gains included in AOCI could be reclassified into earnings within the next twelve months based on exchange rates prevailing as of June 30, 2016. At June 30, 2016, the maximum outstanding term of the cash flow hedges was forty-five months.</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evaluates hedge effectiveness at the time a contract is entered into as well as on an ongoing basis. If during this time, a contract is deemed ineffective, the change in the fair value is recorded in the consolidated statements of income and is included in foreign exchange gain/(loss). For hedging positions that are discontinued because the forecasted transaction is not expected to occur by the end of the originally specified period, any related derivative amounts recorded in equity are reclassified to earnings. There were no such significant amounts of gains or losses that were reclassified from AOCI into earnings during the three and six months ended June 30, 2016 and 2015.</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set forth the fair value of the foreign currency exchange contracts and their location on the unaudited consolidated financial statements: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200" w:lineRule="exact"/>
        <w:rPr>
          <w:sz w:val="20"/>
          <w:szCs w:val="20"/>
          <w:color w:val="auto"/>
        </w:rPr>
      </w:pPr>
    </w:p>
    <w:p>
      <w:pPr>
        <w:spacing w:after="0" w:line="246"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0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 2016</w:t>
            </w:r>
          </w:p>
        </w:tc>
        <w:tc>
          <w:tcPr>
            <w:tcW w:w="320" w:type="dxa"/>
            <w:vAlign w:val="bottom"/>
          </w:tcPr>
          <w:p>
            <w:pPr>
              <w:spacing w:after="0"/>
              <w:rPr>
                <w:sz w:val="16"/>
                <w:szCs w:val="16"/>
                <w:color w:val="auto"/>
              </w:rPr>
            </w:pPr>
          </w:p>
        </w:tc>
        <w:tc>
          <w:tcPr>
            <w:tcW w:w="1860" w:type="dxa"/>
            <w:vAlign w:val="bottom"/>
          </w:tcPr>
          <w:p>
            <w:pPr>
              <w:jc w:val="right"/>
              <w:ind w:right="414"/>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6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current assets: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Foreign currency exchange contracts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2,795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2,664</w:t>
            </w:r>
          </w:p>
        </w:tc>
      </w:tr>
      <w:tr>
        <w:trPr>
          <w:trHeight w:val="27"/>
        </w:trPr>
        <w:tc>
          <w:tcPr>
            <w:tcW w:w="6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Foreign currency exchange contracts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1,175</w:t>
            </w:r>
          </w:p>
        </w:tc>
      </w:tr>
      <w:tr>
        <w:trPr>
          <w:trHeight w:val="27"/>
        </w:trPr>
        <w:tc>
          <w:tcPr>
            <w:tcW w:w="6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Foreign currency exchange contracts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1,226</w:t>
            </w:r>
          </w:p>
        </w:tc>
      </w:tr>
      <w:tr>
        <w:trPr>
          <w:trHeight w:val="27"/>
        </w:trPr>
        <w:tc>
          <w:tcPr>
            <w:tcW w:w="6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non current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Foreign currency exchange contracts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1,132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p>
      <w:pPr>
        <w:spacing w:after="0" w:line="230" w:lineRule="exact"/>
        <w:rPr>
          <w:sz w:val="20"/>
          <w:szCs w:val="20"/>
          <w:color w:val="auto"/>
        </w:rPr>
      </w:pPr>
    </w:p>
    <w:p>
      <w:pPr>
        <w:ind w:left="6640"/>
        <w:spacing w:after="0"/>
        <w:tabs>
          <w:tab w:leader="none" w:pos="8760" w:val="left"/>
        </w:tabs>
        <w:rPr>
          <w:sz w:val="20"/>
          <w:szCs w:val="20"/>
          <w:color w:val="auto"/>
        </w:rPr>
      </w:pPr>
      <w:r>
        <w:rPr>
          <w:rFonts w:ascii="Arial" w:cs="Arial" w:eastAsia="Arial" w:hAnsi="Arial"/>
          <w:sz w:val="14"/>
          <w:szCs w:val="14"/>
          <w:b w:val="1"/>
          <w:bCs w:val="1"/>
          <w:color w:val="auto"/>
        </w:rPr>
        <w:t>June 30, 2016</w:t>
      </w:r>
      <w:r>
        <w:rPr>
          <w:sz w:val="20"/>
          <w:szCs w:val="20"/>
          <w:color w:val="auto"/>
        </w:rPr>
        <w:tab/>
      </w:r>
      <w:r>
        <w:rPr>
          <w:rFonts w:ascii="Arial" w:cs="Arial" w:eastAsia="Arial" w:hAnsi="Arial"/>
          <w:sz w:val="12"/>
          <w:szCs w:val="12"/>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23495</wp:posOffset>
            </wp:positionV>
            <wp:extent cx="650875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8750" cy="180340"/>
                    </a:xfrm>
                    <a:prstGeom prst="rect">
                      <a:avLst/>
                    </a:prstGeom>
                    <a:noFill/>
                  </pic:spPr>
                </pic:pic>
              </a:graphicData>
            </a:graphic>
          </wp:anchor>
        </w:drawing>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Other current assets:</w:t>
      </w:r>
    </w:p>
    <w:p>
      <w:pPr>
        <w:spacing w:after="0" w:line="67" w:lineRule="exact"/>
        <w:rPr>
          <w:sz w:val="20"/>
          <w:szCs w:val="20"/>
          <w:color w:val="auto"/>
        </w:rPr>
      </w:pPr>
    </w:p>
    <w:p>
      <w:pPr>
        <w:ind w:left="620"/>
        <w:spacing w:after="0"/>
        <w:tabs>
          <w:tab w:leader="none" w:pos="5940" w:val="left"/>
          <w:tab w:leader="none" w:pos="7800" w:val="left"/>
          <w:tab w:leader="none" w:pos="8300" w:val="left"/>
          <w:tab w:leader="none" w:pos="10060" w:val="left"/>
        </w:tabs>
        <w:rPr>
          <w:sz w:val="20"/>
          <w:szCs w:val="20"/>
          <w:color w:val="auto"/>
        </w:rPr>
      </w:pPr>
      <w:r>
        <w:rPr>
          <w:rFonts w:ascii="Arial" w:cs="Arial" w:eastAsia="Arial" w:hAnsi="Arial"/>
          <w:sz w:val="18"/>
          <w:szCs w:val="18"/>
          <w:color w:val="auto"/>
        </w:rPr>
        <w:t>Foreign currency exchange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232</w:t>
        <w:tab/>
        <w:t>$</w:t>
      </w:r>
      <w:r>
        <w:rPr>
          <w:sz w:val="20"/>
          <w:szCs w:val="20"/>
          <w:color w:val="auto"/>
        </w:rPr>
        <w:tab/>
      </w:r>
      <w:r>
        <w:rPr>
          <w:rFonts w:ascii="Arial" w:cs="Arial" w:eastAsia="Arial" w:hAnsi="Arial"/>
          <w:sz w:val="16"/>
          <w:szCs w:val="16"/>
          <w:color w:val="auto"/>
        </w:rPr>
        <w:t>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31750</wp:posOffset>
            </wp:positionV>
            <wp:extent cx="650875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8750" cy="171450"/>
                    </a:xfrm>
                    <a:prstGeom prst="rect">
                      <a:avLst/>
                    </a:prstGeom>
                    <a:noFill/>
                  </pic:spPr>
                </pic:pic>
              </a:graphicData>
            </a:graphic>
          </wp:anchor>
        </w:drawing>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67" w:lineRule="exact"/>
        <w:rPr>
          <w:sz w:val="20"/>
          <w:szCs w:val="20"/>
          <w:color w:val="auto"/>
        </w:rPr>
      </w:pPr>
    </w:p>
    <w:p>
      <w:pPr>
        <w:ind w:left="620"/>
        <w:spacing w:after="0"/>
        <w:tabs>
          <w:tab w:leader="none" w:pos="5940" w:val="left"/>
          <w:tab w:leader="none" w:pos="7880" w:val="left"/>
          <w:tab w:leader="none" w:pos="10160" w:val="left"/>
        </w:tabs>
        <w:rPr>
          <w:sz w:val="20"/>
          <w:szCs w:val="20"/>
          <w:color w:val="auto"/>
        </w:rPr>
      </w:pPr>
      <w:r>
        <w:rPr>
          <w:rFonts w:ascii="Arial" w:cs="Arial" w:eastAsia="Arial" w:hAnsi="Arial"/>
          <w:sz w:val="18"/>
          <w:szCs w:val="18"/>
          <w:color w:val="auto"/>
        </w:rPr>
        <w:t>Foreign currency exchange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three months ended June 30, 2016 and 2015:</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gridSpan w:val="3"/>
          </w:tcPr>
          <w:p>
            <w:pPr>
              <w:jc w:val="center"/>
              <w:ind w:right="208"/>
              <w:spacing w:after="0"/>
              <w:rPr>
                <w:sz w:val="20"/>
                <w:szCs w:val="20"/>
                <w:color w:val="auto"/>
              </w:rPr>
            </w:pPr>
            <w:r>
              <w:rPr>
                <w:rFonts w:ascii="Arial" w:cs="Arial" w:eastAsia="Arial" w:hAnsi="Arial"/>
                <w:sz w:val="14"/>
                <w:szCs w:val="14"/>
                <w:b w:val="1"/>
                <w:bCs w:val="1"/>
                <w:color w:val="auto"/>
                <w:w w:val="94"/>
              </w:rPr>
              <w:t>Amount of</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2"/>
              </w:rPr>
              <w:t>Location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3"/>
          </w:tcPr>
          <w:p>
            <w:pPr>
              <w:jc w:val="center"/>
              <w:ind w:right="228"/>
              <w:spacing w:after="0" w:line="149" w:lineRule="exact"/>
              <w:rPr>
                <w:sz w:val="20"/>
                <w:szCs w:val="20"/>
                <w:color w:val="auto"/>
              </w:rPr>
            </w:pPr>
            <w:r>
              <w:rPr>
                <w:rFonts w:ascii="Arial" w:cs="Arial" w:eastAsia="Arial" w:hAnsi="Arial"/>
                <w:sz w:val="14"/>
                <w:szCs w:val="14"/>
                <w:b w:val="1"/>
                <w:bCs w:val="1"/>
                <w:color w:val="auto"/>
                <w:w w:val="93"/>
              </w:rPr>
              <w:t>Gain/(Loss)</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4"/>
          </w:tcPr>
          <w:p>
            <w:pPr>
              <w:jc w:val="center"/>
              <w:ind w:left="24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Gain/(Loss)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3"/>
          </w:tcPr>
          <w:p>
            <w:pPr>
              <w:jc w:val="center"/>
              <w:ind w:right="228"/>
              <w:spacing w:after="0" w:line="149" w:lineRule="exact"/>
              <w:rPr>
                <w:sz w:val="20"/>
                <w:szCs w:val="20"/>
                <w:color w:val="auto"/>
              </w:rPr>
            </w:pPr>
            <w:r>
              <w:rPr>
                <w:rFonts w:ascii="Arial" w:cs="Arial" w:eastAsia="Arial" w:hAnsi="Arial"/>
                <w:sz w:val="14"/>
                <w:szCs w:val="14"/>
                <w:b w:val="1"/>
                <w:bCs w:val="1"/>
                <w:color w:val="auto"/>
                <w:w w:val="91"/>
              </w:rPr>
              <w:t>Income on</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3"/>
          </w:tcPr>
          <w:p>
            <w:pPr>
              <w:jc w:val="center"/>
              <w:ind w:right="228"/>
              <w:spacing w:after="0" w:line="149" w:lineRule="exact"/>
              <w:rPr>
                <w:sz w:val="20"/>
                <w:szCs w:val="20"/>
                <w:color w:val="auto"/>
              </w:rPr>
            </w:pPr>
            <w:r>
              <w:rPr>
                <w:rFonts w:ascii="Arial" w:cs="Arial" w:eastAsia="Arial" w:hAnsi="Arial"/>
                <w:sz w:val="14"/>
                <w:szCs w:val="14"/>
                <w:b w:val="1"/>
                <w:bCs w:val="1"/>
                <w:color w:val="auto"/>
                <w:w w:val="95"/>
              </w:rPr>
              <w:t>Derivative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vMerge w:val="restart"/>
          </w:tcPr>
          <w:p>
            <w:pPr>
              <w:jc w:val="center"/>
              <w:ind w:left="326"/>
              <w:spacing w:after="0"/>
              <w:rPr>
                <w:sz w:val="20"/>
                <w:szCs w:val="20"/>
                <w:color w:val="auto"/>
              </w:rPr>
            </w:pPr>
            <w:r>
              <w:rPr>
                <w:rFonts w:ascii="Arial" w:cs="Arial" w:eastAsia="Arial" w:hAnsi="Arial"/>
                <w:sz w:val="14"/>
                <w:szCs w:val="14"/>
                <w:b w:val="1"/>
                <w:bCs w:val="1"/>
                <w:color w:val="auto"/>
                <w:w w:val="94"/>
              </w:rPr>
              <w:t>Amount of</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Income 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3"/>
          </w:tcPr>
          <w:p>
            <w:pPr>
              <w:jc w:val="center"/>
              <w:ind w:right="208"/>
              <w:spacing w:after="0" w:line="149" w:lineRule="exact"/>
              <w:rPr>
                <w:sz w:val="20"/>
                <w:szCs w:val="20"/>
                <w:color w:val="auto"/>
              </w:rPr>
            </w:pPr>
            <w:r>
              <w:rPr>
                <w:rFonts w:ascii="Arial" w:cs="Arial" w:eastAsia="Arial" w:hAnsi="Arial"/>
                <w:sz w:val="14"/>
                <w:szCs w:val="14"/>
                <w:b w:val="1"/>
                <w:bCs w:val="1"/>
                <w:color w:val="auto"/>
                <w:w w:val="94"/>
              </w:rPr>
              <w:t>(Ineffective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center"/>
              <w:ind w:left="25"/>
              <w:spacing w:after="0"/>
              <w:rPr>
                <w:sz w:val="20"/>
                <w:szCs w:val="20"/>
                <w:color w:val="auto"/>
              </w:rPr>
            </w:pPr>
            <w:r>
              <w:rPr>
                <w:rFonts w:ascii="Arial" w:cs="Arial" w:eastAsia="Arial" w:hAnsi="Arial"/>
                <w:sz w:val="14"/>
                <w:szCs w:val="14"/>
                <w:b w:val="1"/>
                <w:bCs w:val="1"/>
                <w:color w:val="auto"/>
                <w:w w:val="92"/>
              </w:rPr>
              <w:t>Location 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vMerge w:val="restart"/>
          </w:tcPr>
          <w:p>
            <w:pPr>
              <w:jc w:val="center"/>
              <w:ind w:left="405"/>
              <w:spacing w:after="0"/>
              <w:rPr>
                <w:sz w:val="20"/>
                <w:szCs w:val="20"/>
                <w:color w:val="auto"/>
              </w:rPr>
            </w:pPr>
            <w:r>
              <w:rPr>
                <w:rFonts w:ascii="Arial" w:cs="Arial" w:eastAsia="Arial" w:hAnsi="Arial"/>
                <w:sz w:val="14"/>
                <w:szCs w:val="14"/>
                <w:b w:val="1"/>
                <w:bCs w:val="1"/>
                <w:color w:val="auto"/>
                <w:w w:val="94"/>
              </w:rPr>
              <w:t>Amount of</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3"/>
          </w:tcPr>
          <w:p>
            <w:pPr>
              <w:jc w:val="center"/>
              <w:ind w:right="208"/>
              <w:spacing w:after="0" w:line="149" w:lineRule="exact"/>
              <w:rPr>
                <w:sz w:val="20"/>
                <w:szCs w:val="20"/>
                <w:color w:val="auto"/>
              </w:rPr>
            </w:pPr>
            <w:r>
              <w:rPr>
                <w:rFonts w:ascii="Arial" w:cs="Arial" w:eastAsia="Arial" w:hAnsi="Arial"/>
                <w:sz w:val="14"/>
                <w:szCs w:val="14"/>
                <w:b w:val="1"/>
                <w:bCs w:val="1"/>
                <w:color w:val="auto"/>
                <w:w w:val="95"/>
              </w:rPr>
              <w:t>Portion and</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jc w:val="center"/>
              <w:ind w:left="346"/>
              <w:spacing w:after="0" w:line="149" w:lineRule="exact"/>
              <w:rPr>
                <w:sz w:val="20"/>
                <w:szCs w:val="20"/>
                <w:color w:val="auto"/>
              </w:rPr>
            </w:pPr>
            <w:r>
              <w:rPr>
                <w:rFonts w:ascii="Arial" w:cs="Arial" w:eastAsia="Arial" w:hAnsi="Arial"/>
                <w:sz w:val="14"/>
                <w:szCs w:val="14"/>
                <w:b w:val="1"/>
                <w:bCs w:val="1"/>
                <w:color w:val="auto"/>
                <w:w w:val="93"/>
              </w:rPr>
              <w:t>Gain/(Loss)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jc w:val="center"/>
              <w:ind w:left="16"/>
              <w:spacing w:after="0" w:line="149" w:lineRule="exact"/>
              <w:rPr>
                <w:sz w:val="20"/>
                <w:szCs w:val="20"/>
                <w:color w:val="auto"/>
              </w:rPr>
            </w:pPr>
            <w:r>
              <w:rPr>
                <w:rFonts w:ascii="Arial" w:cs="Arial" w:eastAsia="Arial" w:hAnsi="Arial"/>
                <w:sz w:val="14"/>
                <w:szCs w:val="14"/>
                <w:b w:val="1"/>
                <w:bCs w:val="1"/>
                <w:color w:val="auto"/>
                <w:w w:val="94"/>
              </w:rPr>
              <w:t>(Ineffective Portion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3"/>
          </w:tcPr>
          <w:p>
            <w:pPr>
              <w:jc w:val="center"/>
              <w:ind w:right="208"/>
              <w:spacing w:after="0" w:line="149"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Derivatives in Cash Flow</w:t>
            </w:r>
          </w:p>
        </w:tc>
        <w:tc>
          <w:tcPr>
            <w:tcW w:w="220" w:type="dxa"/>
            <w:vAlign w:val="bottom"/>
          </w:tcPr>
          <w:p>
            <w:pPr>
              <w:spacing w:after="0"/>
              <w:rPr>
                <w:sz w:val="12"/>
                <w:szCs w:val="12"/>
                <w:color w:val="auto"/>
              </w:rPr>
            </w:pPr>
          </w:p>
        </w:tc>
        <w:tc>
          <w:tcPr>
            <w:tcW w:w="1140" w:type="dxa"/>
            <w:vAlign w:val="bottom"/>
            <w:gridSpan w:val="3"/>
          </w:tcPr>
          <w:p>
            <w:pPr>
              <w:jc w:val="center"/>
              <w:ind w:left="326"/>
              <w:spacing w:after="0" w:line="149" w:lineRule="exact"/>
              <w:rPr>
                <w:sz w:val="20"/>
                <w:szCs w:val="20"/>
                <w:color w:val="auto"/>
              </w:rPr>
            </w:pPr>
            <w:r>
              <w:rPr>
                <w:rFonts w:ascii="Arial" w:cs="Arial" w:eastAsia="Arial" w:hAnsi="Arial"/>
                <w:sz w:val="14"/>
                <w:szCs w:val="14"/>
                <w:b w:val="1"/>
                <w:bCs w:val="1"/>
                <w:color w:val="auto"/>
                <w:w w:val="89"/>
              </w:rPr>
              <w:t>Recognized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left="5"/>
              <w:spacing w:after="0" w:line="149" w:lineRule="exact"/>
              <w:rPr>
                <w:sz w:val="20"/>
                <w:szCs w:val="20"/>
                <w:color w:val="auto"/>
              </w:rPr>
            </w:pPr>
            <w:r>
              <w:rPr>
                <w:rFonts w:ascii="Arial" w:cs="Arial" w:eastAsia="Arial" w:hAnsi="Arial"/>
                <w:sz w:val="14"/>
                <w:szCs w:val="14"/>
                <w:b w:val="1"/>
                <w:bCs w:val="1"/>
                <w:color w:val="auto"/>
                <w:w w:val="93"/>
              </w:rPr>
              <w:t>Gain/(Loss)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4"/>
          </w:tcPr>
          <w:p>
            <w:pPr>
              <w:jc w:val="center"/>
              <w:ind w:right="79"/>
              <w:spacing w:after="0" w:line="149" w:lineRule="exact"/>
              <w:rPr>
                <w:sz w:val="20"/>
                <w:szCs w:val="20"/>
                <w:color w:val="auto"/>
              </w:rPr>
            </w:pPr>
            <w:r>
              <w:rPr>
                <w:rFonts w:ascii="Arial" w:cs="Arial" w:eastAsia="Arial" w:hAnsi="Arial"/>
                <w:sz w:val="14"/>
                <w:szCs w:val="14"/>
                <w:b w:val="1"/>
                <w:bCs w:val="1"/>
                <w:color w:val="auto"/>
                <w:w w:val="90"/>
              </w:rPr>
              <w:t>Gain/(Loss) Reclassified</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and 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3"/>
          </w:tcPr>
          <w:p>
            <w:pPr>
              <w:jc w:val="center"/>
              <w:ind w:right="208"/>
              <w:spacing w:after="0" w:line="149" w:lineRule="exact"/>
              <w:rPr>
                <w:sz w:val="20"/>
                <w:szCs w:val="20"/>
                <w:color w:val="auto"/>
              </w:rPr>
            </w:pPr>
            <w:r>
              <w:rPr>
                <w:rFonts w:ascii="Arial" w:cs="Arial" w:eastAsia="Arial" w:hAnsi="Arial"/>
                <w:sz w:val="14"/>
                <w:szCs w:val="14"/>
                <w:b w:val="1"/>
                <w:bCs w:val="1"/>
                <w:color w:val="auto"/>
                <w:w w:val="93"/>
              </w:rPr>
              <w:t>Excluded</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jc w:val="center"/>
              <w:ind w:left="346"/>
              <w:spacing w:after="0" w:line="149" w:lineRule="exact"/>
              <w:rPr>
                <w:sz w:val="20"/>
                <w:szCs w:val="20"/>
                <w:color w:val="auto"/>
              </w:rPr>
            </w:pPr>
            <w:r>
              <w:rPr>
                <w:rFonts w:ascii="Arial" w:cs="Arial" w:eastAsia="Arial" w:hAnsi="Arial"/>
                <w:sz w:val="14"/>
                <w:szCs w:val="14"/>
                <w:b w:val="1"/>
                <w:bCs w:val="1"/>
                <w:color w:val="auto"/>
                <w:w w:val="99"/>
              </w:rPr>
              <w:t>in AOCI on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left="5"/>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4"/>
          </w:tcPr>
          <w:p>
            <w:pPr>
              <w:jc w:val="center"/>
              <w:ind w:right="59"/>
              <w:spacing w:after="0" w:line="149" w:lineRule="exact"/>
              <w:rPr>
                <w:sz w:val="20"/>
                <w:szCs w:val="20"/>
                <w:color w:val="auto"/>
              </w:rPr>
            </w:pPr>
            <w:r>
              <w:rPr>
                <w:rFonts w:ascii="Arial" w:cs="Arial" w:eastAsia="Arial" w:hAnsi="Arial"/>
                <w:sz w:val="14"/>
                <w:szCs w:val="14"/>
                <w:b w:val="1"/>
                <w:bCs w:val="1"/>
                <w:color w:val="auto"/>
                <w:w w:val="98"/>
              </w:rPr>
              <w:t>from AOCI into</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Excluded from</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3"/>
          </w:tcPr>
          <w:p>
            <w:pPr>
              <w:jc w:val="center"/>
              <w:ind w:right="208"/>
              <w:spacing w:after="0" w:line="149" w:lineRule="exact"/>
              <w:rPr>
                <w:sz w:val="20"/>
                <w:szCs w:val="20"/>
                <w:color w:val="auto"/>
              </w:rPr>
            </w:pPr>
            <w:r>
              <w:rPr>
                <w:rFonts w:ascii="Arial" w:cs="Arial" w:eastAsia="Arial" w:hAnsi="Arial"/>
                <w:sz w:val="14"/>
                <w:szCs w:val="14"/>
                <w:b w:val="1"/>
                <w:bCs w:val="1"/>
                <w:color w:val="auto"/>
                <w:w w:val="96"/>
              </w:rPr>
              <w:t>from</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Hedging</w:t>
            </w:r>
          </w:p>
        </w:tc>
        <w:tc>
          <w:tcPr>
            <w:tcW w:w="220" w:type="dxa"/>
            <w:vAlign w:val="bottom"/>
          </w:tcPr>
          <w:p>
            <w:pPr>
              <w:spacing w:after="0"/>
              <w:rPr>
                <w:sz w:val="12"/>
                <w:szCs w:val="12"/>
                <w:color w:val="auto"/>
              </w:rPr>
            </w:pPr>
          </w:p>
        </w:tc>
        <w:tc>
          <w:tcPr>
            <w:tcW w:w="1140" w:type="dxa"/>
            <w:vAlign w:val="bottom"/>
            <w:gridSpan w:val="3"/>
          </w:tcPr>
          <w:p>
            <w:pPr>
              <w:jc w:val="center"/>
              <w:ind w:left="346"/>
              <w:spacing w:after="0" w:line="149" w:lineRule="exact"/>
              <w:rPr>
                <w:sz w:val="20"/>
                <w:szCs w:val="20"/>
                <w:color w:val="auto"/>
              </w:rPr>
            </w:pPr>
            <w:r>
              <w:rPr>
                <w:rFonts w:ascii="Arial" w:cs="Arial" w:eastAsia="Arial" w:hAnsi="Arial"/>
                <w:sz w:val="14"/>
                <w:szCs w:val="14"/>
                <w:b w:val="1"/>
                <w:bCs w:val="1"/>
                <w:color w:val="auto"/>
                <w:w w:val="95"/>
              </w:rPr>
              <w:t>Derivative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left="5"/>
              <w:spacing w:after="0" w:line="149" w:lineRule="exact"/>
              <w:rPr>
                <w:sz w:val="20"/>
                <w:szCs w:val="20"/>
                <w:color w:val="auto"/>
              </w:rPr>
            </w:pPr>
            <w:r>
              <w:rPr>
                <w:rFonts w:ascii="Arial" w:cs="Arial" w:eastAsia="Arial" w:hAnsi="Arial"/>
                <w:sz w:val="14"/>
                <w:szCs w:val="14"/>
                <w:b w:val="1"/>
                <w:bCs w:val="1"/>
                <w:color w:val="auto"/>
                <w:w w:val="98"/>
              </w:rPr>
              <w:t>AOCI into Income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4"/>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Income (Effective</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4"/>
          </w:tcPr>
          <w:p>
            <w:pPr>
              <w:jc w:val="center"/>
              <w:ind w:left="222"/>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Relationships</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ind w:right="139"/>
              <w:spacing w:after="0"/>
              <w:rPr>
                <w:sz w:val="20"/>
                <w:szCs w:val="20"/>
                <w:color w:val="auto"/>
              </w:rPr>
            </w:pPr>
            <w:r>
              <w:rPr>
                <w:rFonts w:ascii="Arial" w:cs="Arial" w:eastAsia="Arial" w:hAnsi="Arial"/>
                <w:sz w:val="14"/>
                <w:szCs w:val="14"/>
                <w:b w:val="1"/>
                <w:bCs w:val="1"/>
                <w:color w:val="auto"/>
                <w:w w:val="94"/>
              </w:rPr>
              <w:t>(Effective Portion)</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25"/>
              <w:spacing w:after="0"/>
              <w:rPr>
                <w:sz w:val="20"/>
                <w:szCs w:val="20"/>
                <w:color w:val="auto"/>
              </w:rPr>
            </w:pPr>
            <w:r>
              <w:rPr>
                <w:rFonts w:ascii="Arial" w:cs="Arial" w:eastAsia="Arial" w:hAnsi="Arial"/>
                <w:sz w:val="14"/>
                <w:szCs w:val="14"/>
                <w:b w:val="1"/>
                <w:bCs w:val="1"/>
                <w:color w:val="auto"/>
                <w:w w:val="94"/>
              </w:rPr>
              <w:t>(Effective Portion)</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385"/>
              <w:spacing w:after="0"/>
              <w:rPr>
                <w:sz w:val="20"/>
                <w:szCs w:val="20"/>
                <w:color w:val="auto"/>
              </w:rPr>
            </w:pPr>
            <w:r>
              <w:rPr>
                <w:rFonts w:ascii="Arial" w:cs="Arial" w:eastAsia="Arial" w:hAnsi="Arial"/>
                <w:sz w:val="14"/>
                <w:szCs w:val="14"/>
                <w:b w:val="1"/>
                <w:bCs w:val="1"/>
                <w:color w:val="auto"/>
                <w:w w:val="96"/>
              </w:rPr>
              <w:t>Portion)</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88"/>
              </w:rPr>
              <w:t>Testing)</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right="208"/>
              <w:spacing w:after="0"/>
              <w:rPr>
                <w:sz w:val="20"/>
                <w:szCs w:val="20"/>
                <w:color w:val="auto"/>
              </w:rPr>
            </w:pPr>
            <w:r>
              <w:rPr>
                <w:rFonts w:ascii="Arial" w:cs="Arial" w:eastAsia="Arial" w:hAnsi="Arial"/>
                <w:sz w:val="14"/>
                <w:szCs w:val="14"/>
                <w:b w:val="1"/>
                <w:bCs w:val="1"/>
                <w:color w:val="auto"/>
                <w:w w:val="91"/>
              </w:rPr>
              <w:t>Testing)</w:t>
            </w: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98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(1,474)</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7"/>
              </w:rPr>
              <w:t>Foreign exchange</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45"/>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15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428"/>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gain/(loss)</w:t>
            </w: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gain/(loss)</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5"/>
          </w:tcPr>
          <w:p>
            <w:pPr>
              <w:jc w:val="center"/>
              <w:ind w:left="145"/>
              <w:spacing w:after="0"/>
              <w:rPr>
                <w:sz w:val="20"/>
                <w:szCs w:val="20"/>
                <w:color w:val="auto"/>
              </w:rPr>
            </w:pPr>
            <w:r>
              <w:rPr>
                <w:rFonts w:ascii="Arial" w:cs="Arial" w:eastAsia="Arial" w:hAnsi="Arial"/>
                <w:sz w:val="14"/>
                <w:szCs w:val="14"/>
                <w:b w:val="1"/>
                <w:bCs w:val="1"/>
                <w:color w:val="auto"/>
                <w:w w:val="92"/>
              </w:rPr>
              <w:t>Amount of Gain/(Loss)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5"/>
          </w:tcPr>
          <w:p>
            <w:pPr>
              <w:jc w:val="center"/>
              <w:ind w:left="145"/>
              <w:spacing w:after="0" w:line="149" w:lineRule="exact"/>
              <w:rPr>
                <w:sz w:val="20"/>
                <w:szCs w:val="20"/>
                <w:color w:val="auto"/>
              </w:rPr>
            </w:pPr>
            <w:r>
              <w:rPr>
                <w:rFonts w:ascii="Arial" w:cs="Arial" w:eastAsia="Arial" w:hAnsi="Arial"/>
                <w:sz w:val="14"/>
                <w:szCs w:val="14"/>
                <w:b w:val="1"/>
                <w:bCs w:val="1"/>
                <w:color w:val="auto"/>
                <w:w w:val="91"/>
              </w:rPr>
              <w:t>Recognized in Income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center"/>
              <w:ind w:left="145"/>
              <w:spacing w:after="0"/>
              <w:rPr>
                <w:sz w:val="20"/>
                <w:szCs w:val="20"/>
                <w:color w:val="auto"/>
              </w:rPr>
            </w:pPr>
            <w:r>
              <w:rPr>
                <w:rFonts w:ascii="Arial" w:cs="Arial" w:eastAsia="Arial" w:hAnsi="Arial"/>
                <w:sz w:val="14"/>
                <w:szCs w:val="14"/>
                <w:b w:val="1"/>
                <w:bCs w:val="1"/>
                <w:color w:val="auto"/>
                <w:w w:val="91"/>
              </w:rPr>
              <w:t>on Derivatives</w:t>
            </w: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80" w:type="dxa"/>
            <w:vAlign w:val="bottom"/>
          </w:tcPr>
          <w:p>
            <w:pPr>
              <w:spacing w:after="0"/>
              <w:rPr>
                <w:sz w:val="12"/>
                <w:szCs w:val="12"/>
                <w:color w:val="auto"/>
              </w:rPr>
            </w:pPr>
          </w:p>
        </w:tc>
        <w:tc>
          <w:tcPr>
            <w:tcW w:w="1800" w:type="dxa"/>
            <w:vAlign w:val="bottom"/>
            <w:gridSpan w:val="4"/>
          </w:tcPr>
          <w:p>
            <w:pPr>
              <w:ind w:left="20"/>
              <w:spacing w:after="0" w:line="139" w:lineRule="exact"/>
              <w:rPr>
                <w:sz w:val="20"/>
                <w:szCs w:val="20"/>
                <w:color w:val="auto"/>
              </w:rPr>
            </w:pPr>
            <w:r>
              <w:rPr>
                <w:rFonts w:ascii="Arial" w:cs="Arial" w:eastAsia="Arial" w:hAnsi="Arial"/>
                <w:sz w:val="14"/>
                <w:szCs w:val="14"/>
                <w:b w:val="1"/>
                <w:bCs w:val="1"/>
                <w:color w:val="auto"/>
                <w:w w:val="98"/>
              </w:rPr>
              <w:t>Derivatives not designated</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60" w:type="dxa"/>
            <w:vAlign w:val="bottom"/>
            <w:gridSpan w:val="8"/>
          </w:tcPr>
          <w:p>
            <w:pPr>
              <w:jc w:val="right"/>
              <w:ind w:right="239"/>
              <w:spacing w:after="0" w:line="139" w:lineRule="exact"/>
              <w:rPr>
                <w:sz w:val="20"/>
                <w:szCs w:val="20"/>
                <w:color w:val="auto"/>
              </w:rPr>
            </w:pPr>
            <w:r>
              <w:rPr>
                <w:rFonts w:ascii="Arial" w:cs="Arial" w:eastAsia="Arial" w:hAnsi="Arial"/>
                <w:sz w:val="14"/>
                <w:szCs w:val="14"/>
                <w:b w:val="1"/>
                <w:bCs w:val="1"/>
                <w:color w:val="auto"/>
              </w:rPr>
              <w:t>Location of Gain or (Loss) Recognized in</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30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as Hedging Instruments</w:t>
            </w: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w w:val="92"/>
              </w:rPr>
              <w:t>Income on Derivatives</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20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w w:val="91"/>
              </w:rPr>
              <w:t>Foreign exchange contracts</w:t>
            </w: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Foreign exchange gain/(loss)</w:t>
            </w: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six months ended June 30, 2016 and 2015: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Location of Gain/(Loss)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4"/>
          </w:tcPr>
          <w:p>
            <w:pPr>
              <w:jc w:val="center"/>
              <w:ind w:left="464"/>
              <w:spacing w:after="0"/>
              <w:rPr>
                <w:sz w:val="20"/>
                <w:szCs w:val="20"/>
                <w:color w:val="auto"/>
              </w:rPr>
            </w:pPr>
            <w:r>
              <w:rPr>
                <w:rFonts w:ascii="Arial" w:cs="Arial" w:eastAsia="Arial" w:hAnsi="Arial"/>
                <w:sz w:val="14"/>
                <w:szCs w:val="14"/>
                <w:b w:val="1"/>
                <w:bCs w:val="1"/>
                <w:color w:val="auto"/>
                <w:w w:val="94"/>
              </w:rPr>
              <w:t>Amount of</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Location of Gain/(Loss)</w:t>
            </w:r>
          </w:p>
        </w:tc>
        <w:tc>
          <w:tcPr>
            <w:tcW w:w="200" w:type="dxa"/>
            <w:vAlign w:val="bottom"/>
          </w:tcPr>
          <w:p>
            <w:pPr>
              <w:spacing w:after="0"/>
              <w:rPr>
                <w:sz w:val="12"/>
                <w:szCs w:val="12"/>
                <w:color w:val="auto"/>
              </w:rPr>
            </w:pPr>
          </w:p>
        </w:tc>
        <w:tc>
          <w:tcPr>
            <w:tcW w:w="1100" w:type="dxa"/>
            <w:vAlign w:val="bottom"/>
            <w:gridSpan w:val="3"/>
            <w:vMerge w:val="restart"/>
          </w:tcPr>
          <w:p>
            <w:pPr>
              <w:jc w:val="center"/>
              <w:ind w:left="364"/>
              <w:spacing w:after="0"/>
              <w:rPr>
                <w:sz w:val="20"/>
                <w:szCs w:val="20"/>
                <w:color w:val="auto"/>
              </w:rPr>
            </w:pPr>
            <w:r>
              <w:rPr>
                <w:rFonts w:ascii="Arial" w:cs="Arial" w:eastAsia="Arial" w:hAnsi="Arial"/>
                <w:sz w:val="14"/>
                <w:szCs w:val="14"/>
                <w:b w:val="1"/>
                <w:bCs w:val="1"/>
                <w:color w:val="auto"/>
                <w:w w:val="94"/>
              </w:rPr>
              <w:t>Amount of</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5"/>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Gain/(Loss) Recognized in</w:t>
            </w:r>
          </w:p>
        </w:tc>
        <w:tc>
          <w:tcPr>
            <w:tcW w:w="0" w:type="dxa"/>
            <w:vAlign w:val="bottom"/>
          </w:tcPr>
          <w:p>
            <w:pPr>
              <w:spacing w:after="0"/>
              <w:rPr>
                <w:sz w:val="1"/>
                <w:szCs w:val="1"/>
                <w:color w:val="auto"/>
              </w:rPr>
            </w:pPr>
          </w:p>
        </w:tc>
      </w:tr>
      <w:tr>
        <w:trPr>
          <w:trHeight w:val="149"/>
        </w:trPr>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in Cash</w:t>
            </w:r>
          </w:p>
        </w:tc>
        <w:tc>
          <w:tcPr>
            <w:tcW w:w="2420" w:type="dxa"/>
            <w:vAlign w:val="bottom"/>
            <w:gridSpan w:val="7"/>
            <w:vMerge w:val="restart"/>
          </w:tcPr>
          <w:p>
            <w:pPr>
              <w:jc w:val="center"/>
              <w:ind w:right="40"/>
              <w:spacing w:after="0"/>
              <w:rPr>
                <w:sz w:val="20"/>
                <w:szCs w:val="20"/>
                <w:color w:val="auto"/>
              </w:rPr>
            </w:pPr>
            <w:r>
              <w:rPr>
                <w:rFonts w:ascii="Arial" w:cs="Arial" w:eastAsia="Arial" w:hAnsi="Arial"/>
                <w:sz w:val="14"/>
                <w:szCs w:val="14"/>
                <w:b w:val="1"/>
                <w:bCs w:val="1"/>
                <w:color w:val="auto"/>
                <w:w w:val="92"/>
              </w:rPr>
              <w:t>Amount of Gain/(Loss) Recognized in</w:t>
            </w:r>
          </w:p>
        </w:tc>
        <w:tc>
          <w:tcPr>
            <w:tcW w:w="8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3"/>
              </w:rPr>
              <w:t>on Derivative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5"/>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149"/>
        </w:trPr>
        <w:tc>
          <w:tcPr>
            <w:tcW w:w="1420" w:type="dxa"/>
            <w:vAlign w:val="bottom"/>
            <w:gridSpan w:val="2"/>
            <w:vMerge w:val="continue"/>
          </w:tcPr>
          <w:p>
            <w:pPr>
              <w:spacing w:after="0"/>
              <w:rPr>
                <w:sz w:val="12"/>
                <w:szCs w:val="12"/>
                <w:color w:val="auto"/>
              </w:rPr>
            </w:pPr>
          </w:p>
        </w:tc>
        <w:tc>
          <w:tcPr>
            <w:tcW w:w="2420" w:type="dxa"/>
            <w:vAlign w:val="bottom"/>
            <w:gridSpan w:val="7"/>
            <w:vMerge w:val="continue"/>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9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2"/>
              </w:rPr>
              <w:t>Gain/(Loss) Reclassified from</w:t>
            </w:r>
          </w:p>
        </w:tc>
        <w:tc>
          <w:tcPr>
            <w:tcW w:w="100" w:type="dxa"/>
            <w:vAlign w:val="bottom"/>
          </w:tcPr>
          <w:p>
            <w:pPr>
              <w:spacing w:after="0"/>
              <w:rPr>
                <w:sz w:val="12"/>
                <w:szCs w:val="12"/>
                <w:color w:val="auto"/>
              </w:rPr>
            </w:pPr>
          </w:p>
        </w:tc>
        <w:tc>
          <w:tcPr>
            <w:tcW w:w="15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3"/>
              </w:rPr>
              <w:t>(Ineffective Portion and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5"/>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(Ineffective Portion and</w:t>
            </w:r>
          </w:p>
        </w:tc>
        <w:tc>
          <w:tcPr>
            <w:tcW w:w="0" w:type="dxa"/>
            <w:vAlign w:val="bottom"/>
          </w:tcPr>
          <w:p>
            <w:pPr>
              <w:spacing w:after="0"/>
              <w:rPr>
                <w:sz w:val="1"/>
                <w:szCs w:val="1"/>
                <w:color w:val="auto"/>
              </w:rPr>
            </w:pPr>
          </w:p>
        </w:tc>
      </w:tr>
      <w:tr>
        <w:trPr>
          <w:trHeight w:val="149"/>
        </w:trPr>
        <w:tc>
          <w:tcPr>
            <w:tcW w:w="14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Flow Hedging</w:t>
            </w:r>
          </w:p>
        </w:tc>
        <w:tc>
          <w:tcPr>
            <w:tcW w:w="260" w:type="dxa"/>
            <w:vAlign w:val="bottom"/>
          </w:tcPr>
          <w:p>
            <w:pPr>
              <w:spacing w:after="0"/>
              <w:rPr>
                <w:sz w:val="12"/>
                <w:szCs w:val="12"/>
                <w:color w:val="auto"/>
              </w:rPr>
            </w:pPr>
          </w:p>
        </w:tc>
        <w:tc>
          <w:tcPr>
            <w:tcW w:w="216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AOCI on Derivative</w:t>
            </w:r>
          </w:p>
        </w:tc>
        <w:tc>
          <w:tcPr>
            <w:tcW w:w="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AOCI into Income</w:t>
            </w:r>
          </w:p>
        </w:tc>
        <w:tc>
          <w:tcPr>
            <w:tcW w:w="19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6"/>
              </w:rPr>
              <w:t>AOCI into Income (Effective</w:t>
            </w:r>
          </w:p>
        </w:tc>
        <w:tc>
          <w:tcPr>
            <w:tcW w:w="100" w:type="dxa"/>
            <w:vAlign w:val="bottom"/>
          </w:tcPr>
          <w:p>
            <w:pPr>
              <w:spacing w:after="0"/>
              <w:rPr>
                <w:sz w:val="12"/>
                <w:szCs w:val="12"/>
                <w:color w:val="auto"/>
              </w:rPr>
            </w:pPr>
          </w:p>
        </w:tc>
        <w:tc>
          <w:tcPr>
            <w:tcW w:w="15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Amount Excluded from</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5"/>
          </w:tcPr>
          <w:p>
            <w:pPr>
              <w:jc w:val="center"/>
              <w:ind w:right="79"/>
              <w:spacing w:after="0" w:line="149" w:lineRule="exact"/>
              <w:rPr>
                <w:sz w:val="20"/>
                <w:szCs w:val="20"/>
                <w:color w:val="auto"/>
              </w:rPr>
            </w:pPr>
            <w:r>
              <w:rPr>
                <w:rFonts w:ascii="Arial" w:cs="Arial" w:eastAsia="Arial" w:hAnsi="Arial"/>
                <w:sz w:val="14"/>
                <w:szCs w:val="14"/>
                <w:b w:val="1"/>
                <w:bCs w:val="1"/>
                <w:color w:val="auto"/>
                <w:w w:val="94"/>
              </w:rPr>
              <w:t>Amount Excluded from</w:t>
            </w:r>
          </w:p>
        </w:tc>
        <w:tc>
          <w:tcPr>
            <w:tcW w:w="0" w:type="dxa"/>
            <w:vAlign w:val="bottom"/>
          </w:tcPr>
          <w:p>
            <w:pPr>
              <w:spacing w:after="0"/>
              <w:rPr>
                <w:sz w:val="1"/>
                <w:szCs w:val="1"/>
                <w:color w:val="auto"/>
              </w:rPr>
            </w:pPr>
          </w:p>
        </w:tc>
      </w:tr>
      <w:tr>
        <w:trPr>
          <w:trHeight w:val="192"/>
        </w:trPr>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Relationships</w:t>
            </w:r>
          </w:p>
        </w:tc>
        <w:tc>
          <w:tcPr>
            <w:tcW w:w="260" w:type="dxa"/>
            <w:vAlign w:val="bottom"/>
          </w:tcPr>
          <w:p>
            <w:pPr>
              <w:spacing w:after="0"/>
              <w:rPr>
                <w:sz w:val="16"/>
                <w:szCs w:val="16"/>
                <w:color w:val="auto"/>
              </w:rPr>
            </w:pPr>
          </w:p>
        </w:tc>
        <w:tc>
          <w:tcPr>
            <w:tcW w:w="21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4"/>
              </w:rPr>
              <w:t>(Effective Portion)</w:t>
            </w:r>
          </w:p>
        </w:tc>
        <w:tc>
          <w:tcPr>
            <w:tcW w:w="80" w:type="dxa"/>
            <w:vAlign w:val="bottom"/>
          </w:tcPr>
          <w:p>
            <w:pPr>
              <w:spacing w:after="0"/>
              <w:rPr>
                <w:sz w:val="16"/>
                <w:szCs w:val="16"/>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(Effective Portion)</w:t>
            </w:r>
          </w:p>
        </w:tc>
        <w:tc>
          <w:tcPr>
            <w:tcW w:w="200" w:type="dxa"/>
            <w:vAlign w:val="bottom"/>
          </w:tcPr>
          <w:p>
            <w:pPr>
              <w:spacing w:after="0"/>
              <w:rPr>
                <w:sz w:val="16"/>
                <w:szCs w:val="16"/>
                <w:color w:val="auto"/>
              </w:rPr>
            </w:pPr>
          </w:p>
        </w:tc>
        <w:tc>
          <w:tcPr>
            <w:tcW w:w="1100" w:type="dxa"/>
            <w:vAlign w:val="bottom"/>
            <w:gridSpan w:val="3"/>
          </w:tcPr>
          <w:p>
            <w:pPr>
              <w:jc w:val="center"/>
              <w:ind w:left="344"/>
              <w:spacing w:after="0"/>
              <w:rPr>
                <w:sz w:val="20"/>
                <w:szCs w:val="20"/>
                <w:color w:val="auto"/>
              </w:rPr>
            </w:pPr>
            <w:r>
              <w:rPr>
                <w:rFonts w:ascii="Arial" w:cs="Arial" w:eastAsia="Arial" w:hAnsi="Arial"/>
                <w:sz w:val="14"/>
                <w:szCs w:val="14"/>
                <w:b w:val="1"/>
                <w:bCs w:val="1"/>
                <w:color w:val="auto"/>
                <w:w w:val="96"/>
              </w:rPr>
              <w:t>Portion)</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Effectiveness Testing)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5"/>
          </w:tcPr>
          <w:p>
            <w:pPr>
              <w:jc w:val="center"/>
              <w:ind w:right="99"/>
              <w:spacing w:after="0"/>
              <w:rPr>
                <w:sz w:val="20"/>
                <w:szCs w:val="20"/>
                <w:color w:val="auto"/>
              </w:rPr>
            </w:pPr>
            <w:r>
              <w:rPr>
                <w:rFonts w:ascii="Arial" w:cs="Arial" w:eastAsia="Arial" w:hAnsi="Arial"/>
                <w:sz w:val="14"/>
                <w:szCs w:val="14"/>
                <w:b w:val="1"/>
                <w:bCs w:val="1"/>
                <w:color w:val="auto"/>
                <w:w w:val="88"/>
              </w:rPr>
              <w:t>Effectiveness Testing)</w:t>
            </w:r>
          </w:p>
        </w:tc>
        <w:tc>
          <w:tcPr>
            <w:tcW w:w="0" w:type="dxa"/>
            <w:vAlign w:val="bottom"/>
          </w:tcPr>
          <w:p>
            <w:pPr>
              <w:spacing w:after="0"/>
              <w:rPr>
                <w:sz w:val="1"/>
                <w:szCs w:val="1"/>
                <w:color w:val="auto"/>
              </w:rPr>
            </w:pPr>
          </w:p>
        </w:tc>
      </w:tr>
      <w:tr>
        <w:trPr>
          <w:trHeight w:val="196"/>
        </w:trPr>
        <w:tc>
          <w:tcPr>
            <w:tcW w:w="100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580" w:type="dxa"/>
            <w:vAlign w:val="bottom"/>
            <w:tcBorders>
              <w:top w:val="single" w:sz="8" w:color="auto"/>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CCEEFF"/>
            </w:tcBorders>
          </w:tcPr>
          <w:p>
            <w:pPr>
              <w:spacing w:after="0"/>
              <w:rPr>
                <w:sz w:val="17"/>
                <w:szCs w:val="17"/>
                <w:color w:val="auto"/>
              </w:rPr>
            </w:pPr>
          </w:p>
        </w:tc>
        <w:tc>
          <w:tcPr>
            <w:tcW w:w="8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15"/>
        </w:trPr>
        <w:tc>
          <w:tcPr>
            <w:tcW w:w="1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Foreign exchange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553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785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8"/>
                <w:szCs w:val="18"/>
                <w:color w:val="auto"/>
              </w:rPr>
            </w:pPr>
          </w:p>
        </w:tc>
        <w:tc>
          <w:tcPr>
            <w:tcW w:w="15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gain/(loss)</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8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9"/>
          </w:tcPr>
          <w:p>
            <w:pPr>
              <w:jc w:val="center"/>
              <w:ind w:right="520"/>
              <w:spacing w:after="0"/>
              <w:rPr>
                <w:sz w:val="20"/>
                <w:szCs w:val="20"/>
                <w:color w:val="auto"/>
              </w:rPr>
            </w:pPr>
            <w:r>
              <w:rPr>
                <w:rFonts w:ascii="Arial" w:cs="Arial" w:eastAsia="Arial" w:hAnsi="Arial"/>
                <w:sz w:val="14"/>
                <w:szCs w:val="14"/>
                <w:b w:val="1"/>
                <w:bCs w:val="1"/>
                <w:color w:val="auto"/>
                <w:w w:val="92"/>
              </w:rPr>
              <w:t>Amount of Gain/(Loss)</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gridSpan w:val="9"/>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Recognized in Income</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9"/>
          </w:tcPr>
          <w:p>
            <w:pPr>
              <w:jc w:val="center"/>
              <w:ind w:right="520"/>
              <w:spacing w:after="0"/>
              <w:rPr>
                <w:sz w:val="20"/>
                <w:szCs w:val="20"/>
                <w:color w:val="auto"/>
              </w:rPr>
            </w:pPr>
            <w:r>
              <w:rPr>
                <w:rFonts w:ascii="Arial" w:cs="Arial" w:eastAsia="Arial" w:hAnsi="Arial"/>
                <w:sz w:val="14"/>
                <w:szCs w:val="14"/>
                <w:b w:val="1"/>
                <w:bCs w:val="1"/>
                <w:color w:val="auto"/>
                <w:w w:val="91"/>
              </w:rPr>
              <w:t>on Derivatives</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1660" w:type="dxa"/>
            <w:vAlign w:val="bottom"/>
            <w:gridSpan w:val="4"/>
          </w:tcPr>
          <w:p>
            <w:pPr>
              <w:ind w:left="20"/>
              <w:spacing w:after="0" w:line="139" w:lineRule="exact"/>
              <w:rPr>
                <w:sz w:val="20"/>
                <w:szCs w:val="20"/>
                <w:color w:val="auto"/>
              </w:rPr>
            </w:pPr>
            <w:r>
              <w:rPr>
                <w:rFonts w:ascii="Arial" w:cs="Arial" w:eastAsia="Arial" w:hAnsi="Arial"/>
                <w:sz w:val="14"/>
                <w:szCs w:val="14"/>
                <w:b w:val="1"/>
                <w:bCs w:val="1"/>
                <w:color w:val="auto"/>
                <w:w w:val="90"/>
              </w:rPr>
              <w:t>Derivatives not designated</w:t>
            </w: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gridSpan w:val="7"/>
          </w:tcPr>
          <w:p>
            <w:pPr>
              <w:jc w:val="right"/>
              <w:ind w:right="239"/>
              <w:spacing w:after="0" w:line="139" w:lineRule="exact"/>
              <w:rPr>
                <w:sz w:val="20"/>
                <w:szCs w:val="20"/>
                <w:color w:val="auto"/>
              </w:rPr>
            </w:pPr>
            <w:r>
              <w:rPr>
                <w:rFonts w:ascii="Arial" w:cs="Arial" w:eastAsia="Arial" w:hAnsi="Arial"/>
                <w:sz w:val="14"/>
                <w:szCs w:val="14"/>
                <w:b w:val="1"/>
                <w:bCs w:val="1"/>
                <w:color w:val="auto"/>
              </w:rPr>
              <w:t>Location of Gain or (Loss) Recognized in</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vMerge w:val="restart"/>
          </w:tcPr>
          <w:p>
            <w:pPr>
              <w:jc w:val="right"/>
              <w:ind w:right="32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vMerge w:val="restart"/>
          </w:tcPr>
          <w:p>
            <w:pPr>
              <w:jc w:val="right"/>
              <w:ind w:right="12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000" w:type="dxa"/>
            <w:vAlign w:val="bottom"/>
          </w:tcPr>
          <w:p>
            <w:pPr>
              <w:spacing w:after="0"/>
              <w:rPr>
                <w:sz w:val="16"/>
                <w:szCs w:val="16"/>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as Hedging Instruments</w:t>
            </w: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Income on Derivatives</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20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w w:val="90"/>
              </w:rPr>
              <w:t>Foreign exchange contracts</w:t>
            </w: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7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Foreign exchange gain/(loss)</w:t>
            </w: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2,728</w:t>
            </w:r>
          </w:p>
        </w:tc>
        <w:tc>
          <w:tcPr>
            <w:tcW w:w="2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Fixed Assets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Fixed assets consist of the following:</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16"/>
                <w:szCs w:val="16"/>
                <w:color w:val="auto"/>
              </w:rPr>
            </w:pPr>
          </w:p>
        </w:tc>
        <w:tc>
          <w:tcPr>
            <w:tcW w:w="1460" w:type="dxa"/>
            <w:vAlign w:val="bottom"/>
          </w:tcPr>
          <w:p>
            <w:pPr>
              <w:jc w:val="right"/>
              <w:ind w:right="151"/>
              <w:spacing w:after="0"/>
              <w:rPr>
                <w:sz w:val="20"/>
                <w:szCs w:val="20"/>
                <w:color w:val="auto"/>
              </w:rPr>
            </w:pPr>
            <w:r>
              <w:rPr>
                <w:rFonts w:ascii="Arial" w:cs="Arial" w:eastAsia="Arial" w:hAnsi="Arial"/>
                <w:sz w:val="14"/>
                <w:szCs w:val="14"/>
                <w:b w:val="1"/>
                <w:bCs w:val="1"/>
                <w:color w:val="auto"/>
                <w:w w:val="95"/>
              </w:rPr>
              <w:t>December 31, 2015</w:t>
            </w:r>
          </w:p>
        </w:tc>
      </w:tr>
      <w:tr>
        <w:trPr>
          <w:trHeight w:val="250"/>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 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Network equipment, computers and software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101,957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95,245</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Leasehold improvements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28,603</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Office furniture and equipment</w:t>
            </w:r>
          </w:p>
        </w:tc>
        <w:tc>
          <w:tcPr>
            <w:tcW w:w="26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14,650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14,000</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work in progress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3,140</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Buildings</w:t>
            </w:r>
          </w:p>
        </w:tc>
        <w:tc>
          <w:tcPr>
            <w:tcW w:w="26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1,202</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Motor vehicles</w:t>
            </w:r>
          </w:p>
        </w:tc>
        <w:tc>
          <w:tcPr>
            <w:tcW w:w="26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540</w:t>
            </w: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143,517</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(103,866)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(96,079)</w:t>
            </w: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49,272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47,438</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Assets under capital leases:</w:t>
            </w:r>
          </w:p>
        </w:tc>
        <w:tc>
          <w:tcPr>
            <w:tcW w:w="2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41"/>
        </w:trPr>
        <w:tc>
          <w:tcPr>
            <w:tcW w:w="6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Leasehold improvements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877</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Office furniture and equipment</w:t>
            </w:r>
          </w:p>
        </w:tc>
        <w:tc>
          <w:tcPr>
            <w:tcW w:w="26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136</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Motor vehicles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w:t>
            </w:r>
          </w:p>
        </w:tc>
      </w:tr>
      <w:tr>
        <w:trPr>
          <w:trHeight w:val="237"/>
        </w:trPr>
        <w:tc>
          <w:tcPr>
            <w:tcW w:w="67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1,819</w:t>
            </w: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r>
      <w:tr>
        <w:trPr>
          <w:trHeight w:val="237"/>
        </w:trPr>
        <w:tc>
          <w:tcPr>
            <w:tcW w:w="67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553</w:t>
            </w: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assets,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47,991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432"/>
        <w:spacing w:after="0" w:line="308" w:lineRule="auto"/>
        <w:rPr>
          <w:sz w:val="20"/>
          <w:szCs w:val="20"/>
          <w:color w:val="auto"/>
        </w:rPr>
      </w:pPr>
      <w:r>
        <w:rPr>
          <w:rFonts w:ascii="Arial" w:cs="Arial" w:eastAsia="Arial" w:hAnsi="Arial"/>
          <w:sz w:val="17"/>
          <w:szCs w:val="17"/>
          <w:color w:val="auto"/>
        </w:rPr>
        <w:t>Depreciation and amortization expense excluding amortization of acquisition-related intangibles for the three months ended June 30, 2016 and 2015 was $5,552, and $5,253, respectively, and for the six months ended June 30, 2016 and 2015 was $10,970 and $10,247, respectively.</w:t>
      </w:r>
    </w:p>
    <w:p>
      <w:pPr>
        <w:spacing w:after="0" w:line="14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Capital work in progress represents advances paid towards acquisition of fixed assets and cost of fixed assets and internally generated software costs not yet ready to be placed in service.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one class of common stock outstanding.</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three months ended June 30, 2016 and 2015, the Company acquired 1,479 and 707 shares of common stock, respectively, from employees in connection with withholding tax payments related to the vesting of restricted stock for a total consideration of $76 and $24, respectively. The weighted average purchase price of $51.39 and $33.68, respectively, was the average of the high and low price of a share of the Company’s common stock on the Nasdaq Global Select Market on the trading day prior to the vesting date of the shares of restricted stock.</w:t>
      </w:r>
    </w:p>
    <w:p>
      <w:pPr>
        <w:spacing w:after="0" w:line="18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six months ended June 30, 2016 and 2015, the Company acquired 16,027 and 13,573 shares of common stock, respectively, from employees in connection with withholding tax payments related to the vesting of restricted stock for a total consideration of $728 and $421, respectively. The weighted average purchase price of $45.44 and $30.99, respectively, was the average of the high and low price of a share of the Company’s common stock on the Nasdaq Global Select Market on the trading day prior to the vesting date of the shares of restricted stock.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December 30, 2014, the Company’s Board of Directors authorized up to an annual $20,000 common stock repurchase program (the “2014 Repurchase Program”), under which shares may be purchased by the Company from time to time from the open market and through private transactions during each of the fiscal years 2015 to 2017.</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and six months ended June 30, 2016, the Company purchased 56,172 and 194,810 shares of its common stock, respectively, for an aggregate purchase price of approximately $2,773 and $8,975, respectively, including commissions, representing an average purchase price per share of $49.37 and $46.07, respectively, under the 2014 Repurchase program.</w:t>
      </w:r>
    </w:p>
    <w:p>
      <w:pPr>
        <w:spacing w:after="0" w:line="18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During the three and six months ended June 30, 2015, the Company purchased 133,869 shares of its common stock for an aggregate purchase price of approximately $4,685 including commissions, representing an average purchase price per share of $35.00 under the 2014 Repurchase Program.</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Repurchased shares have been recorded as treasury shares and will be held until the Board of Directors designates that these shares be retired or used for other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Borrowings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October 24, 2014, the Company entered into a credit agreement (as amended, the “Credit Agreement”) with certain lenders and JPMorgan Chase Bank, N.A., as Administrative Agent. The Credit Agreement, as amended, provides for a $100,000 revolving credit facility (the “Credit Facility”), including a letter of credit sub-facility. The Credit Facility has a maturity date of October 24, 2019 and is voluntarily pre-payable from time to time without premium or penalty.</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Borrowings under the Credit Facility may be used for working capital, general corporate purposes and for acquisitions. The Company has outstanding debt of $45,000 and $70,000 as of June 30, 2016 and December 31, 2015, respectively, of which $10,000 is expected to be repaid within the next twelve months and is included under “short-term borrowings” in the unaudited consolidated balance sheets. The Credit Facility carried an effective interest rate of approximately 1.95% and 1.56% per annum, respectively during the three months ended June 30, 2016 and 2015, respectively.</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connection with the financing, the Company incurred certain debt issuance costs, which are deferred and amortized as an adjustment to interest expense over the term of the Credit Facility. The unamortized debt issuance costs as of June 30, 2016 and December 31, 2015 were $320 and $368, respectively and are included under "other current assets" and "other assets" in the unaudited consolidated balance sheets.</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obligations under the Credit Agreement are secured by all or substantially all of the assets of the Company and its material domestic subsidiaries. The Credit Agreement contains certain covenants including a restriction on indebtedness of the Company. As of June 30, 2016, the Company was in compliance with all covenants.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Gratuity Plans in India and the Philippines ("Gratuity Plan") provide for lump sum payment to vested employees on retirement or upon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4440" w:type="dxa"/>
            <w:vAlign w:val="bottom"/>
          </w:tcPr>
          <w:p>
            <w:pPr>
              <w:ind w:left="160"/>
              <w:spacing w:after="0"/>
              <w:rPr>
                <w:sz w:val="20"/>
                <w:szCs w:val="20"/>
                <w:color w:val="auto"/>
              </w:rPr>
            </w:pPr>
            <w:r>
              <w:rPr>
                <w:rFonts w:ascii="Arial" w:cs="Arial" w:eastAsia="Arial" w:hAnsi="Arial"/>
                <w:sz w:val="18"/>
                <w:szCs w:val="18"/>
                <w:color w:val="auto"/>
              </w:rPr>
              <w:t>Net gratuity cost includes the following components:</w:t>
            </w: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94"/>
        </w:trPr>
        <w:tc>
          <w:tcPr>
            <w:tcW w:w="4440" w:type="dxa"/>
            <w:vAlign w:val="bottom"/>
          </w:tcPr>
          <w:p>
            <w:pPr>
              <w:spacing w:after="0"/>
              <w:rPr>
                <w:sz w:val="24"/>
                <w:szCs w:val="24"/>
                <w:color w:val="auto"/>
              </w:rPr>
            </w:pPr>
          </w:p>
        </w:tc>
        <w:tc>
          <w:tcPr>
            <w:tcW w:w="30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 June 30,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4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r>
      <w:tr>
        <w:trPr>
          <w:trHeight w:val="27"/>
        </w:trPr>
        <w:tc>
          <w:tcPr>
            <w:tcW w:w="44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1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282</w:t>
            </w:r>
          </w:p>
        </w:tc>
      </w:tr>
      <w:tr>
        <w:trPr>
          <w:trHeight w:val="27"/>
        </w:trPr>
        <w:tc>
          <w:tcPr>
            <w:tcW w:w="4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Actuarial loss</w:t>
            </w:r>
          </w:p>
        </w:tc>
        <w:tc>
          <w:tcPr>
            <w:tcW w:w="11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44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gratuity cost</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1,031</w:t>
            </w:r>
          </w:p>
        </w:tc>
      </w:tr>
      <w:tr>
        <w:trPr>
          <w:trHeight w:val="20"/>
        </w:trPr>
        <w:tc>
          <w:tcPr>
            <w:tcW w:w="44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Gratuity Plan in India is partially funded. The Company makes annual contributions to the employees' gratuity fund established with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March 31 of each year. The Company earned a return of approximately 9.0% each on these Gratuity Plans for the years ended March 31, 2016 and 2015.</w:t>
      </w:r>
    </w:p>
    <w:p>
      <w:pPr>
        <w:spacing w:after="0" w:line="96"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assets at January 1, 2016</w:t>
            </w:r>
          </w:p>
        </w:tc>
        <w:tc>
          <w:tcPr>
            <w:tcW w:w="7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4,923</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Actual return</w:t>
            </w:r>
          </w:p>
        </w:tc>
        <w:tc>
          <w:tcPr>
            <w:tcW w:w="7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218</w:t>
            </w:r>
          </w:p>
        </w:tc>
      </w:tr>
      <w:tr>
        <w:trPr>
          <w:trHeight w:val="27"/>
        </w:trPr>
        <w:tc>
          <w:tcPr>
            <w:tcW w:w="7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Effect of exchange rate changes</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76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assets at June 30, 2016</w:t>
            </w:r>
          </w:p>
        </w:tc>
        <w:tc>
          <w:tcPr>
            <w:tcW w:w="7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4,591</w:t>
            </w:r>
          </w:p>
        </w:tc>
      </w:tr>
      <w:tr>
        <w:trPr>
          <w:trHeight w:val="20"/>
        </w:trPr>
        <w:tc>
          <w:tcPr>
            <w:tcW w:w="7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maintains the Exl Service 401(k) Plan (the “401(k) Plan”) under Section 401(k) of the Internal Revenue Code of 1986 (the “Code”), covering all eligible employees, as defined. The Company may make discretionary contributions of up to a maximum of 3% of employee compensation within certain limits. The Company has made provisions for contributions to the 401(k) Plan amounting to $475 and $383 during the three months ended June 30, 2016 and 2015, respectively, and $1,391 and $1,151 during the six months ended June 30, 2016 and 2015, respectively.</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months ended June 30, 2016 and 2015, the Company contributed $1,566 and $1,465, respectively, and during the six months ended June 30, 2016 and 2015, the Company contributed $3,048 and $2,930, respectively, for various defined contribution plans on behalf of its employees in India, the Philippines, Romania, Bulgaria, Colombia, Singapore, South Africa and the Czech Republic.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finances its use of certain motor vehicles under lease arrangements provided by financial institutions. Future minimum lease payments under these capital leases as of June 30, 2016 are as follows: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1220" w:type="dxa"/>
        <w:tblCellMar>
          <w:top w:w="0" w:type="dxa"/>
          <w:left w:w="0" w:type="dxa"/>
          <w:bottom w:w="0" w:type="dxa"/>
          <w:right w:w="0" w:type="dxa"/>
        </w:tblCellMar>
      </w:tblP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Year ending June 30,</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7"/>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8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Less: amount representing interest</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8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8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9"/>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 term capital lease obligation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conducts its operations using facilities leased under non-cancelable operating lease agreements that expire at various dates. Future minimum lease payments under non-cancellable agreements expiring after June 30, 2016 are set forth below:</w:t>
      </w:r>
    </w:p>
    <w:p>
      <w:pPr>
        <w:spacing w:after="0" w:line="333" w:lineRule="exact"/>
        <w:rPr>
          <w:sz w:val="20"/>
          <w:szCs w:val="20"/>
          <w:color w:val="auto"/>
        </w:rPr>
      </w:pPr>
    </w:p>
    <w:tbl>
      <w:tblPr>
        <w:tblLayout w:type="fixed"/>
        <w:tblInd w:w="1220" w:type="dxa"/>
        <w:tblCellMar>
          <w:top w:w="0" w:type="dxa"/>
          <w:left w:w="0" w:type="dxa"/>
          <w:bottom w:w="0" w:type="dxa"/>
          <w:right w:w="0" w:type="dxa"/>
        </w:tblCellMar>
      </w:tblP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Year ending June 30,</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9,069</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7,601</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6,324</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3,096</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2022 and thereafter</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1,668</w:t>
            </w:r>
          </w:p>
        </w:tc>
      </w:tr>
      <w:tr>
        <w:trPr>
          <w:trHeight w:val="27"/>
        </w:trPr>
        <w:tc>
          <w:tcPr>
            <w:tcW w:w="7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29,634</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operating leases are subject to renewal periodically and have scheduled rent increases. The Company recognizes rent on such leases on a straight line basis over the non-cancelable lease period determined under ASC topic 840, “Leases”. Rent expense under both cancelable and non-cancelable operating leases was $5,278 and $5,110 for the three months ended June 30, 2016 and 2015, respectively and $10,426 and $10,095, respectively for the six months ended June 30, 2016 and 2015. Deferred rent as of June 30, 2016 and December 31, 2015 was $7,534 and $7,066, respectively, and is included under “Accrued expenses and other current liabilities” and “Non-current liabilities” in the consolidated balance sheets.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determines the tax provision for interim periods using an estimate of its annual effective tax rate adjusted for discrete items, if any, that are taken into account in the relevant period. Each quarter, the Company updates its estimate of annual effective tax rate, and if its estimated tax rate changes, the Company makes a cumulative adjustment.</w:t>
      </w:r>
    </w:p>
    <w:p>
      <w:pPr>
        <w:spacing w:after="0" w:line="7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recorded income tax expense of $7,008 and $5,531, respectively, for the three months ended June 30, 2016 and 2015. The effective tax rate decreased from 31.4% during the three months ended June 30, 2015 to 30.0% during the three months ended June 30, 2016. The effective tax rate decreased due to an increase in earnings in locations with lower tax rates as well as tax incentives, partially offset by the reversal of the earn-out liability of $3,810 in other income during the three months ended June 30, 2016 related to the Company's RPM acquisition.</w:t>
      </w:r>
    </w:p>
    <w:p>
      <w:pPr>
        <w:spacing w:after="0" w:line="6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recorded income tax expense of $12,903 and $11,744, respectively, for the six months ended June 30, 2016 and 2015. The effective tax rate decreased from 35.2% during the six months ended June 30, 2015 to 29.9% during the six months ended June 30, 2016. The decrease was the result of (i) higher income tax expense during the six months ended June 30, 2015 due to certain adjustments (resulting in an increase in income tax expense of $1,818) and (ii) an increase in earnings in the locations with lower tax rates as well as tax incentives. The decrease in effective tax rate was partially offset by the reversal of earn-out liability of $4,060 in other income during six months ended June 30, 2016 related to the Company's RPM acquisition.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related to the gross unrecognized tax benefits from January 1, 2016 through June 30, 2016: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January 1, 2016</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43"/>
        </w:trPr>
        <w:tc>
          <w:tcPr>
            <w:tcW w:w="9740" w:type="dxa"/>
            <w:vAlign w:val="bottom"/>
          </w:tcPr>
          <w:p>
            <w:pPr>
              <w:ind w:left="380"/>
              <w:spacing w:after="0"/>
              <w:rPr>
                <w:sz w:val="20"/>
                <w:szCs w:val="20"/>
                <w:color w:val="auto"/>
              </w:rPr>
            </w:pPr>
            <w:r>
              <w:rPr>
                <w:rFonts w:ascii="Arial" w:cs="Arial" w:eastAsia="Arial" w:hAnsi="Arial"/>
                <w:sz w:val="18"/>
                <w:szCs w:val="18"/>
                <w:color w:val="auto"/>
              </w:rPr>
              <w:t>Increases related to prior year tax positions</w:t>
            </w: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Decreases related to prior year tax positions</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740" w:type="dxa"/>
            <w:vAlign w:val="bottom"/>
          </w:tcPr>
          <w:p>
            <w:pPr>
              <w:ind w:left="380"/>
              <w:spacing w:after="0"/>
              <w:rPr>
                <w:sz w:val="20"/>
                <w:szCs w:val="20"/>
                <w:color w:val="auto"/>
              </w:rPr>
            </w:pPr>
            <w:r>
              <w:rPr>
                <w:rFonts w:ascii="Arial" w:cs="Arial" w:eastAsia="Arial" w:hAnsi="Arial"/>
                <w:sz w:val="18"/>
                <w:szCs w:val="18"/>
                <w:color w:val="auto"/>
              </w:rPr>
              <w:t>Increases related to current year tax positions</w:t>
            </w: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Decreases related to current year tax positions</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740" w:type="dxa"/>
            <w:vAlign w:val="bottom"/>
          </w:tcPr>
          <w:p>
            <w:pPr>
              <w:ind w:left="380"/>
              <w:spacing w:after="0"/>
              <w:rPr>
                <w:sz w:val="20"/>
                <w:szCs w:val="20"/>
                <w:color w:val="auto"/>
              </w:rPr>
            </w:pPr>
            <w:r>
              <w:rPr>
                <w:rFonts w:ascii="Arial" w:cs="Arial" w:eastAsia="Arial" w:hAnsi="Arial"/>
                <w:sz w:val="18"/>
                <w:szCs w:val="18"/>
                <w:color w:val="auto"/>
              </w:rPr>
              <w:t>Effect of exchange rate changes</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97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2016</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rPr>
              <w:t>The unrecognized tax benefits as of June 30, 2016 of $2,761 if recognized, would impact the effective tax rate.</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7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months ended June 30, 2016 and 2015, the Company has recognized interest of $49 and $52, respectively, which are included in the income tax expense in the unaudited consolidated statements of income. As of June 30, 2016 and December 31, 2015, the Company has accrued approximately $1,346 and $1,269, respectively, in interest relating to unrecognized tax benefits.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 Based Compensation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costs related to the Company’s stock-based compensation plan are included in the unaudited consolidated statements of income:</w:t>
      </w:r>
    </w:p>
    <w:p>
      <w:pPr>
        <w:spacing w:after="0" w:line="287"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30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35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35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1,654</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1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4,336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2,869</w:t>
            </w:r>
          </w:p>
        </w:tc>
      </w:tr>
      <w:tr>
        <w:trPr>
          <w:trHeight w:val="27"/>
        </w:trPr>
        <w:tc>
          <w:tcPr>
            <w:tcW w:w="3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 expenses</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3,286</w:t>
            </w:r>
          </w:p>
        </w:tc>
      </w:tr>
      <w:tr>
        <w:trPr>
          <w:trHeight w:val="257"/>
        </w:trPr>
        <w:tc>
          <w:tcPr>
            <w:tcW w:w="3580" w:type="dxa"/>
            <w:vAlign w:val="bottom"/>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3,553</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10,259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7,809</w:t>
            </w:r>
          </w:p>
        </w:tc>
      </w:tr>
      <w:tr>
        <w:trPr>
          <w:trHeight w:val="20"/>
        </w:trPr>
        <w:tc>
          <w:tcPr>
            <w:tcW w:w="3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June 30, 2016, the Company had 1,975,484 shares available for grant under the 2015 Amendment and Restatement of the 2006 Omnibus Award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Intrinsic</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2015</w:t>
            </w:r>
          </w:p>
        </w:tc>
        <w:tc>
          <w:tcPr>
            <w:tcW w:w="138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1,210,141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34,638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5600" w:type="dxa"/>
            <w:vAlign w:val="bottom"/>
          </w:tcPr>
          <w:p>
            <w:pPr>
              <w:ind w:left="460"/>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(267,280)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60"/>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2016</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942,861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16.48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33,877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at June 30, 2016</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942,861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33,877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unrecognized compensation cost for unvested options as of June 30, 2016 is nil. The Company did not grant any options during the three and six months ended June 30, 2016 and 2015. There were no options that vested during the three months ended</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June 30, 2016. The total grant date fair value of options vested during the six months ended June 30, 2016 was $706. The total grant date fair value of options vested during the three and six months ended June 30, 2015 was $44 and $1,170,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817"/>
              <w:spacing w:after="0"/>
              <w:rPr>
                <w:sz w:val="20"/>
                <w:szCs w:val="20"/>
                <w:color w:val="auto"/>
              </w:rPr>
            </w:pPr>
            <w:r>
              <w:rPr>
                <w:rFonts w:ascii="Arial" w:cs="Arial" w:eastAsia="Arial" w:hAnsi="Arial"/>
                <w:sz w:val="14"/>
                <w:szCs w:val="14"/>
                <w:b w:val="1"/>
                <w:bCs w:val="1"/>
                <w:color w:val="auto"/>
              </w:rPr>
              <w:t>Restricted Stock</w:t>
            </w:r>
          </w:p>
        </w:tc>
        <w:tc>
          <w:tcPr>
            <w:tcW w:w="1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2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Intrinsic Value</w:t>
            </w:r>
          </w:p>
        </w:tc>
        <w:tc>
          <w:tcPr>
            <w:tcW w:w="14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3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134,935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1,228,287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43"/>
        </w:trPr>
        <w:tc>
          <w:tcPr>
            <w:tcW w:w="5620" w:type="dxa"/>
            <w:vAlign w:val="bottom"/>
          </w:tcPr>
          <w:p>
            <w:pPr>
              <w:ind w:left="48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393,916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34.61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(326,632)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43"/>
        </w:trPr>
        <w:tc>
          <w:tcPr>
            <w:tcW w:w="5620" w:type="dxa"/>
            <w:vAlign w:val="bottom"/>
          </w:tcPr>
          <w:p>
            <w:pPr>
              <w:ind w:left="48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(49,973)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2016*</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119,878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35.36</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1,245,598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4147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62"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As of June 30, 2016 and December 31, 2015 restricted stock units vested for which the underlying common stock is yet to be issued are 169,238 and 149,364, respectively.</w:t>
      </w:r>
    </w:p>
    <w:p>
      <w:pPr>
        <w:spacing w:after="0" w:line="239" w:lineRule="exact"/>
        <w:rPr>
          <w:rFonts w:ascii="Arial" w:cs="Arial" w:eastAsia="Arial" w:hAnsi="Arial"/>
          <w:sz w:val="14"/>
          <w:szCs w:val="14"/>
          <w:i w:val="1"/>
          <w:iCs w:val="1"/>
          <w:color w:val="auto"/>
        </w:rPr>
      </w:pPr>
    </w:p>
    <w:p>
      <w:pPr>
        <w:ind w:left="440"/>
        <w:spacing w:after="0"/>
        <w:rPr>
          <w:rFonts w:ascii="Arial" w:cs="Arial" w:eastAsia="Arial" w:hAnsi="Arial"/>
          <w:sz w:val="14"/>
          <w:szCs w:val="14"/>
          <w:i w:val="1"/>
          <w:iCs w:val="1"/>
          <w:color w:val="auto"/>
        </w:rPr>
      </w:pPr>
      <w:r>
        <w:rPr>
          <w:rFonts w:ascii="Arial" w:cs="Arial" w:eastAsia="Arial" w:hAnsi="Arial"/>
          <w:sz w:val="17"/>
          <w:szCs w:val="17"/>
          <w:color w:val="auto"/>
        </w:rPr>
        <w:t>As of June 30, 2016, unrecognized compensation cost of $40,648 is expected to be expensed over a weighted average period of 2.83 years.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Based Stock Awards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Performance restricted stock unit (the "PRSU's") activity under the Company’s stock plans is shown below:</w:t>
      </w:r>
    </w:p>
    <w:p>
      <w:pPr>
        <w:spacing w:after="0" w:line="230"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Revenue Based PRSUs</w:t>
            </w:r>
          </w:p>
        </w:tc>
        <w:tc>
          <w:tcPr>
            <w:tcW w:w="100" w:type="dxa"/>
            <w:vAlign w:val="bottom"/>
          </w:tcPr>
          <w:p>
            <w:pPr>
              <w:spacing w:after="0"/>
              <w:rPr>
                <w:sz w:val="16"/>
                <w:szCs w:val="16"/>
                <w:color w:val="auto"/>
              </w:rPr>
            </w:pPr>
          </w:p>
        </w:tc>
        <w:tc>
          <w:tcPr>
            <w:tcW w:w="2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Market Condition Based PRSUs</w:t>
            </w: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14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Weighted Avg</w:t>
            </w:r>
          </w:p>
        </w:tc>
        <w:tc>
          <w:tcPr>
            <w:tcW w:w="14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3"/>
                <w:szCs w:val="13"/>
                <w:color w:val="auto"/>
              </w:rPr>
            </w:pPr>
          </w:p>
        </w:tc>
        <w:tc>
          <w:tcPr>
            <w:tcW w:w="120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w w:val="98"/>
              </w:rPr>
              <w:t>Weighted Avg</w:t>
            </w: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29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2015</w:t>
            </w:r>
          </w:p>
        </w:tc>
        <w:tc>
          <w:tcPr>
            <w:tcW w:w="13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107,213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59,861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48.57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59,859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67.94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37.05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56.85</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2016*</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162,574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37.22</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June 30, 2016, unrecognized compensation cost of $11,873 is expected to be expensed over a weighted average period of 1.96 years.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Geographical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attributes the revenues to regions based upon location of its customers.</w:t>
      </w:r>
    </w:p>
    <w:p>
      <w:pPr>
        <w:spacing w:after="0" w:line="275"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3700" w:type="dxa"/>
            <w:vAlign w:val="bottom"/>
            <w:gridSpan w:val="6"/>
          </w:tcPr>
          <w:p>
            <w:pPr>
              <w:ind w:left="680"/>
              <w:spacing w:after="0"/>
              <w:rPr>
                <w:sz w:val="20"/>
                <w:szCs w:val="20"/>
                <w:color w:val="auto"/>
              </w:rPr>
            </w:pPr>
            <w:r>
              <w:rPr>
                <w:rFonts w:ascii="Arial" w:cs="Arial" w:eastAsia="Arial" w:hAnsi="Arial"/>
                <w:sz w:val="18"/>
                <w:szCs w:val="18"/>
                <w:b w:val="1"/>
                <w:bCs w:val="1"/>
                <w:color w:val="auto"/>
              </w:rPr>
              <w:t>Three months ended June 30,</w:t>
            </w:r>
          </w:p>
        </w:tc>
        <w:tc>
          <w:tcPr>
            <w:tcW w:w="420" w:type="dxa"/>
            <w:vAlign w:val="bottom"/>
          </w:tcPr>
          <w:p>
            <w:pPr>
              <w:spacing w:after="0"/>
              <w:rPr>
                <w:sz w:val="20"/>
                <w:szCs w:val="20"/>
                <w:color w:val="auto"/>
              </w:rPr>
            </w:pPr>
          </w:p>
        </w:tc>
        <w:tc>
          <w:tcPr>
            <w:tcW w:w="32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34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r>
      <w:tr>
        <w:trPr>
          <w:trHeight w:val="27"/>
        </w:trPr>
        <w:tc>
          <w:tcPr>
            <w:tcW w:w="34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 net</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136,151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122,840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270,225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234,705</w:t>
            </w:r>
          </w:p>
        </w:tc>
      </w:tr>
      <w:tr>
        <w:trPr>
          <w:trHeight w:val="27"/>
        </w:trPr>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53,288</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Rest of World</w:t>
            </w:r>
          </w:p>
        </w:tc>
        <w:tc>
          <w:tcPr>
            <w:tcW w:w="106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5,464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5,328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10,998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11,138</w:t>
            </w:r>
          </w:p>
        </w:tc>
      </w:tr>
      <w:tr>
        <w:trPr>
          <w:trHeight w:val="27"/>
        </w:trPr>
        <w:tc>
          <w:tcPr>
            <w:tcW w:w="34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3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170,478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155,621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337,514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299,131</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96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16"/>
                <w:szCs w:val="16"/>
                <w:color w:val="auto"/>
              </w:rPr>
            </w:pPr>
          </w:p>
        </w:tc>
        <w:tc>
          <w:tcPr>
            <w:tcW w:w="1460" w:type="dxa"/>
            <w:vAlign w:val="bottom"/>
          </w:tcPr>
          <w:p>
            <w:pPr>
              <w:jc w:val="right"/>
              <w:ind w:right="153"/>
              <w:spacing w:after="0"/>
              <w:rPr>
                <w:sz w:val="20"/>
                <w:szCs w:val="20"/>
                <w:color w:val="auto"/>
              </w:rPr>
            </w:pPr>
            <w:r>
              <w:rPr>
                <w:rFonts w:ascii="Arial" w:cs="Arial" w:eastAsia="Arial" w:hAnsi="Arial"/>
                <w:sz w:val="14"/>
                <w:szCs w:val="14"/>
                <w:b w:val="1"/>
                <w:bCs w:val="1"/>
                <w:color w:val="auto"/>
                <w:w w:val="95"/>
              </w:rPr>
              <w:t>December 31, 2015</w:t>
            </w:r>
          </w:p>
        </w:tc>
      </w:tr>
      <w:tr>
        <w:trPr>
          <w:trHeight w:val="250"/>
        </w:trPr>
        <w:tc>
          <w:tcPr>
            <w:tcW w:w="6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Fixed assets, net</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India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23,789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23,415</w:t>
            </w:r>
          </w:p>
        </w:tc>
      </w:tr>
      <w:tr>
        <w:trPr>
          <w:trHeight w:val="27"/>
        </w:trPr>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10,680</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Philippines</w:t>
            </w:r>
          </w:p>
        </w:tc>
        <w:tc>
          <w:tcPr>
            <w:tcW w:w="26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11,792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11,285</w:t>
            </w:r>
          </w:p>
        </w:tc>
      </w:tr>
      <w:tr>
        <w:trPr>
          <w:trHeight w:val="27"/>
        </w:trPr>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2,611</w:t>
            </w:r>
          </w:p>
        </w:tc>
      </w:tr>
      <w:tr>
        <w:trPr>
          <w:trHeight w:val="237"/>
        </w:trPr>
        <w:tc>
          <w:tcPr>
            <w:tcW w:w="6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49,708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47,991</w:t>
            </w:r>
          </w:p>
        </w:tc>
      </w:tr>
      <w:tr>
        <w:trPr>
          <w:trHeight w:val="27"/>
        </w:trPr>
        <w:tc>
          <w:tcPr>
            <w:tcW w:w="6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6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 Commitments</w:t>
      </w:r>
    </w:p>
    <w:p>
      <w:pPr>
        <w:spacing w:after="0" w:line="11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At June 30, 2016, the Company has committed to spend approximately $4,100 under agreements to purchase fixed assets. This amount is net of capital advances paid in respect of these purchases.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Certain units of the Company’s Indian subsidiaries were established as 100% Export-Oriented units or under the Software Technology Parks of India (“STPI”)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15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Company’s operations centers in the Philippines are registered with the Philippine Economic Zone Authority (“PEZA”). The registration provides the Company with certain fiscal incentives on the import of capital goods and requires ExlService Philippines, Inc. to meet certain performance and investment criteria. The Company’s management believes that these centers have in the past satisfied and will continue to satisfy the required criteria.</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a U.S. subsidiary are engaged in tax litigation with the income-tax authorities in India on the issue of permanent establishment.</w:t>
      </w:r>
    </w:p>
    <w:p>
      <w:pPr>
        <w:spacing w:after="0" w:line="17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aggregate disputed amount demanded by Indian tax authorities from the Company related to its transfer pricing issues for years ranging from tax years 2003 to 2013 and its permanent establishment issues ranging from tax years 2003 to 2007 as of June 30, 2016 and December 31, 2015 is $20,449 and $21,360, respectively, of which the Company has made payments or provided a bank guarantee to the extent of $14,198 and $14,668, respectively. Amounts paid as deposits in respect of such assessments aggregating to $12,236 and $12,665 as of June 30, 2016 and December 31, 2015, respectively, are included in “Other assets” and amounts deposited for bank guarantees aggregating to $1,962 and $2,003 as of June 30, 2016 and December 31, 2015, respectively, are included in “Restricted cash” in the non-current assets section of the Company’s consolidated balance sheets as of June 30, 2016 and December 31, 2015.</w:t>
      </w:r>
    </w:p>
    <w:p>
      <w:pPr>
        <w:spacing w:after="0" w:line="16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Based on advice from its Indian tax advisors, the facts underlying the Company’s position and its experience with these types of assessments, the Company believes that the probability that it will ultimately be found liable for these assessments 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remote and accordingly has not accrued any amount with respect to these matters in its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July 1, 2016, the Company, together with its wholly-owned subsidiary ExlService (UK) Limited, purchased Liss Systems Limited ("Liss"), a company incorporated under the laws of England and Wales for a total consideration of GBP 5,500 (including cash of GBP 4,300 and restricted stock of GBP 1,200). Liss is a London-based provider of digital customer acquisition and policy administration solutions for the insurance industry.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2015. Some of the statements in the following discussion are forward looking statements. See “Forward Looking Statements.” Dollar amounts within Item 2 are presented as actual, approximated, dollar amounts.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2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This Quarterly Report on Form 10-Q contains forward looking statements.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101" w:lineRule="exact"/>
        <w:rPr>
          <w:sz w:val="20"/>
          <w:szCs w:val="20"/>
          <w:color w:val="auto"/>
        </w:rPr>
      </w:pPr>
    </w:p>
    <w:p>
      <w:pPr>
        <w:ind w:left="720" w:hanging="388"/>
        <w:spacing w:after="0"/>
        <w:tabs>
          <w:tab w:leader="none" w:pos="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76"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withstand the loss of a significant customer ;</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unauthorized disclosure of sensitive or confidential client and customer data; and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and other risks could cause actual results to differ materially from those implied by forward looking statements in this Quarterly Report on Form 10-Q.</w:t>
      </w:r>
    </w:p>
    <w:p>
      <w:pPr>
        <w:spacing w:after="0" w:line="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forward 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 looking statements in this Quarterly Report on Form 10-Q after the date of this Quarterly Report on Form 10-Q, except as required by federal securities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a leading Operations Management and Analytics company that helps businesses enhance growth and profitability. Using our proprietary platforms, methodologies and tools we look deeper to help companies improve global operations, enhance data-driven insights, increase customer satisfaction, and manage risk and compliance. We serve the insurance, healthcare, banking and financial services, utilities and travel, transportation and logistics industries, among others.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operating segments are significant strategic business units that align our products and services with how we manage our business, approach our key markets and interact with our clients. Effective for the quarter and year ended December 31, 2015, we merged two of our operating segments (Operations Consulting and Finance Transformation, previously part of the Analytics and Business Transformation reportable segment) into the Consulting operating segment to reflect recent organizational changes. We have also revised our reportable segments to reflect management’s focus on the Analytics operating segment. All our other operating segments have been aggregated into the Operations Management reportable segment.</w:t>
      </w:r>
    </w:p>
    <w:p>
      <w:pPr>
        <w:spacing w:after="0" w:line="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current reportable segments are as follows:</w:t>
      </w:r>
    </w:p>
    <w:p>
      <w:pPr>
        <w:spacing w:after="0" w:line="9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Operations Management,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Analytics</w:t>
      </w:r>
    </w:p>
    <w:p>
      <w:pPr>
        <w:spacing w:after="0" w:line="10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restated the segment information for all prior periods presented herein to conform to the current presentation. This change in segment presentation does not affect our consolidated statements of income, balance sheets or statements of cash flows. For further descriptions of our operating segments, see Note 4 to the unaudited consolidated financial statements contained herein.</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global delivery network, which include highly trained industry and process specialists across the United States, Latin America, South Africa, Europe and Asia (primarily India and the Philippines), is a key asset. We have operations centers in India, the U.S., the Philippines, Bulgaria, Colombia, South Africa, Romania and the Czech Republic. During the three months ended June 30, 2016, we established two new operating centers, one each in India and the Philippines.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three months ended June 30, 2016, we had revenues of $170.5 million compared to revenues of $155.6 million for the three months ended June 30, 2015, an increase of $14.9 million, or 9.5%. Revenues from operations management services were $130.9 million for the three months ended June 30, 2016 compared to $125.0 million for the three months ended June 30, 2015. Revenues from analytics services were $39.6 million for the three months ended June 30, 2016 compared to $30.6 million for the three months ended June 30, 2015.</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six months ended June 30, 2016, we had revenues of $337.5 million compared to revenues of $299.1 million for the six months ended June 30, 2015, an increase of $38.4 million, or 12.8%. Revenues from operations management services were $258.9 million for the six months ended June 30, 2016 compared to $248.9 million for the six months ended June 30, 2015. Revenues from analytics services were $78.6 million for the six months ended June 30, 2016 compared to $50.2 million for the six months ended June 30, 2015.</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serve clients mainly in the U.S. and the U.K., with these two regions generating approximately 79.9% and 16.9%, respectively, of our total revenues for the three months ended June 30, 2016 and approximately 78.9% and 17.6%, respectively, of our revenues for the three months ended June 30, 2015. For the six months ended June 30, 2016, these two regions generated 80.1% and 16.7%, respectively, of our total revenues and 78.5% and 17.8%, respectively, of our total revenues for the six months ended June 30, 2015.</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three months ended June 30, 2016 and 2015, our total revenues from our top ten clients accounted for 40.2% and 42.0% of our total revenues, respectively. For the six months ended June 30, 2016 and 2015, our total revenues from our top ten clients accounted for 40.4% and 42.9% of our total revenues, respectively. None of our clients accounted for more than 10% of our total revenues during the three and six months ended June 30, 2016 and 2015. Although we are continually increasing and diversifying our customer base, we expect in the near future that a significant portion of our revenue will continue to be contributed by a limited number of large clients.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business is divided into two reporting segments: Operations Management and Analytics. We market our services to our existing and prospective clients through our sales and client management teams, which are aligned by key industry verticals and cross-industry domains such as finance and accounting. Our sales and client management teams operate from the U.S., Europe and Australia.</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Operations Management: We provide our clients with a range of operations management solutions principally in the insurance, healthcare, utilities, banking and financial services, and travel, transportation and logistics sectors, among others, as well as cross-industry operations management solutions, such as finance and accounting services.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Operations Management solutions typically involve the transfer to the Company of select business operations of a client such as claims processing, clinical operations, or financial transaction processing, after which we administer and manage the operations for our client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w:t>
      </w:r>
    </w:p>
    <w:p>
      <w:pPr>
        <w:spacing w:after="0" w:line="18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have been observing a shift in industry pricing models toward transaction-based pricing, outcome-based pricing and other pricing models. We believe this trend will continue, and we have begun to use transaction-based, outcome-based and other pricing models with some of our current clients and are seeking to move certain other clients from a billing rate model to a transaction-based or other pricing model. These transaction-based pricing models place the focus on operating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if we are required to modify the terms of our relationships with such clients to meet competition.</w:t>
      </w:r>
    </w:p>
    <w:p>
      <w:pPr>
        <w:spacing w:after="0" w:line="18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we increase our capabilities utilizing technology service platforms and other software-based services, we expect that revenues from such services will continue to grow in proportion to our total revenues. Revenues from annual maintenance and support contracts for our software platforms provide us with a relatively predictable revenue base and are generally recognized ratably over the terms of the contracts. New license sales and implementation projects have a long selling cycle and it is difficult to predict the timing of when such new contracts will be signed, which may lead to fluctuations in our revenues over the short term.</w:t>
      </w:r>
    </w:p>
    <w:p>
      <w:pPr>
        <w:spacing w:after="0" w:line="18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i w:val="1"/>
          <w:iCs w:val="1"/>
          <w:color w:val="auto"/>
        </w:rPr>
        <w:t xml:space="preserve">Analytics: </w:t>
      </w:r>
      <w:r>
        <w:rPr>
          <w:rFonts w:ascii="Arial" w:cs="Arial" w:eastAsia="Arial" w:hAnsi="Arial"/>
          <w:sz w:val="16"/>
          <w:szCs w:val="16"/>
          <w:color w:val="auto"/>
        </w:rPr>
        <w:t>Our Analytics services focus on driving improved business outcomes for our customers by generating data-driven insights across all parts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customers’ business. Our teams deliver predictive and prescriptive analytics in the areas of customer acquisition and lifecycle management, risk underwriting and pricing, operational effectiveness, credit and operational risk monitoring and governance, regulatory reporting, and data management. We actively cross-sell and, where appropriate, integrate our Analytics services with Operations Management as part of a comprehensive solution for our clients.</w:t>
      </w:r>
    </w:p>
    <w:p>
      <w:pPr>
        <w:spacing w:after="0" w:line="15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anticipate that revenues from our Analytics services will grow as we expand our service offerings and client base, both organically and through acquisitions.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a description of our critical accounting policies and estimates, refer to “Management’s Discussion and Analysis of Financial Condition and Results of Operations – Critical Accounting Policies and Estimates” and Note 2 to the Consolidated Financial Statements included in our 2015 Annual Report on Form 10-K for the year ended December 31, 2015.</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37"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results of operations for the three months ended June 30, 2016 and 2015:</w:t>
      </w:r>
    </w:p>
    <w:p>
      <w:pPr>
        <w:spacing w:after="0" w:line="338"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w w:val="98"/>
              </w:rPr>
              <w:t>Three months ended June 30,</w:t>
            </w:r>
          </w:p>
        </w:tc>
        <w:tc>
          <w:tcPr>
            <w:tcW w:w="3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311"/>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4"/>
        </w:trPr>
        <w:tc>
          <w:tcPr>
            <w:tcW w:w="47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2015</w:t>
            </w:r>
          </w:p>
        </w:tc>
      </w:tr>
      <w:tr>
        <w:trPr>
          <w:trHeight w:val="264"/>
        </w:trPr>
        <w:tc>
          <w:tcPr>
            <w:tcW w:w="4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4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22"/>
                <w:szCs w:val="22"/>
                <w:color w:val="auto"/>
              </w:rPr>
            </w:pPr>
          </w:p>
        </w:tc>
        <w:tc>
          <w:tcPr>
            <w:tcW w:w="2200" w:type="dxa"/>
            <w:vAlign w:val="bottom"/>
            <w:gridSpan w:val="3"/>
          </w:tcPr>
          <w:p>
            <w:pPr>
              <w:jc w:val="right"/>
              <w:ind w:right="531"/>
              <w:spacing w:after="0"/>
              <w:rPr>
                <w:sz w:val="20"/>
                <w:szCs w:val="20"/>
                <w:color w:val="auto"/>
              </w:rPr>
            </w:pPr>
            <w:r>
              <w:rPr>
                <w:rFonts w:ascii="Arial" w:cs="Arial" w:eastAsia="Arial" w:hAnsi="Arial"/>
                <w:sz w:val="14"/>
                <w:szCs w:val="14"/>
                <w:b w:val="1"/>
                <w:bCs w:val="1"/>
                <w:color w:val="auto"/>
              </w:rPr>
              <w:t>(dollars in millions)</w:t>
            </w:r>
          </w:p>
        </w:tc>
      </w:tr>
      <w:tr>
        <w:trPr>
          <w:trHeight w:val="256"/>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155.6</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337.5</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299.1</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w w:val="97"/>
              </w:rPr>
              <w:t>Cost of revenues (exclusive of depreciation and amortization)</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100.5</w:t>
            </w:r>
          </w:p>
        </w:tc>
        <w:tc>
          <w:tcPr>
            <w:tcW w:w="36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220.4</w:t>
            </w: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193.6</w:t>
            </w:r>
          </w:p>
        </w:tc>
      </w:tr>
      <w:tr>
        <w:trPr>
          <w:trHeight w:val="27"/>
        </w:trPr>
        <w:tc>
          <w:tcPr>
            <w:tcW w:w="4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w:t>
            </w: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117.1</w:t>
            </w: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41"/>
        </w:trPr>
        <w:tc>
          <w:tcPr>
            <w:tcW w:w="4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41.8</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Selling and marketing expenses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36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26.3</w:t>
            </w: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16.4</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39.9</w:t>
            </w: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84.5</w:t>
            </w: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w:t>
            </w:r>
          </w:p>
        </w:tc>
      </w:tr>
      <w:tr>
        <w:trPr>
          <w:trHeight w:val="27"/>
        </w:trPr>
        <w:tc>
          <w:tcPr>
            <w:tcW w:w="4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32.6</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Foreign exchange gain</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8.6</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w:t>
            </w: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43.0</w:t>
            </w: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r>
      <w:tr>
        <w:trPr>
          <w:trHeight w:val="27"/>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12.9</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30.1</w:t>
            </w:r>
          </w:p>
        </w:tc>
        <w:tc>
          <w:tcPr>
            <w:tcW w:w="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w:t>
            </w:r>
          </w:p>
        </w:tc>
      </w:tr>
      <w:tr>
        <w:trPr>
          <w:trHeight w:val="27"/>
        </w:trPr>
        <w:tc>
          <w:tcPr>
            <w:tcW w:w="4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40"/>
        </w:trPr>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653"/>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400"/>
          </w:cols>
          <w:pgMar w:left="240" w:top="337" w:right="1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Compared to Three Months Ended June 30, 2015</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Revenues.</w:t>
      </w:r>
    </w:p>
    <w:p>
      <w:pPr>
        <w:spacing w:after="0" w:line="328" w:lineRule="exact"/>
        <w:rPr>
          <w:sz w:val="20"/>
          <w:szCs w:val="20"/>
          <w:color w:val="auto"/>
        </w:rPr>
      </w:pPr>
    </w:p>
    <w:p>
      <w:pPr>
        <w:ind w:left="5620"/>
        <w:spacing w:after="0"/>
        <w:rPr>
          <w:sz w:val="20"/>
          <w:szCs w:val="20"/>
          <w:color w:val="auto"/>
        </w:rPr>
      </w:pPr>
      <w:r>
        <w:rPr>
          <w:rFonts w:ascii="Arial" w:cs="Arial" w:eastAsia="Arial" w:hAnsi="Arial"/>
          <w:sz w:val="14"/>
          <w:szCs w:val="14"/>
          <w:b w:val="1"/>
          <w:bCs w:val="1"/>
          <w:color w:val="auto"/>
        </w:rPr>
        <w:t>Three months ended June 30,</w:t>
      </w:r>
    </w:p>
    <w:tbl>
      <w:tblPr>
        <w:tblLayout w:type="fixed"/>
        <w:tblInd w:w="340" w:type="dxa"/>
        <w:tblCellMar>
          <w:top w:w="0" w:type="dxa"/>
          <w:left w:w="0" w:type="dxa"/>
          <w:bottom w:w="0" w:type="dxa"/>
          <w:right w:w="0" w:type="dxa"/>
        </w:tblCellMar>
      </w:tblPr>
      <w:tr>
        <w:trPr>
          <w:trHeight w:val="47"/>
        </w:trPr>
        <w:tc>
          <w:tcPr>
            <w:tcW w:w="47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vMerge w:val="restart"/>
          </w:tcPr>
          <w:p>
            <w:pPr>
              <w:jc w:val="right"/>
              <w:ind w:right="29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74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60" w:type="dxa"/>
            <w:vAlign w:val="bottom"/>
          </w:tcPr>
          <w:p>
            <w:pPr>
              <w:jc w:val="right"/>
              <w:ind w:right="4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w w:val="93"/>
              </w:rPr>
              <w:t>(dollars in millions)</w:t>
            </w:r>
          </w:p>
        </w:tc>
        <w:tc>
          <w:tcPr>
            <w:tcW w:w="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Operations Management</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130.9</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125.0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Analytics</w:t>
            </w:r>
          </w:p>
        </w:tc>
        <w:tc>
          <w:tcPr>
            <w:tcW w:w="84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170.5</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155.6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Revenues for the three months ended June 30, 2016 were $170.5 million, up $14.9 million or 9.5% compared to the three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03"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Revenue growth in Operations Management of $5.9 million was driven by net volume increases from our new and existing clients of $8.2 million. This increase in revenues was offset by a $2.3 million impact due to the depreciation of the Indian rupee, the U.K. pound sterling and the Philippine peso against the U.S. dollar during the three months ended June 30, 2016 compared to the three months ended June 30, 2015.</w:t>
      </w:r>
    </w:p>
    <w:p>
      <w:pPr>
        <w:spacing w:after="0" w:line="73" w:lineRule="exact"/>
        <w:rPr>
          <w:sz w:val="20"/>
          <w:szCs w:val="20"/>
          <w:color w:val="auto"/>
        </w:rPr>
      </w:pPr>
    </w:p>
    <w:p>
      <w:pPr>
        <w:jc w:val="both"/>
        <w:ind w:firstLine="554"/>
        <w:spacing w:after="0" w:line="286" w:lineRule="auto"/>
        <w:rPr>
          <w:sz w:val="20"/>
          <w:szCs w:val="20"/>
          <w:color w:val="auto"/>
        </w:rPr>
      </w:pPr>
      <w:r>
        <w:rPr>
          <w:rFonts w:ascii="Arial" w:cs="Arial" w:eastAsia="Arial" w:hAnsi="Arial"/>
          <w:sz w:val="17"/>
          <w:szCs w:val="17"/>
          <w:color w:val="auto"/>
        </w:rPr>
        <w:t>Revenue growth in Analytics of $9.0 million was driven by net volume increases in our recurring and project based engagements from our existing clients of $9.1 million and new client wins of $0.4 million. The increase was offset by a decrease of $0.5 million due to the depreciation of the U.K. pound sterling against the U.S. dollar during the three months ended June 30, 2016 compared to the three months ended June 30, 2015.</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0" w:lineRule="exact"/>
        <w:rPr>
          <w:sz w:val="20"/>
          <w:szCs w:val="20"/>
          <w:color w:val="auto"/>
        </w:rPr>
      </w:pPr>
    </w:p>
    <w:p>
      <w:pPr>
        <w:ind w:left="5580"/>
        <w:spacing w:after="0"/>
        <w:rPr>
          <w:sz w:val="20"/>
          <w:szCs w:val="20"/>
          <w:color w:val="auto"/>
        </w:rPr>
      </w:pPr>
      <w:r>
        <w:rPr>
          <w:rFonts w:ascii="Arial" w:cs="Arial" w:eastAsia="Arial" w:hAnsi="Arial"/>
          <w:sz w:val="14"/>
          <w:szCs w:val="14"/>
          <w:b w:val="1"/>
          <w:bCs w:val="1"/>
          <w:color w:val="auto"/>
        </w:rPr>
        <w:t>Three months ended June 30,</w:t>
      </w:r>
    </w:p>
    <w:tbl>
      <w:tblPr>
        <w:tblLayout w:type="fixed"/>
        <w:tblInd w:w="340" w:type="dxa"/>
        <w:tblCellMar>
          <w:top w:w="0" w:type="dxa"/>
          <w:left w:w="0" w:type="dxa"/>
          <w:bottom w:w="0" w:type="dxa"/>
          <w:right w:w="0" w:type="dxa"/>
        </w:tblCellMar>
      </w:tblPr>
      <w:tr>
        <w:trPr>
          <w:trHeight w:val="47"/>
        </w:trPr>
        <w:tc>
          <w:tcPr>
            <w:tcW w:w="45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vMerge w:val="restart"/>
          </w:tcPr>
          <w:p>
            <w:pPr>
              <w:jc w:val="right"/>
              <w:ind w:right="29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40" w:type="dxa"/>
            <w:vAlign w:val="bottom"/>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170.5</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360" w:type="dxa"/>
            <w:vAlign w:val="bottom"/>
          </w:tcPr>
          <w:p>
            <w:pPr>
              <w:spacing w:after="0"/>
              <w:rPr>
                <w:sz w:val="21"/>
                <w:szCs w:val="21"/>
                <w:color w:val="auto"/>
              </w:rPr>
            </w:pP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112.0</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58.5</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554"/>
        <w:spacing w:after="0" w:line="297" w:lineRule="auto"/>
        <w:rPr>
          <w:sz w:val="20"/>
          <w:szCs w:val="20"/>
          <w:color w:val="auto"/>
        </w:rPr>
      </w:pPr>
      <w:r>
        <w:rPr>
          <w:rFonts w:ascii="Arial" w:cs="Arial" w:eastAsia="Arial" w:hAnsi="Arial"/>
          <w:sz w:val="16"/>
          <w:szCs w:val="16"/>
          <w:color w:val="auto"/>
        </w:rPr>
        <w:t>The increase in cost of revenues was primarily due to an increase in employee-related costs of $10.6 million primarily due to annual wage increases and an increase in our average headcount of personnel directly involved in providing services to our clients. We also experienced an increase in facilities, technology and other operating expenses of $3.5 million and in reimbursable expenses of $0.9 million, resulting in a corresponding increase in revenues. These increases were partially offset by a decrease of $3.5 million due to the impact of depreciation of the Indian rupee, the U.K pound sterling and the Philippine peso against the U.S. dollar during the three months ended June 30, 2016 compared to the three months ended June 30, 2015.</w:t>
      </w:r>
    </w:p>
    <w:p>
      <w:pPr>
        <w:spacing w:after="0" w:line="154"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profit increased by $3.4 million, or 6.0%, from $55.1 million for the three months ended June 30, 2015 to $58.5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2016. The increase was primarily due to higher revenues in our Analytics services and depreciation of the Indian rupee, the Philippine peso and the U.K. pound sterling against the U.S. dollar.</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20" w:lineRule="exact"/>
        <w:rPr>
          <w:sz w:val="20"/>
          <w:szCs w:val="20"/>
          <w:color w:val="auto"/>
        </w:rPr>
      </w:pPr>
    </w:p>
    <w:p>
      <w:pPr>
        <w:ind w:left="5580"/>
        <w:spacing w:after="0"/>
        <w:rPr>
          <w:sz w:val="20"/>
          <w:szCs w:val="20"/>
          <w:color w:val="auto"/>
        </w:rPr>
      </w:pPr>
      <w:r>
        <w:rPr>
          <w:rFonts w:ascii="Arial" w:cs="Arial" w:eastAsia="Arial" w:hAnsi="Arial"/>
          <w:sz w:val="14"/>
          <w:szCs w:val="14"/>
          <w:b w:val="1"/>
          <w:bCs w:val="1"/>
          <w:color w:val="auto"/>
        </w:rPr>
        <w:t>Three months ended June 30,</w:t>
      </w:r>
    </w:p>
    <w:tbl>
      <w:tblPr>
        <w:tblLayout w:type="fixed"/>
        <w:tblInd w:w="340" w:type="dxa"/>
        <w:tblCellMar>
          <w:top w:w="0" w:type="dxa"/>
          <w:left w:w="0" w:type="dxa"/>
          <w:bottom w:w="0" w:type="dxa"/>
          <w:right w:w="0" w:type="dxa"/>
        </w:tblCellMar>
      </w:tblPr>
      <w:tr>
        <w:trPr>
          <w:trHeight w:val="47"/>
        </w:trPr>
        <w:tc>
          <w:tcPr>
            <w:tcW w:w="46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vMerge w:val="restart"/>
          </w:tcPr>
          <w:p>
            <w:pPr>
              <w:jc w:val="right"/>
              <w:ind w:right="29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64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6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40" w:type="dxa"/>
            <w:vAlign w:val="bottom"/>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Selling and marketing expenses</w:t>
            </w:r>
          </w:p>
        </w:tc>
        <w:tc>
          <w:tcPr>
            <w:tcW w:w="880" w:type="dxa"/>
            <w:vAlign w:val="bottom"/>
          </w:tcPr>
          <w:p>
            <w:pPr>
              <w:spacing w:after="0"/>
              <w:rPr>
                <w:sz w:val="21"/>
                <w:szCs w:val="21"/>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4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w w:val="93"/>
              </w:rPr>
              <w:t>19.9%</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3"/>
              </w:rPr>
              <w:t>20.5%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increase in SG&amp;A expenses was primarily due to an increase in employee-related costs of $2.2 million due to annual wage increments and an increase in our average headcount to support increased business volume. We also experienced an increase in our other SG&amp;A expenses of $0.5 million primarily due to an increase in our facilities costs in connection with</w:t>
      </w:r>
    </w:p>
    <w:p>
      <w:pPr>
        <w:sectPr>
          <w:pgSz w:w="11900" w:h="16838" w:orient="portrait"/>
          <w:cols w:equalWidth="0" w:num="1">
            <w:col w:w="11420"/>
          </w:cols>
          <w:pgMar w:left="240" w:top="337"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337"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new operations centers in India and the Philippines and other travel and marketing related costs. This increase was partially offset by a decrease of $0.6 million due to the impact of depreciation of the Indian rupee, the U.K. pound sterling and the Philippine peso against the U.S. dollar during the three months ended June 30, 2016 compared to the three months ended June 30, 2015.</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ind w:left="5540"/>
        <w:spacing w:after="0"/>
        <w:rPr>
          <w:sz w:val="20"/>
          <w:szCs w:val="20"/>
          <w:color w:val="auto"/>
        </w:rPr>
      </w:pPr>
      <w:r>
        <w:rPr>
          <w:rFonts w:ascii="Arial" w:cs="Arial" w:eastAsia="Arial" w:hAnsi="Arial"/>
          <w:sz w:val="14"/>
          <w:szCs w:val="14"/>
          <w:b w:val="1"/>
          <w:bCs w:val="1"/>
          <w:color w:val="auto"/>
        </w:rPr>
        <w:t>Three months ended June 30,</w:t>
      </w:r>
    </w:p>
    <w:tbl>
      <w:tblPr>
        <w:tblLayout w:type="fixed"/>
        <w:tblInd w:w="340" w:type="dxa"/>
        <w:tblCellMar>
          <w:top w:w="0" w:type="dxa"/>
          <w:left w:w="0" w:type="dxa"/>
          <w:bottom w:w="0" w:type="dxa"/>
          <w:right w:w="0" w:type="dxa"/>
        </w:tblCellMar>
      </w:tblPr>
      <w:tr>
        <w:trPr>
          <w:trHeight w:val="47"/>
        </w:trPr>
        <w:tc>
          <w:tcPr>
            <w:tcW w:w="456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restart"/>
          </w:tcPr>
          <w:p>
            <w:pPr>
              <w:jc w:val="right"/>
              <w:ind w:right="31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56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80" w:type="dxa"/>
            <w:vAlign w:val="bottom"/>
          </w:tcPr>
          <w:p>
            <w:pPr>
              <w:jc w:val="right"/>
              <w:ind w:right="4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56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Intangible amortization expense</w:t>
            </w:r>
          </w:p>
        </w:tc>
        <w:tc>
          <w:tcPr>
            <w:tcW w:w="900" w:type="dxa"/>
            <w:vAlign w:val="bottom"/>
          </w:tcPr>
          <w:p>
            <w:pPr>
              <w:spacing w:after="0"/>
              <w:rPr>
                <w:sz w:val="21"/>
                <w:szCs w:val="21"/>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8.3</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6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92"/>
              </w:rPr>
              <w:t>4.9%</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w w:val="92"/>
              </w:rPr>
              <w:t>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Depreciation and amortization expense increased by $0.2 million, or 2.6%, from $8.1 million for the three months ended June 30, 2015 to $8.3 million for the three months ended June 30, 2016. The increase in depreciation expense of $0.6 million is primarily due to depreciation related to our new capital investments in India, South Africa and the Philippines to support the business growth. The increase was partially offset by a decrease of $0.3 million due to depreciation of the Indian rupee and the Philippine peso against the U.S. dollar during the three months ended June 30, 2016 compared to the three months ended June 30, 2015.</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$1.0 million, or 6.5%, from $15.2 million for the three months ended June 30, 2015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$16.2 million for the three months ended June 30, 2016. As a percentage of revenues, income from operations decreased from 9.8% for the three months ended June 30, 2015 to 9.5% for the three months ended June 30, 2016.</w:t>
      </w:r>
    </w:p>
    <w:p>
      <w:pPr>
        <w:spacing w:after="0" w:line="7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Foreign Exchange Gain /( Loss). </w:t>
      </w:r>
      <w:r>
        <w:rPr>
          <w:rFonts w:ascii="Arial" w:cs="Arial" w:eastAsia="Arial" w:hAnsi="Arial"/>
          <w:sz w:val="18"/>
          <w:szCs w:val="18"/>
          <w:color w:val="auto"/>
        </w:rPr>
        <w:t>Net foreign exchange gains and losses are primarily attributable to movement of the U.S. dollar against the Indian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rupee, the U.K. pound sterling and the Philippine peso during the three months ended June 30, 2016. The average exchange rate of the Indian rupee against the U.S. dollar increased from 63.60 during the three months ended June 30, 2015 to 67.06 during the three months ended June 30, 2016. The average exchange rate of the U.K. pound sterling against the U.S. dollar increased from 0.65 during the three months ended June 30, 2015 to 0.70 during the three months ended June 30, 2016. The average exchange rate of the Philippine peso against the U.S. dollar increased from 44.73 during the three months ended June 30, 2015 to 46.90 during the three months ended June 30, 2016.</w:t>
      </w:r>
    </w:p>
    <w:p>
      <w:pPr>
        <w:spacing w:after="0" w:line="8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recorded a net foreign exchange gain of $1.4 million for the three months ended June 30, 2016 compared to $1.0 million for the three months ended June 30, 2015.</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220"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Three months ended June 30,</w:t>
      </w:r>
    </w:p>
    <w:tbl>
      <w:tblPr>
        <w:tblLayout w:type="fixed"/>
        <w:tblInd w:w="0" w:type="dxa"/>
        <w:tblCellMar>
          <w:top w:w="0" w:type="dxa"/>
          <w:left w:w="0" w:type="dxa"/>
          <w:bottom w:w="0" w:type="dxa"/>
          <w:right w:w="0" w:type="dxa"/>
        </w:tblCellMar>
      </w:tblPr>
      <w:tr>
        <w:trPr>
          <w:trHeight w:val="47"/>
        </w:trPr>
        <w:tc>
          <w:tcPr>
            <w:tcW w:w="48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vMerge w:val="restart"/>
          </w:tcPr>
          <w:p>
            <w:pPr>
              <w:jc w:val="right"/>
              <w:ind w:right="335"/>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80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520" w:type="dxa"/>
            <w:vAlign w:val="bottom"/>
          </w:tcPr>
          <w:p>
            <w:pPr>
              <w:jc w:val="right"/>
              <w:ind w:right="4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(dollars in millions)</w:t>
            </w: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dividend income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53.3 %</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earn-out consideration</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86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333.3 %</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Increase in interest and dividend income was primarily due to higher cash balances in our foreign subsidiaries and higher yield on our investments during the three months ended June 30, 2016 compared to the three months ended June 30, 2015. Other income further increased by $3.8 million due to reversal of earn-out liability related to our RPM acquisition.</w:t>
      </w:r>
    </w:p>
    <w:p>
      <w:pPr>
        <w:spacing w:after="0" w:line="18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The effective tax rate decreased from 31.4% during the three months ended June 30, 2015 to 30.0% during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2016. The effective tax rate decreased due to an increase in earnings in locations with lower tax rates as well as tax incentives, partially offset by the reversal of the earn-out liability of $3.8 million in other income during the three months ended June 30, 2016, related to our RPM acquisition.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$12.1 million for the three months ended June 30, 2015 to $16.4 million for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primarily due to higher income from operations of $1.0 million and an increase in other income and foreign exchange gain of $4.8 million, partially offset by a higher income tax expense of $1.5 million. As a percentage of revenues, net income increased from 7.8% for the three months ended June 30, 2015 to 9.6% for the three months ended June 30, 2016.</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Six Months Ended June 30, 2016 Compared to Six Months Ended June 30, 2015</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Revenues.</w:t>
      </w:r>
    </w:p>
    <w:p>
      <w:pPr>
        <w:spacing w:after="0" w:line="328" w:lineRule="exact"/>
        <w:rPr>
          <w:sz w:val="20"/>
          <w:szCs w:val="20"/>
          <w:color w:val="auto"/>
        </w:rPr>
      </w:pPr>
    </w:p>
    <w:p>
      <w:pPr>
        <w:ind w:left="5720"/>
        <w:spacing w:after="0"/>
        <w:rPr>
          <w:sz w:val="20"/>
          <w:szCs w:val="20"/>
          <w:color w:val="auto"/>
        </w:rPr>
      </w:pPr>
      <w:r>
        <w:rPr>
          <w:rFonts w:ascii="Arial" w:cs="Arial" w:eastAsia="Arial" w:hAnsi="Arial"/>
          <w:sz w:val="14"/>
          <w:szCs w:val="14"/>
          <w:b w:val="1"/>
          <w:bCs w:val="1"/>
          <w:color w:val="auto"/>
        </w:rPr>
        <w:t>Six months ended June 30,</w:t>
      </w:r>
    </w:p>
    <w:tbl>
      <w:tblPr>
        <w:tblLayout w:type="fixed"/>
        <w:tblInd w:w="340" w:type="dxa"/>
        <w:tblCellMar>
          <w:top w:w="0" w:type="dxa"/>
          <w:left w:w="0" w:type="dxa"/>
          <w:bottom w:w="0" w:type="dxa"/>
          <w:right w:w="0" w:type="dxa"/>
        </w:tblCellMar>
      </w:tblPr>
      <w:tr>
        <w:trPr>
          <w:trHeight w:val="47"/>
        </w:trPr>
        <w:tc>
          <w:tcPr>
            <w:tcW w:w="47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vMerge w:val="restart"/>
          </w:tcPr>
          <w:p>
            <w:pPr>
              <w:jc w:val="right"/>
              <w:ind w:right="29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74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60" w:type="dxa"/>
            <w:vAlign w:val="bottom"/>
          </w:tcPr>
          <w:p>
            <w:pPr>
              <w:jc w:val="right"/>
              <w:ind w:right="4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w w:val="93"/>
              </w:rPr>
              <w:t>(dollars in millions)</w:t>
            </w:r>
          </w:p>
        </w:tc>
        <w:tc>
          <w:tcPr>
            <w:tcW w:w="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Operations Management</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258.9</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248.9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Analytics</w:t>
            </w:r>
          </w:p>
        </w:tc>
        <w:tc>
          <w:tcPr>
            <w:tcW w:w="84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337.5</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299.1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Revenues for the six months ended June 30, 2016 were $337.5 million, up $38.4 million or 12.8% compared to the six months ended June 30, 2015.</w:t>
      </w:r>
    </w:p>
    <w:p>
      <w:pPr>
        <w:spacing w:after="0" w:line="140" w:lineRule="exact"/>
        <w:rPr>
          <w:sz w:val="20"/>
          <w:szCs w:val="20"/>
          <w:color w:val="auto"/>
        </w:rPr>
      </w:pPr>
    </w:p>
    <w:p>
      <w:pPr>
        <w:jc w:val="both"/>
        <w:ind w:firstLine="554"/>
        <w:spacing w:after="0" w:line="286" w:lineRule="auto"/>
        <w:rPr>
          <w:sz w:val="20"/>
          <w:szCs w:val="20"/>
          <w:color w:val="auto"/>
        </w:rPr>
      </w:pPr>
      <w:r>
        <w:rPr>
          <w:rFonts w:ascii="Arial" w:cs="Arial" w:eastAsia="Arial" w:hAnsi="Arial"/>
          <w:sz w:val="17"/>
          <w:szCs w:val="17"/>
          <w:color w:val="auto"/>
        </w:rPr>
        <w:t>Revenue growth in Operations Management of $10.0 million was driven by net volume increases from our new and existing clients of $15.1 million. This increase in revenues was offset by a $5.1 million impact due to the depreciation of the Indian rupee, the U.K. pound sterling and the Philippine peso against the U.S. dollar during the six months ended June 30, 2016 compared to the three months ended June 30, 2015.</w:t>
      </w:r>
    </w:p>
    <w:p>
      <w:pPr>
        <w:spacing w:after="0" w:line="57"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Revenue growth in Analytics of $28.4 million was driven by an incremental revenue of $11.9 million from our RPM acquisition and net volume increases in our recurring and project based engagements from our existing clients of $16.5 million and new client wins of $0.8 million. The increase was offset by a decrease of $0.8 million due to the depreciation of the U.K. pound sterling against the U.S. dollar during the six months ended June 30, 2016 compared to the six months ended June 30, 2015.</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0" w:lineRule="exact"/>
        <w:rPr>
          <w:sz w:val="20"/>
          <w:szCs w:val="20"/>
          <w:color w:val="auto"/>
        </w:rPr>
      </w:pPr>
    </w:p>
    <w:p>
      <w:pPr>
        <w:ind w:left="5660"/>
        <w:spacing w:after="0"/>
        <w:rPr>
          <w:sz w:val="20"/>
          <w:szCs w:val="20"/>
          <w:color w:val="auto"/>
        </w:rPr>
      </w:pPr>
      <w:r>
        <w:rPr>
          <w:rFonts w:ascii="Arial" w:cs="Arial" w:eastAsia="Arial" w:hAnsi="Arial"/>
          <w:sz w:val="14"/>
          <w:szCs w:val="14"/>
          <w:b w:val="1"/>
          <w:bCs w:val="1"/>
          <w:color w:val="auto"/>
        </w:rPr>
        <w:t>Six months ended June 30,</w:t>
      </w:r>
    </w:p>
    <w:tbl>
      <w:tblPr>
        <w:tblLayout w:type="fixed"/>
        <w:tblInd w:w="340" w:type="dxa"/>
        <w:tblCellMar>
          <w:top w:w="0" w:type="dxa"/>
          <w:left w:w="0" w:type="dxa"/>
          <w:bottom w:w="0" w:type="dxa"/>
          <w:right w:w="0" w:type="dxa"/>
        </w:tblCellMar>
      </w:tblPr>
      <w:tr>
        <w:trPr>
          <w:trHeight w:val="47"/>
        </w:trPr>
        <w:tc>
          <w:tcPr>
            <w:tcW w:w="45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vMerge w:val="restart"/>
          </w:tcPr>
          <w:p>
            <w:pPr>
              <w:jc w:val="right"/>
              <w:ind w:right="29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40" w:type="dxa"/>
            <w:vAlign w:val="bottom"/>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337.5</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299.1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360" w:type="dxa"/>
            <w:vAlign w:val="bottom"/>
          </w:tcPr>
          <w:p>
            <w:pPr>
              <w:spacing w:after="0"/>
              <w:rPr>
                <w:sz w:val="21"/>
                <w:szCs w:val="21"/>
                <w:color w:val="auto"/>
              </w:rPr>
            </w:pP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220.4</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193.6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117.1</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554"/>
        <w:spacing w:after="0" w:line="272" w:lineRule="auto"/>
        <w:rPr>
          <w:sz w:val="20"/>
          <w:szCs w:val="20"/>
          <w:color w:val="auto"/>
        </w:rPr>
      </w:pPr>
      <w:r>
        <w:rPr>
          <w:rFonts w:ascii="Arial" w:cs="Arial" w:eastAsia="Arial" w:hAnsi="Arial"/>
          <w:sz w:val="17"/>
          <w:szCs w:val="17"/>
          <w:color w:val="auto"/>
        </w:rPr>
        <w:t>The increase in cost of revenues was primarily due to an increase in employee-related costs of $21.8 million (including $1.3 million of incremental employee-related costs related to our RPM acquisition). The remaining increase of $20.5 million in employee-related cost was primarily due to annual wage increases and an increase in our average headcount of personnel directly involved in providing services to our clients. We also experienced an increase in facilities, technology and other operating expenses of $11.3 million (including incremental cost of revenues of $6.5 million related to our RPM acquisition) and in reimbursable expenses of $1.7 million, resulting in a corresponding increase in revenues. These increases were partially offset by a decrease of $8.0 million due to the impact of depreciation of the Indian rupee, the U.K pound sterling and the Philippine peso against the U.S. dollar during the six months ended June 30, 2016 compared to the six months ended June 30, 2015.</w:t>
      </w:r>
    </w:p>
    <w:p>
      <w:pPr>
        <w:spacing w:after="0" w:line="174"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profit increased by $11.6 million, or 11.0%, from $105.5 million for the six months ended June 30, 2015 to $117.1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six months ended June 30, 2016. The increase was primarily due to higher revenues in our Analytics services and depreciation of the Indian rupee, the Philippine peso and the U.K. pound sterling against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20" w:lineRule="exact"/>
        <w:rPr>
          <w:sz w:val="20"/>
          <w:szCs w:val="20"/>
          <w:color w:val="auto"/>
        </w:rPr>
      </w:pPr>
    </w:p>
    <w:p>
      <w:pPr>
        <w:ind w:left="5680"/>
        <w:spacing w:after="0"/>
        <w:rPr>
          <w:sz w:val="20"/>
          <w:szCs w:val="20"/>
          <w:color w:val="auto"/>
        </w:rPr>
      </w:pPr>
      <w:r>
        <w:rPr>
          <w:rFonts w:ascii="Arial" w:cs="Arial" w:eastAsia="Arial" w:hAnsi="Arial"/>
          <w:sz w:val="14"/>
          <w:szCs w:val="14"/>
          <w:b w:val="1"/>
          <w:bCs w:val="1"/>
          <w:color w:val="auto"/>
        </w:rPr>
        <w:t>Six months ended June 30,</w:t>
      </w:r>
    </w:p>
    <w:tbl>
      <w:tblPr>
        <w:tblLayout w:type="fixed"/>
        <w:tblInd w:w="340" w:type="dxa"/>
        <w:tblCellMar>
          <w:top w:w="0" w:type="dxa"/>
          <w:left w:w="0" w:type="dxa"/>
          <w:bottom w:w="0" w:type="dxa"/>
          <w:right w:w="0" w:type="dxa"/>
        </w:tblCellMar>
      </w:tblPr>
      <w:tr>
        <w:trPr>
          <w:trHeight w:val="47"/>
        </w:trPr>
        <w:tc>
          <w:tcPr>
            <w:tcW w:w="46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vMerge w:val="restart"/>
          </w:tcPr>
          <w:p>
            <w:pPr>
              <w:jc w:val="right"/>
              <w:ind w:right="29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64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6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40" w:type="dxa"/>
            <w:vAlign w:val="bottom"/>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Selling and marketing expenses</w:t>
            </w:r>
          </w:p>
        </w:tc>
        <w:tc>
          <w:tcPr>
            <w:tcW w:w="880" w:type="dxa"/>
            <w:vAlign w:val="bottom"/>
          </w:tcPr>
          <w:p>
            <w:pPr>
              <w:spacing w:after="0"/>
              <w:rPr>
                <w:sz w:val="21"/>
                <w:szCs w:val="21"/>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4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w w:val="93"/>
              </w:rPr>
              <w:t>20.2%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3"/>
              </w:rPr>
              <w:t>20.6%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increase in SG&amp;A expenses was primarily due to an increase in employee-related costs of $7.2 million (including $2.1 million of incremental employee-related costs related to our RPM acquisition). The remaining increase of $5.1 million in employee-related cost was primarily due to annual wage increments and an increase in our average headcount to support increased business volume. We also experienced an increase in our other SG&amp;A expenses of $0.7 million (including $0.2 million related to our RPM acquisition) primarily due to an increase in our facilities costs in connection with our new operations centers in India and the Philippines and other travel and marketing related costs. This increase was partially offset by a decrease of $1.5 million due to the impact of depreciation of the Indian rupee, the U.K. pound sterling and the Philippine peso against the U.S. dollar during the six months ended June 30, 2016 compared to the six months ended June 30, 2015.</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ind w:left="5680"/>
        <w:spacing w:after="0"/>
        <w:rPr>
          <w:sz w:val="20"/>
          <w:szCs w:val="20"/>
          <w:color w:val="auto"/>
        </w:rPr>
      </w:pPr>
      <w:r>
        <w:rPr>
          <w:rFonts w:ascii="Arial" w:cs="Arial" w:eastAsia="Arial" w:hAnsi="Arial"/>
          <w:sz w:val="14"/>
          <w:szCs w:val="14"/>
          <w:b w:val="1"/>
          <w:bCs w:val="1"/>
          <w:color w:val="auto"/>
        </w:rPr>
        <w:t>Six months ended June 30,</w:t>
      </w:r>
    </w:p>
    <w:tbl>
      <w:tblPr>
        <w:tblLayout w:type="fixed"/>
        <w:tblInd w:w="340" w:type="dxa"/>
        <w:tblCellMar>
          <w:top w:w="0" w:type="dxa"/>
          <w:left w:w="0" w:type="dxa"/>
          <w:bottom w:w="0" w:type="dxa"/>
          <w:right w:w="0" w:type="dxa"/>
        </w:tblCellMar>
      </w:tblPr>
      <w:tr>
        <w:trPr>
          <w:trHeight w:val="47"/>
        </w:trPr>
        <w:tc>
          <w:tcPr>
            <w:tcW w:w="46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vMerge w:val="restart"/>
          </w:tcPr>
          <w:p>
            <w:pPr>
              <w:jc w:val="right"/>
              <w:ind w:right="29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64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6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40" w:type="dxa"/>
            <w:vAlign w:val="bottom"/>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w w:val="95"/>
              </w:rPr>
              <w:t>(dollars in millions)</w:t>
            </w: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1"/>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Intangible amortization expense</w:t>
            </w:r>
          </w:p>
        </w:tc>
        <w:tc>
          <w:tcPr>
            <w:tcW w:w="880" w:type="dxa"/>
            <w:vAlign w:val="bottom"/>
          </w:tcPr>
          <w:p>
            <w:pPr>
              <w:spacing w:after="0"/>
              <w:rPr>
                <w:sz w:val="21"/>
                <w:szCs w:val="21"/>
                <w:color w:val="auto"/>
              </w:rPr>
            </w:pPr>
          </w:p>
        </w:tc>
        <w:tc>
          <w:tcPr>
            <w:tcW w:w="560" w:type="dxa"/>
            <w:vAlign w:val="bottom"/>
          </w:tcPr>
          <w:p>
            <w:pPr>
              <w:jc w:val="right"/>
              <w:ind w:right="9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1"/>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4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554"/>
        <w:spacing w:after="0" w:line="255" w:lineRule="auto"/>
        <w:rPr>
          <w:sz w:val="20"/>
          <w:szCs w:val="20"/>
          <w:color w:val="auto"/>
        </w:rPr>
      </w:pPr>
      <w:r>
        <w:rPr>
          <w:rFonts w:ascii="Arial" w:cs="Arial" w:eastAsia="Arial" w:hAnsi="Arial"/>
          <w:sz w:val="18"/>
          <w:szCs w:val="18"/>
          <w:color w:val="auto"/>
        </w:rPr>
        <w:t>Depreciation and amortization expense increased by $1.3 million, or 8.5%, from $15.1 million for the six months ended June 30, 2015 to $16.4 million for the six months ended June 30, 2016. The increase in amortization of intangibles of $0.5 million was primarily due to amortization of intangibles associated with our RPM acquisition. Further, there was an increase in our depreciation expense of $1.3 million due to depreciation related to our new capital investments in India, South Africa and the Philippines to support the business growth. These increases were partially offset by a decrease of $0.5 million due to depreciation of the Indian rupee and the Philippine peso against the U.S. dollar during the six months ended June 30, 2016 compared to the six months ended June 30, 2015.</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$4.0 million, or 13.8%, from $28.7 million for the six months ended June 30, 2015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$32.7 million for the six months ended June 30, 2016. As a percentage of revenues, income from operations increased from 9.6% for the six months ended June 30, 2015 to 9.7% for the six months ended June 30, 2016.</w:t>
      </w:r>
    </w:p>
    <w:p>
      <w:pPr>
        <w:spacing w:after="0" w:line="7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Foreign Exchange Gain /( Loss). </w:t>
      </w:r>
      <w:r>
        <w:rPr>
          <w:rFonts w:ascii="Arial" w:cs="Arial" w:eastAsia="Arial" w:hAnsi="Arial"/>
          <w:sz w:val="18"/>
          <w:szCs w:val="18"/>
          <w:color w:val="auto"/>
        </w:rPr>
        <w:t>Net foreign exchange gains and losses are primarily attributable to movement of the U.S. dollar against the Indian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rupee, the U.K. pound sterling and the Philippine peso during the six months ended June 30, 2016. The average exchange rate of the Indian rupee against the U.S. dollar increased from 62.83 during the six months ended June 30, 2015 to 67.29 during the six months ended June 30, 2016. The average exchange rate of the U.K. pound sterling against the U.S. dollar increased from 0.65 during the six months ended June 30, 2015 to 0.70 during the six months ended June 30, 2016. The average exchange rate of the Philippine peso against the U.S. dollar increased from 44.51 during the six months ended June 30, 2015 to 47.00 during the six months ended June 30, 2016.</w:t>
      </w:r>
    </w:p>
    <w:p>
      <w:pPr>
        <w:spacing w:after="0" w:line="8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 net foreign exchange gain of $1.8 million for the six months ended June 30, 2016 compared to $2.2 million for the six months ended June 30, 2015.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220" w:lineRule="exact"/>
        <w:rPr>
          <w:sz w:val="20"/>
          <w:szCs w:val="20"/>
          <w:color w:val="auto"/>
        </w:rPr>
      </w:pPr>
    </w:p>
    <w:p>
      <w:pPr>
        <w:ind w:left="5480"/>
        <w:spacing w:after="0"/>
        <w:rPr>
          <w:sz w:val="20"/>
          <w:szCs w:val="20"/>
          <w:color w:val="auto"/>
        </w:rPr>
      </w:pPr>
      <w:r>
        <w:rPr>
          <w:rFonts w:ascii="Arial" w:cs="Arial" w:eastAsia="Arial" w:hAnsi="Arial"/>
          <w:sz w:val="14"/>
          <w:szCs w:val="14"/>
          <w:b w:val="1"/>
          <w:bCs w:val="1"/>
          <w:color w:val="auto"/>
        </w:rPr>
        <w:t>Six months ended June 30,</w:t>
      </w:r>
    </w:p>
    <w:tbl>
      <w:tblPr>
        <w:tblLayout w:type="fixed"/>
        <w:tblInd w:w="0" w:type="dxa"/>
        <w:tblCellMar>
          <w:top w:w="0" w:type="dxa"/>
          <w:left w:w="0" w:type="dxa"/>
          <w:bottom w:w="0" w:type="dxa"/>
          <w:right w:w="0" w:type="dxa"/>
        </w:tblCellMar>
      </w:tblPr>
      <w:tr>
        <w:trPr>
          <w:trHeight w:val="47"/>
        </w:trPr>
        <w:tc>
          <w:tcPr>
            <w:tcW w:w="48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vMerge w:val="restart"/>
          </w:tcPr>
          <w:p>
            <w:pPr>
              <w:jc w:val="right"/>
              <w:ind w:right="315"/>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82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w w:val="83"/>
              </w:rPr>
              <w:t>2015</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80" w:type="dxa"/>
            <w:vAlign w:val="bottom"/>
          </w:tcPr>
          <w:p>
            <w:pPr>
              <w:jc w:val="right"/>
              <w:ind w:right="4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82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(dollars in millions)</w:t>
            </w: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dividend income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earn-out consideration</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86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Increase in interest and dividend income was primarily due to higher cash balances in our foreign subsidiaries and higher yield on our investments during the six months ended June 30, 2016 compared to the six months ended June 30, 2015. Other income further increased by $0.7 million due to interest on deposits received from income tax authorities in India on completion of a tax assessment and by $4.1 million due to reversal of earn-out liability related to our RPM acquisition. This increase in interest and other income was partially offset by an increase in interest expense of $0.1 million related to the Credit Facility and the amortization of related deferred financing cost.</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The effective tax rate decreased from 35.2% during the six months ended June 30, 2015 to 29.9% during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2016. The decrease was the result of a (i) higher income tax expense during the six months ended June 30, 2015 due to certain adjustments (resulting in an increase in income tax expense of $1.8 million) and (ii) increase in earnings in the locations with lower tax rates as well as tax incentives. The decrease in effective tax rate was partially offset by the reversal of earn-out liability of $4.1 million in other income during six months ended June 30, 2016, related to our RPM acquisition.</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$21.6 million for the six months ended June 30, 2015 to $30.2 million for the six months ended June 30,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higher income from operations of $4.0 million and an increase in other income and foreign exchange gain of $5.7 million, partially offset by a higher income tax expense of $1.2 million. As a percentage of revenues, net income increased from 7.2% for the six months ended June 30, 2015 to 8.9% for the six months ended June 30,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51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8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196"/>
        </w:trPr>
        <w:tc>
          <w:tcPr>
            <w:tcW w:w="6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20" w:type="dxa"/>
            <w:vAlign w:val="bottom"/>
            <w:gridSpan w:val="3"/>
          </w:tcPr>
          <w:p>
            <w:pPr>
              <w:jc w:val="right"/>
              <w:ind w:right="733"/>
              <w:spacing w:after="0"/>
              <w:rPr>
                <w:sz w:val="20"/>
                <w:szCs w:val="20"/>
                <w:color w:val="auto"/>
              </w:rPr>
            </w:pPr>
            <w:r>
              <w:rPr>
                <w:rFonts w:ascii="Arial" w:cs="Arial" w:eastAsia="Arial" w:hAnsi="Arial"/>
                <w:sz w:val="14"/>
                <w:szCs w:val="14"/>
                <w:b w:val="1"/>
                <w:bCs w:val="1"/>
                <w:color w:val="auto"/>
              </w:rPr>
              <w:t>(dollars in millions)</w:t>
            </w:r>
          </w:p>
        </w:tc>
      </w:tr>
      <w:tr>
        <w:trPr>
          <w:trHeight w:val="256"/>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205.3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26.9</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Net cash (used for) / provided by financing activities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6840" w:type="dxa"/>
            <w:vAlign w:val="bottom"/>
          </w:tcPr>
          <w:p>
            <w:pPr>
              <w:ind w:left="20"/>
              <w:spacing w:after="0"/>
              <w:rPr>
                <w:sz w:val="20"/>
                <w:szCs w:val="20"/>
                <w:color w:val="auto"/>
              </w:rPr>
            </w:pPr>
            <w:r>
              <w:rPr>
                <w:rFonts w:ascii="Arial" w:cs="Arial" w:eastAsia="Arial" w:hAnsi="Arial"/>
                <w:sz w:val="18"/>
                <w:szCs w:val="18"/>
                <w:color w:val="auto"/>
              </w:rPr>
              <w:t>Closing cash and cash equivalents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93.1</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w:t>
            </w:r>
          </w:p>
        </w:tc>
      </w:tr>
      <w:tr>
        <w:trPr>
          <w:trHeight w:val="27"/>
        </w:trPr>
        <w:tc>
          <w:tcPr>
            <w:tcW w:w="6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6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As of June 30, 2016 and December 31, 2015, we had $200.7 million and $219.0 million, respectively in cash, cash equivalents and short-term investments (including $147.3 million and $136.0 million, respectively, held by our foreign subsidiaries). We do not intend to repatriate funds held by our foreign subsidiaries since our future growth partially depends upon continued infrastructure and technology investments, geographical expansions and acquisitions outside of the U.S. Therefore, we anticipate that we will indefinitely reinvest the earnings generated outside of the U.S. If we were to repatriate our overseas funds, we would accrue and pay applicable taxes.</w:t>
      </w:r>
    </w:p>
    <w:p>
      <w:pPr>
        <w:spacing w:after="0" w:line="188"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Cash flows from operating activities decreased by $0.3 million from $27.2 million for the six months ended June 30, 2015 to $26.9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six months ended June 30, 2016. Generally, factors that affect our earnings—including pricing, volume of services, costs and productivity— affect our cash flows provided from operations in a similar manner. However, while management of working capital, including timing of collections and payments affects operating results only indirectly, the impact on the working capital and cash flows provided by operating activities can be significant.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37"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The decrease in cash flows from operations for the six months ended June 30, 2016 compared to the six months ended June 30, 2015 was due to an increase in working capital of $26.4 million during the six months ended June 30, 2016 compared to an increase of $18.3 million during the six months ended June 30, 2015. The increase in working capital was primarily due to an increase in accounts receivables, advance income tax (net of income tax provision) and a decrease in accrued employee costs, partially offset by a increase in deferred revenues and the accrued expenses and other current liabilities. This decrease in cash flows from operations was partially offset by an increase in net income adjusted for non-cash expenses of $7.8 million, primarily due to an increase in net income by $8.6 million.</w:t>
      </w:r>
    </w:p>
    <w:p>
      <w:pPr>
        <w:spacing w:after="0" w:line="193"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flows used for investing activities decreased by $18.5 million from $124.5 million for the six months ended June 30, 2015 to</w:t>
      </w:r>
      <w:r>
        <w:rPr>
          <w:rFonts w:ascii="Arial" w:cs="Arial" w:eastAsia="Arial" w:hAnsi="Arial"/>
          <w:sz w:val="18"/>
          <w:szCs w:val="18"/>
          <w:i w:val="1"/>
          <w:iCs w:val="1"/>
          <w:color w:val="auto"/>
        </w:rPr>
        <w:t xml:space="preserve"> </w:t>
      </w:r>
      <w:r>
        <w:rPr>
          <w:rFonts w:ascii="Arial" w:cs="Arial" w:eastAsia="Arial" w:hAnsi="Arial"/>
          <w:sz w:val="18"/>
          <w:szCs w:val="18"/>
          <w:color w:val="auto"/>
        </w:rPr>
        <w:t>$106.0 million for the six months ended June 30, 2016. The decrease was primarily due to cash paid for the RPM acquisition (net of cash acquired) of $44.3 million during the six months ended June 30, 2015. This decrease is partially offset by an increase in short-term investments of $25.2 million (net of redemption) during the six months ended June 30, 2016 compared to the six months ended June 30, 2015 and further by a decrease in capital expenditures of $0.5 million.</w:t>
      </w:r>
    </w:p>
    <w:p>
      <w:pPr>
        <w:spacing w:after="0" w:line="188"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Cash flows used for financing activities was $30.7 million during the six months ended June 30, 2016 compared to cash flow</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by financing activities of $16.8 million during the six months ended June 30, 2015. The decrease in cash flow from financing activities is primarily due to net borrowings of $20 million under the Credit Agreement (as described below in “Financing Arrangements”) during the six months ended June 30, 2015 compared to repayment of $25.0 million during the six months ended June 30, 2016. Cash flows from financing activities further decreased due to higher purchases of treasury stock of $4.6 million during the six months ended June 30, 2016 compared to the six months ended June 30, 2015.</w:t>
      </w:r>
    </w:p>
    <w:p>
      <w:pPr>
        <w:spacing w:after="0" w:line="158"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our facilities and the purchase of telecommunications equipment and computer hardware and software in connection with managing client operations. We incurred $14.9 million of capital expenditures in the six months ended June 30, 2016. We expect to incur capital expenditures of between $25 million to $30 million in 2016, primarily to meet our growth requirements, including additions to our facilities as well as investments in technology applications and infrastructure.</w:t>
      </w:r>
    </w:p>
    <w:p>
      <w:pPr>
        <w:spacing w:after="0" w:line="193"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In connection with any tax assessment orders that have been issued or may be issued against us or our subsidiaries, we may be required to deposit additional amounts with respect to such assessment orders (refer to Note 16 to our unaudited consolidated financial statements for further details). 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 (Debt Facility)</w:t>
      </w:r>
    </w:p>
    <w:p>
      <w:pPr>
        <w:spacing w:after="0" w:line="22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On October 24, 2014 we entered into a Credit Agreement that, as amended, provides for a $100 million revolving credit facility, including a letter of credit sub-facility (as amended, the “Credit Facility”). As of June 30, 2016, we had outstanding indebtedness of $45.0 million. Borrowings under the Credit Agreement mature on October 24, 2019 and may be used for working capital and general corporate purposes of the Company and its subsidiaries and for acquisitions</w:t>
      </w:r>
    </w:p>
    <w:p>
      <w:pPr>
        <w:spacing w:after="0" w:line="187"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Depending on the type of borrowing, loans under the Credit Agreement bear interest at a rate equal to the specified prime rate (alternate base rate) or adjusted LIBO rate, plus, in each case, an applicable margin. The applicable margin is tied to the Company’s leverage ratio and ranges from 0.25% to 0.75% per annum with respect to loans pegged to the specified prime rate, and 1.25% to 1.75% per annum on loans pegged to the adjusted LIBO rate. The revolving credit commitments under the Credit Agreement are subject to a commitment fee. The commitment fee is also tied to the Company’s leverage ratio, and ranges from 0.20% to 0.30% per annum on the average daily amount by which the aggregate revolving commitments exceed the sum of outstanding revolving loans and letter of credit obligations. The credit facility carried an effective interest rate of 1.95% and 1.56% per annum, respectively during the three months ended June 30, 2016 and June 30, 2015.</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2016 and December 31, 2015, we had no off-balance sheet arrangements or obligations.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contractual obligations as of June 30, 2016:</w:t>
      </w:r>
    </w:p>
    <w:p>
      <w:pPr>
        <w:spacing w:after="0" w:line="275"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4"/>
          </w:tcPr>
          <w:p>
            <w:pPr>
              <w:ind w:left="360"/>
              <w:spacing w:after="0"/>
              <w:rPr>
                <w:sz w:val="20"/>
                <w:szCs w:val="20"/>
                <w:color w:val="auto"/>
              </w:rPr>
            </w:pPr>
            <w:r>
              <w:rPr>
                <w:rFonts w:ascii="Arial" w:cs="Arial" w:eastAsia="Arial" w:hAnsi="Arial"/>
                <w:sz w:val="18"/>
                <w:szCs w:val="18"/>
                <w:b w:val="1"/>
                <w:bCs w:val="1"/>
                <w:color w:val="auto"/>
                <w:w w:val="93"/>
              </w:rPr>
              <w:t>Payment Due by Period</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b w:val="1"/>
                <w:bCs w:val="1"/>
                <w:color w:val="auto"/>
                <w:w w:val="95"/>
              </w:rPr>
              <w:t>Less than</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1-3</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4-5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After</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0"/>
        </w:trPr>
        <w:tc>
          <w:tcPr>
            <w:tcW w:w="42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1 year</w:t>
            </w: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years</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years</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w w:val="99"/>
              </w:rPr>
              <w:t>5 years</w:t>
            </w: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620" w:type="dxa"/>
            <w:vAlign w:val="bottom"/>
          </w:tcPr>
          <w:p>
            <w:pPr>
              <w:spacing w:after="0"/>
              <w:rPr>
                <w:sz w:val="23"/>
                <w:szCs w:val="23"/>
                <w:color w:val="auto"/>
              </w:rPr>
            </w:pPr>
          </w:p>
        </w:tc>
      </w:tr>
      <w:tr>
        <w:trPr>
          <w:trHeight w:val="27"/>
        </w:trPr>
        <w:tc>
          <w:tcPr>
            <w:tcW w:w="42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5"/>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0" w:type="dxa"/>
            <w:vAlign w:val="bottom"/>
            <w:gridSpan w:val="5"/>
          </w:tcPr>
          <w:p>
            <w:pPr>
              <w:ind w:left="520"/>
              <w:spacing w:after="0"/>
              <w:rPr>
                <w:sz w:val="20"/>
                <w:szCs w:val="20"/>
                <w:color w:val="auto"/>
              </w:rPr>
            </w:pPr>
            <w:r>
              <w:rPr>
                <w:rFonts w:ascii="Arial" w:cs="Arial" w:eastAsia="Arial" w:hAnsi="Arial"/>
                <w:sz w:val="18"/>
                <w:szCs w:val="18"/>
                <w:b w:val="1"/>
                <w:bCs w:val="1"/>
                <w:color w:val="auto"/>
              </w:rPr>
              <w:t>(dollars in millions)</w:t>
            </w: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leases</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8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29.7</w:t>
            </w:r>
          </w:p>
        </w:tc>
      </w:tr>
      <w:tr>
        <w:trPr>
          <w:trHeight w:val="27"/>
        </w:trPr>
        <w:tc>
          <w:tcPr>
            <w:tcW w:w="4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r>
      <w:tr>
        <w:trPr>
          <w:trHeight w:val="270"/>
        </w:trPr>
        <w:tc>
          <w:tcPr>
            <w:tcW w:w="4280" w:type="dxa"/>
            <w:vAlign w:val="bottom"/>
          </w:tcPr>
          <w:p>
            <w:pPr>
              <w:ind w:left="20"/>
              <w:spacing w:after="0" w:line="270" w:lineRule="exact"/>
              <w:rPr>
                <w:sz w:val="20"/>
                <w:szCs w:val="20"/>
                <w:color w:val="auto"/>
              </w:rPr>
            </w:pPr>
            <w:r>
              <w:rPr>
                <w:rFonts w:ascii="Arial" w:cs="Arial" w:eastAsia="Arial" w:hAnsi="Arial"/>
                <w:sz w:val="18"/>
                <w:szCs w:val="18"/>
                <w:color w:val="auto"/>
              </w:rPr>
              <w:t>Other obligations</w:t>
            </w:r>
            <w:r>
              <w:rPr>
                <w:rFonts w:ascii="Arial" w:cs="Arial" w:eastAsia="Arial" w:hAnsi="Arial"/>
                <w:sz w:val="25"/>
                <w:szCs w:val="25"/>
                <w:color w:val="auto"/>
                <w:vertAlign w:val="superscript"/>
              </w:rPr>
              <w:t>(a)</w:t>
            </w:r>
          </w:p>
        </w:tc>
        <w:tc>
          <w:tcPr>
            <w:tcW w:w="84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8.7</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360"/>
              <w:spacing w:after="0"/>
              <w:rPr>
                <w:sz w:val="20"/>
                <w:szCs w:val="20"/>
                <w:color w:val="auto"/>
              </w:rPr>
            </w:pPr>
            <w:r>
              <w:rPr>
                <w:rFonts w:ascii="Arial" w:cs="Arial" w:eastAsia="Arial" w:hAnsi="Arial"/>
                <w:sz w:val="18"/>
                <w:szCs w:val="18"/>
                <w:color w:val="auto"/>
              </w:rPr>
              <w:t>Principal payments</w:t>
            </w:r>
          </w:p>
        </w:tc>
        <w:tc>
          <w:tcPr>
            <w:tcW w:w="8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45.0</w:t>
            </w:r>
          </w:p>
        </w:tc>
      </w:tr>
      <w:tr>
        <w:trPr>
          <w:trHeight w:val="27"/>
        </w:trPr>
        <w:tc>
          <w:tcPr>
            <w:tcW w:w="4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28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Interest Payments</w:t>
            </w:r>
            <w:r>
              <w:rPr>
                <w:rFonts w:ascii="Arial" w:cs="Arial" w:eastAsia="Arial" w:hAnsi="Arial"/>
                <w:sz w:val="25"/>
                <w:szCs w:val="25"/>
                <w:color w:val="auto"/>
                <w:vertAlign w:val="superscript"/>
              </w:rPr>
              <w:t>(b)</w:t>
            </w:r>
          </w:p>
        </w:tc>
        <w:tc>
          <w:tcPr>
            <w:tcW w:w="84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64"/>
        </w:trPr>
        <w:tc>
          <w:tcPr>
            <w:tcW w:w="4280" w:type="dxa"/>
            <w:vAlign w:val="bottom"/>
          </w:tcPr>
          <w:p>
            <w:pPr>
              <w:ind w:left="20"/>
              <w:spacing w:after="0" w:line="264" w:lineRule="exact"/>
              <w:rPr>
                <w:sz w:val="20"/>
                <w:szCs w:val="20"/>
                <w:color w:val="auto"/>
              </w:rPr>
            </w:pPr>
            <w:r>
              <w:rPr>
                <w:rFonts w:ascii="Arial" w:cs="Arial" w:eastAsia="Arial" w:hAnsi="Arial"/>
                <w:sz w:val="18"/>
                <w:szCs w:val="18"/>
                <w:color w:val="auto"/>
              </w:rPr>
              <w:t>Total contractual cash obligations</w:t>
            </w:r>
            <w:r>
              <w:rPr>
                <w:rFonts w:ascii="Arial" w:cs="Arial" w:eastAsia="Arial" w:hAnsi="Arial"/>
                <w:sz w:val="25"/>
                <w:szCs w:val="25"/>
                <w:color w:val="auto"/>
                <w:vertAlign w:val="superscript"/>
              </w:rPr>
              <w:t>(c)</w:t>
            </w:r>
          </w:p>
        </w:tc>
        <w:tc>
          <w:tcPr>
            <w:tcW w:w="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90.9</w:t>
            </w:r>
          </w:p>
        </w:tc>
      </w:tr>
      <w:tr>
        <w:trPr>
          <w:trHeight w:val="20"/>
        </w:trPr>
        <w:tc>
          <w:tcPr>
            <w:tcW w:w="4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143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40"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estimated payments under the Gratuity Plan.</w:t>
      </w:r>
    </w:p>
    <w:p>
      <w:pPr>
        <w:spacing w:after="0" w:line="19" w:lineRule="exact"/>
        <w:rPr>
          <w:rFonts w:ascii="Arial" w:cs="Arial" w:eastAsia="Arial" w:hAnsi="Arial"/>
          <w:sz w:val="16"/>
          <w:szCs w:val="16"/>
          <w:i w:val="1"/>
          <w:iCs w:val="1"/>
          <w:color w:val="auto"/>
        </w:rPr>
      </w:pPr>
    </w:p>
    <w:p>
      <w:pPr>
        <w:ind w:left="540" w:hanging="532"/>
        <w:spacing w:after="0"/>
        <w:tabs>
          <w:tab w:leader="none" w:pos="5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Interest on borrowings is calculated based on the interest rate on the outstanding borrowings as of June 30, 2016.</w:t>
      </w:r>
    </w:p>
    <w:p>
      <w:pPr>
        <w:spacing w:after="0" w:line="5" w:lineRule="exact"/>
        <w:rPr>
          <w:rFonts w:ascii="Arial" w:cs="Arial" w:eastAsia="Arial" w:hAnsi="Arial"/>
          <w:sz w:val="16"/>
          <w:szCs w:val="16"/>
          <w:i w:val="1"/>
          <w:iCs w:val="1"/>
          <w:color w:val="auto"/>
        </w:rPr>
      </w:pPr>
    </w:p>
    <w:p>
      <w:pPr>
        <w:ind w:left="540" w:hanging="532"/>
        <w:spacing w:after="0"/>
        <w:tabs>
          <w:tab w:leader="none" w:pos="540" w:val="left"/>
        </w:tabs>
        <w:numPr>
          <w:ilvl w:val="0"/>
          <w:numId w:val="11"/>
        </w:numPr>
        <w:rPr>
          <w:rFonts w:ascii="Arial" w:cs="Arial" w:eastAsia="Arial" w:hAnsi="Arial"/>
          <w:sz w:val="15"/>
          <w:szCs w:val="15"/>
          <w:i w:val="1"/>
          <w:iCs w:val="1"/>
          <w:color w:val="auto"/>
        </w:rPr>
      </w:pPr>
      <w:r>
        <w:rPr>
          <w:rFonts w:ascii="Arial" w:cs="Arial" w:eastAsia="Arial" w:hAnsi="Arial"/>
          <w:sz w:val="15"/>
          <w:szCs w:val="15"/>
          <w:i w:val="1"/>
          <w:iCs w:val="1"/>
          <w:color w:val="auto"/>
        </w:rPr>
        <w:t>Excludes $2.8 million related to uncertain tax positions, since the extent of the amount and timing of payment is currently not reliably estimable or determinable.</w:t>
      </w:r>
    </w:p>
    <w:p>
      <w:pPr>
        <w:spacing w:after="0" w:line="214"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Certain units of our Indian subsidiaries were established as 100% Export-Oriented units under the “STPI”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188"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operations centers in the Philippines are registered with the “PEZA.” The registration provides us with certain fiscal incentives on the import of capital goods and requires that ExlService Philippines, Inc. meet certain performance and investment criteria. We believe that these centers have in the past satisfied and will continue to satisfy the required criteria.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For a description of recent accounting pronouncements, see Note 2—“Recent Accounting Pronouncements” to our unaudited consolidated financial statements contained herein.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 xml:space="preserve">ITEM </w:t>
      </w:r>
      <w:r>
        <w:rPr>
          <w:rFonts w:ascii="Arial" w:cs="Arial" w:eastAsia="Arial" w:hAnsi="Arial"/>
          <w:sz w:val="18"/>
          <w:szCs w:val="18"/>
          <w:color w:val="auto"/>
        </w:rPr>
        <w:t>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six months ended June 30, 2016, there were no material changes in our market risk exposure other than as disclosed herein. For more detailed discussion of our market risk associated with exchange rate risk and interest rate risk, see Item 7A “Quantitative and Qualitative Disclosures about Market Risk” in our Annual Report on Form 10-K for the year ended December 31, 2015.</w:t>
      </w:r>
    </w:p>
    <w:p>
      <w:pPr>
        <w:spacing w:after="0" w:line="7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b w:val="1"/>
          <w:bCs w:val="1"/>
          <w:i w:val="1"/>
          <w:iCs w:val="1"/>
          <w:color w:val="auto"/>
        </w:rPr>
        <w:t xml:space="preserve">Foreign Currency Risk. </w:t>
      </w:r>
      <w:r>
        <w:rPr>
          <w:rFonts w:ascii="Arial" w:cs="Arial" w:eastAsia="Arial" w:hAnsi="Arial"/>
          <w:sz w:val="18"/>
          <w:szCs w:val="18"/>
          <w:color w:val="auto"/>
        </w:rPr>
        <w:t>During June 2016, the U.K. held a referendum in which British citizens approved an exit from the European Union ("EU"),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commonly referred to as “Brexit.” As a result of the referendum, the global markets and currencies have been adversely impacted, including as a result of a decline in the value of the U.K. pound sterling as compared to the U.S. dollar. Volatility in exchange rates is expected to continue in the short term as the U.K. negotiates its exit from the EU. Although it is unknown what the result of those negotiations will be, it is possible that new terms may adversely affect our financial results, operations and cash flows.</w:t>
      </w:r>
    </w:p>
    <w:p>
      <w:pPr>
        <w:spacing w:after="0" w:line="8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exchange rate risk primarily arises from our foreign currency revenues, expenses incurred by our foreign subsidiaries and foreign currency accounts receivables and payable. We serve clients in the U.K. with this region generating approximately 16.7% and 17.8% of our total revenues for the six months ended June 30, 2016 and 2015, respectively. We also incurred expenses in the U.K. pound sterling in our certain foreign subsidiaries during the six months ended June 30, 2016, which will have a positive impact due to the depreciation of GBP against the USD. A significant portion of our revenues from customer contracts denominated in the U.K. pound sterling includes protection against foreign exchange rate fluctuations which minimizes the impact of the volatility in the exchange rates on our operating results.</w:t>
      </w:r>
    </w:p>
    <w:p>
      <w:pPr>
        <w:spacing w:after="0" w:line="18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our Chief Executive Officer (“CEO”) and Chief Financial Officer (“CFO”), to allow timely decisions regarding required financial disclosure. In connection with the preparation of this Quarterly Report on Form 10-Q, our management carried out an evaluation, under the supervision and with the participation of the CEO and CFO, of the effectiveness and operation of our disclosure controls and procedures as of June 30, 2016. Based upon that evaluation, the CEO and CFO have concluded that, as of June 30, 2016, our disclosure controls and procedures were effective.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During the three months ended June 30, 2016,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1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34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see Note 16 to our unaudited consolidated financial statements contained herein for details regarding our tax proceedings.</w:t>
      </w:r>
    </w:p>
    <w:p>
      <w:pPr>
        <w:spacing w:after="0" w:line="25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have disclosed under the heading “Risk Factors” in our Annual Report on Form 10-K for the year ended December 31, 2015 a number of risks which may materially affect our business, financial condition or results of operations. You should carefully consider the “Risk Factors” set forth in our Annual Report on Form 10-K for the year ended December 31, 2015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three months ended June 30, 2016, purchases of common stock were as follows: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Total Number of Shares</w:t>
            </w:r>
          </w:p>
        </w:tc>
        <w:tc>
          <w:tcPr>
            <w:tcW w:w="1940" w:type="dxa"/>
            <w:vAlign w:val="bottom"/>
            <w:gridSpan w:val="2"/>
          </w:tcPr>
          <w:p>
            <w:pPr>
              <w:ind w:left="20"/>
              <w:spacing w:after="0"/>
              <w:rPr>
                <w:sz w:val="20"/>
                <w:szCs w:val="20"/>
                <w:color w:val="auto"/>
              </w:rPr>
            </w:pPr>
            <w:r>
              <w:rPr>
                <w:rFonts w:ascii="Arial" w:cs="Arial" w:eastAsia="Arial" w:hAnsi="Arial"/>
                <w:sz w:val="18"/>
                <w:szCs w:val="18"/>
                <w:b w:val="1"/>
                <w:bCs w:val="1"/>
                <w:color w:val="auto"/>
              </w:rPr>
              <w:t>Approximate Dollar</w:t>
            </w:r>
          </w:p>
        </w:tc>
      </w:tr>
      <w:tr>
        <w:trPr>
          <w:trHeight w:val="216"/>
        </w:trPr>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b w:val="1"/>
                <w:bCs w:val="1"/>
                <w:color w:val="auto"/>
              </w:rPr>
              <w:t>Purchased as Part of</w:t>
            </w:r>
          </w:p>
        </w:tc>
        <w:tc>
          <w:tcPr>
            <w:tcW w:w="1940" w:type="dxa"/>
            <w:vAlign w:val="bottom"/>
            <w:gridSpan w:val="2"/>
          </w:tcPr>
          <w:p>
            <w:pPr>
              <w:ind w:left="20"/>
              <w:spacing w:after="0"/>
              <w:rPr>
                <w:sz w:val="20"/>
                <w:szCs w:val="20"/>
                <w:color w:val="auto"/>
              </w:rPr>
            </w:pPr>
            <w:r>
              <w:rPr>
                <w:rFonts w:ascii="Arial" w:cs="Arial" w:eastAsia="Arial" w:hAnsi="Arial"/>
                <w:sz w:val="18"/>
                <w:szCs w:val="18"/>
                <w:b w:val="1"/>
                <w:bCs w:val="1"/>
                <w:color w:val="auto"/>
              </w:rPr>
              <w:t>Value of Shares That</w:t>
            </w:r>
          </w:p>
        </w:tc>
      </w:tr>
      <w:tr>
        <w:trPr>
          <w:trHeight w:val="216"/>
        </w:trPr>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b w:val="1"/>
                <w:bCs w:val="1"/>
                <w:color w:val="auto"/>
              </w:rPr>
              <w:t>Publicly</w:t>
            </w:r>
          </w:p>
        </w:tc>
        <w:tc>
          <w:tcPr>
            <w:tcW w:w="194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May Yet Be Purchased</w:t>
            </w:r>
          </w:p>
        </w:tc>
      </w:tr>
      <w:tr>
        <w:trPr>
          <w:trHeight w:val="216"/>
        </w:trPr>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Number of</w:t>
            </w:r>
          </w:p>
        </w:tc>
        <w:tc>
          <w:tcPr>
            <w:tcW w:w="1280" w:type="dxa"/>
            <w:vAlign w:val="bottom"/>
          </w:tcPr>
          <w:p>
            <w:pPr>
              <w:ind w:left="20"/>
              <w:spacing w:after="0"/>
              <w:rPr>
                <w:sz w:val="20"/>
                <w:szCs w:val="20"/>
                <w:color w:val="auto"/>
              </w:rPr>
            </w:pPr>
            <w:r>
              <w:rPr>
                <w:rFonts w:ascii="Arial" w:cs="Arial" w:eastAsia="Arial" w:hAnsi="Arial"/>
                <w:sz w:val="18"/>
                <w:szCs w:val="18"/>
                <w:b w:val="1"/>
                <w:bCs w:val="1"/>
                <w:color w:val="auto"/>
              </w:rPr>
              <w:t>Average Price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b w:val="1"/>
                <w:bCs w:val="1"/>
                <w:color w:val="auto"/>
              </w:rPr>
              <w:t>Announced Plans or</w:t>
            </w:r>
          </w:p>
        </w:tc>
        <w:tc>
          <w:tcPr>
            <w:tcW w:w="1940" w:type="dxa"/>
            <w:vAlign w:val="bottom"/>
            <w:gridSpan w:val="2"/>
          </w:tcPr>
          <w:p>
            <w:pPr>
              <w:ind w:left="20"/>
              <w:spacing w:after="0"/>
              <w:rPr>
                <w:sz w:val="20"/>
                <w:szCs w:val="20"/>
                <w:color w:val="auto"/>
              </w:rPr>
            </w:pPr>
            <w:r>
              <w:rPr>
                <w:rFonts w:ascii="Arial" w:cs="Arial" w:eastAsia="Arial" w:hAnsi="Arial"/>
                <w:sz w:val="18"/>
                <w:szCs w:val="18"/>
                <w:b w:val="1"/>
                <w:bCs w:val="1"/>
                <w:color w:val="auto"/>
              </w:rPr>
              <w:t>Under the Plans or</w:t>
            </w:r>
          </w:p>
        </w:tc>
      </w:tr>
      <w:tr>
        <w:trPr>
          <w:trHeight w:val="261"/>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60" w:type="dxa"/>
            <w:vAlign w:val="bottom"/>
            <w:tcBorders>
              <w:bottom w:val="single" w:sz="8" w:color="CCEEFF"/>
            </w:tcBorders>
          </w:tcPr>
          <w:p>
            <w:pPr>
              <w:spacing w:after="0"/>
              <w:rPr>
                <w:sz w:val="22"/>
                <w:szCs w:val="22"/>
                <w:color w:val="auto"/>
              </w:rPr>
            </w:pPr>
          </w:p>
        </w:tc>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Shares Purchased</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Paid per share</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ind w:left="20"/>
              <w:spacing w:after="0" w:line="262" w:lineRule="exact"/>
              <w:rPr>
                <w:sz w:val="20"/>
                <w:szCs w:val="20"/>
                <w:color w:val="auto"/>
              </w:rPr>
            </w:pPr>
            <w:r>
              <w:rPr>
                <w:rFonts w:ascii="Arial" w:cs="Arial" w:eastAsia="Arial" w:hAnsi="Arial"/>
                <w:sz w:val="18"/>
                <w:szCs w:val="18"/>
                <w:b w:val="1"/>
                <w:bCs w:val="1"/>
                <w:color w:val="auto"/>
              </w:rPr>
              <w:t>Programs</w:t>
            </w:r>
            <w:r>
              <w:rPr>
                <w:rFonts w:ascii="Arial" w:cs="Arial" w:eastAsia="Arial" w:hAnsi="Arial"/>
                <w:sz w:val="25"/>
                <w:szCs w:val="25"/>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Programs</w:t>
            </w:r>
          </w:p>
        </w:tc>
        <w:tc>
          <w:tcPr>
            <w:tcW w:w="1040" w:type="dxa"/>
            <w:vAlign w:val="bottom"/>
            <w:tcBorders>
              <w:bottom w:val="single" w:sz="8" w:color="auto"/>
            </w:tcBorders>
          </w:tcPr>
          <w:p>
            <w:pPr>
              <w:spacing w:after="0"/>
              <w:rPr>
                <w:sz w:val="22"/>
                <w:szCs w:val="22"/>
                <w:color w:val="auto"/>
              </w:rPr>
            </w:pPr>
          </w:p>
        </w:tc>
      </w:tr>
      <w:tr>
        <w:trPr>
          <w:trHeight w:val="264"/>
        </w:trPr>
        <w:tc>
          <w:tcPr>
            <w:tcW w:w="334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April 1, 2016 through April 30, 2016</w:t>
            </w:r>
            <w:r>
              <w:rPr>
                <w:rFonts w:ascii="Arial" w:cs="Arial" w:eastAsia="Arial" w:hAnsi="Arial"/>
                <w:sz w:val="25"/>
                <w:szCs w:val="25"/>
                <w:color w:val="auto"/>
                <w:vertAlign w:val="superscript"/>
              </w:rPr>
              <w:t>(2)</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14,310</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48.99</w:t>
            </w:r>
          </w:p>
        </w:tc>
        <w:tc>
          <w:tcPr>
            <w:tcW w:w="120" w:type="dxa"/>
            <w:vAlign w:val="bottom"/>
            <w:shd w:val="clear" w:color="auto" w:fill="CCEEFF"/>
          </w:tcPr>
          <w:p>
            <w:pPr>
              <w:spacing w:after="0"/>
              <w:rPr>
                <w:sz w:val="22"/>
                <w:szCs w:val="22"/>
                <w:color w:val="auto"/>
              </w:rPr>
            </w:pPr>
          </w:p>
        </w:tc>
        <w:tc>
          <w:tcPr>
            <w:tcW w:w="19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12,831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13,172,622</w:t>
            </w:r>
          </w:p>
        </w:tc>
      </w:tr>
      <w:tr>
        <w:trPr>
          <w:trHeight w:val="24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May 1, 2016 through May 31, 2016</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23,510</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48.66</w:t>
            </w:r>
          </w:p>
        </w:tc>
        <w:tc>
          <w:tcPr>
            <w:tcW w:w="120" w:type="dxa"/>
            <w:vAlign w:val="bottom"/>
          </w:tcPr>
          <w:p>
            <w:pPr>
              <w:spacing w:after="0"/>
              <w:rPr>
                <w:sz w:val="21"/>
                <w:szCs w:val="21"/>
                <w:color w:val="auto"/>
              </w:rPr>
            </w:pPr>
          </w:p>
        </w:tc>
        <w:tc>
          <w:tcPr>
            <w:tcW w:w="1920" w:type="dxa"/>
            <w:vAlign w:val="bottom"/>
          </w:tcPr>
          <w:p>
            <w:pPr>
              <w:ind w:left="1300"/>
              <w:spacing w:after="0"/>
              <w:rPr>
                <w:sz w:val="20"/>
                <w:szCs w:val="20"/>
                <w:color w:val="auto"/>
              </w:rPr>
            </w:pPr>
            <w:r>
              <w:rPr>
                <w:rFonts w:ascii="Arial" w:cs="Arial" w:eastAsia="Arial" w:hAnsi="Arial"/>
                <w:sz w:val="18"/>
                <w:szCs w:val="18"/>
                <w:color w:val="auto"/>
              </w:rPr>
              <w:t>23,510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12,028,610</w:t>
            </w: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1, 2016 through June 30, 2016</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19,831</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50.65</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19,831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11,024,145</w:t>
            </w:r>
          </w:p>
        </w:tc>
      </w:tr>
      <w:tr>
        <w:trPr>
          <w:trHeight w:val="237"/>
        </w:trPr>
        <w:tc>
          <w:tcPr>
            <w:tcW w:w="3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57,651</w:t>
            </w:r>
          </w:p>
        </w:tc>
        <w:tc>
          <w:tcPr>
            <w:tcW w:w="120" w:type="dxa"/>
            <w:vAlign w:val="bottom"/>
          </w:tcPr>
          <w:p>
            <w:pPr>
              <w:spacing w:after="0"/>
              <w:rPr>
                <w:sz w:val="20"/>
                <w:szCs w:val="20"/>
                <w:color w:val="auto"/>
              </w:rPr>
            </w:pPr>
          </w:p>
        </w:tc>
        <w:tc>
          <w:tcPr>
            <w:tcW w:w="1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49.43</w:t>
            </w:r>
          </w:p>
        </w:tc>
        <w:tc>
          <w:tcPr>
            <w:tcW w:w="120" w:type="dxa"/>
            <w:vAlign w:val="bottom"/>
          </w:tcPr>
          <w:p>
            <w:pPr>
              <w:spacing w:after="0"/>
              <w:rPr>
                <w:sz w:val="20"/>
                <w:szCs w:val="20"/>
                <w:color w:val="auto"/>
              </w:rPr>
            </w:pPr>
          </w:p>
        </w:tc>
        <w:tc>
          <w:tcPr>
            <w:tcW w:w="1920" w:type="dxa"/>
            <w:vAlign w:val="bottom"/>
            <w:tcBorders>
              <w:top w:val="single" w:sz="8" w:color="auto"/>
            </w:tcBorders>
          </w:tcPr>
          <w:p>
            <w:pPr>
              <w:ind w:left="1300"/>
              <w:spacing w:after="0"/>
              <w:rPr>
                <w:sz w:val="20"/>
                <w:szCs w:val="20"/>
                <w:color w:val="auto"/>
              </w:rPr>
            </w:pPr>
            <w:r>
              <w:rPr>
                <w:rFonts w:ascii="Arial" w:cs="Arial" w:eastAsia="Arial" w:hAnsi="Arial"/>
                <w:sz w:val="18"/>
                <w:szCs w:val="18"/>
                <w:color w:val="auto"/>
              </w:rPr>
              <w:t>56,172</w:t>
            </w:r>
          </w:p>
        </w:tc>
        <w:tc>
          <w:tcPr>
            <w:tcW w:w="100" w:type="dxa"/>
            <w:vAlign w:val="bottom"/>
          </w:tcPr>
          <w:p>
            <w:pPr>
              <w:spacing w:after="0"/>
              <w:rPr>
                <w:sz w:val="20"/>
                <w:szCs w:val="20"/>
                <w:color w:val="auto"/>
              </w:rPr>
            </w:pPr>
          </w:p>
        </w:tc>
        <w:tc>
          <w:tcPr>
            <w:tcW w:w="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20" w:firstLine="440"/>
        <w:spacing w:after="0" w:line="277" w:lineRule="auto"/>
        <w:tabs>
          <w:tab w:leader="none" w:pos="6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shares purchased under the 2014 Repurchase Program. See Note 9 to our unaudited consolidated financial statements for further information.</w:t>
      </w:r>
    </w:p>
    <w:p>
      <w:pPr>
        <w:spacing w:after="0" w:line="170" w:lineRule="exact"/>
        <w:rPr>
          <w:rFonts w:ascii="Arial" w:cs="Arial" w:eastAsia="Arial" w:hAnsi="Arial"/>
          <w:sz w:val="18"/>
          <w:szCs w:val="18"/>
          <w:color w:val="auto"/>
        </w:rPr>
      </w:pPr>
    </w:p>
    <w:p>
      <w:pPr>
        <w:ind w:right="60" w:firstLine="440"/>
        <w:spacing w:after="0" w:line="264" w:lineRule="auto"/>
        <w:tabs>
          <w:tab w:leader="none" w:pos="6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1,479 shares of the Company’s common stock acquired in connection with the satisfaction of tax withholding obligations on vested restricted stock acquired at the average of the high and low price of common stock on the trading day prior to the vesting date of the shares of restricted stock (average price paid per share was $51.39).</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Exhibit Index immediately following the signature page hereto,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337"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Arial" w:cs="Arial" w:eastAsia="Arial" w:hAnsi="Arial"/>
                <w:sz w:val="18"/>
                <w:szCs w:val="18"/>
                <w:color w:val="auto"/>
              </w:rPr>
              <w:t>Date: July 28, 2016</w:t>
            </w:r>
          </w:p>
        </w:tc>
        <w:tc>
          <w:tcPr>
            <w:tcW w:w="8160" w:type="dxa"/>
            <w:vAlign w:val="bottom"/>
            <w:gridSpan w:val="2"/>
          </w:tcPr>
          <w:p>
            <w:pPr>
              <w:ind w:left="1800"/>
              <w:spacing w:after="0"/>
              <w:rPr>
                <w:sz w:val="20"/>
                <w:szCs w:val="20"/>
                <w:color w:val="auto"/>
              </w:rPr>
            </w:pPr>
            <w:r>
              <w:rPr>
                <w:rFonts w:ascii="Arial" w:cs="Arial" w:eastAsia="Arial" w:hAnsi="Arial"/>
                <w:sz w:val="18"/>
                <w:szCs w:val="18"/>
                <w:b w:val="1"/>
                <w:bCs w:val="1"/>
                <w:color w:val="auto"/>
              </w:rPr>
              <w:t>EXLSERVICE HOLDINGS, INC.</w:t>
            </w:r>
          </w:p>
        </w:tc>
      </w:tr>
      <w:tr>
        <w:trPr>
          <w:trHeight w:val="594"/>
        </w:trPr>
        <w:tc>
          <w:tcPr>
            <w:tcW w:w="3200" w:type="dxa"/>
            <w:vAlign w:val="bottom"/>
          </w:tcPr>
          <w:p>
            <w:pPr>
              <w:spacing w:after="0"/>
              <w:rPr>
                <w:sz w:val="24"/>
                <w:szCs w:val="24"/>
                <w:color w:val="auto"/>
              </w:rPr>
            </w:pPr>
          </w:p>
        </w:tc>
        <w:tc>
          <w:tcPr>
            <w:tcW w:w="8160" w:type="dxa"/>
            <w:vAlign w:val="bottom"/>
            <w:gridSpan w:val="2"/>
          </w:tcPr>
          <w:p>
            <w:pPr>
              <w:ind w:left="1800"/>
              <w:spacing w:after="0"/>
              <w:rPr>
                <w:sz w:val="20"/>
                <w:szCs w:val="20"/>
                <w:color w:val="auto"/>
              </w:rPr>
            </w:pPr>
            <w:r>
              <w:rPr>
                <w:rFonts w:ascii="Arial" w:cs="Arial" w:eastAsia="Arial" w:hAnsi="Arial"/>
                <w:sz w:val="18"/>
                <w:szCs w:val="18"/>
                <w:color w:val="auto"/>
              </w:rPr>
              <w:t>By:/</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tc>
      </w:tr>
      <w:tr>
        <w:trPr>
          <w:trHeight w:val="27"/>
        </w:trPr>
        <w:tc>
          <w:tcPr>
            <w:tcW w:w="3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146"/>
        </w:trPr>
        <w:tc>
          <w:tcPr>
            <w:tcW w:w="32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80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Vishal Chhibbar</w:t>
            </w:r>
          </w:p>
        </w:tc>
      </w:tr>
      <w:tr>
        <w:trPr>
          <w:trHeight w:val="149"/>
        </w:trPr>
        <w:tc>
          <w:tcPr>
            <w:tcW w:w="32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8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Chief Financial Officer</w:t>
            </w:r>
          </w:p>
        </w:tc>
      </w:tr>
      <w:tr>
        <w:trPr>
          <w:trHeight w:val="186"/>
        </w:trPr>
        <w:tc>
          <w:tcPr>
            <w:tcW w:w="32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800" w:type="dxa"/>
            <w:vAlign w:val="bottom"/>
          </w:tcPr>
          <w:p>
            <w:pPr>
              <w:ind w:left="20"/>
              <w:spacing w:after="0"/>
              <w:rPr>
                <w:sz w:val="20"/>
                <w:szCs w:val="20"/>
                <w:color w:val="auto"/>
              </w:rPr>
            </w:pPr>
            <w:r>
              <w:rPr>
                <w:rFonts w:ascii="Arial" w:cs="Arial" w:eastAsia="Arial" w:hAnsi="Arial"/>
                <w:sz w:val="14"/>
                <w:szCs w:val="14"/>
                <w:b w:val="1"/>
                <w:bCs w:val="1"/>
                <w:color w:val="auto"/>
              </w:rPr>
              <w:t>(Duly Authorized Signatory, Principal Financial and Accounting Officer)</w:t>
            </w:r>
          </w:p>
        </w:tc>
      </w:tr>
      <w:tr>
        <w:trPr>
          <w:trHeight w:val="687"/>
        </w:trPr>
        <w:tc>
          <w:tcPr>
            <w:tcW w:w="3200" w:type="dxa"/>
            <w:vAlign w:val="bottom"/>
          </w:tcPr>
          <w:p>
            <w:pPr>
              <w:spacing w:after="0"/>
              <w:rPr>
                <w:sz w:val="24"/>
                <w:szCs w:val="24"/>
                <w:color w:val="auto"/>
              </w:rPr>
            </w:pPr>
          </w:p>
        </w:tc>
        <w:tc>
          <w:tcPr>
            <w:tcW w:w="8160" w:type="dxa"/>
            <w:vAlign w:val="bottom"/>
            <w:gridSpan w:val="2"/>
          </w:tcPr>
          <w:p>
            <w:pPr>
              <w:ind w:left="2380"/>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400"/>
          </w:cols>
          <w:pgMar w:left="240" w:top="337"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360" w:type="dxa"/>
            <w:vAlign w:val="bottom"/>
          </w:tcPr>
          <w:p>
            <w:pPr>
              <w:jc w:val="right"/>
              <w:ind w:right="505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32"/>
        </w:trPr>
        <w:tc>
          <w:tcPr>
            <w:tcW w:w="11280" w:type="dxa"/>
            <w:vAlign w:val="bottom"/>
            <w:gridSpan w:val="2"/>
          </w:tcPr>
          <w:p>
            <w:pPr>
              <w:jc w:val="right"/>
              <w:ind w:right="5050"/>
              <w:spacing w:after="0"/>
              <w:rPr>
                <w:sz w:val="20"/>
                <w:szCs w:val="20"/>
                <w:color w:val="auto"/>
              </w:rPr>
            </w:pPr>
            <w:r>
              <w:rPr>
                <w:rFonts w:ascii="Arial" w:cs="Arial" w:eastAsia="Arial" w:hAnsi="Arial"/>
                <w:sz w:val="18"/>
                <w:szCs w:val="18"/>
                <w:color w:val="auto"/>
                <w:w w:val="92"/>
              </w:rPr>
              <w:t>The following exhibits are being filed as part of this Quarterly Report on Form 10-Q:</w:t>
            </w:r>
          </w:p>
        </w:tc>
        <w:tc>
          <w:tcPr>
            <w:tcW w:w="0" w:type="dxa"/>
            <w:vAlign w:val="bottom"/>
          </w:tcPr>
          <w:p>
            <w:pPr>
              <w:spacing w:after="0"/>
              <w:rPr>
                <w:sz w:val="1"/>
                <w:szCs w:val="1"/>
                <w:color w:val="auto"/>
              </w:rPr>
            </w:pPr>
          </w:p>
        </w:tc>
      </w:tr>
      <w:tr>
        <w:trPr>
          <w:trHeight w:val="485"/>
        </w:trPr>
        <w:tc>
          <w:tcPr>
            <w:tcW w:w="920" w:type="dxa"/>
            <w:vAlign w:val="bottom"/>
          </w:tcPr>
          <w:p>
            <w:pPr>
              <w:ind w:left="40"/>
              <w:spacing w:after="0"/>
              <w:rPr>
                <w:sz w:val="20"/>
                <w:szCs w:val="20"/>
                <w:color w:val="auto"/>
              </w:rPr>
            </w:pPr>
            <w:r>
              <w:rPr>
                <w:rFonts w:ascii="Arial" w:cs="Arial" w:eastAsia="Arial" w:hAnsi="Arial"/>
                <w:sz w:val="18"/>
                <w:szCs w:val="18"/>
                <w:color w:val="auto"/>
              </w:rPr>
              <w:t>31.1</w:t>
            </w:r>
          </w:p>
        </w:tc>
        <w:tc>
          <w:tcPr>
            <w:tcW w:w="10360" w:type="dxa"/>
            <w:vAlign w:val="bottom"/>
          </w:tcPr>
          <w:p>
            <w:pPr>
              <w:ind w:left="140"/>
              <w:spacing w:after="0"/>
              <w:rPr>
                <w:sz w:val="20"/>
                <w:szCs w:val="20"/>
                <w:color w:val="auto"/>
              </w:rPr>
            </w:pPr>
            <w:r>
              <w:rPr>
                <w:rFonts w:ascii="Arial" w:cs="Arial" w:eastAsia="Arial" w:hAnsi="Arial"/>
                <w:sz w:val="18"/>
                <w:szCs w:val="18"/>
                <w:color w:val="auto"/>
                <w:w w:val="92"/>
              </w:rPr>
              <w:t>Certification of the Chief Executive Officer of ExlService Holdings, pursuant to Rule 13a-14(a) of the Exchange Act, as adopted pursuant to</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36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10360" w:type="dxa"/>
            <w:vAlign w:val="bottom"/>
          </w:tcPr>
          <w:p>
            <w:pPr>
              <w:ind w:left="140"/>
              <w:spacing w:after="0"/>
              <w:rPr>
                <w:sz w:val="20"/>
                <w:szCs w:val="20"/>
                <w:color w:val="auto"/>
              </w:rPr>
            </w:pPr>
            <w:r>
              <w:rPr>
                <w:rFonts w:ascii="Arial" w:cs="Arial" w:eastAsia="Arial" w:hAnsi="Arial"/>
                <w:sz w:val="18"/>
                <w:szCs w:val="18"/>
                <w:color w:val="auto"/>
                <w:w w:val="92"/>
              </w:rPr>
              <w:t>Certification of the Chief Financial Officer of ExlService Holdings, pursuant to Rule 13a-14(a) of the Exchange Act, as adopted pursuant to</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36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10360" w:type="dxa"/>
            <w:vAlign w:val="bottom"/>
          </w:tcPr>
          <w:p>
            <w:pPr>
              <w:ind w:left="140"/>
              <w:spacing w:after="0"/>
              <w:rPr>
                <w:sz w:val="20"/>
                <w:szCs w:val="20"/>
                <w:color w:val="auto"/>
              </w:rPr>
            </w:pPr>
            <w:r>
              <w:rPr>
                <w:rFonts w:ascii="Arial" w:cs="Arial" w:eastAsia="Arial" w:hAnsi="Arial"/>
                <w:sz w:val="18"/>
                <w:szCs w:val="18"/>
                <w:color w:val="auto"/>
                <w:w w:val="90"/>
              </w:rPr>
              <w:t>Certification of the Chief Executive Officer pursuant to Rule 13a-14(b) of the Exchange Act and 18 U.S.C. Section 1350, as adopted pursuant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360" w:type="dxa"/>
            <w:vAlign w:val="bottom"/>
          </w:tcPr>
          <w:p>
            <w:pPr>
              <w:ind w:left="140"/>
              <w:spacing w:after="0"/>
              <w:rPr>
                <w:sz w:val="20"/>
                <w:szCs w:val="20"/>
                <w:color w:val="auto"/>
              </w:rPr>
            </w:pPr>
            <w:r>
              <w:rPr>
                <w:rFonts w:ascii="Arial" w:cs="Arial" w:eastAsia="Arial" w:hAnsi="Arial"/>
                <w:sz w:val="18"/>
                <w:szCs w:val="18"/>
                <w:color w:val="auto"/>
              </w:rPr>
              <w:t>to Section 906 of the Sarbanes-Oxley Act of 2002.</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10360" w:type="dxa"/>
            <w:vAlign w:val="bottom"/>
          </w:tcPr>
          <w:p>
            <w:pPr>
              <w:ind w:left="140"/>
              <w:spacing w:after="0"/>
              <w:rPr>
                <w:sz w:val="20"/>
                <w:szCs w:val="20"/>
                <w:color w:val="auto"/>
              </w:rPr>
            </w:pPr>
            <w:r>
              <w:rPr>
                <w:rFonts w:ascii="Arial" w:cs="Arial" w:eastAsia="Arial" w:hAnsi="Arial"/>
                <w:sz w:val="18"/>
                <w:szCs w:val="18"/>
                <w:color w:val="auto"/>
                <w:w w:val="91"/>
              </w:rPr>
              <w:t>Certification of the Chief Financial Officer pursuant to Rule 13a-14(b) of the Exchange Act and 18 U.S.C. Section 1350, as adopted pursuant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360" w:type="dxa"/>
            <w:vAlign w:val="bottom"/>
          </w:tcPr>
          <w:p>
            <w:pPr>
              <w:ind w:left="140"/>
              <w:spacing w:after="0"/>
              <w:rPr>
                <w:sz w:val="20"/>
                <w:szCs w:val="20"/>
                <w:color w:val="auto"/>
              </w:rPr>
            </w:pPr>
            <w:r>
              <w:rPr>
                <w:rFonts w:ascii="Arial" w:cs="Arial" w:eastAsia="Arial" w:hAnsi="Arial"/>
                <w:sz w:val="18"/>
                <w:szCs w:val="18"/>
                <w:color w:val="auto"/>
              </w:rPr>
              <w:t>to Section 906 of the Sarbanes-Oxley Act of 2002.</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101.INS</w:t>
            </w:r>
          </w:p>
        </w:tc>
        <w:tc>
          <w:tcPr>
            <w:tcW w:w="10360" w:type="dxa"/>
            <w:vAlign w:val="bottom"/>
          </w:tcPr>
          <w:p>
            <w:pPr>
              <w:ind w:left="1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101.SCH</w:t>
            </w:r>
          </w:p>
        </w:tc>
        <w:tc>
          <w:tcPr>
            <w:tcW w:w="10360" w:type="dxa"/>
            <w:vAlign w:val="bottom"/>
          </w:tcPr>
          <w:p>
            <w:pPr>
              <w:ind w:left="140"/>
              <w:spacing w:after="0"/>
              <w:rPr>
                <w:sz w:val="20"/>
                <w:szCs w:val="20"/>
                <w:color w:val="auto"/>
              </w:rPr>
            </w:pPr>
            <w:r>
              <w:rPr>
                <w:rFonts w:ascii="Arial" w:cs="Arial" w:eastAsia="Arial" w:hAnsi="Arial"/>
                <w:sz w:val="18"/>
                <w:szCs w:val="18"/>
                <w:color w:val="auto"/>
              </w:rPr>
              <w:t>XBRL Taxonomy Extension Scheme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101.CAL</w:t>
            </w:r>
          </w:p>
        </w:tc>
        <w:tc>
          <w:tcPr>
            <w:tcW w:w="1036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101.DEF</w:t>
            </w:r>
          </w:p>
        </w:tc>
        <w:tc>
          <w:tcPr>
            <w:tcW w:w="1036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101.LAB</w:t>
            </w:r>
          </w:p>
        </w:tc>
        <w:tc>
          <w:tcPr>
            <w:tcW w:w="10360" w:type="dxa"/>
            <w:vAlign w:val="bottom"/>
          </w:tcPr>
          <w:p>
            <w:pPr>
              <w:ind w:left="14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101.PRE</w:t>
            </w:r>
          </w:p>
        </w:tc>
        <w:tc>
          <w:tcPr>
            <w:tcW w:w="10360" w:type="dxa"/>
            <w:vAlign w:val="bottom"/>
          </w:tcPr>
          <w:p>
            <w:pPr>
              <w:ind w:left="140"/>
              <w:spacing w:after="0"/>
              <w:rPr>
                <w:sz w:val="20"/>
                <w:szCs w:val="20"/>
                <w:color w:val="auto"/>
              </w:rPr>
            </w:pPr>
            <w:r>
              <w:rPr>
                <w:rFonts w:ascii="Arial" w:cs="Arial" w:eastAsia="Arial" w:hAnsi="Arial"/>
                <w:sz w:val="18"/>
                <w:szCs w:val="18"/>
                <w:color w:val="auto"/>
              </w:rPr>
              <w:t>XBRL Extension Presentation Linkbase</w:t>
            </w:r>
          </w:p>
        </w:tc>
        <w:tc>
          <w:tcPr>
            <w:tcW w:w="0" w:type="dxa"/>
            <w:vAlign w:val="bottom"/>
          </w:tcPr>
          <w:p>
            <w:pPr>
              <w:spacing w:after="0"/>
              <w:rPr>
                <w:sz w:val="1"/>
                <w:szCs w:val="1"/>
                <w:color w:val="auto"/>
              </w:rPr>
            </w:pPr>
          </w:p>
        </w:tc>
      </w:tr>
      <w:tr>
        <w:trPr>
          <w:trHeight w:val="149"/>
        </w:trPr>
        <w:tc>
          <w:tcPr>
            <w:tcW w:w="920" w:type="dxa"/>
            <w:vAlign w:val="bottom"/>
            <w:tcBorders>
              <w:bottom w:val="single" w:sz="8" w:color="auto"/>
            </w:tcBorders>
          </w:tcPr>
          <w:p>
            <w:pPr>
              <w:spacing w:after="0"/>
              <w:rPr>
                <w:sz w:val="12"/>
                <w:szCs w:val="12"/>
                <w:color w:val="auto"/>
              </w:rPr>
            </w:pPr>
          </w:p>
        </w:tc>
        <w:tc>
          <w:tcPr>
            <w:tcW w:w="10360" w:type="dxa"/>
            <w:vAlign w:val="bottom"/>
            <w:vMerge w:val="restart"/>
          </w:tcPr>
          <w:p>
            <w:pPr>
              <w:ind w:left="47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669"/>
        </w:trPr>
        <w:tc>
          <w:tcPr>
            <w:tcW w:w="920" w:type="dxa"/>
            <w:vAlign w:val="bottom"/>
          </w:tcPr>
          <w:p>
            <w:pPr>
              <w:spacing w:after="0"/>
              <w:rPr>
                <w:sz w:val="24"/>
                <w:szCs w:val="24"/>
                <w:color w:val="auto"/>
              </w:rPr>
            </w:pPr>
          </w:p>
        </w:tc>
        <w:tc>
          <w:tcPr>
            <w:tcW w:w="10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337" w:right="37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Rohit Kapoor, certify that:</w:t>
      </w:r>
    </w:p>
    <w:p>
      <w:pPr>
        <w:spacing w:after="0" w:line="225"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25"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July 28, 2016</w:t>
      </w:r>
      <w:r>
        <w:rPr>
          <w:sz w:val="20"/>
          <w:szCs w:val="20"/>
          <w:color w:val="auto"/>
        </w:rPr>
        <w:tab/>
      </w:r>
      <w:r>
        <w:rPr>
          <w:rFonts w:ascii="Arial" w:cs="Arial" w:eastAsia="Arial" w:hAnsi="Arial"/>
          <w:sz w:val="16"/>
          <w:szCs w:val="16"/>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Vice-Chairman and Chief Executive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Vishal Chhibbar, certify that:</w:t>
      </w:r>
    </w:p>
    <w:p>
      <w:pPr>
        <w:spacing w:after="0" w:line="347"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25"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July 28, 2016</w:t>
      </w:r>
      <w:r>
        <w:rPr>
          <w:sz w:val="20"/>
          <w:szCs w:val="20"/>
          <w:color w:val="auto"/>
        </w:rPr>
        <w:tab/>
      </w:r>
      <w:r>
        <w:rPr>
          <w:rFonts w:ascii="Arial" w:cs="Arial" w:eastAsia="Arial" w:hAnsi="Arial"/>
          <w:sz w:val="16"/>
          <w:szCs w:val="16"/>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Vishal Chhibbar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ended June 30, 2016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2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3887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Vice-Chairman and 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28, 2016</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ended June 30, 2016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0082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Vishal Chhibbar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28,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lvl w:ilvl="1">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2019-12-29T11:33:36Z</dcterms:created>
  <dcterms:modified xsi:type="dcterms:W3CDTF">2019-12-29T11:33:36Z</dcterms:modified>
</cp:coreProperties>
</file>