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757555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ind w:left="306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6" w:lineRule="exact"/>
        <w:rPr>
          <w:sz w:val="24"/>
          <w:szCs w:val="24"/>
          <w:color w:val="auto"/>
        </w:rPr>
      </w:pPr>
    </w:p>
    <w:p>
      <w:pPr>
        <w:ind w:left="306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CURRENT REPORT</w:t>
      </w:r>
    </w:p>
    <w:p>
      <w:pPr>
        <w:spacing w:after="0" w:line="262" w:lineRule="exact"/>
        <w:rPr>
          <w:sz w:val="24"/>
          <w:szCs w:val="24"/>
          <w:color w:val="auto"/>
        </w:rPr>
      </w:pPr>
    </w:p>
    <w:p>
      <w:pPr>
        <w:ind w:left="3180"/>
        <w:spacing w:after="0"/>
        <w:rPr>
          <w:sz w:val="20"/>
          <w:szCs w:val="20"/>
          <w:color w:val="auto"/>
        </w:rPr>
      </w:pPr>
      <w:r>
        <w:rPr>
          <w:rFonts w:ascii="Arial" w:cs="Arial" w:eastAsia="Arial" w:hAnsi="Arial"/>
          <w:sz w:val="16"/>
          <w:szCs w:val="16"/>
          <w:b w:val="1"/>
          <w:bCs w:val="1"/>
          <w:color w:val="auto"/>
        </w:rPr>
        <w:t>Pursuant to Sections 13 or 15(d) of the Securities Exchange Act of 1934</w:t>
      </w:r>
    </w:p>
    <w:p>
      <w:pPr>
        <w:spacing w:after="0" w:line="63" w:lineRule="exact"/>
        <w:rPr>
          <w:sz w:val="24"/>
          <w:szCs w:val="24"/>
          <w:color w:val="auto"/>
        </w:rPr>
      </w:pPr>
    </w:p>
    <w:p>
      <w:pPr>
        <w:ind w:left="3560"/>
        <w:spacing w:after="0"/>
        <w:rPr>
          <w:sz w:val="20"/>
          <w:szCs w:val="20"/>
          <w:color w:val="auto"/>
        </w:rPr>
      </w:pPr>
      <w:r>
        <w:rPr>
          <w:rFonts w:ascii="Arial" w:cs="Arial" w:eastAsia="Arial" w:hAnsi="Arial"/>
          <w:sz w:val="16"/>
          <w:szCs w:val="16"/>
          <w:color w:val="auto"/>
        </w:rPr>
        <w:t>Date of Report (Date of earliest event reported): August 6, 2020</w:t>
      </w:r>
    </w:p>
    <w:p>
      <w:pPr>
        <w:spacing w:after="0" w:line="51" w:lineRule="exact"/>
        <w:rPr>
          <w:sz w:val="24"/>
          <w:szCs w:val="24"/>
          <w:color w:val="auto"/>
        </w:rPr>
      </w:pPr>
    </w:p>
    <w:p>
      <w:pPr>
        <w:ind w:left="308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EXLSERVICE HOLDINGS,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 w:lineRule="exact"/>
        <w:rPr>
          <w:sz w:val="24"/>
          <w:szCs w:val="24"/>
          <w:color w:val="auto"/>
        </w:rPr>
      </w:pPr>
    </w:p>
    <w:p>
      <w:pPr>
        <w:ind w:left="306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ectPr>
          <w:pgSz w:w="11900" w:h="16838" w:orient="portrait"/>
          <w:cols w:equalWidth="0" w:num="1">
            <w:col w:w="11240"/>
          </w:cols>
          <w:pgMar w:left="320" w:top="1255" w:right="339" w:bottom="1440" w:gutter="0" w:footer="0" w:header="0"/>
        </w:sectPr>
      </w:pPr>
    </w:p>
    <w:p>
      <w:pPr>
        <w:spacing w:after="0" w:line="154" w:lineRule="exact"/>
        <w:rPr>
          <w:sz w:val="24"/>
          <w:szCs w:val="24"/>
          <w:color w:val="auto"/>
        </w:rPr>
      </w:pPr>
    </w:p>
    <w:p>
      <w:pPr>
        <w:ind w:left="156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2260"/>
        <w:spacing w:after="0"/>
        <w:rPr>
          <w:sz w:val="20"/>
          <w:szCs w:val="20"/>
          <w:color w:val="auto"/>
        </w:rPr>
      </w:pPr>
      <w:r>
        <w:rPr>
          <w:rFonts w:ascii="Arial" w:cs="Arial" w:eastAsia="Arial" w:hAnsi="Arial"/>
          <w:sz w:val="14"/>
          <w:szCs w:val="14"/>
          <w:b w:val="1"/>
          <w:bCs w:val="1"/>
          <w:color w:val="auto"/>
        </w:rPr>
        <w:t>001-33089</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82-0572194</w:t>
      </w:r>
    </w:p>
    <w:p>
      <w:pPr>
        <w:spacing w:after="0" w:line="99" w:lineRule="exact"/>
        <w:rPr>
          <w:sz w:val="24"/>
          <w:szCs w:val="24"/>
          <w:color w:val="auto"/>
        </w:rPr>
      </w:pPr>
    </w:p>
    <w:p>
      <w:pPr>
        <w:sectPr>
          <w:pgSz w:w="11900" w:h="16838" w:orient="portrait"/>
          <w:cols w:equalWidth="0" w:num="3">
            <w:col w:w="4580" w:space="720"/>
            <w:col w:w="2960" w:space="720"/>
            <w:col w:w="2260"/>
          </w:cols>
          <w:pgMar w:left="320" w:top="1255" w:right="339" w:bottom="1440" w:gutter="0" w:footer="0" w:header="0"/>
          <w:type w:val="continuous"/>
        </w:sectPr>
      </w:pPr>
    </w:p>
    <w:p>
      <w:pPr>
        <w:jc w:val="center"/>
        <w:ind w:right="240"/>
        <w:spacing w:after="0"/>
        <w:rPr>
          <w:sz w:val="20"/>
          <w:szCs w:val="20"/>
          <w:color w:val="auto"/>
        </w:rPr>
      </w:pPr>
      <w:r>
        <w:rPr>
          <w:rFonts w:ascii="Arial" w:cs="Arial" w:eastAsia="Arial" w:hAnsi="Arial"/>
          <w:sz w:val="16"/>
          <w:szCs w:val="16"/>
          <w:color w:val="auto"/>
        </w:rPr>
        <w:t>(State or other jurisdiction</w:t>
      </w:r>
    </w:p>
    <w:p>
      <w:pPr>
        <w:spacing w:after="0" w:line="22" w:lineRule="exact"/>
        <w:rPr>
          <w:sz w:val="24"/>
          <w:szCs w:val="24"/>
          <w:color w:val="auto"/>
        </w:rPr>
      </w:pPr>
    </w:p>
    <w:p>
      <w:pPr>
        <w:jc w:val="center"/>
        <w:ind w:right="240"/>
        <w:spacing w:after="0"/>
        <w:rPr>
          <w:sz w:val="20"/>
          <w:szCs w:val="20"/>
          <w:color w:val="auto"/>
        </w:rPr>
      </w:pPr>
      <w:r>
        <w:rPr>
          <w:rFonts w:ascii="Arial" w:cs="Arial" w:eastAsia="Arial" w:hAnsi="Arial"/>
          <w:sz w:val="15"/>
          <w:szCs w:val="15"/>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5"/>
          <w:szCs w:val="15"/>
          <w:color w:val="auto"/>
        </w:rPr>
        <w:t>(I.R.S. Employer</w:t>
      </w: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200" w:lineRule="exact"/>
        <w:rPr>
          <w:sz w:val="24"/>
          <w:szCs w:val="24"/>
          <w:color w:val="auto"/>
        </w:rPr>
      </w:pPr>
    </w:p>
    <w:p>
      <w:pPr>
        <w:sectPr>
          <w:pgSz w:w="11900" w:h="16838" w:orient="portrait"/>
          <w:cols w:equalWidth="0" w:num="3">
            <w:col w:w="4020" w:space="720"/>
            <w:col w:w="3320" w:space="720"/>
            <w:col w:w="2460"/>
          </w:cols>
          <w:pgMar w:left="320" w:top="1255" w:right="339" w:bottom="1440" w:gutter="0" w:footer="0" w:header="0"/>
          <w:type w:val="continuous"/>
        </w:sectPr>
      </w:pPr>
    </w:p>
    <w:p>
      <w:pPr>
        <w:spacing w:after="0" w:line="322" w:lineRule="exact"/>
        <w:rPr>
          <w:sz w:val="24"/>
          <w:szCs w:val="24"/>
          <w:color w:val="auto"/>
        </w:rPr>
      </w:pPr>
    </w:p>
    <w:p>
      <w:pPr>
        <w:ind w:left="4500"/>
        <w:spacing w:after="0"/>
        <w:rPr>
          <w:sz w:val="20"/>
          <w:szCs w:val="20"/>
          <w:color w:val="auto"/>
        </w:rPr>
      </w:pPr>
      <w:r>
        <w:rPr>
          <w:rFonts w:ascii="Arial" w:cs="Arial" w:eastAsia="Arial" w:hAnsi="Arial"/>
          <w:sz w:val="14"/>
          <w:szCs w:val="14"/>
          <w:b w:val="1"/>
          <w:bCs w:val="1"/>
          <w:color w:val="auto"/>
        </w:rPr>
        <w:t>320 Park Avenue, 29th Floor,</w:t>
      </w:r>
    </w:p>
    <w:p>
      <w:pPr>
        <w:spacing w:after="0" w:line="20" w:lineRule="exact"/>
        <w:rPr>
          <w:sz w:val="24"/>
          <w:szCs w:val="24"/>
          <w:color w:val="auto"/>
        </w:rPr>
      </w:pPr>
      <w:r>
        <w:rPr>
          <w:sz w:val="24"/>
          <w:szCs w:val="24"/>
          <w:color w:val="auto"/>
        </w:rPr>
        <w:br w:type="column"/>
      </w:r>
    </w:p>
    <w:p>
      <w:pPr>
        <w:spacing w:after="0" w:line="3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10022</w:t>
      </w:r>
    </w:p>
    <w:p>
      <w:pPr>
        <w:spacing w:after="0" w:line="96" w:lineRule="exact"/>
        <w:rPr>
          <w:sz w:val="24"/>
          <w:szCs w:val="24"/>
          <w:color w:val="auto"/>
        </w:rPr>
      </w:pPr>
    </w:p>
    <w:p>
      <w:pPr>
        <w:sectPr>
          <w:pgSz w:w="11900" w:h="16838" w:orient="portrait"/>
          <w:cols w:equalWidth="0" w:num="2">
            <w:col w:w="7620" w:space="720"/>
            <w:col w:w="2900"/>
          </w:cols>
          <w:pgMar w:left="320" w:top="1255" w:right="339" w:bottom="1440" w:gutter="0" w:footer="0" w:header="0"/>
          <w:type w:val="continuous"/>
        </w:sectPr>
      </w:pPr>
    </w:p>
    <w:p>
      <w:pPr>
        <w:ind w:left="5000"/>
        <w:spacing w:after="0"/>
        <w:rPr>
          <w:sz w:val="20"/>
          <w:szCs w:val="20"/>
          <w:color w:val="auto"/>
        </w:rPr>
      </w:pPr>
      <w:r>
        <w:rPr>
          <w:rFonts w:ascii="Arial" w:cs="Arial" w:eastAsia="Arial" w:hAnsi="Arial"/>
          <w:sz w:val="14"/>
          <w:szCs w:val="14"/>
          <w:b w:val="1"/>
          <w:bCs w:val="1"/>
          <w:color w:val="auto"/>
        </w:rPr>
        <w:t>New York, 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(Zip code)</w:t>
      </w:r>
    </w:p>
    <w:p>
      <w:pPr>
        <w:spacing w:after="0" w:line="84" w:lineRule="exact"/>
        <w:rPr>
          <w:sz w:val="24"/>
          <w:szCs w:val="24"/>
          <w:color w:val="auto"/>
        </w:rPr>
      </w:pPr>
    </w:p>
    <w:p>
      <w:pPr>
        <w:sectPr>
          <w:pgSz w:w="11900" w:h="16838" w:orient="portrait"/>
          <w:cols w:equalWidth="0" w:num="2">
            <w:col w:w="7480" w:space="720"/>
            <w:col w:w="3040"/>
          </w:cols>
          <w:pgMar w:left="320" w:top="1255" w:right="339" w:bottom="1440" w:gutter="0" w:footer="0" w:header="0"/>
          <w:type w:val="continuous"/>
        </w:sectPr>
      </w:pPr>
    </w:p>
    <w:p>
      <w:pPr>
        <w:ind w:left="4600"/>
        <w:spacing w:after="0"/>
        <w:rPr>
          <w:sz w:val="20"/>
          <w:szCs w:val="20"/>
          <w:color w:val="auto"/>
        </w:rPr>
      </w:pPr>
      <w:r>
        <w:rPr>
          <w:rFonts w:ascii="Arial" w:cs="Arial" w:eastAsia="Arial" w:hAnsi="Arial"/>
          <w:sz w:val="16"/>
          <w:szCs w:val="16"/>
          <w:color w:val="auto"/>
        </w:rPr>
        <w:t>(Address of principal executive offices)</w:t>
      </w:r>
    </w:p>
    <w:p>
      <w:pPr>
        <w:spacing w:after="0" w:line="190" w:lineRule="exact"/>
        <w:rPr>
          <w:sz w:val="24"/>
          <w:szCs w:val="24"/>
          <w:color w:val="auto"/>
        </w:rPr>
      </w:pPr>
    </w:p>
    <w:p>
      <w:pPr>
        <w:ind w:left="342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(212) 277-7100</w:t>
      </w:r>
    </w:p>
    <w:p>
      <w:pPr>
        <w:spacing w:after="0" w:line="29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address, if changed since last report)</w:t>
      </w:r>
    </w:p>
    <w:p>
      <w:pPr>
        <w:spacing w:after="0" w:line="3" w:lineRule="exact"/>
        <w:rPr>
          <w:sz w:val="24"/>
          <w:szCs w:val="24"/>
          <w:color w:val="auto"/>
        </w:rPr>
      </w:pPr>
    </w:p>
    <w:p>
      <w:pPr>
        <w:ind w:left="3640"/>
        <w:spacing w:after="0"/>
        <w:rPr>
          <w:sz w:val="20"/>
          <w:szCs w:val="20"/>
          <w:color w:val="auto"/>
        </w:rPr>
      </w:pPr>
      <w:r>
        <w:rPr>
          <w:rFonts w:ascii="Arial" w:cs="Arial" w:eastAsia="Arial" w:hAnsi="Arial"/>
          <w:sz w:val="17"/>
          <w:szCs w:val="17"/>
          <w:b w:val="1"/>
          <w:bCs w:val="1"/>
          <w:color w:val="auto"/>
        </w:rPr>
        <w:t>____________________________________________</w:t>
      </w:r>
    </w:p>
    <w:p>
      <w:pPr>
        <w:sectPr>
          <w:pgSz w:w="11900" w:h="16838" w:orient="portrait"/>
          <w:cols w:equalWidth="0" w:num="1">
            <w:col w:w="11240"/>
          </w:cols>
          <w:pgMar w:left="320" w:top="1255" w:right="339" w:bottom="1440" w:gutter="0" w:footer="0" w:header="0"/>
          <w:type w:val="continuous"/>
        </w:sectPr>
      </w:pP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ind w:left="640" w:hanging="614"/>
        <w:spacing w:after="0" w:line="207" w:lineRule="auto"/>
        <w:tabs>
          <w:tab w:leader="none" w:pos="64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6"/>
          <w:szCs w:val="16"/>
          <w:color w:val="auto"/>
        </w:rPr>
        <w:t>Written communication pursuant to Rule 425 under the Securities Act (17 CFR 230.425)</w:t>
      </w:r>
    </w:p>
    <w:p>
      <w:pPr>
        <w:spacing w:after="0" w:line="94" w:lineRule="exact"/>
        <w:rPr>
          <w:rFonts w:ascii="MS PGothic" w:cs="MS PGothic" w:eastAsia="MS PGothic" w:hAnsi="MS PGothic"/>
          <w:sz w:val="43"/>
          <w:szCs w:val="43"/>
          <w:color w:val="auto"/>
          <w:vertAlign w:val="subscript"/>
        </w:rPr>
      </w:pPr>
    </w:p>
    <w:p>
      <w:pPr>
        <w:ind w:left="640" w:hanging="614"/>
        <w:spacing w:after="0" w:line="181" w:lineRule="auto"/>
        <w:tabs>
          <w:tab w:leader="none" w:pos="64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6"/>
          <w:szCs w:val="16"/>
          <w:color w:val="auto"/>
        </w:rPr>
        <w:t>Soliciting material pursuant to Rule 14a-12 under the Exchange Act (17 CFR 240.14a-12)</w:t>
      </w:r>
    </w:p>
    <w:p>
      <w:pPr>
        <w:spacing w:after="0" w:line="94" w:lineRule="exact"/>
        <w:rPr>
          <w:rFonts w:ascii="MS PGothic" w:cs="MS PGothic" w:eastAsia="MS PGothic" w:hAnsi="MS PGothic"/>
          <w:sz w:val="43"/>
          <w:szCs w:val="43"/>
          <w:color w:val="auto"/>
          <w:vertAlign w:val="subscript"/>
        </w:rPr>
      </w:pPr>
    </w:p>
    <w:p>
      <w:pPr>
        <w:ind w:left="640" w:hanging="614"/>
        <w:spacing w:after="0" w:line="188" w:lineRule="auto"/>
        <w:tabs>
          <w:tab w:leader="none" w:pos="64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6"/>
          <w:szCs w:val="16"/>
          <w:color w:val="auto"/>
        </w:rPr>
        <w:t>Pre-commencement communications pursuant to Rule 14d-2(b) under the Exchange Act (17 CFR 240.14d-2(b))</w:t>
      </w:r>
    </w:p>
    <w:p>
      <w:pPr>
        <w:spacing w:after="0" w:line="95" w:lineRule="exact"/>
        <w:rPr>
          <w:rFonts w:ascii="MS PGothic" w:cs="MS PGothic" w:eastAsia="MS PGothic" w:hAnsi="MS PGothic"/>
          <w:sz w:val="43"/>
          <w:szCs w:val="43"/>
          <w:color w:val="auto"/>
          <w:vertAlign w:val="subscript"/>
        </w:rPr>
      </w:pPr>
    </w:p>
    <w:p>
      <w:pPr>
        <w:ind w:left="640" w:hanging="614"/>
        <w:spacing w:after="0" w:line="188" w:lineRule="auto"/>
        <w:tabs>
          <w:tab w:leader="none" w:pos="64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02" w:lineRule="exact"/>
        <w:rPr>
          <w:sz w:val="24"/>
          <w:szCs w:val="24"/>
          <w:color w:val="auto"/>
        </w:rPr>
      </w:pPr>
    </w:p>
    <w:p>
      <w:pPr>
        <w:spacing w:after="0" w:line="257"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6"/>
          <w:szCs w:val="16"/>
          <w:color w:val="auto"/>
        </w:rPr>
        <w:t>Emerging growth company</w:t>
      </w:r>
    </w:p>
    <w:p>
      <w:pPr>
        <w:spacing w:after="0" w:line="266" w:lineRule="exact"/>
        <w:rPr>
          <w:rFonts w:ascii="MS PGothic" w:cs="MS PGothic" w:eastAsia="MS PGothic" w:hAnsi="MS PGothic"/>
          <w:sz w:val="43"/>
          <w:szCs w:val="43"/>
          <w:color w:val="auto"/>
          <w:vertAlign w:val="subscript"/>
        </w:rPr>
      </w:pPr>
    </w:p>
    <w:p>
      <w:pPr>
        <w:ind w:left="640" w:right="460" w:hanging="614"/>
        <w:spacing w:after="0" w:line="180" w:lineRule="auto"/>
        <w:tabs>
          <w:tab w:leader="none" w:pos="640" w:val="left"/>
        </w:tabs>
        <w:numPr>
          <w:ilvl w:val="0"/>
          <w:numId w:val="2"/>
        </w:numPr>
        <w:rPr>
          <w:rFonts w:ascii="MS PGothic" w:cs="MS PGothic" w:eastAsia="MS PGothic" w:hAnsi="MS PGothic"/>
          <w:sz w:val="37"/>
          <w:szCs w:val="37"/>
          <w:color w:val="auto"/>
          <w:vertAlign w:val="subscript"/>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99060</wp:posOffset>
            </wp:positionV>
            <wp:extent cx="7123430" cy="522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522605"/>
                    </a:xfrm>
                    <a:prstGeom prst="rect">
                      <a:avLst/>
                    </a:prstGeom>
                    <a:noFill/>
                  </pic:spPr>
                </pic:pic>
              </a:graphicData>
            </a:graphic>
          </wp:anchor>
        </w:drawing>
      </w:r>
    </w:p>
    <w:p>
      <w:pPr>
        <w:spacing w:after="0" w:line="1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3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2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33"/>
        </w:trPr>
        <w:tc>
          <w:tcPr>
            <w:tcW w:w="20" w:type="dxa"/>
            <w:vAlign w:val="bottom"/>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$0.001 par value per share</w:t>
            </w:r>
          </w:p>
        </w:tc>
        <w:tc>
          <w:tcPr>
            <w:tcW w:w="3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EXLS</w:t>
            </w:r>
          </w:p>
        </w:tc>
        <w:tc>
          <w:tcPr>
            <w:tcW w:w="4240" w:type="dxa"/>
            <w:vAlign w:val="bottom"/>
          </w:tcPr>
          <w:p>
            <w:pPr>
              <w:jc w:val="center"/>
              <w:spacing w:after="0"/>
              <w:rPr>
                <w:sz w:val="20"/>
                <w:szCs w:val="20"/>
                <w:color w:val="auto"/>
              </w:rPr>
            </w:pPr>
            <w:r>
              <w:rPr>
                <w:rFonts w:ascii="Arial" w:cs="Arial" w:eastAsia="Arial" w:hAnsi="Arial"/>
                <w:sz w:val="16"/>
                <w:szCs w:val="16"/>
                <w:color w:val="auto"/>
              </w:rPr>
              <w:t>NASDAQ</w:t>
            </w:r>
          </w:p>
        </w:tc>
      </w:tr>
      <w:tr>
        <w:trPr>
          <w:trHeight w:val="33"/>
        </w:trPr>
        <w:tc>
          <w:tcPr>
            <w:tcW w:w="20" w:type="dxa"/>
            <w:vAlign w:val="bottom"/>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439"/>
        </w:trPr>
        <w:tc>
          <w:tcPr>
            <w:tcW w:w="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972"/>
        </w:trPr>
        <w:tc>
          <w:tcPr>
            <w:tcW w:w="2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6, 2020, ExlService Holdings, Inc. (the “Company”) reported its results of operations for the three months ended June 30, 2020. A copy of the press release issued by the Company concerning the foregoing is furnished herewith as Exhibit 99.1 and is incorporated herein by reference. The information provided in Item 2.02 of this report, including Exhibit 99.1, shall not be deemed to be “filed” for purposes of Section 18 of the Securities Exchange Act of 1934, as amended.</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ectPr>
          <w:pgSz w:w="11900" w:h="16838" w:orient="portrait"/>
          <w:cols w:equalWidth="0" w:num="1">
            <w:col w:w="11240"/>
          </w:cols>
          <w:pgMar w:left="320" w:top="945" w:right="339" w:bottom="1440" w:gutter="0" w:footer="0" w:header="0"/>
        </w:sectPr>
      </w:pPr>
    </w:p>
    <w:p>
      <w:pPr>
        <w:spacing w:after="0" w:line="270"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(d) Exhibits</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Exhibit No.</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99.1</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w:t>
      </w:r>
    </w:p>
    <w:p>
      <w:pPr>
        <w:spacing w:after="0" w:line="67" w:lineRule="exact"/>
        <w:rPr>
          <w:sz w:val="20"/>
          <w:szCs w:val="20"/>
          <w:color w:val="auto"/>
        </w:rPr>
      </w:pPr>
    </w:p>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dated August 6, 2020 (furnished pursuant to Item 2.02).</w:t>
        </w:r>
      </w:hyperlink>
    </w:p>
    <w:p>
      <w:pPr>
        <w:spacing w:after="0" w:line="23" w:lineRule="exact"/>
        <w:rPr>
          <w:sz w:val="20"/>
          <w:szCs w:val="20"/>
          <w:color w:val="auto"/>
        </w:rPr>
      </w:pPr>
    </w:p>
    <w:p>
      <w:pPr>
        <w:ind w:right="1960"/>
        <w:spacing w:after="0" w:line="234" w:lineRule="auto"/>
        <w:rPr>
          <w:sz w:val="20"/>
          <w:szCs w:val="20"/>
          <w:color w:val="auto"/>
        </w:rPr>
      </w:pPr>
      <w:r>
        <w:rPr>
          <w:rFonts w:ascii="Arial" w:cs="Arial" w:eastAsia="Arial" w:hAnsi="Arial"/>
          <w:sz w:val="18"/>
          <w:szCs w:val="18"/>
          <w:color w:val="auto"/>
        </w:rPr>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292100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380" w:space="720"/>
            <w:col w:w="8140"/>
          </w:cols>
          <w:pgMar w:left="320" w:top="945"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8160" w:type="dxa"/>
            <w:vAlign w:val="bottom"/>
            <w:gridSpan w:val="2"/>
          </w:tcPr>
          <w:p>
            <w:pPr>
              <w:ind w:left="194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060" w:type="dxa"/>
            <w:vAlign w:val="bottom"/>
          </w:tcPr>
          <w:p>
            <w:pPr>
              <w:spacing w:after="0"/>
              <w:rPr>
                <w:sz w:val="20"/>
                <w:szCs w:val="20"/>
                <w:color w:val="auto"/>
              </w:rPr>
            </w:pPr>
          </w:p>
        </w:tc>
        <w:tc>
          <w:tcPr>
            <w:tcW w:w="3200" w:type="dxa"/>
            <w:vAlign w:val="bottom"/>
          </w:tcPr>
          <w:p>
            <w:pPr>
              <w:ind w:left="1940"/>
              <w:spacing w:after="0"/>
              <w:rPr>
                <w:sz w:val="20"/>
                <w:szCs w:val="20"/>
                <w:color w:val="auto"/>
              </w:rPr>
            </w:pPr>
            <w:r>
              <w:rPr>
                <w:rFonts w:ascii="Arial" w:cs="Arial" w:eastAsia="Arial" w:hAnsi="Arial"/>
                <w:sz w:val="18"/>
                <w:szCs w:val="18"/>
                <w:color w:val="auto"/>
              </w:rPr>
              <w:t>(Registrant)</w:t>
            </w:r>
          </w:p>
        </w:tc>
        <w:tc>
          <w:tcPr>
            <w:tcW w:w="4960" w:type="dxa"/>
            <w:vAlign w:val="bottom"/>
          </w:tcPr>
          <w:p>
            <w:pPr>
              <w:spacing w:after="0"/>
              <w:rPr>
                <w:sz w:val="20"/>
                <w:szCs w:val="20"/>
                <w:color w:val="auto"/>
              </w:rPr>
            </w:pPr>
          </w:p>
        </w:tc>
      </w:tr>
      <w:tr>
        <w:trPr>
          <w:trHeight w:val="755"/>
        </w:trPr>
        <w:tc>
          <w:tcPr>
            <w:tcW w:w="3060" w:type="dxa"/>
            <w:vAlign w:val="bottom"/>
          </w:tcPr>
          <w:p>
            <w:pPr>
              <w:spacing w:after="0"/>
              <w:rPr>
                <w:sz w:val="20"/>
                <w:szCs w:val="20"/>
                <w:color w:val="auto"/>
              </w:rPr>
            </w:pPr>
            <w:r>
              <w:rPr>
                <w:rFonts w:ascii="Arial" w:cs="Arial" w:eastAsia="Arial" w:hAnsi="Arial"/>
                <w:sz w:val="18"/>
                <w:szCs w:val="18"/>
                <w:color w:val="auto"/>
              </w:rPr>
              <w:t>August 6, 2020</w:t>
            </w:r>
          </w:p>
        </w:tc>
        <w:tc>
          <w:tcPr>
            <w:tcW w:w="3200" w:type="dxa"/>
            <w:vAlign w:val="bottom"/>
          </w:tcPr>
          <w:p>
            <w:pPr>
              <w:ind w:left="1940"/>
              <w:spacing w:after="0"/>
              <w:rPr>
                <w:sz w:val="20"/>
                <w:szCs w:val="20"/>
                <w:color w:val="auto"/>
              </w:rPr>
            </w:pPr>
            <w:r>
              <w:rPr>
                <w:rFonts w:ascii="Arial" w:cs="Arial" w:eastAsia="Arial" w:hAnsi="Arial"/>
                <w:sz w:val="18"/>
                <w:szCs w:val="18"/>
                <w:color w:val="auto"/>
              </w:rPr>
              <w:t>By:</w:t>
            </w:r>
          </w:p>
        </w:tc>
        <w:tc>
          <w:tcPr>
            <w:tcW w:w="4960" w:type="dxa"/>
            <w:vAlign w:val="bottom"/>
          </w:tcPr>
          <w:p>
            <w:pPr>
              <w:ind w:left="20"/>
              <w:spacing w:after="0"/>
              <w:rPr>
                <w:sz w:val="20"/>
                <w:szCs w:val="20"/>
                <w:color w:val="auto"/>
              </w:rPr>
            </w:pPr>
            <w:r>
              <w:rPr>
                <w:rFonts w:ascii="Arial" w:cs="Arial" w:eastAsia="Arial" w:hAnsi="Arial"/>
                <w:sz w:val="18"/>
                <w:szCs w:val="18"/>
                <w:color w:val="auto"/>
              </w:rPr>
              <w:t>/s/ Ajay Ayyappan</w:t>
            </w:r>
          </w:p>
        </w:tc>
      </w:tr>
      <w:tr>
        <w:trPr>
          <w:trHeight w:val="54"/>
        </w:trPr>
        <w:tc>
          <w:tcPr>
            <w:tcW w:w="3060" w:type="dxa"/>
            <w:vAlign w:val="bottom"/>
          </w:tcPr>
          <w:p>
            <w:pPr>
              <w:spacing w:after="0"/>
              <w:rPr>
                <w:sz w:val="4"/>
                <w:szCs w:val="4"/>
                <w:color w:val="auto"/>
              </w:rPr>
            </w:pPr>
          </w:p>
        </w:tc>
        <w:tc>
          <w:tcPr>
            <w:tcW w:w="3200" w:type="dxa"/>
            <w:vAlign w:val="bottom"/>
          </w:tcPr>
          <w:p>
            <w:pPr>
              <w:spacing w:after="0"/>
              <w:rPr>
                <w:sz w:val="4"/>
                <w:szCs w:val="4"/>
                <w:color w:val="auto"/>
              </w:rPr>
            </w:pPr>
          </w:p>
        </w:tc>
        <w:tc>
          <w:tcPr>
            <w:tcW w:w="4960" w:type="dxa"/>
            <w:vAlign w:val="bottom"/>
            <w:tcBorders>
              <w:bottom w:val="single" w:sz="8" w:color="auto"/>
            </w:tcBorders>
          </w:tcPr>
          <w:p>
            <w:pPr>
              <w:spacing w:after="0"/>
              <w:rPr>
                <w:sz w:val="4"/>
                <w:szCs w:val="4"/>
                <w:color w:val="auto"/>
              </w:rPr>
            </w:pPr>
          </w:p>
        </w:tc>
      </w:tr>
      <w:tr>
        <w:trPr>
          <w:trHeight w:val="250"/>
        </w:trPr>
        <w:tc>
          <w:tcPr>
            <w:tcW w:w="3060" w:type="dxa"/>
            <w:vAlign w:val="bottom"/>
          </w:tcPr>
          <w:p>
            <w:pPr>
              <w:spacing w:after="0"/>
              <w:rPr>
                <w:sz w:val="21"/>
                <w:szCs w:val="21"/>
                <w:color w:val="auto"/>
              </w:rPr>
            </w:pPr>
          </w:p>
        </w:tc>
        <w:tc>
          <w:tcPr>
            <w:tcW w:w="3200" w:type="dxa"/>
            <w:vAlign w:val="bottom"/>
          </w:tcPr>
          <w:p>
            <w:pPr>
              <w:ind w:left="1940"/>
              <w:spacing w:after="0"/>
              <w:rPr>
                <w:sz w:val="20"/>
                <w:szCs w:val="20"/>
                <w:color w:val="auto"/>
              </w:rPr>
            </w:pPr>
            <w:r>
              <w:rPr>
                <w:rFonts w:ascii="Arial" w:cs="Arial" w:eastAsia="Arial" w:hAnsi="Arial"/>
                <w:sz w:val="18"/>
                <w:szCs w:val="18"/>
                <w:color w:val="auto"/>
              </w:rPr>
              <w:t>Name:</w:t>
            </w:r>
          </w:p>
        </w:tc>
        <w:tc>
          <w:tcPr>
            <w:tcW w:w="4960" w:type="dxa"/>
            <w:vAlign w:val="bottom"/>
          </w:tcPr>
          <w:p>
            <w:pPr>
              <w:ind w:left="20"/>
              <w:spacing w:after="0"/>
              <w:rPr>
                <w:sz w:val="20"/>
                <w:szCs w:val="20"/>
                <w:color w:val="auto"/>
              </w:rPr>
            </w:pPr>
            <w:r>
              <w:rPr>
                <w:rFonts w:ascii="Arial" w:cs="Arial" w:eastAsia="Arial" w:hAnsi="Arial"/>
                <w:sz w:val="18"/>
                <w:szCs w:val="18"/>
                <w:color w:val="auto"/>
              </w:rPr>
              <w:t>Ajay Ayyappan</w:t>
            </w:r>
          </w:p>
        </w:tc>
      </w:tr>
      <w:tr>
        <w:trPr>
          <w:trHeight w:val="270"/>
        </w:trPr>
        <w:tc>
          <w:tcPr>
            <w:tcW w:w="3060" w:type="dxa"/>
            <w:vAlign w:val="bottom"/>
          </w:tcPr>
          <w:p>
            <w:pPr>
              <w:spacing w:after="0"/>
              <w:rPr>
                <w:sz w:val="23"/>
                <w:szCs w:val="23"/>
                <w:color w:val="auto"/>
              </w:rPr>
            </w:pPr>
          </w:p>
        </w:tc>
        <w:tc>
          <w:tcPr>
            <w:tcW w:w="3200" w:type="dxa"/>
            <w:vAlign w:val="bottom"/>
          </w:tcPr>
          <w:p>
            <w:pPr>
              <w:ind w:left="1940"/>
              <w:spacing w:after="0"/>
              <w:rPr>
                <w:sz w:val="20"/>
                <w:szCs w:val="20"/>
                <w:color w:val="auto"/>
              </w:rPr>
            </w:pPr>
            <w:r>
              <w:rPr>
                <w:rFonts w:ascii="Arial" w:cs="Arial" w:eastAsia="Arial" w:hAnsi="Arial"/>
                <w:sz w:val="18"/>
                <w:szCs w:val="18"/>
                <w:color w:val="auto"/>
              </w:rPr>
              <w:t>Title:</w:t>
            </w:r>
          </w:p>
        </w:tc>
        <w:tc>
          <w:tcPr>
            <w:tcW w:w="4960" w:type="dxa"/>
            <w:vAlign w:val="bottom"/>
          </w:tcPr>
          <w:p>
            <w:pPr>
              <w:ind w:left="20"/>
              <w:spacing w:after="0"/>
              <w:rPr>
                <w:sz w:val="20"/>
                <w:szCs w:val="20"/>
                <w:color w:val="auto"/>
              </w:rPr>
            </w:pPr>
            <w:r>
              <w:rPr>
                <w:rFonts w:ascii="Arial" w:cs="Arial" w:eastAsia="Arial" w:hAnsi="Arial"/>
                <w:sz w:val="18"/>
                <w:szCs w:val="18"/>
                <w:color w:val="auto"/>
              </w:rPr>
              <w:t>General Counsel and Corporate Secretary</w:t>
            </w:r>
          </w:p>
        </w:tc>
      </w:tr>
    </w:tbl>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REPORTS 2020 SECOND QUARTER RESULTS</w:t>
      </w:r>
    </w:p>
    <w:p>
      <w:pPr>
        <w:spacing w:after="0" w:line="256" w:lineRule="exact"/>
        <w:rPr>
          <w:sz w:val="20"/>
          <w:szCs w:val="20"/>
          <w:color w:val="auto"/>
        </w:rPr>
      </w:pPr>
    </w:p>
    <w:p>
      <w:pPr>
        <w:ind w:left="2780"/>
        <w:spacing w:after="0"/>
        <w:rPr>
          <w:sz w:val="20"/>
          <w:szCs w:val="20"/>
          <w:color w:val="auto"/>
        </w:rPr>
      </w:pPr>
      <w:r>
        <w:rPr>
          <w:rFonts w:ascii="Arial" w:cs="Arial" w:eastAsia="Arial" w:hAnsi="Arial"/>
          <w:sz w:val="18"/>
          <w:szCs w:val="18"/>
          <w:b w:val="1"/>
          <w:bCs w:val="1"/>
          <w:i w:val="1"/>
          <w:iCs w:val="1"/>
          <w:color w:val="auto"/>
        </w:rPr>
        <w:t>2020 Second Quarter Revenues of $222.5 Million, down 8.6% year-over-year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Q2 Diluted EPS (GAAP) of $0.24, down from $0.36 in Q2 of 2019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Q2 Adjusted Diluted EPS (Non-GAAP) of $0.53, down from $0.74 in Q2 of 2019</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New York, NY – August 6, 2020 - ExlService Holdings, Inc. (NASDAQ: EXLS), a leading operations management and analytics company, today announced its financial results for the quarter ended June 30, 2020.</w:t>
      </w:r>
    </w:p>
    <w:p>
      <w:pPr>
        <w:spacing w:after="0" w:line="197" w:lineRule="exact"/>
        <w:rPr>
          <w:sz w:val="20"/>
          <w:szCs w:val="20"/>
          <w:color w:val="auto"/>
        </w:rPr>
      </w:pPr>
    </w:p>
    <w:p>
      <w:pPr>
        <w:jc w:val="both"/>
        <w:spacing w:after="0" w:line="364" w:lineRule="auto"/>
        <w:rPr>
          <w:sz w:val="20"/>
          <w:szCs w:val="20"/>
          <w:color w:val="auto"/>
        </w:rPr>
      </w:pPr>
      <w:r>
        <w:rPr>
          <w:rFonts w:ascii="Arial" w:cs="Arial" w:eastAsia="Arial" w:hAnsi="Arial"/>
          <w:sz w:val="16"/>
          <w:szCs w:val="16"/>
          <w:color w:val="auto"/>
        </w:rPr>
        <w:t>Rohit Kapoor, Vice Chairman and Chief Executive Officer, said, “In the second quarter of 2020, we transitioned quickly to a ‘work-from-anywhere’ model and by the quarter’s end we were meeting over 95% of client delivery needs despite the unique and historic challenges of COVID-19. We finished the quarter with revenues of $222.5 million, down 9.6% sequentially and 8.6% year over year, compared to our prior guidance that second quarter 2020 revenue would decline 15% sequentially. Adjusted diluted EPS was $0.53, better than the high end of our expected range owing to higher revenue and cost management. While the market environment remains volatile due to the ongoing pandemic, our business model has become even more relevant as clients accelerate their digital transformation agendas to provide services to customers in a contactless manner and seek greater efficiency.”</w:t>
      </w:r>
    </w:p>
    <w:p>
      <w:pPr>
        <w:spacing w:after="0" w:line="189" w:lineRule="exact"/>
        <w:rPr>
          <w:sz w:val="20"/>
          <w:szCs w:val="20"/>
          <w:color w:val="auto"/>
        </w:rPr>
      </w:pPr>
    </w:p>
    <w:p>
      <w:pPr>
        <w:jc w:val="both"/>
        <w:spacing w:after="0" w:line="342" w:lineRule="auto"/>
        <w:rPr>
          <w:sz w:val="20"/>
          <w:szCs w:val="20"/>
          <w:color w:val="auto"/>
        </w:rPr>
      </w:pPr>
      <w:r>
        <w:rPr>
          <w:rFonts w:ascii="Arial" w:cs="Arial" w:eastAsia="Arial" w:hAnsi="Arial"/>
          <w:sz w:val="17"/>
          <w:szCs w:val="17"/>
          <w:color w:val="auto"/>
        </w:rPr>
        <w:t>Maurizio Nicolelli, Chief Financial Officer, said, “EXL’s operating model has shown tremendous resilience during the past quarter and the increased visibility in our business gives us confidence to resume guidance for 2020. Our revenue guidance for 2020 is $922 million - $938 million, representing a reduction of 3.5% to 5.0% on a constant currency basis from 2019. Our adjusted diluted EPS guidance for 2020 is $2.60 - $2.80. We anticipate sequential revenue and adjusted EPS growth in the second half of the year, but given the unknown duration and severity of the pandemic, our current expectations could change. Our balance sheet has remained strong with cash and short-term investments of $335.6 million as of June 30, 2020.”</w:t>
      </w:r>
    </w:p>
    <w:p>
      <w:pPr>
        <w:sectPr>
          <w:pgSz w:w="11900" w:h="16838" w:orient="portrait"/>
          <w:cols w:equalWidth="0" w:num="1">
            <w:col w:w="11240"/>
          </w:cols>
          <w:pgMar w:left="320" w:top="89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Financial Highlights: Second Quarter 2020</w:t>
      </w:r>
    </w:p>
    <w:p>
      <w:pPr>
        <w:spacing w:after="0" w:line="216" w:lineRule="exact"/>
        <w:rPr>
          <w:sz w:val="20"/>
          <w:szCs w:val="20"/>
          <w:color w:val="auto"/>
        </w:rPr>
      </w:pPr>
    </w:p>
    <w:p>
      <w:pPr>
        <w:jc w:val="both"/>
        <w:spacing w:after="0" w:line="369" w:lineRule="auto"/>
        <w:rPr>
          <w:sz w:val="20"/>
          <w:szCs w:val="20"/>
          <w:color w:val="auto"/>
        </w:rPr>
      </w:pPr>
      <w:r>
        <w:rPr>
          <w:rFonts w:ascii="Arial" w:cs="Arial" w:eastAsia="Arial" w:hAnsi="Arial"/>
          <w:sz w:val="18"/>
          <w:szCs w:val="18"/>
          <w:i w:val="1"/>
          <w:iCs w:val="1"/>
          <w:color w:val="auto"/>
        </w:rPr>
        <w:t>Effective January 1, 2020, we made certain operational and structural changes to manage and report financial information through our four reportable segments: Insurance, Healthcare, Emerging Business and Analytics. Financial information for historical periods are recast to conform to the current presentation. For details regarding the change in segments, refer to our quarterly report on Form 10-Q for the quarter ended June 30, 2020. Reconciliations of adjusted (non-GAAP) financial measures to GAAP measures are included at the end of this release.</w:t>
      </w:r>
    </w:p>
    <w:p>
      <w:pPr>
        <w:spacing w:after="0" w:line="293" w:lineRule="exact"/>
        <w:rPr>
          <w:sz w:val="20"/>
          <w:szCs w:val="20"/>
          <w:color w:val="auto"/>
        </w:rPr>
      </w:pPr>
    </w:p>
    <w:p>
      <w:pPr>
        <w:jc w:val="both"/>
        <w:ind w:left="660" w:hanging="328"/>
        <w:spacing w:after="0" w:line="31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for the quarter ended June 30, 2020 decreased to $222.5 million compared to $243.5 million for the second quarter of 2019, a decrease of 8.6% on a reported basis and 7.9% on a constant currency basis from the second quarter of 2019. Revenues declined by 9.6% sequentially on a reported basis and 9.3% on a constant currency basis, from the first quarter of 2020.</w:t>
      </w:r>
    </w:p>
    <w:p>
      <w:pPr>
        <w:spacing w:after="0" w:line="76"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Revenues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3"/>
              </w:rPr>
              <w:t>Gross Margin</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6"/>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6"/>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7"/>
        </w:trPr>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80" w:type="dxa"/>
            <w:vAlign w:val="bottom"/>
            <w:gridSpan w:val="6"/>
          </w:tcPr>
          <w:p>
            <w:pPr>
              <w:jc w:val="center"/>
              <w:spacing w:after="0"/>
              <w:rPr>
                <w:sz w:val="20"/>
                <w:szCs w:val="20"/>
                <w:color w:val="auto"/>
              </w:rPr>
            </w:pPr>
            <w:r>
              <w:rPr>
                <w:rFonts w:ascii="Arial" w:cs="Arial" w:eastAsia="Arial" w:hAnsi="Arial"/>
                <w:sz w:val="16"/>
                <w:szCs w:val="16"/>
                <w:b w:val="1"/>
                <w:bCs w:val="1"/>
                <w:color w:val="auto"/>
                <w:w w:val="90"/>
              </w:rPr>
              <w:t>Three months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60" w:type="dxa"/>
            <w:vAlign w:val="bottom"/>
            <w:gridSpan w:val="6"/>
          </w:tcPr>
          <w:p>
            <w:pPr>
              <w:jc w:val="center"/>
              <w:ind w:left="32"/>
              <w:spacing w:after="0"/>
              <w:rPr>
                <w:sz w:val="20"/>
                <w:szCs w:val="20"/>
                <w:color w:val="auto"/>
              </w:rPr>
            </w:pPr>
            <w:r>
              <w:rPr>
                <w:rFonts w:ascii="Arial" w:cs="Arial" w:eastAsia="Arial" w:hAnsi="Arial"/>
                <w:sz w:val="16"/>
                <w:szCs w:val="16"/>
                <w:b w:val="1"/>
                <w:bCs w:val="1"/>
                <w:color w:val="auto"/>
                <w:w w:val="90"/>
              </w:rPr>
              <w:t>Three months ended</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gridSpan w:val="4"/>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r>
      <w:tr>
        <w:trPr>
          <w:trHeight w:val="218"/>
        </w:trPr>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b w:val="1"/>
                <w:bCs w:val="1"/>
                <w:color w:val="auto"/>
                <w:w w:val="91"/>
              </w:rPr>
              <w:t>June 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w:t>
            </w:r>
          </w:p>
        </w:tc>
        <w:tc>
          <w:tcPr>
            <w:tcW w:w="12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June 30, 2020</w:t>
            </w:r>
          </w:p>
        </w:tc>
        <w:tc>
          <w:tcPr>
            <w:tcW w:w="136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8"/>
              </w:rPr>
              <w:t>June 30, 2019</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March 31,</w:t>
            </w:r>
          </w:p>
        </w:tc>
      </w:tr>
      <w:tr>
        <w:trPr>
          <w:trHeight w:val="255"/>
        </w:trPr>
        <w:tc>
          <w:tcPr>
            <w:tcW w:w="2880" w:type="dxa"/>
            <w:vAlign w:val="bottom"/>
            <w:gridSpan w:val="2"/>
          </w:tcPr>
          <w:p>
            <w:pPr>
              <w:ind w:left="20"/>
              <w:spacing w:after="0"/>
              <w:rPr>
                <w:sz w:val="20"/>
                <w:szCs w:val="20"/>
                <w:color w:val="auto"/>
              </w:rPr>
            </w:pPr>
            <w:r>
              <w:rPr>
                <w:rFonts w:ascii="Arial" w:cs="Arial" w:eastAsia="Arial" w:hAnsi="Arial"/>
                <w:sz w:val="16"/>
                <w:szCs w:val="16"/>
                <w:b w:val="1"/>
                <w:bCs w:val="1"/>
                <w:color w:val="auto"/>
              </w:rPr>
              <w:t>Reportable Segments</w:t>
            </w:r>
          </w:p>
        </w:tc>
        <w:tc>
          <w:tcPr>
            <w:tcW w:w="160" w:type="dxa"/>
            <w:vAlign w:val="bottom"/>
          </w:tcPr>
          <w:p>
            <w:pPr>
              <w:spacing w:after="0"/>
              <w:rPr>
                <w:sz w:val="22"/>
                <w:szCs w:val="22"/>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5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2"/>
                <w:szCs w:val="22"/>
                <w:color w:val="auto"/>
              </w:rPr>
            </w:pPr>
          </w:p>
        </w:tc>
      </w:tr>
      <w:tr>
        <w:trPr>
          <w:trHeight w:val="33"/>
        </w:trPr>
        <w:tc>
          <w:tcPr>
            <w:tcW w:w="2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6"/>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7"/>
        </w:trPr>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80" w:type="dxa"/>
            <w:vAlign w:val="bottom"/>
            <w:gridSpan w:val="6"/>
          </w:tcPr>
          <w:p>
            <w:pPr>
              <w:jc w:val="center"/>
              <w:spacing w:after="0"/>
              <w:rPr>
                <w:sz w:val="20"/>
                <w:szCs w:val="20"/>
                <w:color w:val="auto"/>
              </w:rPr>
            </w:pPr>
            <w:r>
              <w:rPr>
                <w:rFonts w:ascii="Arial" w:cs="Arial" w:eastAsia="Arial" w:hAnsi="Arial"/>
                <w:sz w:val="16"/>
                <w:szCs w:val="16"/>
                <w:b w:val="1"/>
                <w:bCs w:val="1"/>
                <w:color w:val="auto"/>
                <w:w w:val="91"/>
              </w:rPr>
              <w:t>(dollars in millions)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Insurance</w:t>
            </w: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3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Healthcare</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Emerging Business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57"/>
        </w:trPr>
        <w:tc>
          <w:tcPr>
            <w:tcW w:w="2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70"/>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Analytics</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7"/>
        </w:trPr>
        <w:tc>
          <w:tcPr>
            <w:tcW w:w="288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Revenues, net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222.5</w:t>
            </w:r>
          </w:p>
        </w:tc>
        <w:tc>
          <w:tcPr>
            <w:tcW w:w="1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rPr>
              <w:t>243.5</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rPr>
              <w:t>246.0</w:t>
            </w:r>
          </w:p>
        </w:tc>
        <w:tc>
          <w:tcPr>
            <w:tcW w:w="100" w:type="dxa"/>
            <w:vAlign w:val="bottom"/>
          </w:tcPr>
          <w:p>
            <w:pPr>
              <w:spacing w:after="0"/>
              <w:rPr>
                <w:sz w:val="21"/>
                <w:szCs w:val="21"/>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28.8 %</w:t>
            </w:r>
          </w:p>
        </w:tc>
        <w:tc>
          <w:tcPr>
            <w:tcW w:w="80" w:type="dxa"/>
            <w:vAlign w:val="bottom"/>
          </w:tcPr>
          <w:p>
            <w:pPr>
              <w:spacing w:after="0"/>
              <w:rPr>
                <w:sz w:val="21"/>
                <w:szCs w:val="21"/>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33.3 %</w:t>
            </w:r>
          </w:p>
        </w:tc>
        <w:tc>
          <w:tcPr>
            <w:tcW w:w="100" w:type="dxa"/>
            <w:vAlign w:val="bottom"/>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33.9 %</w:t>
            </w:r>
          </w:p>
        </w:tc>
      </w:tr>
      <w:tr>
        <w:trPr>
          <w:trHeight w:val="24"/>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left="660" w:hanging="328"/>
        <w:spacing w:after="0" w:line="304"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income margin for the quarter ended June 30, 2020 was 4.4%, compared to an operating income margin of 5.7% for the second quarter of 2019 and operating income margin of 11.2% for the first quarter of 2020. During the quarter ended June 30, 2019 we recorded impairment and restructuring charges of $5.6 million related to the wind down of the Health Integrated business, which reduced our operating income margin by 230 basis points. Adjusted operating income margin for the quarter ended June 30, 2020 was 9.4% compared to 13.2% for the second quarter of 2019 and 14.8% for the first quarter of 2020.</w:t>
      </w:r>
    </w:p>
    <w:p>
      <w:pPr>
        <w:spacing w:after="0" w:line="214" w:lineRule="exact"/>
        <w:rPr>
          <w:rFonts w:ascii="Arial" w:cs="Arial" w:eastAsia="Arial" w:hAnsi="Arial"/>
          <w:sz w:val="18"/>
          <w:szCs w:val="18"/>
          <w:color w:val="auto"/>
        </w:rPr>
      </w:pPr>
    </w:p>
    <w:p>
      <w:pPr>
        <w:jc w:val="both"/>
        <w:ind w:left="660" w:hanging="328"/>
        <w:spacing w:after="0" w:line="354"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Diluted earnings per share for the quarter ended June 30, 2020 was $0.24 compared to $0.36 for the second quarter of 2019 and $0.65 for the first quarter of 2020. During the quarter ended June 30, 2019 we recorded impairment and restructuring charges of $5.6 million ($4.2 million net of tax) related to the wind down of the Health Integrated business, which reduced our diluted earnings per share by $0.12. Adjusted diluted earnings per share for the quarter ended June 30, 2020 was $0.53 compared to $0.74 for the second quarter of 2019 and $0.81 for the first quarter of 2020.</w:t>
      </w:r>
    </w:p>
    <w:p>
      <w:pPr>
        <w:sectPr>
          <w:pgSz w:w="11900" w:h="16838" w:orient="portrait"/>
          <w:cols w:equalWidth="0" w:num="1">
            <w:col w:w="11240"/>
          </w:cols>
          <w:pgMar w:left="320" w:top="103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Business Highlights: Second Quarter 2020</w:t>
      </w:r>
    </w:p>
    <w:p>
      <w:pPr>
        <w:spacing w:after="0" w:line="216" w:lineRule="exact"/>
        <w:rPr>
          <w:sz w:val="20"/>
          <w:szCs w:val="20"/>
          <w:color w:val="auto"/>
        </w:rPr>
      </w:pPr>
    </w:p>
    <w:p>
      <w:pPr>
        <w:ind w:left="240" w:hanging="192"/>
        <w:spacing w:after="0"/>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Won nine new clients in the second quarter of 2020, with three in our operations management businesses and six in Analytics.</w:t>
      </w:r>
    </w:p>
    <w:p>
      <w:pPr>
        <w:spacing w:after="0" w:line="211" w:lineRule="exact"/>
        <w:rPr>
          <w:rFonts w:ascii="Arial" w:cs="Arial" w:eastAsia="Arial" w:hAnsi="Arial"/>
          <w:sz w:val="18"/>
          <w:szCs w:val="18"/>
          <w:color w:val="auto"/>
        </w:rPr>
      </w:pPr>
    </w:p>
    <w:p>
      <w:pPr>
        <w:ind w:left="240" w:hanging="192"/>
        <w:spacing w:after="0"/>
        <w:tabs>
          <w:tab w:leader="none" w:pos="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Recognized as a Leader in the Everest Group Insurance Analytics and Insights (A&amp;I) Third-party Services PEAK Matrix® Assessment 2020.</w:t>
      </w:r>
    </w:p>
    <w:p>
      <w:pPr>
        <w:spacing w:after="0" w:line="223" w:lineRule="exact"/>
        <w:rPr>
          <w:rFonts w:ascii="Arial" w:cs="Arial" w:eastAsia="Arial" w:hAnsi="Arial"/>
          <w:sz w:val="17"/>
          <w:szCs w:val="17"/>
          <w:color w:val="auto"/>
        </w:rPr>
      </w:pPr>
    </w:p>
    <w:p>
      <w:pPr>
        <w:ind w:left="260" w:right="20" w:hanging="212"/>
        <w:spacing w:after="0" w:line="387"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Named as Outstanding Partner of the Year for 2019 by our strategic partner Aflac. EXL won in the Service category for improving Aflac’s ability to provide quick resolution to its end customers.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Guidance</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Based on current visibility, and a U.S. Dollar to Indian Rupee exchange rate of 75.50, British Pound to U.S. Dollar exchange rate of 1.23, U.S. Dollar to the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Philippine Peso exchange rate of 50.0 and all other currencies at current exchange rates, we are providing the following guidance:</w:t>
      </w:r>
    </w:p>
    <w:p>
      <w:pPr>
        <w:spacing w:after="0" w:line="29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1"/>
          <w:szCs w:val="21"/>
          <w:color w:val="auto"/>
        </w:rPr>
      </w:pPr>
      <w:r>
        <w:rPr>
          <w:rFonts w:ascii="Arial" w:cs="Arial" w:eastAsia="Arial" w:hAnsi="Arial"/>
          <w:sz w:val="17"/>
          <w:szCs w:val="17"/>
          <w:color w:val="auto"/>
        </w:rPr>
        <w:t>Revenue of $922 million to $938 million, representing an annual revenue reduction of 3.5% to 5.0% on a constant currency basis from 2019.</w:t>
      </w:r>
    </w:p>
    <w:p>
      <w:pPr>
        <w:spacing w:after="0" w:line="282" w:lineRule="exact"/>
        <w:rPr>
          <w:rFonts w:ascii="Arial" w:cs="Arial" w:eastAsia="Arial" w:hAnsi="Arial"/>
          <w:sz w:val="21"/>
          <w:szCs w:val="21"/>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diluted earnings per share of $2.60 to $2.80.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293"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 xml:space="preserve">ExlService Holdings, Inc. will host a conference call on Thursday, August 6, 2020 at 10:00 A.M. ET to discuss the Company’s quarterly operating and financial results. The conference call will be available live via the internet by accessing the investor relations section of EXL’s website at </w:t>
      </w:r>
      <w:r>
        <w:rPr>
          <w:rFonts w:ascii="Arial" w:cs="Arial" w:eastAsia="Arial" w:hAnsi="Arial"/>
          <w:sz w:val="18"/>
          <w:szCs w:val="18"/>
          <w:u w:val="single" w:color="auto"/>
          <w:color w:val="0000FF"/>
        </w:rPr>
        <w:t>ir.exlservice.com</w:t>
      </w:r>
      <w:r>
        <w:rPr>
          <w:rFonts w:ascii="Arial" w:cs="Arial" w:eastAsia="Arial" w:hAnsi="Arial"/>
          <w:sz w:val="18"/>
          <w:szCs w:val="18"/>
          <w:color w:val="auto"/>
        </w:rPr>
        <w:t>, where an accompanying investor-friendly spreadsheet of historical operating and financial data can also be accessed. Please access the website at least fifteen minutes prior to the call to register, download and install any necessary audio software.</w:t>
      </w:r>
    </w:p>
    <w:p>
      <w:pPr>
        <w:spacing w:after="0" w:line="186" w:lineRule="exact"/>
        <w:rPr>
          <w:sz w:val="20"/>
          <w:szCs w:val="20"/>
          <w:color w:val="auto"/>
        </w:rPr>
      </w:pPr>
    </w:p>
    <w:p>
      <w:pPr>
        <w:ind w:right="340"/>
        <w:spacing w:after="0" w:line="324" w:lineRule="auto"/>
        <w:rPr>
          <w:sz w:val="20"/>
          <w:szCs w:val="20"/>
          <w:color w:val="auto"/>
        </w:rPr>
      </w:pPr>
      <w:r>
        <w:rPr>
          <w:rFonts w:ascii="Arial" w:cs="Arial" w:eastAsia="Arial" w:hAnsi="Arial"/>
          <w:sz w:val="16"/>
          <w:szCs w:val="16"/>
          <w:color w:val="auto"/>
        </w:rPr>
        <w:t xml:space="preserve">To listen to the conference call via phone, please dial 1-877-303-6384, or if dialing internationally, 1-224-357-2191 and an operator will assist you. For those who cannot access the live broadcast, a replay will be available on the EXL website </w:t>
      </w:r>
      <w:r>
        <w:rPr>
          <w:rFonts w:ascii="Arial" w:cs="Arial" w:eastAsia="Arial" w:hAnsi="Arial"/>
          <w:sz w:val="16"/>
          <w:szCs w:val="16"/>
          <w:u w:val="single" w:color="auto"/>
          <w:color w:val="0000FF"/>
        </w:rPr>
        <w:t>ir.exlservice.com</w:t>
      </w:r>
      <w:r>
        <w:rPr>
          <w:rFonts w:ascii="Arial" w:cs="Arial" w:eastAsia="Arial" w:hAnsi="Arial"/>
          <w:sz w:val="16"/>
          <w:szCs w:val="16"/>
          <w:color w:val="auto"/>
        </w:rPr>
        <w:t xml:space="preserve"> for a period of twelve months.</w:t>
      </w:r>
    </w:p>
    <w:p>
      <w:pPr>
        <w:sectPr>
          <w:pgSz w:w="11900" w:h="16838" w:orient="portrait"/>
          <w:cols w:equalWidth="0" w:num="1">
            <w:col w:w="11240"/>
          </w:cols>
          <w:pgMar w:left="320" w:top="116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216" w:lineRule="exact"/>
        <w:rPr>
          <w:sz w:val="20"/>
          <w:szCs w:val="20"/>
          <w:color w:val="auto"/>
        </w:rPr>
      </w:pPr>
    </w:p>
    <w:p>
      <w:pPr>
        <w:jc w:val="both"/>
        <w:spacing w:after="0" w:line="389" w:lineRule="auto"/>
        <w:rPr>
          <w:sz w:val="20"/>
          <w:szCs w:val="20"/>
          <w:color w:val="auto"/>
        </w:rPr>
      </w:pPr>
      <w:r>
        <w:rPr>
          <w:rFonts w:ascii="Arial" w:cs="Arial" w:eastAsia="Arial" w:hAnsi="Arial"/>
          <w:sz w:val="17"/>
          <w:szCs w:val="17"/>
          <w:color w:val="auto"/>
        </w:rPr>
        <w:t xml:space="preserve">EXL (NASDAQ: EXLS) is a leading operations management and analytics company that helps our clients build and grow sustainable businesses. By orchestrating our domain expertise, data, analytics and digital technology, we look deeper to design and manage agile, customer-centric operating models to improve global operations, drive profitability, enhance customer satisfaction, increase data-driven insights, and manage risk and compliance. Headquartered in New York, EXL has approximately 31,600 professionals in locations throughout the United States, the UK, Europe, India, the Philippines, Colombia, Australia and South Africa. EXL serves multiple industries including insurance, healthcare, banking and financial services, utilities, travel, transportation and logistics, media and retail, among others. For more information, visit </w:t>
      </w:r>
      <w:r>
        <w:rPr>
          <w:rFonts w:ascii="Arial" w:cs="Arial" w:eastAsia="Arial" w:hAnsi="Arial"/>
          <w:sz w:val="17"/>
          <w:szCs w:val="17"/>
          <w:u w:val="single" w:color="auto"/>
          <w:color w:val="0000FF"/>
        </w:rPr>
        <w:t>www.exlservice.com.</w:t>
      </w:r>
    </w:p>
    <w:p>
      <w:pPr>
        <w:spacing w:after="0" w:line="282" w:lineRule="exact"/>
        <w:rPr>
          <w:sz w:val="20"/>
          <w:szCs w:val="20"/>
          <w:color w:val="auto"/>
        </w:rPr>
      </w:pPr>
    </w:p>
    <w:p>
      <w:pPr>
        <w:jc w:val="both"/>
        <w:spacing w:after="0" w:line="335" w:lineRule="auto"/>
        <w:rPr>
          <w:sz w:val="20"/>
          <w:szCs w:val="20"/>
          <w:color w:val="auto"/>
        </w:rPr>
      </w:pPr>
      <w:r>
        <w:rPr>
          <w:rFonts w:ascii="Arial" w:cs="Arial" w:eastAsia="Arial" w:hAnsi="Arial"/>
          <w:sz w:val="16"/>
          <w:szCs w:val="16"/>
          <w:b w:val="1"/>
          <w:bCs w:val="1"/>
          <w:color w:val="auto"/>
        </w:rPr>
        <w:t xml:space="preserve">Cautionary Statement Regarding Forward-Looking Statements </w:t>
      </w:r>
      <w:r>
        <w:rPr>
          <w:rFonts w:ascii="Arial" w:cs="Arial" w:eastAsia="Arial" w:hAnsi="Arial"/>
          <w:sz w:val="16"/>
          <w:szCs w:val="16"/>
          <w:i w:val="1"/>
          <w:iCs w:val="1"/>
          <w:color w:val="auto"/>
        </w:rPr>
        <w:t>This press release contains forward-looking statements. You should not place undue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successfully close and integrate strategic acquisitions, and our ability to respond to and manage public health crises, including the outbreak and continued effects of the novel coronavirus (COVID-</w:t>
      </w:r>
    </w:p>
    <w:p>
      <w:pPr>
        <w:spacing w:after="0" w:line="1" w:lineRule="exact"/>
        <w:rPr>
          <w:sz w:val="20"/>
          <w:szCs w:val="20"/>
          <w:color w:val="auto"/>
        </w:rPr>
      </w:pPr>
    </w:p>
    <w:p>
      <w:pPr>
        <w:jc w:val="both"/>
        <w:ind w:firstLine="8"/>
        <w:spacing w:after="0" w:line="349" w:lineRule="auto"/>
        <w:tabs>
          <w:tab w:leader="none" w:pos="294"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pandemic, are discussed in more detail in EXL’s filings with the Securities and Exchange Commission, including EXL’s Annual Report on Form 10-K and EXL’s Quarterly Report on Form 10-Q for the quarter ended June 30, 2020.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ectPr>
          <w:pgSz w:w="11900" w:h="16838" w:orient="portrait"/>
          <w:cols w:equalWidth="0" w:num="1">
            <w:col w:w="11240"/>
          </w:cols>
          <w:pgMar w:left="320" w:top="945" w:right="339" w:bottom="1440" w:gutter="0" w:footer="0" w:header="0"/>
        </w:sectPr>
      </w:pPr>
    </w:p>
    <w:bookmarkStart w:id="7" w:name="page8"/>
    <w:bookmarkEnd w:id="7"/>
    <w:p>
      <w:pPr>
        <w:ind w:left="4080"/>
        <w:spacing w:after="0"/>
        <w:rPr>
          <w:sz w:val="20"/>
          <w:szCs w:val="20"/>
          <w:color w:val="auto"/>
        </w:rPr>
      </w:pPr>
      <w:r>
        <w:rPr>
          <w:rFonts w:ascii="Arial" w:cs="Arial" w:eastAsia="Arial" w:hAnsi="Arial"/>
          <w:sz w:val="18"/>
          <w:szCs w:val="18"/>
          <w:b w:val="1"/>
          <w:bCs w:val="1"/>
          <w:color w:val="auto"/>
        </w:rPr>
        <w:t>EXLSERVICE HOLDINGS, INC.</w:t>
      </w:r>
    </w:p>
    <w:p>
      <w:pPr>
        <w:spacing w:after="0" w:line="104"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2360" w:type="dxa"/>
            <w:vAlign w:val="bottom"/>
            <w:gridSpan w:val="4"/>
          </w:tcPr>
          <w:p>
            <w:pPr>
              <w:ind w:left="30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4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r>
      <w:tr>
        <w:trPr>
          <w:trHeight w:val="250"/>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222,473</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243,509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468,463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483,082</w:t>
            </w:r>
          </w:p>
        </w:tc>
      </w:tr>
      <w:tr>
        <w:trPr>
          <w:trHeight w:val="270"/>
        </w:trPr>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158,401</w:t>
            </w:r>
          </w:p>
        </w:tc>
        <w:tc>
          <w:tcPr>
            <w:tcW w:w="1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162,446</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321,057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319,686</w:t>
            </w:r>
          </w:p>
        </w:tc>
      </w:tr>
      <w:tr>
        <w:trPr>
          <w:trHeight w:val="263"/>
        </w:trPr>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r>
              <w:rPr>
                <w:rFonts w:ascii="Arial" w:cs="Arial" w:eastAsia="Arial" w:hAnsi="Arial"/>
                <w:sz w:val="23"/>
                <w:szCs w:val="23"/>
                <w:b w:val="1"/>
                <w:bCs w:val="1"/>
                <w:color w:val="auto"/>
                <w:vertAlign w:val="superscript"/>
              </w:rPr>
              <w:t>(1)</w:t>
            </w:r>
          </w:p>
        </w:tc>
        <w:tc>
          <w:tcPr>
            <w:tcW w:w="2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64,072</w:t>
            </w:r>
          </w:p>
        </w:tc>
        <w:tc>
          <w:tcPr>
            <w:tcW w:w="1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81,063</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147,406</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163,396</w:t>
            </w: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7"/>
        </w:trPr>
        <w:tc>
          <w:tcPr>
            <w:tcW w:w="5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28,750</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31,228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57,691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63,759</w:t>
            </w:r>
          </w:p>
        </w:tc>
      </w:tr>
      <w:tr>
        <w:trPr>
          <w:trHeight w:val="243"/>
        </w:trPr>
        <w:tc>
          <w:tcPr>
            <w:tcW w:w="542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22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13,051</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17,647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27,507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35,694</w:t>
            </w:r>
          </w:p>
        </w:tc>
      </w:tr>
      <w:tr>
        <w:trPr>
          <w:trHeight w:val="27"/>
        </w:trPr>
        <w:tc>
          <w:tcPr>
            <w:tcW w:w="5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Depreciation and amortization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12,405</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12,752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24,855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26,419</w:t>
            </w:r>
          </w:p>
        </w:tc>
      </w:tr>
      <w:tr>
        <w:trPr>
          <w:trHeight w:val="243"/>
        </w:trPr>
        <w:tc>
          <w:tcPr>
            <w:tcW w:w="5420" w:type="dxa"/>
            <w:vAlign w:val="bottom"/>
          </w:tcPr>
          <w:p>
            <w:pPr>
              <w:ind w:left="420"/>
              <w:spacing w:after="0"/>
              <w:rPr>
                <w:sz w:val="20"/>
                <w:szCs w:val="20"/>
                <w:color w:val="auto"/>
              </w:rPr>
            </w:pPr>
            <w:r>
              <w:rPr>
                <w:rFonts w:ascii="Arial" w:cs="Arial" w:eastAsia="Arial" w:hAnsi="Arial"/>
                <w:sz w:val="18"/>
                <w:szCs w:val="18"/>
                <w:color w:val="auto"/>
              </w:rPr>
              <w:t>Impairment and restructuring charges</w:t>
            </w:r>
          </w:p>
        </w:tc>
        <w:tc>
          <w:tcPr>
            <w:tcW w:w="22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5,580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6,807</w:t>
            </w:r>
          </w:p>
        </w:tc>
      </w:tr>
      <w:tr>
        <w:trPr>
          <w:trHeight w:val="27"/>
        </w:trPr>
        <w:tc>
          <w:tcPr>
            <w:tcW w:w="5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54,206</w:t>
            </w:r>
          </w:p>
        </w:tc>
        <w:tc>
          <w:tcPr>
            <w:tcW w:w="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67,207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110,053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132,679</w:t>
            </w:r>
          </w:p>
        </w:tc>
      </w:tr>
      <w:tr>
        <w:trPr>
          <w:trHeight w:val="237"/>
        </w:trPr>
        <w:tc>
          <w:tcPr>
            <w:tcW w:w="542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9,866</w:t>
            </w:r>
          </w:p>
        </w:tc>
        <w:tc>
          <w:tcPr>
            <w:tcW w:w="1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13,856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37,353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30,717</w:t>
            </w:r>
          </w:p>
        </w:tc>
      </w:tr>
      <w:tr>
        <w:trPr>
          <w:trHeight w:val="27"/>
        </w:trPr>
        <w:tc>
          <w:tcPr>
            <w:tcW w:w="5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gain, net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1,359</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2,462</w:t>
            </w: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(2,883)</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(3,864)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(5,955)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(7,446)</w:t>
            </w:r>
          </w:p>
        </w:tc>
      </w:tr>
      <w:tr>
        <w:trPr>
          <w:trHeight w:val="27"/>
        </w:trPr>
        <w:tc>
          <w:tcPr>
            <w:tcW w:w="5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4,225</w:t>
            </w:r>
          </w:p>
        </w:tc>
        <w:tc>
          <w:tcPr>
            <w:tcW w:w="1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4,102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6,754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8,525</w:t>
            </w:r>
          </w:p>
        </w:tc>
      </w:tr>
      <w:tr>
        <w:trPr>
          <w:trHeight w:val="237"/>
        </w:trPr>
        <w:tc>
          <w:tcPr>
            <w:tcW w:w="5420" w:type="dxa"/>
            <w:vAlign w:val="bottom"/>
          </w:tcPr>
          <w:p>
            <w:pPr>
              <w:spacing w:after="0"/>
              <w:rPr>
                <w:sz w:val="20"/>
                <w:szCs w:val="20"/>
                <w:color w:val="auto"/>
              </w:rPr>
            </w:pPr>
            <w:r>
              <w:rPr>
                <w:rFonts w:ascii="Arial" w:cs="Arial" w:eastAsia="Arial" w:hAnsi="Arial"/>
                <w:sz w:val="18"/>
                <w:szCs w:val="18"/>
                <w:b w:val="1"/>
                <w:bCs w:val="1"/>
                <w:color w:val="auto"/>
                <w:w w:val="90"/>
              </w:rPr>
              <w:t>Income before income tax expense and earnings from equity affiliates</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12,567</w:t>
            </w:r>
          </w:p>
        </w:tc>
        <w:tc>
          <w:tcPr>
            <w:tcW w:w="1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15,296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40,888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34,258</w:t>
            </w:r>
          </w:p>
        </w:tc>
      </w:tr>
      <w:tr>
        <w:trPr>
          <w:trHeight w:val="27"/>
        </w:trPr>
        <w:tc>
          <w:tcPr>
            <w:tcW w:w="5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4,072</w:t>
            </w:r>
          </w:p>
        </w:tc>
        <w:tc>
          <w:tcPr>
            <w:tcW w:w="1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2,670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9,927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6,870</w:t>
            </w:r>
          </w:p>
        </w:tc>
      </w:tr>
      <w:tr>
        <w:trPr>
          <w:trHeight w:val="237"/>
        </w:trPr>
        <w:tc>
          <w:tcPr>
            <w:tcW w:w="5420" w:type="dxa"/>
            <w:vAlign w:val="bottom"/>
          </w:tcPr>
          <w:p>
            <w:pPr>
              <w:spacing w:after="0"/>
              <w:rPr>
                <w:sz w:val="20"/>
                <w:szCs w:val="20"/>
                <w:color w:val="auto"/>
              </w:rPr>
            </w:pPr>
            <w:r>
              <w:rPr>
                <w:rFonts w:ascii="Arial" w:cs="Arial" w:eastAsia="Arial" w:hAnsi="Arial"/>
                <w:sz w:val="18"/>
                <w:szCs w:val="18"/>
                <w:b w:val="1"/>
                <w:bCs w:val="1"/>
                <w:color w:val="auto"/>
              </w:rPr>
              <w:t>Income before earnings from equity affiliates</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8,495</w:t>
            </w:r>
          </w:p>
        </w:tc>
        <w:tc>
          <w:tcPr>
            <w:tcW w:w="1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12,626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30,961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27,388</w:t>
            </w:r>
          </w:p>
        </w:tc>
      </w:tr>
      <w:tr>
        <w:trPr>
          <w:trHeight w:val="27"/>
        </w:trPr>
        <w:tc>
          <w:tcPr>
            <w:tcW w:w="5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equity-method investment</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66</w:t>
            </w:r>
          </w:p>
        </w:tc>
        <w:tc>
          <w:tcPr>
            <w:tcW w:w="1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129</w:t>
            </w:r>
          </w:p>
        </w:tc>
      </w:tr>
      <w:tr>
        <w:trPr>
          <w:trHeight w:val="237"/>
        </w:trPr>
        <w:tc>
          <w:tcPr>
            <w:tcW w:w="5420" w:type="dxa"/>
            <w:vAlign w:val="bottom"/>
          </w:tcPr>
          <w:p>
            <w:pPr>
              <w:spacing w:after="0"/>
              <w:rPr>
                <w:sz w:val="20"/>
                <w:szCs w:val="20"/>
                <w:color w:val="auto"/>
              </w:rPr>
            </w:pPr>
            <w:r>
              <w:rPr>
                <w:rFonts w:ascii="Arial" w:cs="Arial" w:eastAsia="Arial" w:hAnsi="Arial"/>
                <w:sz w:val="18"/>
                <w:szCs w:val="18"/>
                <w:b w:val="1"/>
                <w:bCs w:val="1"/>
                <w:color w:val="auto"/>
                <w:w w:val="96"/>
              </w:rPr>
              <w:t>Net income attributable to ExlService Holdings, Inc. stockholders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8,429</w:t>
            </w:r>
          </w:p>
        </w:tc>
        <w:tc>
          <w:tcPr>
            <w:tcW w:w="18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12,564</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30,840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27,259</w:t>
            </w:r>
          </w:p>
        </w:tc>
      </w:tr>
      <w:tr>
        <w:trPr>
          <w:trHeight w:val="27"/>
        </w:trPr>
        <w:tc>
          <w:tcPr>
            <w:tcW w:w="5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7"/>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Earnings per share attributable to ExlService Holdings, Inc. stockholders:</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43"/>
        </w:trPr>
        <w:tc>
          <w:tcPr>
            <w:tcW w:w="5420" w:type="dxa"/>
            <w:vAlign w:val="bottom"/>
          </w:tcPr>
          <w:p>
            <w:pPr>
              <w:ind w:left="30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0.24</w:t>
            </w:r>
          </w:p>
        </w:tc>
        <w:tc>
          <w:tcPr>
            <w:tcW w:w="1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0.79</w:t>
            </w:r>
          </w:p>
        </w:tc>
      </w:tr>
      <w:tr>
        <w:trPr>
          <w:trHeight w:val="27"/>
        </w:trPr>
        <w:tc>
          <w:tcPr>
            <w:tcW w:w="5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0.24</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0.78</w:t>
            </w: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w w:val="90"/>
              </w:rPr>
              <w:t>Weighted-average number of shares used in computing earnings per share</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attributable to ExlService Holdings Inc. stockholders: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34,486,202</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34,451,671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0"/>
              </w:rPr>
              <w:t>34,443,884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7"/>
              </w:rPr>
              <w:t>34,413,455</w:t>
            </w:r>
          </w:p>
        </w:tc>
      </w:tr>
      <w:tr>
        <w:trPr>
          <w:trHeight w:val="243"/>
        </w:trPr>
        <w:tc>
          <w:tcPr>
            <w:tcW w:w="5420" w:type="dxa"/>
            <w:vAlign w:val="bottom"/>
          </w:tcPr>
          <w:p>
            <w:pPr>
              <w:ind w:left="30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w w:val="99"/>
              </w:rPr>
              <w:t>34,597,688</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34,702,547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w w:val="90"/>
              </w:rPr>
              <w:t>34,659,146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w w:val="97"/>
              </w:rPr>
              <w:t>34,768,203</w:t>
            </w:r>
          </w:p>
        </w:tc>
      </w:tr>
    </w:tbl>
    <w:p>
      <w:pPr>
        <w:spacing w:after="0" w:line="125" w:lineRule="exact"/>
        <w:rPr>
          <w:sz w:val="20"/>
          <w:szCs w:val="20"/>
          <w:color w:val="auto"/>
        </w:rPr>
      </w:pPr>
    </w:p>
    <w:p>
      <w:pPr>
        <w:ind w:left="40"/>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Exclusive of depreciation and amortization expense.</w:t>
      </w:r>
    </w:p>
    <w:p>
      <w:pPr>
        <w:sectPr>
          <w:pgSz w:w="11900" w:h="16838" w:orient="portrait"/>
          <w:cols w:equalWidth="0" w:num="1">
            <w:col w:w="10840"/>
          </w:cols>
          <w:pgMar w:left="540" w:top="1107" w:right="519" w:bottom="1440" w:gutter="0" w:footer="0" w:header="0"/>
        </w:sectPr>
      </w:pPr>
    </w:p>
    <w:bookmarkStart w:id="8" w:name="page9"/>
    <w:bookmarkEnd w:id="8"/>
    <w:p>
      <w:pPr>
        <w:ind w:left="3540"/>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3"/>
          </w:tcPr>
          <w:p>
            <w:pPr>
              <w:ind w:left="1280"/>
              <w:spacing w:after="0"/>
              <w:rPr>
                <w:sz w:val="20"/>
                <w:szCs w:val="20"/>
                <w:color w:val="auto"/>
              </w:rPr>
            </w:pPr>
            <w:r>
              <w:rPr>
                <w:rFonts w:ascii="Arial" w:cs="Arial" w:eastAsia="Arial" w:hAnsi="Arial"/>
                <w:sz w:val="15"/>
                <w:szCs w:val="15"/>
                <w:b w:val="1"/>
                <w:bCs w:val="1"/>
                <w:color w:val="auto"/>
                <w:w w:val="85"/>
              </w:rPr>
              <w:t>As of</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June 30, 2020</w:t>
            </w:r>
          </w:p>
        </w:tc>
        <w:tc>
          <w:tcPr>
            <w:tcW w:w="100" w:type="dxa"/>
            <w:vAlign w:val="bottom"/>
          </w:tcPr>
          <w:p>
            <w:pPr>
              <w:spacing w:after="0"/>
              <w:rPr>
                <w:sz w:val="20"/>
                <w:szCs w:val="20"/>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b w:val="1"/>
                <w:bCs w:val="1"/>
                <w:color w:val="auto"/>
                <w:w w:val="91"/>
              </w:rPr>
              <w:t>December 31, 2019</w:t>
            </w:r>
          </w:p>
        </w:tc>
        <w:tc>
          <w:tcPr>
            <w:tcW w:w="0" w:type="dxa"/>
            <w:vAlign w:val="bottom"/>
          </w:tcPr>
          <w:p>
            <w:pPr>
              <w:spacing w:after="0"/>
              <w:rPr>
                <w:sz w:val="1"/>
                <w:szCs w:val="1"/>
                <w:color w:val="auto"/>
              </w:rPr>
            </w:pPr>
          </w:p>
        </w:tc>
      </w:tr>
      <w:tr>
        <w:trPr>
          <w:trHeight w:val="33"/>
        </w:trPr>
        <w:tc>
          <w:tcPr>
            <w:tcW w:w="7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7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1"/>
              </w:rPr>
              <w:t>(Unaudited)</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163,619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119,165</w:t>
            </w:r>
          </w:p>
        </w:tc>
        <w:tc>
          <w:tcPr>
            <w:tcW w:w="0" w:type="dxa"/>
            <w:vAlign w:val="bottom"/>
          </w:tcPr>
          <w:p>
            <w:pPr>
              <w:spacing w:after="0"/>
              <w:rPr>
                <w:sz w:val="1"/>
                <w:szCs w:val="1"/>
                <w:color w:val="auto"/>
              </w:rPr>
            </w:pPr>
          </w:p>
        </w:tc>
      </w:tr>
      <w:tr>
        <w:trPr>
          <w:trHeight w:val="223"/>
        </w:trPr>
        <w:tc>
          <w:tcPr>
            <w:tcW w:w="7060" w:type="dxa"/>
            <w:vAlign w:val="bottom"/>
          </w:tcPr>
          <w:p>
            <w:pPr>
              <w:ind w:left="320"/>
              <w:spacing w:after="0"/>
              <w:rPr>
                <w:sz w:val="20"/>
                <w:szCs w:val="20"/>
                <w:color w:val="auto"/>
              </w:rPr>
            </w:pPr>
            <w:r>
              <w:rPr>
                <w:rFonts w:ascii="Arial" w:cs="Arial" w:eastAsia="Arial" w:hAnsi="Arial"/>
                <w:sz w:val="16"/>
                <w:szCs w:val="16"/>
                <w:color w:val="auto"/>
              </w:rPr>
              <w:t>Short-term investments</w:t>
            </w:r>
          </w:p>
        </w:tc>
        <w:tc>
          <w:tcPr>
            <w:tcW w:w="220" w:type="dxa"/>
            <w:vAlign w:val="bottom"/>
          </w:tcPr>
          <w:p>
            <w:pPr>
              <w:spacing w:after="0"/>
              <w:rPr>
                <w:sz w:val="19"/>
                <w:szCs w:val="19"/>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171,962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202,238</w:t>
            </w:r>
          </w:p>
        </w:tc>
        <w:tc>
          <w:tcPr>
            <w:tcW w:w="0" w:type="dxa"/>
            <w:vAlign w:val="bottom"/>
          </w:tcPr>
          <w:p>
            <w:pPr>
              <w:spacing w:after="0"/>
              <w:rPr>
                <w:sz w:val="1"/>
                <w:szCs w:val="1"/>
                <w:color w:val="auto"/>
              </w:rPr>
            </w:pPr>
          </w:p>
        </w:tc>
      </w:tr>
      <w:tr>
        <w:trPr>
          <w:trHeight w:val="33"/>
        </w:trPr>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Restricted cash</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4,858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5,453</w:t>
            </w:r>
          </w:p>
        </w:tc>
        <w:tc>
          <w:tcPr>
            <w:tcW w:w="0" w:type="dxa"/>
            <w:vAlign w:val="bottom"/>
          </w:tcPr>
          <w:p>
            <w:pPr>
              <w:spacing w:after="0"/>
              <w:rPr>
                <w:sz w:val="1"/>
                <w:szCs w:val="1"/>
                <w:color w:val="auto"/>
              </w:rPr>
            </w:pPr>
          </w:p>
        </w:tc>
      </w:tr>
      <w:tr>
        <w:trPr>
          <w:trHeight w:val="224"/>
        </w:trPr>
        <w:tc>
          <w:tcPr>
            <w:tcW w:w="7060" w:type="dxa"/>
            <w:vAlign w:val="bottom"/>
          </w:tcPr>
          <w:p>
            <w:pPr>
              <w:ind w:left="32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19"/>
                <w:szCs w:val="19"/>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157,505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171,864</w:t>
            </w:r>
          </w:p>
        </w:tc>
        <w:tc>
          <w:tcPr>
            <w:tcW w:w="0" w:type="dxa"/>
            <w:vAlign w:val="bottom"/>
          </w:tcPr>
          <w:p>
            <w:pPr>
              <w:spacing w:after="0"/>
              <w:rPr>
                <w:sz w:val="1"/>
                <w:szCs w:val="1"/>
                <w:color w:val="auto"/>
              </w:rPr>
            </w:pPr>
          </w:p>
        </w:tc>
      </w:tr>
      <w:tr>
        <w:trPr>
          <w:trHeight w:val="33"/>
        </w:trPr>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Prepaid expenses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10,121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13,246</w:t>
            </w:r>
          </w:p>
        </w:tc>
        <w:tc>
          <w:tcPr>
            <w:tcW w:w="0" w:type="dxa"/>
            <w:vAlign w:val="bottom"/>
          </w:tcPr>
          <w:p>
            <w:pPr>
              <w:spacing w:after="0"/>
              <w:rPr>
                <w:sz w:val="1"/>
                <w:szCs w:val="1"/>
                <w:color w:val="auto"/>
              </w:rPr>
            </w:pPr>
          </w:p>
        </w:tc>
      </w:tr>
      <w:tr>
        <w:trPr>
          <w:trHeight w:val="224"/>
        </w:trPr>
        <w:tc>
          <w:tcPr>
            <w:tcW w:w="7060" w:type="dxa"/>
            <w:vAlign w:val="bottom"/>
          </w:tcPr>
          <w:p>
            <w:pPr>
              <w:ind w:left="320"/>
              <w:spacing w:after="0"/>
              <w:rPr>
                <w:sz w:val="20"/>
                <w:szCs w:val="20"/>
                <w:color w:val="auto"/>
              </w:rPr>
            </w:pPr>
            <w:r>
              <w:rPr>
                <w:rFonts w:ascii="Arial" w:cs="Arial" w:eastAsia="Arial" w:hAnsi="Arial"/>
                <w:sz w:val="16"/>
                <w:szCs w:val="16"/>
                <w:color w:val="auto"/>
              </w:rPr>
              <w:t>Advance income tax, net</w:t>
            </w:r>
          </w:p>
        </w:tc>
        <w:tc>
          <w:tcPr>
            <w:tcW w:w="220" w:type="dxa"/>
            <w:vAlign w:val="bottom"/>
          </w:tcPr>
          <w:p>
            <w:pPr>
              <w:spacing w:after="0"/>
              <w:rPr>
                <w:sz w:val="19"/>
                <w:szCs w:val="19"/>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1,003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4,698</w:t>
            </w:r>
          </w:p>
        </w:tc>
        <w:tc>
          <w:tcPr>
            <w:tcW w:w="0" w:type="dxa"/>
            <w:vAlign w:val="bottom"/>
          </w:tcPr>
          <w:p>
            <w:pPr>
              <w:spacing w:after="0"/>
              <w:rPr>
                <w:sz w:val="1"/>
                <w:szCs w:val="1"/>
                <w:color w:val="auto"/>
              </w:rPr>
            </w:pPr>
          </w:p>
        </w:tc>
      </w:tr>
      <w:tr>
        <w:trPr>
          <w:trHeight w:val="33"/>
        </w:trPr>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27,472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24,594</w:t>
            </w:r>
          </w:p>
        </w:tc>
        <w:tc>
          <w:tcPr>
            <w:tcW w:w="0" w:type="dxa"/>
            <w:vAlign w:val="bottom"/>
          </w:tcPr>
          <w:p>
            <w:pPr>
              <w:spacing w:after="0"/>
              <w:rPr>
                <w:sz w:val="1"/>
                <w:szCs w:val="1"/>
                <w:color w:val="auto"/>
              </w:rPr>
            </w:pPr>
          </w:p>
        </w:tc>
      </w:tr>
      <w:tr>
        <w:trPr>
          <w:trHeight w:val="232"/>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2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5"/>
                <w:szCs w:val="15"/>
                <w:b w:val="1"/>
                <w:bCs w:val="1"/>
                <w:color w:val="auto"/>
              </w:rPr>
              <w:t>536,540</w:t>
            </w:r>
          </w:p>
        </w:tc>
        <w:tc>
          <w:tcPr>
            <w:tcW w:w="1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5"/>
                <w:szCs w:val="15"/>
                <w:b w:val="1"/>
                <w:bCs w:val="1"/>
                <w:color w:val="auto"/>
              </w:rPr>
              <w:t>541,258</w:t>
            </w:r>
          </w:p>
        </w:tc>
        <w:tc>
          <w:tcPr>
            <w:tcW w:w="0" w:type="dxa"/>
            <w:vAlign w:val="bottom"/>
          </w:tcPr>
          <w:p>
            <w:pPr>
              <w:spacing w:after="0"/>
              <w:rPr>
                <w:sz w:val="1"/>
                <w:szCs w:val="1"/>
                <w:color w:val="auto"/>
              </w:rPr>
            </w:pPr>
          </w:p>
        </w:tc>
      </w:tr>
      <w:tr>
        <w:trPr>
          <w:trHeight w:val="235"/>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91,848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79,142</w:t>
            </w:r>
          </w:p>
        </w:tc>
        <w:tc>
          <w:tcPr>
            <w:tcW w:w="0" w:type="dxa"/>
            <w:vAlign w:val="bottom"/>
          </w:tcPr>
          <w:p>
            <w:pPr>
              <w:spacing w:after="0"/>
              <w:rPr>
                <w:sz w:val="1"/>
                <w:szCs w:val="1"/>
                <w:color w:val="auto"/>
              </w:rPr>
            </w:pPr>
          </w:p>
        </w:tc>
      </w:tr>
      <w:tr>
        <w:trPr>
          <w:trHeight w:val="224"/>
        </w:trPr>
        <w:tc>
          <w:tcPr>
            <w:tcW w:w="706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tcPr>
          <w:p>
            <w:pPr>
              <w:spacing w:after="0"/>
              <w:rPr>
                <w:sz w:val="19"/>
                <w:szCs w:val="19"/>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96,789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86,396</w:t>
            </w:r>
          </w:p>
        </w:tc>
        <w:tc>
          <w:tcPr>
            <w:tcW w:w="0" w:type="dxa"/>
            <w:vAlign w:val="bottom"/>
          </w:tcPr>
          <w:p>
            <w:pPr>
              <w:spacing w:after="0"/>
              <w:rPr>
                <w:sz w:val="1"/>
                <w:szCs w:val="1"/>
                <w:color w:val="auto"/>
              </w:rPr>
            </w:pPr>
          </w:p>
        </w:tc>
      </w:tr>
      <w:tr>
        <w:trPr>
          <w:trHeight w:val="33"/>
        </w:trPr>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2,298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2,426</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Arial" w:cs="Arial" w:eastAsia="Arial" w:hAnsi="Arial"/>
                <w:sz w:val="16"/>
                <w:szCs w:val="16"/>
                <w:color w:val="auto"/>
              </w:rPr>
              <w:t>Deferred tax assets, net</w:t>
            </w:r>
          </w:p>
        </w:tc>
        <w:tc>
          <w:tcPr>
            <w:tcW w:w="220" w:type="dxa"/>
            <w:vAlign w:val="bottom"/>
          </w:tcPr>
          <w:p>
            <w:pPr>
              <w:spacing w:after="0"/>
              <w:rPr>
                <w:sz w:val="19"/>
                <w:szCs w:val="19"/>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17,070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11,855</w:t>
            </w:r>
          </w:p>
        </w:tc>
        <w:tc>
          <w:tcPr>
            <w:tcW w:w="0" w:type="dxa"/>
            <w:vAlign w:val="bottom"/>
          </w:tcPr>
          <w:p>
            <w:pPr>
              <w:spacing w:after="0"/>
              <w:rPr>
                <w:sz w:val="1"/>
                <w:szCs w:val="1"/>
                <w:color w:val="auto"/>
              </w:rPr>
            </w:pPr>
          </w:p>
        </w:tc>
      </w:tr>
      <w:tr>
        <w:trPr>
          <w:trHeight w:val="33"/>
        </w:trPr>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66,296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73,982</w:t>
            </w:r>
          </w:p>
        </w:tc>
        <w:tc>
          <w:tcPr>
            <w:tcW w:w="0" w:type="dxa"/>
            <w:vAlign w:val="bottom"/>
          </w:tcPr>
          <w:p>
            <w:pPr>
              <w:spacing w:after="0"/>
              <w:rPr>
                <w:sz w:val="1"/>
                <w:szCs w:val="1"/>
                <w:color w:val="auto"/>
              </w:rPr>
            </w:pPr>
          </w:p>
        </w:tc>
      </w:tr>
      <w:tr>
        <w:trPr>
          <w:trHeight w:val="224"/>
        </w:trPr>
        <w:tc>
          <w:tcPr>
            <w:tcW w:w="7060" w:type="dxa"/>
            <w:vAlign w:val="bottom"/>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9"/>
                <w:szCs w:val="19"/>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348,110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349,529</w:t>
            </w:r>
          </w:p>
        </w:tc>
        <w:tc>
          <w:tcPr>
            <w:tcW w:w="0" w:type="dxa"/>
            <w:vAlign w:val="bottom"/>
          </w:tcPr>
          <w:p>
            <w:pPr>
              <w:spacing w:after="0"/>
              <w:rPr>
                <w:sz w:val="1"/>
                <w:szCs w:val="1"/>
                <w:color w:val="auto"/>
              </w:rPr>
            </w:pPr>
          </w:p>
        </w:tc>
      </w:tr>
      <w:tr>
        <w:trPr>
          <w:trHeight w:val="33"/>
        </w:trPr>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31,599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36,016</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Arial" w:cs="Arial" w:eastAsia="Arial" w:hAnsi="Arial"/>
                <w:sz w:val="16"/>
                <w:szCs w:val="16"/>
                <w:color w:val="auto"/>
              </w:rPr>
              <w:t>Investment in equity affiliate</w:t>
            </w:r>
          </w:p>
        </w:tc>
        <w:tc>
          <w:tcPr>
            <w:tcW w:w="220" w:type="dxa"/>
            <w:vAlign w:val="bottom"/>
          </w:tcPr>
          <w:p>
            <w:pPr>
              <w:spacing w:after="0"/>
              <w:rPr>
                <w:sz w:val="19"/>
                <w:szCs w:val="19"/>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3,063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2,484</w:t>
            </w:r>
          </w:p>
        </w:tc>
        <w:tc>
          <w:tcPr>
            <w:tcW w:w="0" w:type="dxa"/>
            <w:vAlign w:val="bottom"/>
          </w:tcPr>
          <w:p>
            <w:pPr>
              <w:spacing w:after="0"/>
              <w:rPr>
                <w:sz w:val="1"/>
                <w:szCs w:val="1"/>
                <w:color w:val="auto"/>
              </w:rPr>
            </w:pPr>
          </w:p>
        </w:tc>
      </w:tr>
      <w:tr>
        <w:trPr>
          <w:trHeight w:val="33"/>
        </w:trPr>
        <w:tc>
          <w:tcPr>
            <w:tcW w:w="7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1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1,193,613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1,183,088</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0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60" w:type="dxa"/>
            <w:vAlign w:val="bottom"/>
          </w:tcPr>
          <w:p>
            <w:pPr>
              <w:ind w:left="320"/>
              <w:spacing w:after="0"/>
              <w:rPr>
                <w:sz w:val="20"/>
                <w:szCs w:val="20"/>
                <w:color w:val="auto"/>
              </w:rPr>
            </w:pPr>
            <w:r>
              <w:rPr>
                <w:rFonts w:ascii="Arial" w:cs="Arial" w:eastAsia="Arial" w:hAnsi="Arial"/>
                <w:sz w:val="16"/>
                <w:szCs w:val="16"/>
                <w:color w:val="auto"/>
              </w:rPr>
              <w:t>Accounts payable</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9,048</w:t>
            </w:r>
          </w:p>
        </w:tc>
        <w:tc>
          <w:tcPr>
            <w:tcW w:w="12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6,564</w:t>
            </w:r>
          </w:p>
        </w:tc>
        <w:tc>
          <w:tcPr>
            <w:tcW w:w="0" w:type="dxa"/>
            <w:vAlign w:val="bottom"/>
          </w:tcPr>
          <w:p>
            <w:pPr>
              <w:spacing w:after="0"/>
              <w:rPr>
                <w:sz w:val="1"/>
                <w:szCs w:val="1"/>
                <w:color w:val="auto"/>
              </w:rPr>
            </w:pPr>
          </w:p>
        </w:tc>
      </w:tr>
      <w:tr>
        <w:trPr>
          <w:trHeight w:val="33"/>
        </w:trPr>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Current portion of long-term borrowings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20,657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40,867</w:t>
            </w:r>
          </w:p>
        </w:tc>
        <w:tc>
          <w:tcPr>
            <w:tcW w:w="0" w:type="dxa"/>
            <w:vAlign w:val="bottom"/>
          </w:tcPr>
          <w:p>
            <w:pPr>
              <w:spacing w:after="0"/>
              <w:rPr>
                <w:sz w:val="1"/>
                <w:szCs w:val="1"/>
                <w:color w:val="auto"/>
              </w:rPr>
            </w:pPr>
          </w:p>
        </w:tc>
      </w:tr>
      <w:tr>
        <w:trPr>
          <w:trHeight w:val="223"/>
        </w:trPr>
        <w:tc>
          <w:tcPr>
            <w:tcW w:w="7060" w:type="dxa"/>
            <w:vAlign w:val="bottom"/>
          </w:tcPr>
          <w:p>
            <w:pPr>
              <w:ind w:left="320"/>
              <w:spacing w:after="0"/>
              <w:rPr>
                <w:sz w:val="20"/>
                <w:szCs w:val="20"/>
                <w:color w:val="auto"/>
              </w:rPr>
            </w:pPr>
            <w:r>
              <w:rPr>
                <w:rFonts w:ascii="Arial" w:cs="Arial" w:eastAsia="Arial" w:hAnsi="Arial"/>
                <w:sz w:val="16"/>
                <w:szCs w:val="16"/>
                <w:color w:val="auto"/>
              </w:rPr>
              <w:t>Deferred revenue</w:t>
            </w:r>
          </w:p>
        </w:tc>
        <w:tc>
          <w:tcPr>
            <w:tcW w:w="220" w:type="dxa"/>
            <w:vAlign w:val="bottom"/>
          </w:tcPr>
          <w:p>
            <w:pPr>
              <w:spacing w:after="0"/>
              <w:rPr>
                <w:sz w:val="19"/>
                <w:szCs w:val="19"/>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16,752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13,436</w:t>
            </w:r>
          </w:p>
        </w:tc>
        <w:tc>
          <w:tcPr>
            <w:tcW w:w="0" w:type="dxa"/>
            <w:vAlign w:val="bottom"/>
          </w:tcPr>
          <w:p>
            <w:pPr>
              <w:spacing w:after="0"/>
              <w:rPr>
                <w:sz w:val="1"/>
                <w:szCs w:val="1"/>
                <w:color w:val="auto"/>
              </w:rPr>
            </w:pPr>
          </w:p>
        </w:tc>
      </w:tr>
      <w:tr>
        <w:trPr>
          <w:trHeight w:val="33"/>
        </w:trPr>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Accrued employee costs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42,376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68,885</w:t>
            </w:r>
          </w:p>
        </w:tc>
        <w:tc>
          <w:tcPr>
            <w:tcW w:w="0" w:type="dxa"/>
            <w:vAlign w:val="bottom"/>
          </w:tcPr>
          <w:p>
            <w:pPr>
              <w:spacing w:after="0"/>
              <w:rPr>
                <w:sz w:val="1"/>
                <w:szCs w:val="1"/>
                <w:color w:val="auto"/>
              </w:rPr>
            </w:pPr>
          </w:p>
        </w:tc>
      </w:tr>
      <w:tr>
        <w:trPr>
          <w:trHeight w:val="243"/>
        </w:trPr>
        <w:tc>
          <w:tcPr>
            <w:tcW w:w="7060" w:type="dxa"/>
            <w:vAlign w:val="bottom"/>
          </w:tcPr>
          <w:p>
            <w:pPr>
              <w:ind w:left="320"/>
              <w:spacing w:after="0"/>
              <w:rPr>
                <w:sz w:val="20"/>
                <w:szCs w:val="20"/>
                <w:color w:val="auto"/>
              </w:rPr>
            </w:pPr>
            <w:r>
              <w:rPr>
                <w:rFonts w:ascii="Arial" w:cs="Arial" w:eastAsia="Arial" w:hAnsi="Arial"/>
                <w:sz w:val="16"/>
                <w:szCs w:val="16"/>
                <w:color w:val="auto"/>
              </w:rPr>
              <w:t>Accrued expenses and other current liabilities</w:t>
            </w:r>
          </w:p>
        </w:tc>
        <w:tc>
          <w:tcPr>
            <w:tcW w:w="220" w:type="dxa"/>
            <w:vAlign w:val="bottom"/>
          </w:tcPr>
          <w:p>
            <w:pPr>
              <w:spacing w:after="0"/>
              <w:rPr>
                <w:sz w:val="21"/>
                <w:szCs w:val="21"/>
                <w:color w:val="auto"/>
              </w:rPr>
            </w:pPr>
          </w:p>
        </w:tc>
        <w:tc>
          <w:tcPr>
            <w:tcW w:w="1400" w:type="dxa"/>
            <w:vAlign w:val="bottom"/>
          </w:tcPr>
          <w:p>
            <w:pPr>
              <w:jc w:val="right"/>
              <w:ind w:right="60"/>
              <w:spacing w:after="0"/>
              <w:rPr>
                <w:sz w:val="20"/>
                <w:szCs w:val="20"/>
                <w:color w:val="auto"/>
              </w:rPr>
            </w:pPr>
            <w:r>
              <w:rPr>
                <w:rFonts w:ascii="Arial" w:cs="Arial" w:eastAsia="Arial" w:hAnsi="Arial"/>
                <w:sz w:val="18"/>
                <w:szCs w:val="18"/>
                <w:color w:val="auto"/>
              </w:rPr>
              <w:t>74,772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74,017</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Current portion of operating lease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18,199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24,148</w:t>
            </w:r>
          </w:p>
        </w:tc>
        <w:tc>
          <w:tcPr>
            <w:tcW w:w="0" w:type="dxa"/>
            <w:vAlign w:val="bottom"/>
          </w:tcPr>
          <w:p>
            <w:pPr>
              <w:spacing w:after="0"/>
              <w:rPr>
                <w:sz w:val="1"/>
                <w:szCs w:val="1"/>
                <w:color w:val="auto"/>
              </w:rPr>
            </w:pPr>
          </w:p>
        </w:tc>
      </w:tr>
      <w:tr>
        <w:trPr>
          <w:trHeight w:val="223"/>
        </w:trPr>
        <w:tc>
          <w:tcPr>
            <w:tcW w:w="7060" w:type="dxa"/>
            <w:vAlign w:val="bottom"/>
          </w:tcPr>
          <w:p>
            <w:pPr>
              <w:ind w:left="320"/>
              <w:spacing w:after="0"/>
              <w:rPr>
                <w:sz w:val="20"/>
                <w:szCs w:val="20"/>
                <w:color w:val="auto"/>
              </w:rPr>
            </w:pPr>
            <w:r>
              <w:rPr>
                <w:rFonts w:ascii="Arial" w:cs="Arial" w:eastAsia="Arial" w:hAnsi="Arial"/>
                <w:sz w:val="16"/>
                <w:szCs w:val="16"/>
                <w:color w:val="auto"/>
              </w:rPr>
              <w:t>Income taxes payable, net</w:t>
            </w:r>
          </w:p>
        </w:tc>
        <w:tc>
          <w:tcPr>
            <w:tcW w:w="220" w:type="dxa"/>
            <w:vAlign w:val="bottom"/>
          </w:tcPr>
          <w:p>
            <w:pPr>
              <w:spacing w:after="0"/>
              <w:rPr>
                <w:sz w:val="19"/>
                <w:szCs w:val="19"/>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2,359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1,432</w:t>
            </w:r>
          </w:p>
        </w:tc>
        <w:tc>
          <w:tcPr>
            <w:tcW w:w="0" w:type="dxa"/>
            <w:vAlign w:val="bottom"/>
          </w:tcPr>
          <w:p>
            <w:pPr>
              <w:spacing w:after="0"/>
              <w:rPr>
                <w:sz w:val="1"/>
                <w:szCs w:val="1"/>
                <w:color w:val="auto"/>
              </w:rPr>
            </w:pPr>
          </w:p>
        </w:tc>
      </w:tr>
      <w:tr>
        <w:trPr>
          <w:trHeight w:val="33"/>
        </w:trPr>
        <w:tc>
          <w:tcPr>
            <w:tcW w:w="7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184,163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229,349</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Arial" w:cs="Arial" w:eastAsia="Arial" w:hAnsi="Arial"/>
                <w:sz w:val="16"/>
                <w:szCs w:val="16"/>
                <w:color w:val="auto"/>
              </w:rPr>
              <w:t>Long-term borrowings, less current portion</w:t>
            </w:r>
          </w:p>
        </w:tc>
        <w:tc>
          <w:tcPr>
            <w:tcW w:w="220" w:type="dxa"/>
            <w:vAlign w:val="bottom"/>
          </w:tcPr>
          <w:p>
            <w:pPr>
              <w:spacing w:after="0"/>
              <w:rPr>
                <w:sz w:val="19"/>
                <w:szCs w:val="19"/>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215,527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194,131</w:t>
            </w:r>
          </w:p>
        </w:tc>
        <w:tc>
          <w:tcPr>
            <w:tcW w:w="0" w:type="dxa"/>
            <w:vAlign w:val="bottom"/>
          </w:tcPr>
          <w:p>
            <w:pPr>
              <w:spacing w:after="0"/>
              <w:rPr>
                <w:sz w:val="1"/>
                <w:szCs w:val="1"/>
                <w:color w:val="auto"/>
              </w:rPr>
            </w:pPr>
          </w:p>
        </w:tc>
      </w:tr>
      <w:tr>
        <w:trPr>
          <w:trHeight w:val="33"/>
        </w:trPr>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less current portion</w:t>
            </w:r>
          </w:p>
        </w:tc>
        <w:tc>
          <w:tcPr>
            <w:tcW w:w="2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40"/>
              <w:spacing w:after="0"/>
              <w:rPr>
                <w:sz w:val="20"/>
                <w:szCs w:val="20"/>
                <w:color w:val="auto"/>
              </w:rPr>
            </w:pPr>
            <w:r>
              <w:rPr>
                <w:rFonts w:ascii="Arial" w:cs="Arial" w:eastAsia="Arial" w:hAnsi="Arial"/>
                <w:sz w:val="14"/>
                <w:szCs w:val="14"/>
                <w:color w:val="auto"/>
              </w:rPr>
              <w:t>90,934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60"/>
              <w:spacing w:after="0"/>
              <w:rPr>
                <w:sz w:val="20"/>
                <w:szCs w:val="20"/>
                <w:color w:val="auto"/>
              </w:rPr>
            </w:pPr>
            <w:r>
              <w:rPr>
                <w:rFonts w:ascii="Arial" w:cs="Arial" w:eastAsia="Arial" w:hAnsi="Arial"/>
                <w:sz w:val="14"/>
                <w:szCs w:val="14"/>
                <w:color w:val="auto"/>
              </w:rPr>
              <w:t>74,709</w:t>
            </w:r>
          </w:p>
        </w:tc>
        <w:tc>
          <w:tcPr>
            <w:tcW w:w="0" w:type="dxa"/>
            <w:vAlign w:val="bottom"/>
          </w:tcPr>
          <w:p>
            <w:pPr>
              <w:spacing w:after="0"/>
              <w:rPr>
                <w:sz w:val="1"/>
                <w:szCs w:val="1"/>
                <w:color w:val="auto"/>
              </w:rPr>
            </w:pPr>
          </w:p>
        </w:tc>
      </w:tr>
      <w:tr>
        <w:trPr>
          <w:trHeight w:val="224"/>
        </w:trPr>
        <w:tc>
          <w:tcPr>
            <w:tcW w:w="7060" w:type="dxa"/>
            <w:vAlign w:val="bottom"/>
          </w:tcPr>
          <w:p>
            <w:pPr>
              <w:ind w:left="20"/>
              <w:spacing w:after="0"/>
              <w:rPr>
                <w:sz w:val="20"/>
                <w:szCs w:val="20"/>
                <w:color w:val="auto"/>
              </w:rPr>
            </w:pPr>
            <w:r>
              <w:rPr>
                <w:rFonts w:ascii="Arial" w:cs="Arial" w:eastAsia="Arial" w:hAnsi="Arial"/>
                <w:sz w:val="16"/>
                <w:szCs w:val="16"/>
                <w:color w:val="auto"/>
              </w:rPr>
              <w:t>Income taxes payable</w:t>
            </w:r>
          </w:p>
        </w:tc>
        <w:tc>
          <w:tcPr>
            <w:tcW w:w="220" w:type="dxa"/>
            <w:vAlign w:val="bottom"/>
          </w:tcPr>
          <w:p>
            <w:pPr>
              <w:spacing w:after="0"/>
              <w:rPr>
                <w:sz w:val="19"/>
                <w:szCs w:val="19"/>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1,790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1,790</w:t>
            </w:r>
          </w:p>
        </w:tc>
        <w:tc>
          <w:tcPr>
            <w:tcW w:w="0" w:type="dxa"/>
            <w:vAlign w:val="bottom"/>
          </w:tcPr>
          <w:p>
            <w:pPr>
              <w:spacing w:after="0"/>
              <w:rPr>
                <w:sz w:val="1"/>
                <w:szCs w:val="1"/>
                <w:color w:val="auto"/>
              </w:rPr>
            </w:pPr>
          </w:p>
        </w:tc>
      </w:tr>
      <w:tr>
        <w:trPr>
          <w:trHeight w:val="33"/>
        </w:trPr>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liabilities, net</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705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966</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Arial" w:cs="Arial" w:eastAsia="Arial" w:hAnsi="Arial"/>
                <w:sz w:val="16"/>
                <w:szCs w:val="16"/>
                <w:color w:val="auto"/>
              </w:rPr>
              <w:t>Other non-current liabilities</w:t>
            </w:r>
          </w:p>
        </w:tc>
        <w:tc>
          <w:tcPr>
            <w:tcW w:w="220" w:type="dxa"/>
            <w:vAlign w:val="bottom"/>
          </w:tcPr>
          <w:p>
            <w:pPr>
              <w:spacing w:after="0"/>
              <w:rPr>
                <w:sz w:val="19"/>
                <w:szCs w:val="19"/>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19,566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12,142</w:t>
            </w:r>
          </w:p>
        </w:tc>
        <w:tc>
          <w:tcPr>
            <w:tcW w:w="0" w:type="dxa"/>
            <w:vAlign w:val="bottom"/>
          </w:tcPr>
          <w:p>
            <w:pPr>
              <w:spacing w:after="0"/>
              <w:rPr>
                <w:sz w:val="1"/>
                <w:szCs w:val="1"/>
                <w:color w:val="auto"/>
              </w:rPr>
            </w:pPr>
          </w:p>
        </w:tc>
      </w:tr>
      <w:tr>
        <w:trPr>
          <w:trHeight w:val="33"/>
        </w:trPr>
        <w:tc>
          <w:tcPr>
            <w:tcW w:w="7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512,685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513,087</w:t>
            </w:r>
          </w:p>
        </w:tc>
        <w:tc>
          <w:tcPr>
            <w:tcW w:w="0" w:type="dxa"/>
            <w:vAlign w:val="bottom"/>
          </w:tcPr>
          <w:p>
            <w:pPr>
              <w:spacing w:after="0"/>
              <w:rPr>
                <w:sz w:val="1"/>
                <w:szCs w:val="1"/>
                <w:color w:val="auto"/>
              </w:rPr>
            </w:pPr>
          </w:p>
        </w:tc>
      </w:tr>
      <w:tr>
        <w:trPr>
          <w:trHeight w:val="203"/>
        </w:trPr>
        <w:tc>
          <w:tcPr>
            <w:tcW w:w="706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2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Preferred stock, $0.001 par value; 15,000,000 shares authorized, none issued</w:t>
            </w:r>
          </w:p>
        </w:tc>
        <w:tc>
          <w:tcPr>
            <w:tcW w:w="2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7060" w:type="dxa"/>
            <w:vAlign w:val="bottom"/>
          </w:tcPr>
          <w:p>
            <w:pPr>
              <w:ind w:left="320"/>
              <w:spacing w:after="0"/>
              <w:rPr>
                <w:sz w:val="20"/>
                <w:szCs w:val="20"/>
                <w:color w:val="auto"/>
              </w:rPr>
            </w:pPr>
            <w:r>
              <w:rPr>
                <w:rFonts w:ascii="Arial" w:cs="Arial" w:eastAsia="Arial" w:hAnsi="Arial"/>
                <w:sz w:val="16"/>
                <w:szCs w:val="16"/>
                <w:b w:val="1"/>
                <w:bCs w:val="1"/>
                <w:color w:val="auto"/>
              </w:rPr>
              <w:t>ExlService Holdings, Inc. Stockholders’ equity:</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$0.001 par value; 100,000,000 shares authorized, 38,818,365 shares issued and</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34,320,586 shares outstanding as of June 30, 2020 and 38,480,654 shares issued and 34,185,241 shares</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December 31, 2019</w:t>
            </w:r>
          </w:p>
        </w:tc>
        <w:tc>
          <w:tcPr>
            <w:tcW w:w="2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24"/>
        </w:trPr>
        <w:tc>
          <w:tcPr>
            <w:tcW w:w="7060" w:type="dxa"/>
            <w:vAlign w:val="bottom"/>
          </w:tcPr>
          <w:p>
            <w:pPr>
              <w:ind w:left="32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9"/>
                <w:szCs w:val="19"/>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404,704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391,240</w:t>
            </w:r>
          </w:p>
        </w:tc>
        <w:tc>
          <w:tcPr>
            <w:tcW w:w="0" w:type="dxa"/>
            <w:vAlign w:val="bottom"/>
          </w:tcPr>
          <w:p>
            <w:pPr>
              <w:spacing w:after="0"/>
              <w:rPr>
                <w:sz w:val="1"/>
                <w:szCs w:val="1"/>
                <w:color w:val="auto"/>
              </w:rPr>
            </w:pPr>
          </w:p>
        </w:tc>
      </w:tr>
      <w:tr>
        <w:trPr>
          <w:trHeight w:val="33"/>
        </w:trPr>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Retained earnings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582,743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551,903</w:t>
            </w:r>
          </w:p>
        </w:tc>
        <w:tc>
          <w:tcPr>
            <w:tcW w:w="0" w:type="dxa"/>
            <w:vAlign w:val="bottom"/>
          </w:tcPr>
          <w:p>
            <w:pPr>
              <w:spacing w:after="0"/>
              <w:rPr>
                <w:sz w:val="1"/>
                <w:szCs w:val="1"/>
                <w:color w:val="auto"/>
              </w:rPr>
            </w:pPr>
          </w:p>
        </w:tc>
      </w:tr>
      <w:tr>
        <w:trPr>
          <w:trHeight w:val="223"/>
        </w:trPr>
        <w:tc>
          <w:tcPr>
            <w:tcW w:w="7060" w:type="dxa"/>
            <w:vAlign w:val="bottom"/>
          </w:tcPr>
          <w:p>
            <w:pPr>
              <w:ind w:left="32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(104,274)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(84,892)</w:t>
            </w:r>
          </w:p>
        </w:tc>
        <w:tc>
          <w:tcPr>
            <w:tcW w:w="0" w:type="dxa"/>
            <w:vAlign w:val="bottom"/>
          </w:tcPr>
          <w:p>
            <w:pPr>
              <w:spacing w:after="0"/>
              <w:rPr>
                <w:sz w:val="1"/>
                <w:szCs w:val="1"/>
                <w:color w:val="auto"/>
              </w:rPr>
            </w:pPr>
          </w:p>
        </w:tc>
      </w:tr>
      <w:tr>
        <w:trPr>
          <w:trHeight w:val="33"/>
        </w:trPr>
        <w:tc>
          <w:tcPr>
            <w:tcW w:w="7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including shares held in treasury</w:t>
            </w: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883,212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858,290</w:t>
            </w:r>
          </w:p>
        </w:tc>
        <w:tc>
          <w:tcPr>
            <w:tcW w:w="0" w:type="dxa"/>
            <w:vAlign w:val="bottom"/>
          </w:tcPr>
          <w:p>
            <w:pPr>
              <w:spacing w:after="0"/>
              <w:rPr>
                <w:sz w:val="1"/>
                <w:szCs w:val="1"/>
                <w:color w:val="auto"/>
              </w:rPr>
            </w:pPr>
          </w:p>
        </w:tc>
      </w:tr>
      <w:tr>
        <w:trPr>
          <w:trHeight w:val="220"/>
        </w:trPr>
        <w:tc>
          <w:tcPr>
            <w:tcW w:w="7060" w:type="dxa"/>
            <w:vAlign w:val="bottom"/>
          </w:tcPr>
          <w:p>
            <w:pPr>
              <w:ind w:left="20"/>
              <w:spacing w:after="0"/>
              <w:rPr>
                <w:sz w:val="20"/>
                <w:szCs w:val="20"/>
                <w:color w:val="auto"/>
              </w:rPr>
            </w:pPr>
            <w:r>
              <w:rPr>
                <w:rFonts w:ascii="Arial" w:cs="Arial" w:eastAsia="Arial" w:hAnsi="Arial"/>
                <w:sz w:val="16"/>
                <w:szCs w:val="16"/>
                <w:color w:val="auto"/>
                <w:w w:val="98"/>
              </w:rPr>
              <w:t>Less: 4,497,779 shares as of June 30, 2020 and 4,295,413 shares as of December 31, 2019, held in</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060" w:type="dxa"/>
            <w:vAlign w:val="bottom"/>
          </w:tcPr>
          <w:p>
            <w:pPr>
              <w:ind w:left="20"/>
              <w:spacing w:after="0"/>
              <w:rPr>
                <w:sz w:val="20"/>
                <w:szCs w:val="20"/>
                <w:color w:val="auto"/>
              </w:rPr>
            </w:pPr>
            <w:r>
              <w:rPr>
                <w:rFonts w:ascii="Arial" w:cs="Arial" w:eastAsia="Arial" w:hAnsi="Arial"/>
                <w:sz w:val="16"/>
                <w:szCs w:val="16"/>
                <w:color w:val="auto"/>
              </w:rPr>
              <w:t>treasury, at cost</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(202,284)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(188,289)</w:t>
            </w:r>
          </w:p>
        </w:tc>
        <w:tc>
          <w:tcPr>
            <w:tcW w:w="0" w:type="dxa"/>
            <w:vAlign w:val="bottom"/>
          </w:tcPr>
          <w:p>
            <w:pPr>
              <w:spacing w:after="0"/>
              <w:rPr>
                <w:sz w:val="1"/>
                <w:szCs w:val="1"/>
                <w:color w:val="auto"/>
              </w:rPr>
            </w:pPr>
          </w:p>
        </w:tc>
      </w:tr>
      <w:tr>
        <w:trPr>
          <w:trHeight w:val="33"/>
        </w:trPr>
        <w:tc>
          <w:tcPr>
            <w:tcW w:w="7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680,928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670,001</w:t>
            </w:r>
          </w:p>
        </w:tc>
        <w:tc>
          <w:tcPr>
            <w:tcW w:w="0" w:type="dxa"/>
            <w:vAlign w:val="bottom"/>
          </w:tcPr>
          <w:p>
            <w:pPr>
              <w:spacing w:after="0"/>
              <w:rPr>
                <w:sz w:val="1"/>
                <w:szCs w:val="1"/>
                <w:color w:val="auto"/>
              </w:rPr>
            </w:pPr>
          </w:p>
        </w:tc>
      </w:tr>
      <w:tr>
        <w:trPr>
          <w:trHeight w:val="162"/>
        </w:trPr>
        <w:tc>
          <w:tcPr>
            <w:tcW w:w="70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equity</w:t>
            </w:r>
          </w:p>
        </w:tc>
        <w:tc>
          <w:tcPr>
            <w:tcW w:w="2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680,928</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670,001</w:t>
            </w:r>
          </w:p>
        </w:tc>
        <w:tc>
          <w:tcPr>
            <w:tcW w:w="0" w:type="dxa"/>
            <w:vAlign w:val="bottom"/>
          </w:tcPr>
          <w:p>
            <w:pPr>
              <w:spacing w:after="0"/>
              <w:rPr>
                <w:sz w:val="1"/>
                <w:szCs w:val="1"/>
                <w:color w:val="auto"/>
              </w:rPr>
            </w:pPr>
          </w:p>
        </w:tc>
      </w:tr>
      <w:tr>
        <w:trPr>
          <w:trHeight w:val="207"/>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2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w:t>
            </w:r>
          </w:p>
        </w:tc>
        <w:tc>
          <w:tcPr>
            <w:tcW w:w="1400" w:type="dxa"/>
            <w:vAlign w:val="bottom"/>
            <w:tcBorders>
              <w:bottom w:val="single" w:sz="8" w:color="auto"/>
            </w:tcBorders>
          </w:tcPr>
          <w:p>
            <w:pPr>
              <w:jc w:val="right"/>
              <w:ind w:right="40"/>
              <w:spacing w:after="0"/>
              <w:rPr>
                <w:sz w:val="20"/>
                <w:szCs w:val="20"/>
                <w:color w:val="auto"/>
              </w:rPr>
            </w:pPr>
            <w:r>
              <w:rPr>
                <w:rFonts w:ascii="Arial" w:cs="Arial" w:eastAsia="Arial" w:hAnsi="Arial"/>
                <w:sz w:val="15"/>
                <w:szCs w:val="15"/>
                <w:b w:val="1"/>
                <w:bCs w:val="1"/>
                <w:color w:val="auto"/>
              </w:rPr>
              <w:t>1,193,613</w:t>
            </w:r>
          </w:p>
        </w:tc>
        <w:tc>
          <w:tcPr>
            <w:tcW w:w="12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Borders>
              <w:bottom w:val="single" w:sz="8" w:color="auto"/>
            </w:tcBorders>
          </w:tcPr>
          <w:p>
            <w:pPr>
              <w:jc w:val="right"/>
              <w:ind w:right="60"/>
              <w:spacing w:after="0"/>
              <w:rPr>
                <w:sz w:val="20"/>
                <w:szCs w:val="20"/>
                <w:color w:val="auto"/>
              </w:rPr>
            </w:pPr>
            <w:r>
              <w:rPr>
                <w:rFonts w:ascii="Arial" w:cs="Arial" w:eastAsia="Arial" w:hAnsi="Arial"/>
                <w:sz w:val="15"/>
                <w:szCs w:val="15"/>
                <w:b w:val="1"/>
                <w:bCs w:val="1"/>
                <w:color w:val="auto"/>
              </w:rPr>
              <w:t>1,183,088</w:t>
            </w:r>
          </w:p>
        </w:tc>
        <w:tc>
          <w:tcPr>
            <w:tcW w:w="0" w:type="dxa"/>
            <w:vAlign w:val="bottom"/>
          </w:tcPr>
          <w:p>
            <w:pPr>
              <w:spacing w:after="0"/>
              <w:rPr>
                <w:sz w:val="1"/>
                <w:szCs w:val="1"/>
                <w:color w:val="auto"/>
              </w:rPr>
            </w:pPr>
          </w:p>
        </w:tc>
      </w:tr>
      <w:tr>
        <w:trPr>
          <w:trHeight w:val="23"/>
        </w:trPr>
        <w:tc>
          <w:tcPr>
            <w:tcW w:w="7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1080" w:top="891" w:right="439" w:bottom="987"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283" w:lineRule="exact"/>
        <w:rPr>
          <w:sz w:val="20"/>
          <w:szCs w:val="20"/>
          <w:color w:val="auto"/>
        </w:rPr>
      </w:pPr>
    </w:p>
    <w:p>
      <w:pPr>
        <w:ind w:firstLine="405"/>
        <w:spacing w:after="0" w:line="324" w:lineRule="auto"/>
        <w:rPr>
          <w:sz w:val="20"/>
          <w:szCs w:val="20"/>
          <w:color w:val="auto"/>
        </w:rPr>
      </w:pPr>
      <w:r>
        <w:rPr>
          <w:rFonts w:ascii="Arial" w:cs="Arial" w:eastAsia="Arial" w:hAnsi="Arial"/>
          <w:sz w:val="18"/>
          <w:szCs w:val="18"/>
          <w:color w:val="auto"/>
        </w:rPr>
        <w:t>In addition to its reported operating results in accordance with U.S. generally accepted accounting principles (GAAP), EXL has included in this release certain financial measures that are considered non-GAAP financial measures, including the following:</w:t>
      </w:r>
    </w:p>
    <w:p>
      <w:pPr>
        <w:spacing w:after="0" w:line="89"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operating income and adjusted operating income margin;</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and adjusted EBITDA margin;</w:t>
      </w:r>
    </w:p>
    <w:p>
      <w:pPr>
        <w:spacing w:after="0" w:line="49"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net income and adjusted diluted earnings per share; and</w:t>
      </w:r>
    </w:p>
    <w:p>
      <w:pPr>
        <w:spacing w:after="0" w:line="49"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growth on a constant currency basis.</w:t>
      </w:r>
    </w:p>
    <w:p>
      <w:pPr>
        <w:spacing w:after="0" w:line="293" w:lineRule="exact"/>
        <w:rPr>
          <w:sz w:val="20"/>
          <w:szCs w:val="20"/>
          <w:color w:val="auto"/>
        </w:rPr>
      </w:pPr>
    </w:p>
    <w:p>
      <w:pPr>
        <w:jc w:val="both"/>
        <w:ind w:firstLine="405"/>
        <w:spacing w:after="0" w:line="318" w:lineRule="auto"/>
        <w:rPr>
          <w:sz w:val="20"/>
          <w:szCs w:val="20"/>
          <w:color w:val="auto"/>
        </w:rPr>
      </w:pPr>
      <w:r>
        <w:rPr>
          <w:rFonts w:ascii="Arial" w:cs="Arial" w:eastAsia="Arial" w:hAnsi="Arial"/>
          <w:sz w:val="17"/>
          <w:szCs w:val="17"/>
          <w:color w:val="auto"/>
        </w:rPr>
        <w:t>These non-GAAP financial measures are not based on any comprehensive set of accounting rules or principles, should not be considered a substitute for, or superior to, financial measures calculated in accordance with GAAP, and may be different from non-GAAP financial measures used by other companies. Accordingly, the financial results calculated in accordance with GAAP and reconciliations from those financial statements should be carefully evaluated. EXL believes that providing these non-GAAP financial measures may help investors better understand EXL’s underlying financial performance. Management also believes that these non-GAAP financial measures, when read in conjunction with EXL’s reported results, can provide useful supplemental information for investors analyzing period-to-period comparisons of the Company’s results and comparisons of the Company’s results with the results of other companies. Additionally, management considers some of these non-GAAP financial measures to determine variable compensation of its employees. The Company believes that it is unreasonably difficult to provide its earnings per share financial guidance in accordance with GAAP for a number of reasons, including, without limitation, the Company’s inability to predict its future stock-based compensation expense under ASC Topic 718, the amortization of intangibles associated with further acquisitions and the currency fluctuations and associated tax impacts. As such, the Company presents guidance with respect to adjusted diluted earnings per share. The Company also incurs significant non-cash charges for depreciation that may not be indicative of the Company’s ability to generate cash flow.</w:t>
      </w:r>
    </w:p>
    <w:p>
      <w:pPr>
        <w:spacing w:after="0" w:line="213"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8"/>
          <w:szCs w:val="18"/>
          <w:color w:val="auto"/>
        </w:rPr>
        <w:t>EXL non-GAAP financial measures exclude, where applicable, stock-based compensation expense, amortization of acquisition-related intangible assets, impairment charges of acquired long-lived and intangible assets including goodwill, provision for litigation settlement, non-cash interest expense on convertible senior notes, restructuring charges and other acquisition-related expenses or benefits. Acquisition-related expenses or benefits include, changes in the fair value of earn-out consideration liabilities, external deal costs, integration expenses, direct and incremental travel costs and non-recurring benefits. In addition to excluding the above items, our adjusted net income and adjusted diluted EPS also excludes the effect of incremental income tax expense related to the U.S. Tax Cuts and Jobs Act of 2017 (the “Tax Reform Act”), non-recurring other tax adjustments and income tax impact of the above pre-tax items, as applicable. The income tax impact of each item is calculated by applying the statutory rate and local tax regulations in the jurisdiction in which the item was incurred.</w:t>
      </w:r>
    </w:p>
    <w:p>
      <w:pPr>
        <w:spacing w:after="0" w:line="218" w:lineRule="exact"/>
        <w:rPr>
          <w:sz w:val="20"/>
          <w:szCs w:val="20"/>
          <w:color w:val="auto"/>
        </w:rPr>
      </w:pPr>
    </w:p>
    <w:p>
      <w:pPr>
        <w:jc w:val="both"/>
        <w:ind w:firstLine="405"/>
        <w:spacing w:after="0" w:line="304" w:lineRule="auto"/>
        <w:rPr>
          <w:sz w:val="20"/>
          <w:szCs w:val="20"/>
          <w:color w:val="auto"/>
        </w:rPr>
      </w:pPr>
      <w:r>
        <w:rPr>
          <w:rFonts w:ascii="Arial" w:cs="Arial" w:eastAsia="Arial" w:hAnsi="Arial"/>
          <w:sz w:val="18"/>
          <w:szCs w:val="18"/>
          <w:color w:val="auto"/>
        </w:rPr>
        <w:t>A limitation of using non-GAAP financial measures versus financial measures calculated in accordance with GAAP is that non-GAAP financial measures do not reflect all of the amounts associated with our operating results as determined in accordance with GAAP and exclude costs that are recurring, namely stock-based compensation and amortization of acquisition-related intangible assets. EXL compensates for these limitations by providing specific information regarding the GAAP amounts excluded from non-GAAP financial measures to allow investors to evaluate such non-GAAP financial measures.</w:t>
      </w:r>
    </w:p>
    <w:p>
      <w:pPr>
        <w:spacing w:after="0" w:line="215" w:lineRule="exact"/>
        <w:rPr>
          <w:sz w:val="20"/>
          <w:szCs w:val="20"/>
          <w:color w:val="auto"/>
        </w:rPr>
      </w:pPr>
    </w:p>
    <w:p>
      <w:pPr>
        <w:jc w:val="both"/>
        <w:ind w:firstLine="405"/>
        <w:spacing w:after="0" w:line="346" w:lineRule="auto"/>
        <w:rPr>
          <w:sz w:val="20"/>
          <w:szCs w:val="20"/>
          <w:color w:val="auto"/>
        </w:rPr>
      </w:pPr>
      <w:r>
        <w:rPr>
          <w:rFonts w:ascii="Arial" w:cs="Arial" w:eastAsia="Arial" w:hAnsi="Arial"/>
          <w:sz w:val="16"/>
          <w:szCs w:val="16"/>
          <w:color w:val="auto"/>
        </w:rPr>
        <w:t>The information provided on a constant currency basis reflects a comparison of current period results translated at the prior period currency rates. This information is provided because EXL believes that it provides useful comparative incremental information to investors regarding EXL’s true operating performance. EXL’s primary exchange rate exposure is with the Indian Rupee, the U.K. pound sterling and the Philippine Peso. The average exchange rate of the U.S. Dollar against the Indian Rupee increased from 69.42 during the quarter ended June 30, 2019 to 75.41 during the quarter ended June 30, 2020, representing an appreciation of 8.6%. The average exchange rate of the U.S. Dollar against the Philippine Peso decreased from 51.84 during the quarter ended June 30, 2019 to 50.28 during the quarter ended June 30, 2020, representing a depreciation of 3.0%. The average</w:t>
      </w:r>
    </w:p>
    <w:p>
      <w:pPr>
        <w:sectPr>
          <w:pgSz w:w="11900" w:h="16838" w:orient="portrait"/>
          <w:cols w:equalWidth="0" w:num="1">
            <w:col w:w="11240"/>
          </w:cols>
          <w:pgMar w:left="320" w:top="1026" w:right="339" w:bottom="1440" w:gutter="0" w:footer="0" w:header="0"/>
        </w:sectPr>
      </w:pPr>
    </w:p>
    <w:bookmarkStart w:id="10" w:name="page11"/>
    <w:bookmarkEnd w:id="10"/>
    <w:p>
      <w:pPr>
        <w:spacing w:after="0" w:line="324" w:lineRule="auto"/>
        <w:rPr>
          <w:sz w:val="20"/>
          <w:szCs w:val="20"/>
          <w:color w:val="auto"/>
        </w:rPr>
      </w:pPr>
      <w:r>
        <w:rPr>
          <w:rFonts w:ascii="Arial" w:cs="Arial" w:eastAsia="Arial" w:hAnsi="Arial"/>
          <w:sz w:val="18"/>
          <w:szCs w:val="18"/>
          <w:color w:val="auto"/>
        </w:rPr>
        <w:t>exchange rate of the British Pound against the U.S. Dollar decreased from 1.28 during the quarter ended June 30, 2019 to 1.24 during the quarter ended June 30, 2020, representing an appreciation of 3.0%.</w:t>
      </w:r>
    </w:p>
    <w:p>
      <w:pPr>
        <w:spacing w:after="0" w:line="197" w:lineRule="exact"/>
        <w:rPr>
          <w:sz w:val="20"/>
          <w:szCs w:val="20"/>
          <w:color w:val="auto"/>
        </w:rPr>
      </w:pPr>
    </w:p>
    <w:p>
      <w:pPr>
        <w:ind w:right="20" w:firstLine="405"/>
        <w:spacing w:after="0" w:line="324" w:lineRule="auto"/>
        <w:rPr>
          <w:sz w:val="20"/>
          <w:szCs w:val="20"/>
          <w:color w:val="auto"/>
        </w:rPr>
      </w:pPr>
      <w:r>
        <w:rPr>
          <w:rFonts w:ascii="Arial" w:cs="Arial" w:eastAsia="Arial" w:hAnsi="Arial"/>
          <w:sz w:val="18"/>
          <w:szCs w:val="18"/>
          <w:color w:val="auto"/>
        </w:rPr>
        <w:t>The following table shows the reconciliation of these non-GAAP financial measures for the three months ended June 30, 2020 and June 30, 2019, and the three months ended March 31, 2020:</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w:t>
      </w:r>
    </w:p>
    <w:p>
      <w:pPr>
        <w:spacing w:after="0" w:line="144"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6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6"/>
        </w:trPr>
        <w:tc>
          <w:tcPr>
            <w:tcW w:w="63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4"/>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17"/>
        </w:trPr>
        <w:tc>
          <w:tcPr>
            <w:tcW w:w="6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4"/>
          </w:tcPr>
          <w:p>
            <w:pPr>
              <w:ind w:left="780"/>
              <w:spacing w:after="0"/>
              <w:rPr>
                <w:sz w:val="20"/>
                <w:szCs w:val="20"/>
                <w:color w:val="auto"/>
              </w:rPr>
            </w:pPr>
            <w:r>
              <w:rPr>
                <w:rFonts w:ascii="Arial" w:cs="Arial" w:eastAsia="Arial" w:hAnsi="Arial"/>
                <w:sz w:val="16"/>
                <w:szCs w:val="16"/>
                <w:b w:val="1"/>
                <w:bCs w:val="1"/>
                <w:color w:val="auto"/>
              </w:rPr>
              <w:t>June 30,</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8"/>
                <w:szCs w:val="18"/>
                <w:color w:val="auto"/>
              </w:rPr>
            </w:pPr>
          </w:p>
        </w:tc>
      </w:tr>
      <w:tr>
        <w:trPr>
          <w:trHeight w:val="33"/>
        </w:trPr>
        <w:tc>
          <w:tcPr>
            <w:tcW w:w="6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17"/>
        </w:trPr>
        <w:tc>
          <w:tcPr>
            <w:tcW w:w="6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r>
      <w:tr>
        <w:trPr>
          <w:trHeight w:val="33"/>
        </w:trPr>
        <w:tc>
          <w:tcPr>
            <w:tcW w:w="6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3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(GAAP)</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8,429</w:t>
            </w:r>
          </w:p>
        </w:tc>
        <w:tc>
          <w:tcPr>
            <w:tcW w:w="6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12,564</w:t>
            </w:r>
          </w:p>
        </w:tc>
        <w:tc>
          <w:tcPr>
            <w:tcW w:w="50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22,411</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4"/>
        </w:trPr>
        <w:tc>
          <w:tcPr>
            <w:tcW w:w="6300" w:type="dxa"/>
            <w:vAlign w:val="bottom"/>
          </w:tcPr>
          <w:p>
            <w:pPr>
              <w:ind w:left="320"/>
              <w:spacing w:after="0"/>
              <w:rPr>
                <w:sz w:val="20"/>
                <w:szCs w:val="20"/>
                <w:color w:val="auto"/>
              </w:rPr>
            </w:pPr>
            <w:r>
              <w:rPr>
                <w:rFonts w:ascii="Arial" w:cs="Arial" w:eastAsia="Arial" w:hAnsi="Arial"/>
                <w:sz w:val="16"/>
                <w:szCs w:val="16"/>
                <w:color w:val="auto"/>
              </w:rPr>
              <w:t>add: Income tax expense</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4,072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2,670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5,855</w:t>
            </w:r>
          </w:p>
        </w:tc>
        <w:tc>
          <w:tcPr>
            <w:tcW w:w="160" w:type="dxa"/>
            <w:vAlign w:val="bottom"/>
          </w:tcPr>
          <w:p>
            <w:pPr>
              <w:spacing w:after="0"/>
              <w:rPr>
                <w:sz w:val="19"/>
                <w:szCs w:val="19"/>
                <w:color w:val="auto"/>
              </w:rPr>
            </w:pPr>
          </w:p>
        </w:tc>
      </w:tr>
      <w:tr>
        <w:trPr>
          <w:trHeight w:val="33"/>
        </w:trPr>
        <w:tc>
          <w:tcPr>
            <w:tcW w:w="6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20"/>
        </w:trPr>
        <w:tc>
          <w:tcPr>
            <w:tcW w:w="6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subtract: Interest expense, foreign exchange gain, net, loss from equity-method</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39"/>
        </w:trPr>
        <w:tc>
          <w:tcPr>
            <w:tcW w:w="63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investment and other income, net</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(2,635)</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(1,378)</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17"/>
        </w:trPr>
        <w:tc>
          <w:tcPr>
            <w:tcW w:w="6300" w:type="dxa"/>
            <w:vAlign w:val="bottom"/>
          </w:tcPr>
          <w:p>
            <w:pPr>
              <w:ind w:left="20"/>
              <w:spacing w:after="0"/>
              <w:rPr>
                <w:sz w:val="20"/>
                <w:szCs w:val="20"/>
                <w:color w:val="auto"/>
              </w:rPr>
            </w:pPr>
            <w:r>
              <w:rPr>
                <w:rFonts w:ascii="Arial" w:cs="Arial" w:eastAsia="Arial" w:hAnsi="Arial"/>
                <w:sz w:val="16"/>
                <w:szCs w:val="16"/>
                <w:b w:val="1"/>
                <w:bCs w:val="1"/>
                <w:color w:val="auto"/>
              </w:rPr>
              <w:t>Income from operations (GAAP)</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9,866</w:t>
            </w: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13,856</w:t>
            </w:r>
          </w:p>
        </w:tc>
        <w:tc>
          <w:tcPr>
            <w:tcW w:w="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27,487</w:t>
            </w:r>
          </w:p>
        </w:tc>
        <w:tc>
          <w:tcPr>
            <w:tcW w:w="160" w:type="dxa"/>
            <w:vAlign w:val="bottom"/>
            <w:tcBorders>
              <w:top w:val="single" w:sz="8" w:color="auto"/>
            </w:tcBorders>
          </w:tcPr>
          <w:p>
            <w:pPr>
              <w:spacing w:after="0"/>
              <w:rPr>
                <w:sz w:val="18"/>
                <w:szCs w:val="18"/>
                <w:color w:val="auto"/>
              </w:rPr>
            </w:pPr>
          </w:p>
        </w:tc>
      </w:tr>
      <w:tr>
        <w:trPr>
          <w:trHeight w:val="33"/>
        </w:trPr>
        <w:tc>
          <w:tcPr>
            <w:tcW w:w="6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6"/>
        </w:trPr>
        <w:tc>
          <w:tcPr>
            <w:tcW w:w="63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add: Stock-based compensation expense</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7,726</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7,155</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4,778</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4"/>
        </w:trPr>
        <w:tc>
          <w:tcPr>
            <w:tcW w:w="6300" w:type="dxa"/>
            <w:vAlign w:val="bottom"/>
          </w:tcPr>
          <w:p>
            <w:pPr>
              <w:ind w:left="320"/>
              <w:spacing w:after="0"/>
              <w:rPr>
                <w:sz w:val="20"/>
                <w:szCs w:val="20"/>
                <w:color w:val="auto"/>
              </w:rPr>
            </w:pPr>
            <w:r>
              <w:rPr>
                <w:rFonts w:ascii="Arial" w:cs="Arial" w:eastAsia="Arial" w:hAnsi="Arial"/>
                <w:sz w:val="16"/>
                <w:szCs w:val="16"/>
                <w:color w:val="auto"/>
              </w:rPr>
              <w:t>add: Amortization of acquisition-related intangibles</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3,430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4,153</w:t>
            </w:r>
          </w:p>
        </w:tc>
        <w:tc>
          <w:tcPr>
            <w:tcW w:w="160" w:type="dxa"/>
            <w:vAlign w:val="bottom"/>
          </w:tcPr>
          <w:p>
            <w:pPr>
              <w:spacing w:after="0"/>
              <w:rPr>
                <w:sz w:val="19"/>
                <w:szCs w:val="19"/>
                <w:color w:val="auto"/>
              </w:rPr>
            </w:pPr>
          </w:p>
        </w:tc>
      </w:tr>
      <w:tr>
        <w:trPr>
          <w:trHeight w:val="33"/>
        </w:trPr>
        <w:tc>
          <w:tcPr>
            <w:tcW w:w="6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63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add: Impairment and restructuring charges (a)</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5,580</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47"/>
        </w:trPr>
        <w:tc>
          <w:tcPr>
            <w:tcW w:w="6300" w:type="dxa"/>
            <w:vAlign w:val="bottom"/>
          </w:tcPr>
          <w:p>
            <w:pPr>
              <w:ind w:left="20"/>
              <w:spacing w:after="0"/>
              <w:rPr>
                <w:sz w:val="20"/>
                <w:szCs w:val="20"/>
                <w:color w:val="auto"/>
              </w:rPr>
            </w:pPr>
            <w:r>
              <w:rPr>
                <w:rFonts w:ascii="Arial" w:cs="Arial" w:eastAsia="Arial" w:hAnsi="Arial"/>
                <w:sz w:val="16"/>
                <w:szCs w:val="16"/>
                <w:b w:val="1"/>
                <w:bCs w:val="1"/>
                <w:color w:val="auto"/>
              </w:rPr>
              <w:t>Adjusted operating income (Non-GAAP)</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21,022</w:t>
            </w:r>
          </w:p>
        </w:tc>
        <w:tc>
          <w:tcPr>
            <w:tcW w:w="18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32,145</w:t>
            </w:r>
          </w:p>
        </w:tc>
        <w:tc>
          <w:tcPr>
            <w:tcW w:w="1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36,418</w:t>
            </w:r>
          </w:p>
        </w:tc>
        <w:tc>
          <w:tcPr>
            <w:tcW w:w="160" w:type="dxa"/>
            <w:vAlign w:val="bottom"/>
            <w:tcBorders>
              <w:top w:val="single" w:sz="8" w:color="auto"/>
              <w:bottom w:val="single" w:sz="8" w:color="auto"/>
            </w:tcBorders>
          </w:tcPr>
          <w:p>
            <w:pPr>
              <w:spacing w:after="0"/>
              <w:rPr>
                <w:sz w:val="21"/>
                <w:szCs w:val="2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33"/>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Adjusted operating income margin as a % of Revenues (Non-GAAP)</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9.4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13.2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w w:val="84"/>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14.8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w w:val="84"/>
              </w:rPr>
              <w:t>%</w:t>
            </w:r>
          </w:p>
        </w:tc>
      </w:tr>
      <w:tr>
        <w:trPr>
          <w:trHeight w:val="224"/>
        </w:trPr>
        <w:tc>
          <w:tcPr>
            <w:tcW w:w="6300" w:type="dxa"/>
            <w:vAlign w:val="bottom"/>
          </w:tcPr>
          <w:p>
            <w:pPr>
              <w:ind w:left="320"/>
              <w:spacing w:after="0"/>
              <w:rPr>
                <w:sz w:val="20"/>
                <w:szCs w:val="20"/>
                <w:color w:val="auto"/>
              </w:rPr>
            </w:pPr>
            <w:r>
              <w:rPr>
                <w:rFonts w:ascii="Arial" w:cs="Arial" w:eastAsia="Arial" w:hAnsi="Arial"/>
                <w:sz w:val="16"/>
                <w:szCs w:val="16"/>
                <w:color w:val="auto"/>
              </w:rPr>
              <w:t>add: Depreciation</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8,975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7,198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8,297</w:t>
            </w:r>
          </w:p>
        </w:tc>
        <w:tc>
          <w:tcPr>
            <w:tcW w:w="160" w:type="dxa"/>
            <w:vAlign w:val="bottom"/>
          </w:tcPr>
          <w:p>
            <w:pPr>
              <w:spacing w:after="0"/>
              <w:rPr>
                <w:sz w:val="19"/>
                <w:szCs w:val="19"/>
                <w:color w:val="auto"/>
              </w:rPr>
            </w:pPr>
          </w:p>
        </w:tc>
      </w:tr>
      <w:tr>
        <w:trPr>
          <w:trHeight w:val="33"/>
        </w:trPr>
        <w:tc>
          <w:tcPr>
            <w:tcW w:w="6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67"/>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29,997</w:t>
            </w:r>
          </w:p>
        </w:tc>
        <w:tc>
          <w:tcPr>
            <w:tcW w:w="640" w:type="dxa"/>
            <w:vAlign w:val="bottom"/>
            <w:gridSpan w:val="3"/>
            <w:shd w:val="clear" w:color="auto" w:fill="CCEEFF"/>
          </w:tcPr>
          <w:p>
            <w:pPr>
              <w:ind w:left="300"/>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39,343</w:t>
            </w:r>
          </w:p>
        </w:tc>
        <w:tc>
          <w:tcPr>
            <w:tcW w:w="50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44,715</w:t>
            </w:r>
          </w:p>
        </w:tc>
        <w:tc>
          <w:tcPr>
            <w:tcW w:w="160" w:type="dxa"/>
            <w:vAlign w:val="bottom"/>
            <w:shd w:val="clear" w:color="auto" w:fill="CCEEFF"/>
          </w:tcPr>
          <w:p>
            <w:pPr>
              <w:spacing w:after="0"/>
              <w:rPr>
                <w:sz w:val="23"/>
                <w:szCs w:val="23"/>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r>
        <w:trPr>
          <w:trHeight w:val="200"/>
        </w:trPr>
        <w:tc>
          <w:tcPr>
            <w:tcW w:w="6300" w:type="dxa"/>
            <w:vAlign w:val="bottom"/>
          </w:tcPr>
          <w:p>
            <w:pPr>
              <w:ind w:left="20"/>
              <w:spacing w:after="0"/>
              <w:rPr>
                <w:sz w:val="20"/>
                <w:szCs w:val="20"/>
                <w:color w:val="auto"/>
              </w:rPr>
            </w:pPr>
            <w:r>
              <w:rPr>
                <w:rFonts w:ascii="Arial" w:cs="Arial" w:eastAsia="Arial" w:hAnsi="Arial"/>
                <w:sz w:val="16"/>
                <w:szCs w:val="16"/>
                <w:i w:val="1"/>
                <w:iCs w:val="1"/>
                <w:color w:val="auto"/>
              </w:rPr>
              <w:t>Adjusted EBITDA margin as a % of revenue (Non-GAAP)</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i w:val="1"/>
                <w:iCs w:val="1"/>
                <w:color w:val="auto"/>
              </w:rPr>
              <w:t>13.5</w:t>
            </w:r>
          </w:p>
        </w:tc>
        <w:tc>
          <w:tcPr>
            <w:tcW w:w="180" w:type="dxa"/>
            <w:vAlign w:val="bottom"/>
          </w:tcPr>
          <w:p>
            <w:pPr>
              <w:jc w:val="right"/>
              <w:spacing w:after="0"/>
              <w:rPr>
                <w:sz w:val="20"/>
                <w:szCs w:val="20"/>
                <w:color w:val="auto"/>
              </w:rPr>
            </w:pPr>
            <w:r>
              <w:rPr>
                <w:rFonts w:ascii="Arial" w:cs="Arial" w:eastAsia="Arial" w:hAnsi="Arial"/>
                <w:sz w:val="16"/>
                <w:szCs w:val="16"/>
                <w:i w:val="1"/>
                <w:iCs w:val="1"/>
                <w:color w:val="auto"/>
                <w:w w:val="98"/>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16.2</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w w:val="84"/>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18.2</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w w:val="84"/>
              </w:rPr>
              <w:t>%</w:t>
            </w:r>
          </w:p>
        </w:tc>
      </w:tr>
    </w:tbl>
    <w:p>
      <w:pPr>
        <w:spacing w:after="0" w:line="200" w:lineRule="exact"/>
        <w:rPr>
          <w:sz w:val="20"/>
          <w:szCs w:val="20"/>
          <w:color w:val="auto"/>
        </w:rPr>
      </w:pPr>
    </w:p>
    <w:p>
      <w:pPr>
        <w:spacing w:after="0" w:line="269"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(a) To exclude impairment and restructuring charges related to wind down of the Health Integrated business.</w:t>
      </w:r>
    </w:p>
    <w:p>
      <w:pPr>
        <w:sectPr>
          <w:pgSz w:w="11900" w:h="16838" w:orient="portrait"/>
          <w:cols w:equalWidth="0" w:num="1">
            <w:col w:w="11240"/>
          </w:cols>
          <w:pgMar w:left="320" w:top="922"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Reconciliation of Adjusted Net Income and Adjusted Diluted Earnings Per Share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 except per share data)</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20" w:type="dxa"/>
            <w:vAlign w:val="bottom"/>
            <w:gridSpan w:val="4"/>
          </w:tcPr>
          <w:p>
            <w:pPr>
              <w:ind w:left="80"/>
              <w:spacing w:after="0"/>
              <w:rPr>
                <w:sz w:val="20"/>
                <w:szCs w:val="20"/>
                <w:color w:val="auto"/>
              </w:rPr>
            </w:pPr>
            <w:r>
              <w:rPr>
                <w:rFonts w:ascii="Arial" w:cs="Arial" w:eastAsia="Arial" w:hAnsi="Arial"/>
                <w:sz w:val="16"/>
                <w:szCs w:val="16"/>
                <w:b w:val="1"/>
                <w:bCs w:val="1"/>
                <w:color w:val="auto"/>
                <w:w w:val="96"/>
              </w:rPr>
              <w:t>Three months ended</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5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5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June 30,</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259"/>
              <w:spacing w:after="0"/>
              <w:rPr>
                <w:sz w:val="20"/>
                <w:szCs w:val="20"/>
                <w:color w:val="auto"/>
              </w:rPr>
            </w:pPr>
            <w:r>
              <w:rPr>
                <w:rFonts w:ascii="Arial" w:cs="Arial" w:eastAsia="Arial" w:hAnsi="Arial"/>
                <w:sz w:val="16"/>
                <w:szCs w:val="16"/>
                <w:b w:val="1"/>
                <w:bCs w:val="1"/>
                <w:color w:val="auto"/>
              </w:rPr>
              <w:t>March 31,</w:t>
            </w:r>
          </w:p>
        </w:tc>
      </w:tr>
      <w:tr>
        <w:trPr>
          <w:trHeight w:val="33"/>
        </w:trPr>
        <w:tc>
          <w:tcPr>
            <w:tcW w:w="5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5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33"/>
        </w:trPr>
        <w:tc>
          <w:tcPr>
            <w:tcW w:w="5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income (GAAP)</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8,429</w:t>
            </w:r>
          </w:p>
        </w:tc>
        <w:tc>
          <w:tcPr>
            <w:tcW w:w="4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12,564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22,411</w:t>
            </w:r>
          </w:p>
        </w:tc>
      </w:tr>
      <w:tr>
        <w:trPr>
          <w:trHeight w:val="223"/>
        </w:trPr>
        <w:tc>
          <w:tcPr>
            <w:tcW w:w="5940" w:type="dxa"/>
            <w:vAlign w:val="bottom"/>
          </w:tcPr>
          <w:p>
            <w:pPr>
              <w:ind w:left="200"/>
              <w:spacing w:after="0"/>
              <w:rPr>
                <w:sz w:val="20"/>
                <w:szCs w:val="20"/>
                <w:color w:val="auto"/>
              </w:rPr>
            </w:pPr>
            <w:r>
              <w:rPr>
                <w:rFonts w:ascii="Arial" w:cs="Arial" w:eastAsia="Arial" w:hAnsi="Arial"/>
                <w:sz w:val="16"/>
                <w:szCs w:val="16"/>
                <w:color w:val="auto"/>
              </w:rPr>
              <w:t>add: Stock-based compensation expense</w:t>
            </w:r>
          </w:p>
        </w:tc>
        <w:tc>
          <w:tcPr>
            <w:tcW w:w="320" w:type="dxa"/>
            <w:vAlign w:val="bottom"/>
          </w:tcPr>
          <w:p>
            <w:pPr>
              <w:spacing w:after="0"/>
              <w:rPr>
                <w:sz w:val="19"/>
                <w:szCs w:val="19"/>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7,726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7,155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4,778</w:t>
            </w:r>
          </w:p>
        </w:tc>
      </w:tr>
      <w:tr>
        <w:trPr>
          <w:trHeight w:val="33"/>
        </w:trPr>
        <w:tc>
          <w:tcPr>
            <w:tcW w:w="5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5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add: Amortization of acquisition-related intangibles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3,430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5,554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4,153</w:t>
            </w:r>
          </w:p>
        </w:tc>
      </w:tr>
      <w:tr>
        <w:trPr>
          <w:trHeight w:val="224"/>
        </w:trPr>
        <w:tc>
          <w:tcPr>
            <w:tcW w:w="5940" w:type="dxa"/>
            <w:vAlign w:val="bottom"/>
          </w:tcPr>
          <w:p>
            <w:pPr>
              <w:ind w:left="200"/>
              <w:spacing w:after="0"/>
              <w:rPr>
                <w:sz w:val="20"/>
                <w:szCs w:val="20"/>
                <w:color w:val="auto"/>
              </w:rPr>
            </w:pPr>
            <w:r>
              <w:rPr>
                <w:rFonts w:ascii="Arial" w:cs="Arial" w:eastAsia="Arial" w:hAnsi="Arial"/>
                <w:sz w:val="16"/>
                <w:szCs w:val="16"/>
                <w:color w:val="auto"/>
              </w:rPr>
              <w:t>add: Impairment and restructuring charges (a)</w:t>
            </w:r>
          </w:p>
        </w:tc>
        <w:tc>
          <w:tcPr>
            <w:tcW w:w="320" w:type="dxa"/>
            <w:vAlign w:val="bottom"/>
          </w:tcPr>
          <w:p>
            <w:pPr>
              <w:spacing w:after="0"/>
              <w:rPr>
                <w:sz w:val="19"/>
                <w:szCs w:val="19"/>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5,580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5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5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add: Non-cash interest expense related to convertible senior notes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636</w:t>
            </w:r>
          </w:p>
        </w:tc>
      </w:tr>
      <w:tr>
        <w:trPr>
          <w:trHeight w:val="223"/>
        </w:trPr>
        <w:tc>
          <w:tcPr>
            <w:tcW w:w="5940" w:type="dxa"/>
            <w:vAlign w:val="bottom"/>
          </w:tcPr>
          <w:p>
            <w:pPr>
              <w:ind w:left="200"/>
              <w:spacing w:after="0"/>
              <w:rPr>
                <w:sz w:val="20"/>
                <w:szCs w:val="20"/>
                <w:color w:val="auto"/>
              </w:rPr>
            </w:pPr>
            <w:r>
              <w:rPr>
                <w:rFonts w:ascii="Arial" w:cs="Arial" w:eastAsia="Arial" w:hAnsi="Arial"/>
                <w:sz w:val="16"/>
                <w:szCs w:val="16"/>
                <w:color w:val="auto"/>
              </w:rPr>
              <w:t>add/subtract: Non-recurring tax expense/(benefits) (b)</w:t>
            </w:r>
          </w:p>
        </w:tc>
        <w:tc>
          <w:tcPr>
            <w:tcW w:w="320" w:type="dxa"/>
            <w:vAlign w:val="bottom"/>
          </w:tcPr>
          <w:p>
            <w:pPr>
              <w:spacing w:after="0"/>
              <w:rPr>
                <w:sz w:val="19"/>
                <w:szCs w:val="19"/>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1,320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5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5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subtract: Other non-recurring benefits (c)</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5940" w:type="dxa"/>
            <w:vAlign w:val="bottom"/>
          </w:tcPr>
          <w:p>
            <w:pPr>
              <w:ind w:left="200"/>
              <w:spacing w:after="0"/>
              <w:rPr>
                <w:sz w:val="20"/>
                <w:szCs w:val="20"/>
                <w:color w:val="auto"/>
              </w:rPr>
            </w:pPr>
            <w:r>
              <w:rPr>
                <w:rFonts w:ascii="Arial" w:cs="Arial" w:eastAsia="Arial" w:hAnsi="Arial"/>
                <w:sz w:val="16"/>
                <w:szCs w:val="16"/>
                <w:color w:val="auto"/>
              </w:rPr>
              <w:t>subtract: Tax impact on stock-based compensation expense (d)</w:t>
            </w:r>
          </w:p>
        </w:tc>
        <w:tc>
          <w:tcPr>
            <w:tcW w:w="32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(1,662)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(2,733)</w:t>
            </w:r>
          </w:p>
        </w:tc>
      </w:tr>
      <w:tr>
        <w:trPr>
          <w:trHeight w:val="33"/>
        </w:trPr>
        <w:tc>
          <w:tcPr>
            <w:tcW w:w="5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5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subtract: Tax impact on amortization of acquisition-related intangibles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(897)</w:t>
            </w:r>
          </w:p>
        </w:tc>
      </w:tr>
      <w:tr>
        <w:trPr>
          <w:trHeight w:val="223"/>
        </w:trPr>
        <w:tc>
          <w:tcPr>
            <w:tcW w:w="5940" w:type="dxa"/>
            <w:vAlign w:val="bottom"/>
          </w:tcPr>
          <w:p>
            <w:pPr>
              <w:ind w:left="200"/>
              <w:spacing w:after="0"/>
              <w:rPr>
                <w:sz w:val="20"/>
                <w:szCs w:val="20"/>
                <w:color w:val="auto"/>
              </w:rPr>
            </w:pPr>
            <w:r>
              <w:rPr>
                <w:rFonts w:ascii="Arial" w:cs="Arial" w:eastAsia="Arial" w:hAnsi="Arial"/>
                <w:sz w:val="16"/>
                <w:szCs w:val="16"/>
                <w:color w:val="auto"/>
              </w:rPr>
              <w:t>subtract: Tax impact on impairment and restructuring charges</w:t>
            </w:r>
          </w:p>
        </w:tc>
        <w:tc>
          <w:tcPr>
            <w:tcW w:w="320" w:type="dxa"/>
            <w:vAlign w:val="bottom"/>
          </w:tcPr>
          <w:p>
            <w:pPr>
              <w:spacing w:after="0"/>
              <w:rPr>
                <w:sz w:val="19"/>
                <w:szCs w:val="19"/>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5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6"/>
        </w:trPr>
        <w:tc>
          <w:tcPr>
            <w:tcW w:w="5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4"/>
              </w:rPr>
              <w:t>subtract: Tax impact on non-cash interest expense related to convertible senior notes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r>
      <w:tr>
        <w:trPr>
          <w:trHeight w:val="224"/>
        </w:trPr>
        <w:tc>
          <w:tcPr>
            <w:tcW w:w="5940" w:type="dxa"/>
            <w:vAlign w:val="bottom"/>
          </w:tcPr>
          <w:p>
            <w:pPr>
              <w:ind w:left="200"/>
              <w:spacing w:after="0"/>
              <w:rPr>
                <w:sz w:val="20"/>
                <w:szCs w:val="20"/>
                <w:color w:val="auto"/>
              </w:rPr>
            </w:pPr>
            <w:r>
              <w:rPr>
                <w:rFonts w:ascii="Arial" w:cs="Arial" w:eastAsia="Arial" w:hAnsi="Arial"/>
                <w:sz w:val="16"/>
                <w:szCs w:val="16"/>
                <w:color w:val="auto"/>
              </w:rPr>
              <w:t>add: Tax impact on other non-recurring benefits</w:t>
            </w:r>
          </w:p>
        </w:tc>
        <w:tc>
          <w:tcPr>
            <w:tcW w:w="320" w:type="dxa"/>
            <w:vAlign w:val="bottom"/>
          </w:tcPr>
          <w:p>
            <w:pPr>
              <w:spacing w:after="0"/>
              <w:rPr>
                <w:sz w:val="19"/>
                <w:szCs w:val="19"/>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5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7"/>
        </w:trPr>
        <w:tc>
          <w:tcPr>
            <w:tcW w:w="59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Adjusted net income (Non-GAAP)</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18,436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25,714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28,192</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1"/>
        </w:trPr>
        <w:tc>
          <w:tcPr>
            <w:tcW w:w="5940" w:type="dxa"/>
            <w:vAlign w:val="bottom"/>
          </w:tcPr>
          <w:p>
            <w:pPr>
              <w:ind w:left="180"/>
              <w:spacing w:after="0"/>
              <w:rPr>
                <w:sz w:val="20"/>
                <w:szCs w:val="20"/>
                <w:color w:val="auto"/>
              </w:rPr>
            </w:pPr>
            <w:r>
              <w:rPr>
                <w:rFonts w:ascii="Arial" w:cs="Arial" w:eastAsia="Arial" w:hAnsi="Arial"/>
                <w:sz w:val="16"/>
                <w:szCs w:val="16"/>
                <w:b w:val="1"/>
                <w:bCs w:val="1"/>
                <w:color w:val="auto"/>
              </w:rPr>
              <w:t>Adjusted diluted earnings per share (Non-GAAP)</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rPr>
              <w:t>0.53</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b w:val="1"/>
                <w:bCs w:val="1"/>
                <w:color w:val="auto"/>
              </w:rPr>
              <w:t>0.74</w:t>
            </w:r>
          </w:p>
        </w:tc>
        <w:tc>
          <w:tcPr>
            <w:tcW w:w="12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rPr>
              <w:t>0.81</w:t>
            </w:r>
          </w:p>
        </w:tc>
      </w:tr>
    </w:tbl>
    <w:p>
      <w:pPr>
        <w:spacing w:after="0" w:line="200" w:lineRule="exact"/>
        <w:rPr>
          <w:sz w:val="20"/>
          <w:szCs w:val="20"/>
          <w:color w:val="auto"/>
        </w:rPr>
      </w:pPr>
    </w:p>
    <w:p>
      <w:pPr>
        <w:spacing w:after="0" w:line="255" w:lineRule="exact"/>
        <w:rPr>
          <w:sz w:val="20"/>
          <w:szCs w:val="20"/>
          <w:color w:val="auto"/>
        </w:rPr>
      </w:pPr>
    </w:p>
    <w:p>
      <w:pPr>
        <w:ind w:left="480" w:hanging="229"/>
        <w:spacing w:after="0"/>
        <w:tabs>
          <w:tab w:leader="none" w:pos="48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impairment and restructuring charges related to wind down of the Health Integrated business.</w:t>
      </w:r>
    </w:p>
    <w:p>
      <w:pPr>
        <w:spacing w:after="0" w:line="153" w:lineRule="exact"/>
        <w:rPr>
          <w:rFonts w:ascii="Arial" w:cs="Arial" w:eastAsia="Arial" w:hAnsi="Arial"/>
          <w:sz w:val="16"/>
          <w:szCs w:val="16"/>
          <w:i w:val="1"/>
          <w:iCs w:val="1"/>
          <w:color w:val="auto"/>
        </w:rPr>
      </w:pPr>
    </w:p>
    <w:p>
      <w:pPr>
        <w:ind w:left="480" w:hanging="229"/>
        <w:spacing w:after="0"/>
        <w:tabs>
          <w:tab w:leader="none" w:pos="48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non-recurring tax expense/(benefits) related to certain deferred tax assets and liabilities.</w:t>
      </w:r>
    </w:p>
    <w:p>
      <w:pPr>
        <w:spacing w:after="0" w:line="59" w:lineRule="exact"/>
        <w:rPr>
          <w:rFonts w:ascii="Arial" w:cs="Arial" w:eastAsia="Arial" w:hAnsi="Arial"/>
          <w:sz w:val="16"/>
          <w:szCs w:val="16"/>
          <w:i w:val="1"/>
          <w:iCs w:val="1"/>
          <w:color w:val="auto"/>
        </w:rPr>
      </w:pPr>
    </w:p>
    <w:p>
      <w:pPr>
        <w:ind w:left="480" w:hanging="229"/>
        <w:spacing w:after="0"/>
        <w:tabs>
          <w:tab w:leader="none" w:pos="48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non-recurring benefits related to wind down of the Health Integrated business.</w:t>
      </w:r>
    </w:p>
    <w:p>
      <w:pPr>
        <w:spacing w:after="0" w:line="113" w:lineRule="exact"/>
        <w:rPr>
          <w:rFonts w:ascii="Arial" w:cs="Arial" w:eastAsia="Arial" w:hAnsi="Arial"/>
          <w:sz w:val="16"/>
          <w:szCs w:val="16"/>
          <w:i w:val="1"/>
          <w:iCs w:val="1"/>
          <w:color w:val="auto"/>
        </w:rPr>
      </w:pPr>
    </w:p>
    <w:p>
      <w:pPr>
        <w:ind w:left="500" w:hanging="249"/>
        <w:spacing w:after="0" w:line="275" w:lineRule="auto"/>
        <w:tabs>
          <w:tab w:leader="none" w:pos="496"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Tax impact includes $23 and $57 during the three months ended June 30, 2020 and 2019 respectively, and $1,799 during the three months ended March 31, 2020, related to discrete benefits recognized in income tax expense on adoption of ASU No. 2016-09, Compensation - Stock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Contact: Steven N. Barlow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ind w:right="9880" w:firstLine="8"/>
        <w:spacing w:after="0" w:line="323" w:lineRule="auto"/>
        <w:tabs>
          <w:tab w:leader="none" w:pos="435"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596-7684 </w:t>
      </w:r>
      <w:r>
        <w:rPr>
          <w:rFonts w:ascii="Arial" w:cs="Arial" w:eastAsia="Arial" w:hAnsi="Arial"/>
          <w:sz w:val="16"/>
          <w:szCs w:val="16"/>
          <w:u w:val="single" w:color="auto"/>
          <w:color w:val="0000FF"/>
        </w:rPr>
        <w:t>ir@exlservice.com</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9"/>
    </w:lvl>
  </w:abstractNum>
  <w:abstractNum w:abstractNumId="7">
    <w:nsid w:val="5BD062C2"/>
    <w:multiLevelType w:val="hybridMultilevel"/>
    <w:lvl w:ilvl="0">
      <w:lvlJc w:val="left"/>
      <w:lvlText w:val="(%1)"/>
      <w:numFmt w:val="lowerRoman"/>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decimal"/>
      <w:start w:val="9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2020-08-06T05:20:19Z</dcterms:created>
  <dcterms:modified xsi:type="dcterms:W3CDTF">2020-08-06T05:20:19Z</dcterms:modified>
</cp:coreProperties>
</file>