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495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5363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Nicolelli Maurizio</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22"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74"/>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429"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80" w:type="dxa"/>
            <w:vAlign w:val="bottom"/>
            <w:gridSpan w:val="8"/>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6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2"/>
                <w:szCs w:val="12"/>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3,288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02/15/2023</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3,288</w:t>
            </w:r>
          </w:p>
        </w:tc>
        <w:tc>
          <w:tcPr>
            <w:tcW w:w="3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3,288</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15, 2024. Vesting will be accelerated upon certain termination of employment events and upon a "Change in Control" (as defined in the ExlService Holdings, Inc. 2018 Omnibus Incentive Plan).</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480"/>
        <w:spacing w:after="0" w:line="243" w:lineRule="auto"/>
        <w:rPr>
          <w:sz w:val="20"/>
          <w:szCs w:val="20"/>
          <w:color w:val="auto"/>
        </w:rPr>
      </w:pPr>
      <w:r>
        <w:rPr>
          <w:rFonts w:ascii="Times New Roman" w:cs="Times New Roman" w:eastAsia="Times New Roman" w:hAnsi="Times New Roman"/>
          <w:sz w:val="13"/>
          <w:szCs w:val="13"/>
          <w:color w:val="008000"/>
        </w:rPr>
        <w:t>Note: On February 15, 2023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2"/>
          <w:szCs w:val="32"/>
          <w:color w:val="0000FF"/>
          <w:vertAlign w:val="subscript"/>
        </w:rPr>
        <w:t>02/17/2023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265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2023-02-17T17:10:00Z</dcterms:created>
  <dcterms:modified xsi:type="dcterms:W3CDTF">2023-02-17T17:10:00Z</dcterms:modified>
</cp:coreProperties>
</file>