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4008755</wp:posOffset>
            </wp:positionH>
            <wp:positionV relativeFrom="paragraph">
              <wp:posOffset>-10160</wp:posOffset>
            </wp:positionV>
            <wp:extent cx="1329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40" w:type="dxa"/>
            <w:vAlign w:val="bottom"/>
          </w:tcPr>
          <w:p>
            <w:pPr>
              <w:spacing w:after="0"/>
              <w:rPr>
                <w:sz w:val="18"/>
                <w:szCs w:val="18"/>
                <w:color w:val="auto"/>
              </w:rPr>
            </w:pPr>
          </w:p>
        </w:tc>
        <w:tc>
          <w:tcPr>
            <w:tcW w:w="498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w w:val="94"/>
              </w:rPr>
              <w:t>DELAWARE</w:t>
            </w:r>
          </w:p>
        </w:tc>
        <w:tc>
          <w:tcPr>
            <w:tcW w:w="228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82-0572194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20" w:type="dxa"/>
            <w:vAlign w:val="bottom"/>
            <w:gridSpan w:val="6"/>
          </w:tcPr>
          <w:p>
            <w:pPr>
              <w:jc w:val="center"/>
              <w:ind w:right="19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2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w w:val="94"/>
              </w:rPr>
              <w:t>280 PARK AVENUE, 38 TH FLOOR,</w:t>
            </w: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2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w w:val="99"/>
              </w:rPr>
              <w:t>NEW YORK, NEW YORK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10017</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20" w:type="dxa"/>
            <w:vAlign w:val="bottom"/>
            <w:gridSpan w:val="6"/>
          </w:tcPr>
          <w:p>
            <w:pPr>
              <w:jc w:val="center"/>
              <w:ind w:right="19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6440" w:type="dxa"/>
            <w:vAlign w:val="bottom"/>
            <w:gridSpan w:val="4"/>
          </w:tcPr>
          <w:p>
            <w:pPr>
              <w:jc w:val="center"/>
              <w:ind w:left="3979"/>
              <w:spacing w:after="0"/>
              <w:rPr>
                <w:sz w:val="20"/>
                <w:szCs w:val="20"/>
                <w:color w:val="auto"/>
              </w:rPr>
            </w:pPr>
            <w:r>
              <w:rPr>
                <w:rFonts w:ascii="Arial" w:cs="Arial" w:eastAsia="Arial" w:hAnsi="Arial"/>
                <w:sz w:val="18"/>
                <w:szCs w:val="18"/>
                <w:b w:val="1"/>
                <w:bCs w:val="1"/>
                <w:color w:val="auto"/>
                <w:w w:val="89"/>
              </w:rPr>
              <w:t>(212) 277-7100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780" w:type="dxa"/>
            <w:vAlign w:val="bottom"/>
            <w:gridSpan w:val="4"/>
          </w:tcPr>
          <w:p>
            <w:pPr>
              <w:jc w:val="center"/>
              <w:ind w:left="5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80" w:type="dxa"/>
            <w:vAlign w:val="bottom"/>
            <w:gridSpan w:val="5"/>
          </w:tcPr>
          <w:p>
            <w:pPr>
              <w:jc w:val="center"/>
              <w:ind w:right="88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4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3720" w:type="dxa"/>
            <w:vAlign w:val="bottom"/>
            <w:gridSpan w:val="3"/>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2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w w:val="87"/>
              </w:rPr>
              <w:t>Common Stock, par value $0.001 per share</w:t>
            </w:r>
          </w:p>
        </w:tc>
        <w:tc>
          <w:tcPr>
            <w:tcW w:w="29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351"/>
        </w:trPr>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80" w:type="dxa"/>
            <w:vAlign w:val="bottom"/>
            <w:gridSpan w:val="5"/>
          </w:tcPr>
          <w:p>
            <w:pPr>
              <w:jc w:val="center"/>
              <w:ind w:right="86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None</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80" w:type="dxa"/>
            <w:vAlign w:val="bottom"/>
            <w:gridSpan w:val="3"/>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vMerge w:val="restart"/>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gridSpan w:val="2"/>
          </w:tcPr>
          <w:p>
            <w:pPr>
              <w:ind w:left="20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120"/>
          </w:cols>
          <w:pgMar w:left="240" w:top="230" w:right="239" w:bottom="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June 30, 2012, the aggregate market value of common stock held by non-affiliates was approximately $679,505,408.</w:t>
      </w:r>
    </w:p>
    <w:p>
      <w:pPr>
        <w:sectPr>
          <w:pgSz w:w="11900" w:h="16838" w:orient="portrait"/>
          <w:cols w:equalWidth="0" w:num="1">
            <w:col w:w="11420"/>
          </w:cols>
          <w:pgMar w:left="240" w:top="230" w:right="239" w:bottom="0" w:gutter="0" w:footer="0" w:header="0"/>
          <w:type w:val="continuous"/>
        </w:sectPr>
      </w:pPr>
    </w:p>
    <w:bookmarkStart w:id="1" w:name="page2"/>
    <w:bookmarkEnd w:id="1"/>
    <w:p>
      <w:pPr>
        <w:ind w:firstLine="456"/>
        <w:spacing w:after="0" w:line="268" w:lineRule="auto"/>
        <w:rPr>
          <w:sz w:val="20"/>
          <w:szCs w:val="20"/>
          <w:color w:val="auto"/>
        </w:rPr>
      </w:pPr>
      <w:r>
        <w:rPr>
          <w:rFonts w:ascii="Arial" w:cs="Arial" w:eastAsia="Arial" w:hAnsi="Arial"/>
          <w:sz w:val="18"/>
          <w:szCs w:val="18"/>
          <w:color w:val="auto"/>
        </w:rPr>
        <w:t>As of February 28, 2013, there were 32,444,731 shares of the registrant’s common stock outstanding (excluding 349,280 shares held in treasury and 5,207 shares of restricted stock), par value $0.001 per share.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00" w:type="dxa"/>
            <w:vAlign w:val="bottom"/>
            <w:gridSpan w:val="10"/>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1100" w:type="dxa"/>
            <w:vAlign w:val="bottom"/>
            <w:gridSpan w:val="6"/>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620" w:type="dxa"/>
            <w:vAlign w:val="bottom"/>
            <w:tcBorders>
              <w:bottom w:val="single" w:sz="8" w:color="0000EE"/>
            </w:tcBorders>
            <w:vMerge w:val="continue"/>
          </w:tcPr>
          <w:p>
            <w:pPr>
              <w:spacing w:after="0"/>
              <w:rPr>
                <w:sz w:val="13"/>
                <w:szCs w:val="13"/>
                <w:color w:val="auto"/>
              </w:rPr>
            </w:pPr>
          </w:p>
        </w:tc>
        <w:tc>
          <w:tcPr>
            <w:tcW w:w="1100" w:type="dxa"/>
            <w:vAlign w:val="bottom"/>
            <w:gridSpan w:val="6"/>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30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858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720" w:type="dxa"/>
            <w:vAlign w:val="bottom"/>
            <w:gridSpan w:val="7"/>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w:t>
            </w:r>
          </w:p>
        </w:tc>
        <w:tc>
          <w:tcPr>
            <w:tcW w:w="930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0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Financial Statements and Supplementary Data</w:t>
              </w:r>
            </w:hyperlink>
          </w:p>
        </w:tc>
        <w:tc>
          <w:tcPr>
            <w:tcW w:w="60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Changes in and Disagreement with Accountants on Accounting and Financial Disclosure</w:t>
              </w:r>
            </w:hyperlink>
          </w:p>
        </w:tc>
        <w:tc>
          <w:tcPr>
            <w:tcW w:w="30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9A.</w:t>
            </w:r>
          </w:p>
        </w:tc>
        <w:tc>
          <w:tcPr>
            <w:tcW w:w="930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5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63">
              <w:r>
                <w:rPr>
                  <w:rFonts w:ascii="Arial" w:cs="Arial" w:eastAsia="Arial" w:hAnsi="Arial"/>
                  <w:sz w:val="18"/>
                  <w:szCs w:val="18"/>
                  <w:b w:val="1"/>
                  <w:bCs w:val="1"/>
                  <w:color w:val="0000EE"/>
                  <w:w w:val="99"/>
                </w:rPr>
                <w:t>PART III.</w:t>
              </w:r>
            </w:hyperlink>
          </w:p>
        </w:tc>
        <w:tc>
          <w:tcPr>
            <w:tcW w:w="96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Directors and Executive Officers of the Registrant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57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Security Ownership of Certain Beneficial Owners and Management and Related Stockholder Matters</w:t>
              </w:r>
            </w:hyperlink>
          </w:p>
        </w:tc>
        <w:tc>
          <w:tcPr>
            <w:tcW w:w="21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13.</w:t>
            </w:r>
          </w:p>
        </w:tc>
        <w:tc>
          <w:tcPr>
            <w:tcW w:w="930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39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720" w:type="dxa"/>
            <w:vAlign w:val="bottom"/>
            <w:gridSpan w:val="7"/>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7"/>
          </w:tcPr>
          <w:p>
            <w:pPr>
              <w:ind w:left="440"/>
              <w:spacing w:after="0" w:line="196" w:lineRule="exact"/>
              <w:rPr>
                <w:sz w:val="20"/>
                <w:szCs w:val="20"/>
                <w:color w:val="auto"/>
              </w:rPr>
            </w:pPr>
            <w:r>
              <w:rPr>
                <w:rFonts w:ascii="Arial" w:cs="Arial" w:eastAsia="Arial" w:hAnsi="Arial"/>
                <w:sz w:val="18"/>
                <w:szCs w:val="18"/>
                <w:color w:val="auto"/>
              </w:rPr>
              <w:t>ITEM 15.</w:t>
            </w:r>
          </w:p>
        </w:tc>
        <w:tc>
          <w:tcPr>
            <w:tcW w:w="930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72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EXHIBIT INDEX</w:t>
              </w:r>
            </w:hyperlink>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INDEX TO CONSOLIDATED FINANCIAL STATEMENTS</w:t>
              </w:r>
            </w:hyperlink>
          </w:p>
        </w:tc>
        <w:tc>
          <w:tcPr>
            <w:tcW w:w="66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for our clients, who are primarily global companies. Outsourcing services involve the transfer to us of select business operations of a client, such as claims processing, policy administration and finance and accounting,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provide additional insight into their future financial and operational results, improve their operating environments through cost reduction, increased efficiency and productivity initiatives, and enhance the risk and control environments within our clients’ operations whether or not they are outsourced to us. We serve primarily the needs of Global 1000 companies in the insurance and healthcare, utilities, banking and financial services, travel, transportation and logistics sectors.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for each of the sectors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3413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75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combine in-depth knowledge of the industry sectors in which we focus with proven expertise in transferring business operations to our offshore and onshore delivery centers, and administering and managing such operations. We have successfully transferred more than 900 processes covering a broad array of products and services to our operations centers, including approximately 130 new processes that were transferred to us in 2012.</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operations centers are located in India, the Philippines, the Czech Republic, the U.S., Bulgaria, Malaysia and Romania. Our geographic footprint enables us to leverage a large pool of highly qualified and educated technical professionals who are able to handle complex processes and services that require functional skills and industry expertise.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a majority of our professionals provide services in the English language, our operations in the Czech Republic, Bulgaria and Romania provide multi-lingual delivery capabilities. We believe we can offer consistent high quality services at substantially lower costs than those available from U.S.- or U.K.-based in-house facilities or U.S.- or U.K.-based outsourcing providers. As of December 31, 2012, we had a headcount of approximately 21,000 employees, a substantial portion of whom are based in India. Our operations platforms are supported by a state-of-the-art infrastructure that can be expanded to meet each client’s needs. We market our services directly through our sales and marketing and client management teams, which operate from the U.S. and Europe. Our senior managers have extensive experience in the industry sectors on which we are focused and are well versed in the business practices of leading multinational corporations.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Lean and Six Sigma, which are data-driven methodologies for eliminating defects in any process, to identify process inefficiencies and improve productivity in client and support processes. We deliver continued process enhancements by soliciting and implementing process improvements from employees and through our proprietary software tools. As a part of our commitment to quality, information security and employee safety, several of our delivery centers are certified to various standards, such as the ISO 9001:2008 standard for quality management, the ISO 27001:2005 standard for our information security management system and the OHSAS 18001:2007 standard for our occupational health and safety management processes. Certain client operations processes in our operations center in the Philippines are certified as compliant with the Payment Card Industry Data Security Standard. We have received an unqualified SSAE 16 (SOC I – Type II) report on general controls from Ernst &amp; Young Pvt. Ltd., an affiliate of our independent registered public accounting firm, for several delivery centers and certain client operations processes. In 2012, our clinical processes in Manila, the Philippines, received accreditation from the URAC, a leading healthcare and education accreditation organization.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outsourcing services are structured around industry-focused business process outsourcing (“BPO”) services as well as cross-industry BPO services, such as finance and accounting services.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Insurance and Healthcare. </w:t>
      </w:r>
      <w:r>
        <w:rPr>
          <w:rFonts w:ascii="Arial" w:cs="Arial" w:eastAsia="Arial" w:hAnsi="Arial"/>
          <w:sz w:val="16"/>
          <w:szCs w:val="16"/>
          <w:color w:val="auto"/>
        </w:rPr>
        <w:t>We have established a leadership position in servicing insurance and healthcare companies and derived approximately 49%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revenues in 2012 from such services. In 2012, the research firm Everest Group ranked EXL the largest player in the U.S. BPO insurance market. Within the life insurance, property and casualty insurance, health and disability insurance and retirement services business lines, we have expertise in providing services in the areas of claims processing, premium and benefit administration, agency management, account reconciliation, policy research, underwriting support, new business processing, policy servicing, trades/sub-account transactions, add-on processing, premium audit, billing and collection and customer service. We have acquired significant experience in transferring and managing processes in these areas. We have also built significant capability to manage clinical operations for healthcare payers.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significantly increased our use of proprietary technology tools and platforms to provide increasingly complex services for our insurance and healthcare clients. Through our acquisition of Landacorp, Inc. (“Landacorp”) on October 12, 2012, we acquired a leading care management software platform for healthcare payers. In October 2011, through our acquisition of Trumbull Services, LLC (“Trumbull”), we acquired the capability to provide subrogation services to property and casualty insurers as well as access to a software platform called SubroSource™. In connection with our acquisition of Professional Data Management Again, Inc. (“PDMA”), in April 2010, we acquired an insurance policy administration platform called LifePRO</w:t>
      </w:r>
      <w:r>
        <w:rPr>
          <w:rFonts w:ascii="Arial" w:cs="Arial" w:eastAsia="Arial" w:hAnsi="Arial"/>
          <w:sz w:val="10"/>
          <w:szCs w:val="10"/>
          <w:color w:val="auto"/>
        </w:rPr>
        <w:t>®</w:t>
      </w:r>
      <w:r>
        <w:rPr>
          <w:rFonts w:ascii="Arial" w:cs="Arial" w:eastAsia="Arial" w:hAnsi="Arial"/>
          <w:sz w:val="16"/>
          <w:szCs w:val="16"/>
          <w:color w:val="auto"/>
        </w:rPr>
        <w:t xml:space="preserve"> to administer life insurance, health insurance, annuities and credit life and disability insurance policies for insurance and healthcare clients.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75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75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have expertise in providing end-to-end services for the back-office operations of utilities companies in service areas such as meter to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and energy balancing, debt management and customer service. A large part of these services involves complex processing of transactions.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689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975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expertise in servicing and processing various banking products, including residential mortgage lending,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credit cards, consumer finance, commercial lending and investment management.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67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75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Travel, Transportation and Logistics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expertise in managing and improving operational, financial and analytical functions for clients in the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and logistics industries. We provide end-to-end, front-, middle- and back-office services to companies in the corporate and leisure travel management industry. In addition, we have expertise in processing transportation and logistics transactions, including end-to-end supply chain management, warehousing, transportation management and international logistics services. We also provide highly complex operational and analytical services to airlines, trucking and shipping companies, ocean carriers and logistics providers.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2178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75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b w:val="1"/>
          <w:bCs w:val="1"/>
          <w:i w:val="1"/>
          <w:iCs w:val="1"/>
          <w:color w:val="auto"/>
        </w:rPr>
        <w:t xml:space="preserve">Finance and Accounting. </w:t>
      </w:r>
      <w:r>
        <w:rPr>
          <w:rFonts w:ascii="Arial" w:cs="Arial" w:eastAsia="Arial" w:hAnsi="Arial"/>
          <w:sz w:val="16"/>
          <w:szCs w:val="16"/>
          <w:color w:val="auto"/>
        </w:rPr>
        <w:t>We provide outsourcing services to our clients’ finance organizations through our finance and accounting center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excellence. We provide integrated end-to-end finance and accounting outsourcing services across an array of finance and accounting service cycles, including procure to pay, order to cash, hire to retire, record to report and treasury and tax processes, in part by leveraging our deep capabilities in finance transformation, decision analytics and a number of tools and methodologies which are proprietary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available through a number of partnerships with third parties. Our finance and accounting outsourcing services are provided to clients across a broad spectrum of industries.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wp:posOffset>
            </wp:positionV>
            <wp:extent cx="5659755" cy="1920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75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offer a number of service offerings that we refer to collectively as transformation services. These offerings include decision analytics, finance transformation and operations and process excellence services.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transformation services focus on helping our clients by improving their operating environments through cost reduction, additional insight for business forecasting, enhanced efficiency, higher productivity, improved effectiveness of business decisions and improved risk and control environment within our clients’ operations whether or not they are outsourced to us. Our transformation services have enabled us to expand our client base by providing complementary service offerings to our clients and also to migrate clients into our outsourcing services. We have experienced a significant increase in demand for our annuity-based transformation services, which are engagements that are contracted for periods of one year or more. We actively cross-sell and, where appropriate, integrate our transformation services with our outsourcing services as part of an integrated solution for our clients. Our transformation services team is comprised of over 1,000 professionals.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offer decision analytics services, including data filtering, organization and synthesis, management information system reporting, trend and variance analysis, statistical and econometric modeling and economic and financial markets research. Our decision analytics services involve accessing and analyzing large volumes of data from multiple sources in order to understand historical performance or behavior to predict particular outcomes. We utilize the insights that we generate to assist our clients in making better and data-driven business decisions, which are expected to lead to tangible financial benefits.</w:t>
      </w:r>
    </w:p>
    <w:p>
      <w:pPr>
        <w:spacing w:after="0" w:line="113"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Our decision analytics services include marketing and customer analytics, risk analytics, operations analytics and finance and investment analytics. Our offerings emphasize our expertise within our industry focus areas which are complemented by techniques, technology tools and methodologies designed to deliver quantitative modeling, proprietary intellectual property and business intelligence to achieve optimal results with faster turnaround times for our clients.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A large proportion of our decision analytics team members have received post-graduate degrees in business or other quantitative or financial disciplines.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680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75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Transformation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finance transformation services include finance organizational design, finance process optimization, finance systems advisory, governance, risk and compliance and accounting advisory services.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our finance organization design services, we assist our clients with the design and implementation of various target operating models, outsourcing and shared service programs. Our finance process optimization services help our clients evaluate the efficiency, effectiveness and internal controls of our clients’ finance and accounting processes including management information systems and decision support, through various diagnostic methods including benchmarking. We also provide advisory and implementation support for various finance automation and system optimization initiatives through our finance systems advisory services. Our governance, risk and compliance services include compliance advisory and support, internal audit and controls monitoring services. Our accounting and financial advisory reporting services include transaction assurance, general accounting, financial reporting and finance and accounting process optimization services. Many of our professionals who provide these services are certified accountants, internal auditors and process and technology experts.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47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75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Process Excellence Services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assist clients in understanding, controlling and improving their business processes with a view to increasing effectiveness at optimized cost. We utilize Lean and Six Sigma methodologies to advise our clients on cost reduction initiatives and subsequently manage the implementation of our recommendations. Our services also identify business processes that can be improved by documenting processes, creating standard operating procedures,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defining metrics and evaluation criteria as well as generating customized dashboards and reporting using our proprietary methodologies. By diagnosing existing processes, we are able to assist our clients in improving their operations by modifying, eliminating or automating certain activities.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268605</wp:posOffset>
            </wp:positionV>
            <wp:extent cx="5659755" cy="136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75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disclosures in Notes 4 and 14 to our consolidated financial statements for segment and geographic information regarding our business.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goal is to continue to be a leading provider of outsourcing and transformation services in the industry sectors on which we are focused.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Creating Positive Business Impact for Clients by Offering a Broad Range of Operations Management, Analytics and Platform Technology Services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servicing our clients, we seek to differentiate ourselves by emphasizing the broad range of operations management, analytics and platform technology services that we provide as part of our outsourcing and transformation services. We believe that clients are increasingly viewing their service providers as long-term partners that provide a full range of service offerings. By leveraging our broad range of services and improving our clients’ operations through tangible measures such as revenue enhancement, revenue and expense leakage prevention, cost reduction, write-off reduction and working capital reduction, we can provide our clients with a positive business impact and create a long-term partnership.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Utilizing Innovative Approaches to Enhance Margin Sustainability</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believe that we can better enhance our margin sustainability by utilizing innovative delivery and pricing approaches. Successful innovative delivery approaches will require the use of acquired or internally developed intellectual property, methodologies and analytical models as well as a range of proprietary technology tools. These innovative delivery approaches are typically specialized for the industry sectors on which we are focused.</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this light, we have significantly increased our use of proprietary technology tools and platforms through a combination of acquisitions and in-house development. Our Landacorp acquisition has provided us with a family of leading healthcare management software platforms that manage clinical data for over 50 million lives while our PDMA and Trumbull acquisitions have provided us with the LifePRO</w:t>
      </w:r>
      <w:r>
        <w:rPr>
          <w:rFonts w:ascii="Arial" w:cs="Arial" w:eastAsia="Arial" w:hAnsi="Arial"/>
          <w:sz w:val="10"/>
          <w:szCs w:val="10"/>
          <w:color w:val="auto"/>
        </w:rPr>
        <w:t>®</w:t>
      </w:r>
      <w:r>
        <w:rPr>
          <w:rFonts w:ascii="Arial" w:cs="Arial" w:eastAsia="Arial" w:hAnsi="Arial"/>
          <w:sz w:val="16"/>
          <w:szCs w:val="16"/>
          <w:color w:val="auto"/>
        </w:rPr>
        <w:t xml:space="preserve"> and SubroSource</w:t>
      </w:r>
      <w:r>
        <w:rPr>
          <w:rFonts w:ascii="Arial" w:cs="Arial" w:eastAsia="Arial" w:hAnsi="Arial"/>
          <w:sz w:val="10"/>
          <w:szCs w:val="10"/>
          <w:color w:val="auto"/>
        </w:rPr>
        <w:t>TM</w:t>
      </w:r>
      <w:r>
        <w:rPr>
          <w:rFonts w:ascii="Arial" w:cs="Arial" w:eastAsia="Arial" w:hAnsi="Arial"/>
          <w:sz w:val="16"/>
          <w:szCs w:val="16"/>
          <w:color w:val="auto"/>
        </w:rPr>
        <w:t xml:space="preserve"> platforms, respectively, for our clients in the insurance sector. We have also built proprietary platforms such as the Freight Bill Audit and Payment platform to automate the receipt, validation and exception processing of customer invoices for our clients in the transportation and logistics sectors.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we believe that the increased utilization of transaction-based and other innovative pricing models, supplemented by these innovative delivery approaches, may also enhance the sustainability of our margins while delivering increased value to our clients. Currently, a majority of our revenues is billed to our clients on a time and materials basis. We intend to increase the number of processes in which we utilize transaction-based and other innovative pricing to better align our incentives with our clients, thereby assisting them with variable cost structures and driving service improvements.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developed expertise in transferring and servicing more than 900 outsourcing processes to our operations centers, including more than 550 processes in the insurance and healthcare industry. This expertise continues to distinguish us from other providers of outsourcing services and has established our reputation as a leading provider of outsourcing services. We intend to continue to strengthen our processing capabilities by focusing on more complex and value-enhancing services that are common to these sectors. We intend to supplement our innovative delivery and pricing approaches with the introduction of industry-specific training academies to enhance the domain expertise of our employees. In 2012, we launched the EXL Healthcare Academy in Manila, Philippines, to deepen and extend our clinical and utilization capabilities for healthcare payers and providers.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Cultivating Large-scale, Long-term Relationships and Expanding Our Existing Client Base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We also believe that our geographically distributed network of operations centers will enable us to expand our client base and range of services. Our domain expertise and long-term client relationships enable us to provide more fully integrated and innovative outsourcing and transformation services and develop closer relationships with our clients.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will also continue to initiate long-term relationships with small and medium sized companies in our focus industries and expand our relationships with such companies over time. 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be highly selective and seek industry-leading clients, targeting Global 1000 companies that have the most complex and diverse processes and, accordingly, stand to benefit significantly from our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Our People and Operational Infrastructure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intend to continue to invest in infrastructure, including human resources, process optimization and delivery platforms, to meet our growing client requirements. We intend to further refine and supplement the innovative methods we use to recruit, train and retain our skilled employees. We intend to continue focusing on recruiting highly qualified employees and developing our employees’ leadership skills through specialized programs, rigorous promotion standards, industry-specific training and competitive compensation packages that include incentive-based compensation. During 2012, we inaugurated a center for talent dedicated to recruitment, capability enhancement and talent development and also partnered with a leading management institute in India to develop various management and programs dedicated to our target industry sectors and services. During 2012, we launched new operations centers in Manila, Philippines and Pune, India and acquired our operations center in Chico, California, as a result of our acquisition of Landacorp.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selectively consider strategic relationships with industry leaders that add new long-term client relationships, enhance the depth and breadth of our services and complement our business strategy. We also intend to selectively consider acquisitions, partnerships and alliances or investments that will expand the scope and effectiveness of our services by adding proprietary technology assets and intellectual property, adding new clients or allowing us to enter new geographic markets. On October 12, 2012, we acquired Landacorp, a leading care management software platform for healthcare payers, with approximately 125 employees in the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Organizations outsource their key business processes to third parties to reduce costs, improve process quality, handle increased transaction volumes and reduce redundancy.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Increased global demand, cost improvements in international communications and the automation of many business services have created a significant opportunity for offshore BPO providers, and many companies are moving select office processes to providers with the capacity to perform these functions from overseas locations.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Companies have historically used BPO providers to drive revenue growth by expanding service offerings that otherwise would be too costly to administer or by enhancing receivable collections that would otherwise not be cost-efficient to pursue using internal staff. We believe the demand for BPO services will be primarily led by industries that are transaction-driven and that require significant customer interactions. The high cost of servicing a large number of small customer accounts makes outsourcing a compelling strategic alternative for such industries.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Companies are increasingly looking to providers of analytics services to apply statistical tools, models and techniques to clean, organize and examine structured and unstructured corporate data and thereby to generate specific business-related analysis and insight into their business and prospects using this data.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Service providers who can develop industry-specific analytics expertise are especially well poised to benefit from this global trend.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According to Nasscom, an industry trade organization, exports from India in the information technology and business process management industry are expected to grow between 12% and 14% year-over-year in the fiscal year ending March 31, 2014, to between $85 and $87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 Offshore Delivery of BPO and Analytics Services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past decade, India and the Philippines have emerged as preferred locations for companies planning to outsource services ranging from insurance claims processing, payroll processing, medical transcription, customer relationship management to back-office operations such as accounting and data processing, filtering and organization. India currently accounts for the largest share of the offshore BPO services market. Recently, in order to take advantage of multiple language capabilities and large educated talent pools at competitive costs, companies have engaged service providers with operations in other locations such as Eastern Europe and Latin America.</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analytics services, India has also emerged as a leading delivery location, driven by a large quantitatively-trained workforce and attractive cost efficiencies, as compared to other locations. By 2015, the Indian offshore data analytics market is expected to be approximately $1.2 billion in size, having grown at a CAGR of 25% since 2010, according to Avendus, an Indian financial advisor. We offer a global analytics delivery model and operate multiple analytics centers of excellence in India and other locations globally.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Client Management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sales, marketing and business development teams are responsible for new client acquisitions, public relations, relations with outsourcing advisory companies, brand awareness and participation in industry forums and conferences. Our sales, marketing and business development teams identify prospective clients based on selective criteria that apply our industry expertise to the prospective client’s business units and services, goals and operating constraints, and qualify the long-term relationship potential with the client. Our client relationships vary from a single discrete process to multiple complex integrated processes.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client management team is responsible for managing client relationships, understanding client needs and developing customized services that create value for clients from our suite of outsourcing and transformation services. Each strategic client relationship is assigned a team that consists of members from the client management team, an operations delivery leader, a member of our transformation services group and a member of our technology team. Members of the client management team work closely with the delivery team to ensure high levels of client satisfaction and are also responsible for business expansion and revenue growth of their respective client accounts.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sales and client management professionals focus on identifying, qualifying and initiating discussions with our current and prospective clients. They operate collaboratively with our business development team which prepares responses to requests for proposals, hosts client visits to our facilities and coordinates due diligence on processes to be outsourced to us.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2012, we employed approximately 100 sales, marketing, business development and client management professionals primarily in the U.S. and Europe. Each professional has significant experience in global outsourcing and expertise in identifying outsourcing opportunities and process migration. Our sales, client management, marketing and business development teams work actively with our service delivery team as the sales process moves closer to the client’s final decision to either select or expand a service provider relationship. The client executive or sales executive works with the service delivery team to define the scope, services, assumptions and execution strategies for each proposed project and to develop project estimates, pricing and sales proposals. Our senior management reviews and approves each proposal. The selling cycle varies depending on the type of service required, generally ranging from six months to eighteen months for our outsourcing services.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Members of our sales, client management, marketing and business development teams remain actively involved in a project through the execution phase. Each client team consists of a corporate sponsor, executive steering committee, operations leadership team and, in some cases, a dedicated human resources, technology and infrastructure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generated revenues from approximately 270 clients in 2012. Our top three, five and ten clients, respectively, generated 26%, 39% and 59% of our revenues in 2012, respectively. In 2011, our top three, five and ten clients, respectively, generated 32%, 45% and 62% of our annual revenues, respectively. While we are developing relationships with new clients and expect to continue to diversify our client base, we believe that the loss of any of our ten largest clients could have a material adverse effect on our financial performance. See “Item 1A. Risk Factors—Risks Related to Our Business—We have a limited number of clients and provide services to few industries. In 2012, approximately 59% of our total revenues came from top ten clients.”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typical initial terms of between three and eight years. Agreements for transformation services generally have shorter initial terms. Each agreement is individually negotiated with the client.</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(“IT”) companies and from our clients, who may perform outsourcing services themselves, either in-house, in the U.S.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Limited and WNS (Holdings) Limited;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BPO divisions of large IT service companies and global BPO services companies, such as Accenture, Cognizant Technology Solutions, Tata Consultancy Services and Infosys;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and healthcare;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Strategy—Creating Positive Business Impact for Clients by Offering a Broad Range of Operations Management, Analytics and Platform Technology Services,” and “—Extending Our Industry Expertise.”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expect that competition will increase. A significant part of our competitive advantage has historically been a wage cost advantage relative to companies in the U.S. and Europe and the ability to attract and retain highly experienced and skilled employees. We believe, however, that as a result of rising wage costs in India and other locations of our operations centers and the infrastructure improvements that are taking place in other emerging markets around the world, our ability to compete effectively will increasingly depend on our ability to utilize innovative approaches that rely on our industry expertise as well as a broad range of operations management, analytics and platform technology services to create a positive business impact for our clients.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principal intellectual property consists of trademarks, copyrighted software and other materials, proprietary and licensed platforms, and the know-how of our management and employees. We have several trademarks and logos registered with the U.S. Patent and Trademark Office and certain foreign jurisdictions. We also consider the availability of patent protection for certain proprietary technology.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often use our clients’ software systems and third-party software platforms to provide our services. We customarily enter into licensing and nondisclosure agreements with our clients and third parties with respect to the use of their software systems and platforms. Clients typically obtain consents for us to access and use third party software licenses held by the client so that we may provide our services. Our contracts usually provide that intellectual property created specifically for use of a client will automatically be assigned to that client.</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consider our business processes and implementation methodologies to be confidential, proprietary information that includes trade secrets that are important to our business. Clients and business partners sign nondisclosure agreements requiring confidential treatment of our information. Our employees are also required to sign intellectual property assignments and confidentiality undertakings as a condition to their employment.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 well-developed international telecommunications capacity to support our business operations. Our business continuity management plan includes plans to eliminate certain risks inherent in critical applications by building redundancies and resilience into the connectivity and telecommunications infrastructure, network, systems, power availability, transportation, physical security, and trained manpower availability, as well as utilizing distributed computing. Our infrastructure is built on industry standards and we work closely with several leading original equipment manufacturers and principal technology partners.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customize our technology solutions in line with our clients’ business and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robust systems in place to protect the privacy of our clients and their customers and to ensure compliance with the laws and regulations governing our activities.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end-customer experience for all processes. Currently, we have over 400 quality compliance analysts and customer experience analysts.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most of our operations processes, we report process performance on B-ProMPT, a web-based application accessible by both our clients and us. B-ProMPT includes process control capabilities such as digital dashboards for evaluating process management and performance at any level within an organization, including tracking the individual performance of agents, supervisors and other employees. B-ProMPT includes advanced analytics capacity to provide Six Sigma-based process analysis, including trend analysis, distribution analysis and correlation analysis and tracking.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As of December 31, 2012, we had a headcount of approximately 21,000 individuals, a substantial portion of whom are based in India. We have approximately 600 employees in the U.S. and the U.K., approximately 2,000 employees in the Philippines and over 500 employees in the Czech Republic, Bulgaria and Romania. Our employees are not unionized. We have never experienced any work stoppages and believe that we enjoy good employee relations.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employees are critical to the success of our business. Accordingly, we focus on recruiting, training and retaining our professionals.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developed effective strategies that enable an efficient recruitment process. We have 90 employees dedicated to recruitment. Some of the strategies we have adopted to increase efficiency in our hiring practices include online voice assessment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extensive background checks on candidates, including criminal background checks, where permitted and as required by clients or on a sample basis. In addition, where permitted, we perform random drug testing on the workforce on a regular basis. In 2012, we received more than 68,000 applications for employment and hired approximately 9,000 new professionals. We also have an employee referral program that provides us with a cost effective way of accessing qualified potential employees.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in certain circumstances, subsidized meals and free access to recreational facilities that are located within some of our operations centers. Our turnover rate for billable employees was 29.3% for the year ended December 31, 2012.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On December 31, 2012, we had over 230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customize our training to country, client, industry and service, closely collaborating with the clients throughout the training process. Over 8,500 employees received training for the insurance industry and processes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insurance academy established by us in 2009. Our finance and accounting academy, inaugurated in November 2011, trained approximately 900 employees in basic accounting, payroll and taxation during 2012. Our healthcare academy, inaugurated in Manila, Philippines in 2012, trained over 300 employees during the year, while our travel academy, inaugurated in Gurgaon, India in 2011, trained over 900 employees. Training for new employees includes culture, voice and accent training. We also have ongoing training that includes refresher training programs and personality development programs. We develop our employees’ leadership skills through various capability development programs, talent identification and performance management mechanisms, and significant monetary and non-monetary incentives. The overall participation in various programs administered in 2012 resulted in approximately 74,000 days of training. We have also created career development programs for our middle and junior level management employees, helping them define and identify their career paths within the company. In 2012, we provided training to over 1,000 of our junior and middle managers at the EXL School of Management Development, which was launched in 2010.</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2012, we inaugurated the EXL Center for Talent in Noida, India, our first facility exclusively dedicated to recruitment, capability enhancement and talent development. In October 2012, we announced a partnership with the Indian Institute of Management, Lucknow to deliver a business management program for working executives at the institute’s campus in Noida, India, focusing both on general management and also industry-focused modules on consulting, analytics and operational excellence.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one of the few service providers that can provide third-party administrator insurance services from India and the Philippines, having been licensed or exempted from, or not subject to, licensing in 44 states and 16 states, respectively. Additionally, we are licensed or otherwise eligible to provide third-party administrator services in all states within the U.S. Certain of our debt collection, workers compensation utilization review and telemarketing services require us to maintain licenses in various jurisdictions or require certain categories of our professionals to be individually licensed. We continue to obtain licenses required by our business operations.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operations are also subject to compliance with a variety of other laws, including the U.S. federal and state regulations, that apply to certain portions of our business, such as the Fair Credit Reporting Act, the Gramm-Leach-Bliley Act, the Health Insurance Portability and Accountability Act of 1996, the HITECH Act of 2009, the Truth in Lending Act, the Fair Credit Billing Act, the Federal Trade Commission Act and FDIC rules and regulations. We must also comply with applicable regulations relating to healthcare and other personal information that we process as part of our services. Additionally, our client contracts may specify other regulatory requirements we must meet in connection with the services we provide. We provide our employees with training for applicable laws and regulations.</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Regulation of our business by the Indian government affects us in several ways. For instance, until April 2011, we benefited from certain tax incentives promulgated by the Indian government, including a holiday from Indian corporate income taxes for the operation of some of our Indian operations centers. Our operations centers in Jaipur and Noida, which were established in Special Economic Zones (“SEZs”) in 2010, and our new operations center in Pune established during 2012, are eligible for tax incentives until 2020, ten years from the year of their establishment. As part of our acquisition of Business Process Outsourcing, Inc. in 2011 (the “OPI Acquisition”), we acquired operations centers in Bengaluru and Kochi, India that are also established in SEZs. Our operations center in Bengaluru completed its first five years of operations on March 31, 2012 and benefited from a 100% exemption on export profits in prior years. Under Indian tax regulations, the Bengaluru operations center is now entitled to a 50% tax exemption on export profits for five years from April 1, 2012. After April 1, 2017, the applicable tax exemption will be further reduced. We anticipate establishing additional operations centers in SEZs or other tax advantaged locations in the future. We also continue to benefit from certain tax incentives for our operations in the Philippines. See “Item 1A. Risk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Factors.” Our subsidiaries in India are also subject to certain currency transfer restrictions. See “Management’s Discussion and Analysis of Financial Condition and Results of Operations—Foreign Exchange” and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files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also maintains a website at http://www.exlservice.com. The Company makes available, free of charge, on its website its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number of clients and provide services to few industries. In 2012, approximately 59% of our total revenues came from top ten clients.</w:t>
      </w:r>
    </w:p>
    <w:p>
      <w:pPr>
        <w:spacing w:after="0" w:line="2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In 2012, our ten largest clients accounted for approximately 59.0% of our total revenues. We generated 10.1% of our total revenues in 2012 from the Travelers Company (“Travelers”). We provide services to Travelers under a services agreement and work assignments and orders generated thereunder. Although the services agreement does not have a fixed term, the work assignments and work orders expire in December 2013 and renew every year thereafter unless either party elects not to renew within a specified period before the next renewal date. Travelers may terminate the services agreement, or any work assignment or work order, without cause upon 60 days prior notice. We expect that a significant portion of our total revenues will continue to be contributed by a limited number of large clients in the near future. The loss of or financial difficulties at any of our large clients would have a material adverse effect on our business, results of operations, financial condition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business conditions could negatively affect our business in multiple ways.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recent global economic downturn adversely impacted companies in the industries to which we provide services, including the banking, financial services and insurance industries. In 2012, approximately 57% of our total revenues were derived from clients in those industries, including 49% of our total revenues that were derived from clients in the insurance industry. Our business largely depends on continued demand for our services from clients and potential clients in these industries. Adverse developments in these industries or the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transformation services, thus reducing our revenues. Continued high unemployment rates in the U.S.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trends would harm our ability to compete effectively with competitors that operate out of facilities located in the U.S. and elsewhere.</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U.S. For example, legislation has been proposed that would require offshore providers to identify where they are located and that would require notice to individuals whose personal information is disclosed to non-U.S. companies. In addition, recently introduced bills have proposed providing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other countries, such as the U.K., which comprised 20.2% of our total revenues in 2012, there has also been some negative publicity and concern expressed regarding the possible effect of job losses caused by outsourcing. Legislation enacted in the U.K.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U.K. who outsource business to us. We are generally indemnified in our existing contracts with clients in the U.K.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U.K. clients. Similar legislation has also been enacted in certain other European jurisdictions.</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For example, we provide services to Travelers which is our largest client under a services agreement that Travelers may terminate without cause upon 60 days prior notice. The loss of or financial difficulties at any of our large clients would have a material adverse effect on our business, results of operations, financial condition and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limited number of our contracts allow a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industry is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2012, our turnover rate for billable employees was approximately 29.3%.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In 2012, we incurred approximately $2.4 million on recruitment and approximately $2.7 million on training costs due to employee turnover, thereby increasing our costs and reducing our profit margins for that period by $5.1 million.</w:t>
      </w:r>
    </w:p>
    <w:p>
      <w:pPr>
        <w:spacing w:after="0" w:line="124"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outsourcing services that requires significant funds and management resources and a long implementation cycle that requires significant resource commitments.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a long selling cycle for our outsourcing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When we are engaged by a client after the selling process for our outsourcing services,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clients, and our failure to estimate the resources and time required for our contracts may negatively affect our profitability.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initial terms of our outsourcing contracts typically range from three to five years. In many of our outsourcing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and financial condition may be adversely affected.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Most of our contracts use a pricing model that provides for hourly or annual billing rates. Industry pricing models are evolving, however, and we anticipate that clients may increasingly request transaction-based or other pricing models. If we are unable to obtain operating efficiencies or if we make inaccurate assumptions for contacts with transaction-based pricing,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appropriately price our services or manage our asset utilization levels.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transformation services, such as our decision analytics, finance transformation and operations and process excellence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finance transformation services business.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a majority of our transformation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transformation services.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a significant portion of our revenues are denominated in U.K. pounds sterling or U.S. dollars while most of our expenses are incurred and paid in Indian rupees and the Philippine peso, our revenues can decrease or increase significantly if the exchange rates among the Indian rupee, the U.K. pound sterling, the Philippine peso and the U.S. dollar fluctuate significantly. In addition, most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Mr. Kapoor and certain of his affiliates have certain registration rights with respect to their shares of common stock.</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8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fifteen operations centers in India, six operations centers in the U.S., two operations centers in each of Bulgaria and the Philippines and one in each of Romania, the Czech Republic and Malaysia. Our headcount has increased from approximately 1,800 on December 31, 2002 to approximately 21,000 on December 31, 2012. We expect to develop and improve our internal systems in the locations where we operate in order to address the anticipated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and financial condition.</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we provide, add new clients or to enter new geographic markets. We have made acquisitions in the past, including our acquisitions in 2011 of Business Processing Outsourcing Inc. (the “OPI Acquisition”) and Trumbull Services, LLC and our acquisition of Landacorp in 2012.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of December 31, 2012, we had approximately $106.7 million of goodwill and $43.5 million of intangible assets. We periodically assess these assets to determine if they are impaired and we monitor for impairment of goodwill relating to all acquisitions. Goodwill is not amortized but is tested for impairment testing at least on an annual basis as of December 31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an assessment of qualitative factors to determine whether the existence of events or circumstances leads to a determination that it is more likely than not that the fair value of a reporting unit is less than its carrying amount. Based on the results of the qualitative assessment, the Company performs the quantitative assessment of goodwill impairment if it determines that it is more likely than not that the fair value of a reporting unit is less than its carrying amount. In the event that the book value of goodwill is impaired, any such impairment would be charged to earnings in the period of impairment. We cannot assure you that future impairment of goodwill will not have a material adverse effect on our business, financial condition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transformation services than for employees performing outsourcing services. As the scale of our transformation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 Additionally, because a majority of our employees are based in India and paid in Indian rupees, while our revenues are primarily in U.S. dollars and U.K. pounds sterling, our employee costs as a percentage of revenues may increase or decrease significantly if the exchange rates among the Indian rupee, the U.K. pound sterling and the U.S. dollar fluctuate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our other operating geographies also regulate our relations with our employees.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U.S.-based and non-U.S.-based outsourcing and IT companies and from our clients, who may perform outsourcing services themselves, either in-house, in the U.S. or through offshore groups or other arrangements.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2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14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impair our client’s ability to comply with its own internal control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a majority of our agreements with our clients, our liability for breach of certain of our obligations is generally limited to actual damages suffered by the client and is typically capped at the greater of an agreed amount or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or liability for breaches of confidentiality, are generally not limited under those agreements. Our agreements are governed by laws of multiple jurisdictions, therefore the interpretation of such provisions, and the availability of defenses to us, may vary, which may contribute to the uncertainty as to the scope of our potential liability. In addition, many of our agreements with our clients do not include any limitation on our liability to them with respect to breaches of our obligation to keep the information we receive from them confidential.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2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success depends in part on certain methodologies, practices, tools and technical expertise we utilize in designing, developing, implementing and maintaining applications and other proprietary intellectual property rights. In order to protect our rights in these various intellectual properties, we rely upon a combination of nondisclosure and other contractual arrangements as well as trade secret, patent, copyright and trademark laws. We also generally enter into confidentiality agreements with our employees, consultants, clients and potential clients and limit access to and distribution of our proprietary information. We also have submitted and expect to continue to submit U.S. federal and foreign trademark applications for the names of certain service offerings. We may not be successful in maintaining or obtaining trademarks for these trade names. India is a member of the Berne Convention, an international intellectual property treaty, and has agreed to recognize protections on intellectual property rights conferred under the laws of other foreign countries, including the laws of the U.S. There can be no assurance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client contracts generally require our clients to indemnify us for any breaches of intellectual property rights or licenses to third party software when our clients provide such access to us. Although we believe that we are not infringing on the intellectual property rights of others, claims may nonetheless be asserted against us in the future. The costs of defending any such claims could be significant, and any successful claim may require us to modify, discontinue or rename any of our services. Any such changes may have a material adverse effect on our business, results of operations and financial condition.</w:t>
      </w:r>
    </w:p>
    <w:p>
      <w:pPr>
        <w:spacing w:after="0" w:line="113"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New and changing corporate governance and public disclosure requirements add uncertainty to our compliance policies and increase our costs of compliance.</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Changing laws, regulations and standards relating to accounting, corporate governance and public disclosure, including the Sarbanes-Oxley Act of 2002, other SEC regulations, and the NASDAQ Global Select Market rules, are creating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While we do not anticipate any material weaknesses, the inability of management and our independent auditor to provide us with an unqualified report as to the adequacy and effectiveness, respectively, of our internal controls over financial reporting for future year ends could result in adverse consequences to us, including, but not limited to, a loss of investor confidence in the reliability of our financial statements, which could cause the market price of our stock to decline.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13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 security and to protecting confidential client and customer data. However, any network infrastructure may be vulnerable to rapidly evolving cyber attacks.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or investigations and penalties from regulators. We have obtained privacy and network security insurance for claims related to breaches of our privacy and network security, including unauthorized access to or disclosure of sensitive</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data, suspension or interruption of our network infrastructure, transmission of computer viruses or failure to comply with our privacy and network security procedures. However, such coverage may not be adequate or may not continue to be available on reasonable terms or in sufficient amounts to cover one or more large claims, and our insurers may disclaim coverage as to any future claims. Cyber attacks penetrating the network security of our data centers could also have a negative impact on our reputation and client confidence, which could have a material adverse effect on our business, results of operations, financial condition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The successful assertion of one or more large claims against us that are excluded from our insurance coverage or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we may not be able to pay dividends even if our board of directors would otherwise deem it appropriate.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currently continuing to evaluate additional locations outside our current operating geographies in which to invest in an operations center.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exploring opportunities to provide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the U.S. from India in all but two U.S. states and from the Philippines in 35 U.S. states that have non-exempt requirements and that have separate conditional exemptions with respect to our ongoing collection obligations. If we do not maintain our licenses or other qualifications to provide our services, we may not be able to provide services to existing customers or be able to attract new clients and could lose revenues, which could have a material adverse effect on our business. Other U.S. federal laws and regulations that apply to certain portions of our business include the Fair Credit Reporting Act, the Gramm-Leach-Bliley Act, the Health Insurance Portability and Accountability Act of 1996, the HITECH Act of 2009, the Truth in Lending Act, the Fair Credit Billing Act; the Federal Trade Commission Act and FDIC rules and regulations. We must also comply with applicable federal and state laws and regulations relating to healthcare and other personal information that we must process as part of our services. Our agreements with some of our clients require us to remain knowledgeable about and comply with a number of relevant consumer protection laws and other regulatory requirements. Failure to perform our services in a manner that complies with any such requirement could result in breaches of contracts with our clients. Our failure to comply with any applicable laws and regulations could subject us to civil fines and criminal penalties.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stock has at times experienced substantial price volatility as a result of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also has experienced extreme price and volume fluctuations that have affected the market price of many technology companies in ways that may have been unrelated to these companies’ operating performance. Furthermore, we believe our stock price should reflect future growth and profitability expectations and, if we fail to meet these expectations, our stock price may significantly decline.</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a 66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xml:space="preserve">% stockholder vote, provisions requiring a 66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w:t>
      </w:r>
    </w:p>
    <w:p>
      <w:pPr>
        <w:spacing w:after="0" w:line="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we are not eligible for these benefits.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Income Tax Act, 1961 of India, we previously benefited from certain tax incentives promulgated by the Indian government, including a tax holiday from Indian corporate income taxes for the operation of some of our Indian operations centers. The tax benefit for most of our operations centers in India expired on April 1, 2011. Our operations centers in Jaipur and Noida, India, which were established in SEZs in 2010, are eligible for tax incentives until 2020, ten years from the year of their establishment. As part of the OPI Acquisition, we also acquired operations centers in Bengaluru and Kochi, India that are also located in SEZs. The operations center in Bengaluru completed its first five years of operations on March 31, 2012 and benefitted from a 100% exemption on export profits in prior years. Under the tax regulations, the Bengaluru operations center is now entitled to a 50% tax exemption on export profits for five years from April 1, 2012. After April 1, 2017, the applicable tax exemption will be further reduced. We also established a new operations center in Pune, India in June 2012, which is located in an SEZ. The Company anticipates establishing additional operations centers in SEZs or other tax advantaged locations in the future.</w:t>
      </w:r>
    </w:p>
    <w:p>
      <w:pPr>
        <w:sectPr>
          <w:pgSz w:w="11900" w:h="16838" w:orient="portrait"/>
          <w:cols w:equalWidth="0" w:num="1">
            <w:col w:w="11420"/>
          </w:cols>
          <w:pgMar w:left="240" w:top="459" w:right="239" w:bottom="1440" w:gutter="0" w:footer="0" w:header="0"/>
        </w:sectPr>
      </w:pPr>
    </w:p>
    <w:bookmarkStart w:id="29" w:name="page30"/>
    <w:bookmarkEnd w:id="29"/>
    <w:p>
      <w:pPr>
        <w:ind w:firstLine="456"/>
        <w:spacing w:after="0" w:line="290" w:lineRule="auto"/>
        <w:rPr>
          <w:sz w:val="20"/>
          <w:szCs w:val="20"/>
          <w:color w:val="auto"/>
        </w:rPr>
      </w:pPr>
      <w:r>
        <w:rPr>
          <w:rFonts w:ascii="Arial" w:cs="Arial" w:eastAsia="Arial" w:hAnsi="Arial"/>
          <w:sz w:val="16"/>
          <w:szCs w:val="16"/>
          <w:color w:val="auto"/>
        </w:rPr>
        <w:t>The Direct Taxes Code Bill 2010 (the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 operations centers in SEZs set up after March 31, 2014 and replaces them with investment-based incentives for operations centers in SEZs established after that date. Accordingly, we expect to continue receiving the benefit of tax deductions for our existing operations centers in SEZs pursuant to the current regulations until the currently proposed March 31, 2014 sunset date. If this grandfathering does not happen under the Direct Taxes Code and if the sunset date is brought forward, our new operations centers in SEZs will not receive profit-based tax benefits. Without such benefits, we expect that our tax rate in India and our overall tax rate will increase over the next few years and that such increase may be material.</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One of our operations centers in the Philippines benefited from a four-year income tax holiday that expired in May 2012. In February 2013, PEZA, which can approve two successive one-year extensions, granted us a one year extension retroactively from May 2012. Our new operations center in the Philippines, which began operations in January 2012, benefits from a separate four-year income tax holiday that can be extended at PEZA’s discretion. While we are reasonably certain that PEZA will extend these tax holidays, it is possible that such extension requests may be denied, or that these tax holidays may be conditioned or removed entirely due to changes in applicable legislation by the government of the Philippines. Should any of these events occur, our tax liability in the Philippines would likely increase.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past years. Please see Note 15 to our consolidated financial statements for details.</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continue to believe that the probability of loss is remote and have not accrued any amount with respect to these matters in our consolidated financial statements. Any amounts paid by us as deposits will be refunded to us with interest or applied toward outstanding disputes at such time if we succeed in our appeals with the appropriate tax authorities. We cannot assure you that our appeals will be successful or that these appeals will be finally resolved in the near future.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 of tax legislation and disputes with tax authorities may have an adverse effect on our operations and our overall tax rate.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Governments in countries in which we operate or provide services could enact new tax legislation which would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has undertaken a legal entity rationalization project which may be implemented and become effective in 2013 to simplify the global legal entity structure and remove redundancies and reduce compliance risks and costs associated with it. Furthermore, the Company also intends to optimize the tax and financial efficiencies of the group structure. As a result, we may carry out certain re-organizations under the tax laws of various jurisdictions in which we operate and take certain positions to qualify for tax neutrality for such internal re-organization. We cannot assure you that there could not be any litigation by the tax authorities on such re-organization when implemented.</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Because we provide services to clients throughout the world, we are subject to numerous, and sometimes conflicting, legal rules on matters as diverse as import/export controls, content requirements, trade restrictions, tariffs, taxation, sanctions, government affairs, internal and disclosure control obligations, data privacy and labor relations.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and financial condition.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12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rupee, the U.K. pound sterling, the Philippine peso and the U.S. dollar could have a material adverse effect on our results of operations.</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Although a substantial portion of our revenues are denominated in U.S. dollars (72.3% in 2012) or U.K. pounds sterling (20.2% in 2012), a significant portion of our expenses are incurred and paid in Indian rupees and Philippines peso (55.2% and 7.2% in 2012, respectively). We report our financial results in U.S. dollars. The exchange rates among the Indian rupee, the U.K. pound sterling, the Philippine peso and the U.S. dollar have changed substantially in recent years and may fluctuate substantially in the future. Although we take steps to hedge a substantial portion of our Indian rupee/U.S. dollar and Philippines peso/U.S. dollar foreign currency exposures, our results of operations may be adversely affected if the Indian rupee and Philippines peso fluctuates significantly against the U.S. dollar, the U.K. pound sterling further depreciates against the U.S. dollar, our hedging strategy is unsuccessful or if the hedging markets have insufficient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well as the convertibility of currencies in India. This could limit our ability to use cash generated in one country in another country and could limit our ability to hedge our exposures.</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and financial condition.</w:t>
      </w:r>
    </w:p>
    <w:p>
      <w:pPr>
        <w:spacing w:after="0" w:line="85"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Terrorist attacks and other acts of violence or war, including those involving India, the Philippines, the U.S.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 Our insurance policies may not insure us against losses and interruptions caused by terrorist attacks and other acts of violence or war.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71"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recruit, train and retain qualified employees, develop and operate our operations centers, and attract and retain clients could be adversely affected if India does not successfully meet these challenges.</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U.S., which could have a material adverse effect on future revenues.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recent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1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India and the Philippines are susceptible to natural disasters, including typhoons, tsunamis, floods and earthquakes. The Philippines is additionally susceptible to volcanic eruptions. Substantially all of our operations centers and employees are located in India and the Philippines. If our operations centers are damaged by a typhoon, tsunami, flood, earthquake, volcanic eruption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may not be adequate to protect against potential losses. In addition, clients may terminate their contracts with us if we cannot resume providing services quickly enough. As a result, a natural disaster in India or the Philippines could have a material adverse effect on our business, results of operation and financial condition.</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operating subsidiaries are organized outside the U.S. and a number of our executive officers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corporate headquarters is located in New York, New York. We have fifteen operations centers in India, two operations centers in each of Bulgaria and the Philippines and one in each of Romania, the Czech Republic and Malaysia with an aggregate area of approximately 1,560,000 square feet and a current installed capacity of approximately 18,600 agent workstations. In 2012, we inaugurated the EXL Center for Talent in Noida, India, which is our first facility exclusively dedicated to recruitment, capability enhancement and talent development. We also have six operations centers in the U.S. and a sales office in London, U.K. Our networking and telecommunication hubs are located in Sunnyvale, California, Jersey City, New Jersey and New York, New York. Substantially all of our operations centers are leased under long-term leases with varying expiration dates, except for an operations center in Pune, India with an area of 86,361 sq. ft. and containing 1,325 agent workstations which we own. We do not have the option under our present lease agreements to buy any of these properties.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consolidated financial statements for details regarding our tax proceedings.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3020" w:type="dxa"/>
            <w:vAlign w:val="bottom"/>
          </w:tcPr>
          <w:p>
            <w:pPr>
              <w:spacing w:after="0"/>
              <w:rPr>
                <w:sz w:val="14"/>
                <w:szCs w:val="14"/>
                <w:color w:val="auto"/>
              </w:rPr>
            </w:pPr>
          </w:p>
        </w:tc>
        <w:tc>
          <w:tcPr>
            <w:tcW w:w="1540" w:type="dxa"/>
            <w:vAlign w:val="bottom"/>
            <w:gridSpan w:val="4"/>
          </w:tcPr>
          <w:p>
            <w:pPr>
              <w:ind w:left="36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9"/>
        </w:trPr>
        <w:tc>
          <w:tcPr>
            <w:tcW w:w="412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2012</w:t>
            </w:r>
          </w:p>
        </w:tc>
        <w:tc>
          <w:tcPr>
            <w:tcW w:w="312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$28.85</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$28.25</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$29.71</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$30.10</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3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$22.49</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$24.75</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$26.55</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$26.99</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2013, there were 43 holders of record of our outstanding common stock.</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year ended December 31, 2012, the Company acquired 12,865 shares of common stock from employees in connection with withholding tax payments related to the vesting of restricted stock for a total consideration of $331,719. The weighted average purchase price of $25.78 per share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provides information as of December 31, 2012 with respect to the shares of our common stock that may be issued under our existing equity compensation plans. For a description of our equity compensation plans, please see Note 13 to our consolidated financial statements.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Securities to</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 Upon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Weighted</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4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Exercise/Vesting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Available for Future</w:t>
            </w:r>
          </w:p>
        </w:tc>
      </w:tr>
      <w:tr>
        <w:trPr>
          <w:trHeight w:val="149"/>
        </w:trPr>
        <w:tc>
          <w:tcPr>
            <w:tcW w:w="4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60" w:type="dxa"/>
            <w:vAlign w:val="bottom"/>
          </w:tcPr>
          <w:p>
            <w:pPr>
              <w:spacing w:after="0"/>
              <w:rPr>
                <w:sz w:val="12"/>
                <w:szCs w:val="12"/>
                <w:color w:val="auto"/>
              </w:rPr>
            </w:pPr>
          </w:p>
        </w:tc>
        <w:tc>
          <w:tcPr>
            <w:tcW w:w="18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Price of Outstanding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Issuance Under Equity</w:t>
            </w:r>
          </w:p>
        </w:tc>
      </w:t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Equity Awards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Options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Compensation Plans</w:t>
            </w:r>
          </w:p>
        </w:tc>
      </w:tr>
      <w:tr>
        <w:trPr>
          <w:trHeight w:val="188"/>
        </w:trPr>
        <w:tc>
          <w:tcPr>
            <w:tcW w:w="42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Equity compensation plans that have been approved</w:t>
            </w:r>
          </w:p>
        </w:tc>
        <w:tc>
          <w:tcPr>
            <w:tcW w:w="1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2,229,618</w:t>
            </w:r>
          </w:p>
        </w:tc>
        <w:tc>
          <w:tcPr>
            <w:tcW w:w="100" w:type="dxa"/>
            <w:vAlign w:val="bottom"/>
            <w:shd w:val="clear" w:color="auto" w:fill="CCEEFF"/>
          </w:tcPr>
          <w:p>
            <w:pPr>
              <w:spacing w:after="0"/>
              <w:rPr>
                <w:sz w:val="19"/>
                <w:szCs w:val="19"/>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260" w:type="dxa"/>
            <w:vAlign w:val="bottom"/>
          </w:tcPr>
          <w:p>
            <w:pPr>
              <w:ind w:left="220"/>
              <w:spacing w:after="0"/>
              <w:rPr>
                <w:sz w:val="20"/>
                <w:szCs w:val="20"/>
                <w:color w:val="auto"/>
              </w:rPr>
            </w:pPr>
            <w:r>
              <w:rPr>
                <w:rFonts w:ascii="Arial" w:cs="Arial" w:eastAsia="Arial" w:hAnsi="Arial"/>
                <w:sz w:val="18"/>
                <w:szCs w:val="18"/>
                <w:color w:val="auto"/>
              </w:rPr>
              <w:t>holders</w:t>
            </w:r>
          </w:p>
        </w:tc>
        <w:tc>
          <w:tcPr>
            <w:tcW w:w="138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2,229,618</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compares the cumulative total stockholder return on our common stock with the cumulative total return of the Nasdaq 100 Index (capitalization weighted) and our peer group of companies for the period beginning October 20, 2006.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104140</wp:posOffset>
            </wp:positionV>
            <wp:extent cx="5659755" cy="3027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975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of 1933 or the Exchange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2012 and 2011 and for each of the three years in the period ended December 31, 2012 has been derived from our consolidated financial statements included elsewhere in this Annual Report on Form 10-K. Our selected consolidated financial data set forth below as of December 31, 2010, 2009 and 2008 and for years ended December 31, 2009 and 2008 is derived from our audited financial statements, which are not included in this Annual Report on Form 10-K. Our selected consolidated financial information for 2012, 2011 and 2010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gridSpan w:val="7"/>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(in millions,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442.9</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252.8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other income/(expense)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31,968,386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30,264,805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28,963,770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28,811,040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33,171,105</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31,546,144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29,417,910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29,212,045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jc w:val="right"/>
              <w:ind w:right="192"/>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w w:val="87"/>
              </w:rPr>
              <w:t>$103.0</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$ 82.4</w:t>
            </w: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$ 111.2</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w w:val="98"/>
              </w:rPr>
              <w:t>$132.2</w:t>
            </w:r>
          </w:p>
        </w:tc>
        <w:tc>
          <w:tcPr>
            <w:tcW w:w="700" w:type="dxa"/>
            <w:vAlign w:val="bottom"/>
          </w:tcPr>
          <w:p>
            <w:pPr>
              <w:jc w:val="right"/>
              <w:spacing w:after="0"/>
              <w:rPr>
                <w:sz w:val="20"/>
                <w:szCs w:val="20"/>
                <w:color w:val="auto"/>
              </w:rPr>
            </w:pPr>
            <w:r>
              <w:rPr>
                <w:rFonts w:ascii="Arial" w:cs="Arial" w:eastAsia="Arial" w:hAnsi="Arial"/>
                <w:sz w:val="18"/>
                <w:szCs w:val="18"/>
                <w:color w:val="auto"/>
              </w:rPr>
              <w:t>$ 112.2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133.6</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94.6</w:t>
            </w: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126.4</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435.9</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377.4</w:t>
            </w: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305.7</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249.6</w:t>
            </w:r>
          </w:p>
        </w:tc>
        <w:tc>
          <w:tcPr>
            <w:tcW w:w="70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w:t>
            </w:r>
            <w:r>
              <w:rPr>
                <w:rFonts w:ascii="Arial" w:cs="Arial" w:eastAsia="Arial" w:hAnsi="Arial"/>
                <w:sz w:val="11"/>
                <w:szCs w:val="11"/>
                <w:color w:val="auto"/>
              </w:rPr>
              <w:t>(2)</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17.0</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26.7</w:t>
            </w: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9.2</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344.5</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278.5</w:t>
            </w: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248.5</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205.7</w:t>
            </w:r>
          </w:p>
        </w:tc>
        <w:tc>
          <w:tcPr>
            <w:tcW w:w="70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means total current assets less total current liabilities.</w:t>
      </w:r>
    </w:p>
    <w:p>
      <w:pPr>
        <w:spacing w:after="0" w:line="15"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long term obligations include unrecognized tax benefits, retirement benefits, capital leases, deferred rent and unrealized losses on effective cash flow hedges.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Annual Report on Form 10-K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for our clients, who are primarily global companies. Outsourcing services involve the transfer to us of select business operations of a client, such as claims processing, policy administration and finance and accounting,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provide additional insight into their future financial and operational results, improve their operating environments through cost reduction, enhanced efficiency and productivity initiatives, and enhance the risk and control environments within our clients’ operations whether or not they are outsourced to us. We serve primarily the needs of Global 1000 companies in the insurance and healthcare, utilities, banking and financial services, travel, transportation and logistics sectors.</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October 12, 2012, we acquired Landacorp, a leading provider of healthcare solutions and technology (the “Landacorp Acquisition”). Landacorp has more than 50 million lives under management on its software platforms and has developed services and technology solutions that share vital clinical data with payers, providers, plan participants and accountable care organizations.</w:t>
      </w:r>
    </w:p>
    <w:p>
      <w:pPr>
        <w:spacing w:after="0" w:line="14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We operate fifteen operations centers in India, including our new operations center in Pune, India and Manila, Philippines which began operations in 2012. We also have six operations centers in the U.S., two operations centers each in the Philippines and Bulgaria and one operations center in each of Romania, Malaysia and the Czech Republic.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Total revenues increased $82.4 million, or 22.9%, from $360.5 million for the year ended December 31, 2011 to $442.9 million for the year ended December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from outsourcing services increased from $294.4 million for the year ended December 31, 2011 to $366.8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increase in revenues from outsourcing services of $72.4 million was driven primarily by revenues of $49.9 million due to the Landacorp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in 2012 and the acquisitions in 2011 of OPI (the “OPI Acquisition”) and Trumbull ( the “Trumbull Acquisition”) and net volume increases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and new clients aggregating to $35.7 million. These increases were offset partially by a net decrease in revenues of $13.2 million, primarily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of the Indian rupee, the U.K. pound sterling and Czech koruna against the U.S. dollar during the year ended December 31, 2012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Revenues from transformation services increased from $66.2 million for the year ended December 31, 2011 to $76.2 million for the year ended December 31, 2012. The increase was primarily due to a combination of increased revenues in recurring or annuity-based decision analytics services and an increase in project-based engagements both in our decision analytics and operations and process excellence services. Revenues from new clients for transformation services were $9.4 million and $0.9 million during the year ended December 31, 2012 and 2011, respectively.</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principally in the insurance, healthcare, utilities, banking and financial services, travel, transportation and logistics sectors, as well as cross-industry outsourcing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 For risks relating to termination of our client contracts, see “Item 1A. Risk Factors—Risks Related to Our Business—Our client contracts contain certain termination and other provisions that could have an adverse effect on our business, results of operations and financial condition.” For risks relating to our selling cycles, see “Item 1A. Risk Factors—Risks Related to Our Business—We have a long selling cycle for our outsourcing services that requires significant funds and management resources and a long implementation cycle that requires significant resource commitments.”</w:t>
      </w:r>
    </w:p>
    <w:p>
      <w:pPr>
        <w:spacing w:after="0" w:line="10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Through the Landacorp Acquisition on October 12, 2012, we added a leading care management software platform for healthcare payers. As a result of our Trumbull Acquisition, on October 1, 2011, we acquired the capability to provide subrogation services as well as access to a software platform called SubroSource™ for providing subrogation services to property and casualty insurers. In connection with our acquisition of Professional Data Management Again (“PDMA”) in April 2010, we acquired an insurance policy administration platform called LifePRO</w:t>
      </w:r>
      <w:r>
        <w:rPr>
          <w:rFonts w:ascii="Arial" w:cs="Arial" w:eastAsia="Arial" w:hAnsi="Arial"/>
          <w:sz w:val="10"/>
          <w:szCs w:val="10"/>
          <w:color w:val="auto"/>
        </w:rPr>
        <w:t>®</w:t>
      </w:r>
      <w:r>
        <w:rPr>
          <w:rFonts w:ascii="Arial" w:cs="Arial" w:eastAsia="Arial" w:hAnsi="Arial"/>
          <w:sz w:val="16"/>
          <w:szCs w:val="16"/>
          <w:color w:val="auto"/>
        </w:rPr>
        <w:t xml:space="preserve"> to administer life insurance, health insurance annuities and credit life and disability insurance policies for insurance and healthcare clients. As we increase our service capabilities utilizing platform- and other software-based services,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signing of such new contracts which may lead to fluctuations in our short term revenues.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to three years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We have experienced a significant increase in demand for our annuity-based transformation services, which are engagements that are contracted for one- to three-year terms.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serve clients mainly in the U.S. and the U.K., with these two regions generating approximately 72.3% and 20.2%, respectively, of our total revenues for the year ended December 31, 2012 and approximately 71.8% and 22.0%, respectively, of our total revenues for the year ended December 31, 2011.</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years ended December 31, 2012 and 2011, our total revenues from our top ten clients accounted for 59.1% and 61.9% of our total revenues, respectively. Only one client accounted for more than 10% of our total revenues in the year ended December 31, 2012 compared to two clients in the year ended December 31, 2011.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Pursuant to a services agreement, we provide services to The Travelers Company (“Travelers”). These services to Travelers represented $44.6 million, or 10.1%, of our total revenues for the year ended December 31, 2012, and $41.9 million, or 11.6%, of our total revenues for the year ended December 31, 2011. Travelers may terminate the services agreement, or any work assignment or work order thereunder all of which expire in December 2013, without cause upon 60 days’ prior notice.</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derived revenues from 38 and 17 new clients for our services in the years ended December 31, 2012 and 2011, respectively. Another three new clients acquired during 2012 did not generate any revenues in 2012 but are expected to start generating revenues from 2013.</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depending on each client’s situation and on the type of services provided. For the years ended December 31, 2012 and 2011, 4.3% and 4.5%, respectively, of our total revenues represent reimbursement of such expenses.</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 with such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2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costs, which include salary, bonus and other compensation expenses; recruitment and training costs; employee insurance; transport and meals; rewards and recognition for certain employees; and non-cash stock compensation expense; and</w:t>
      </w:r>
    </w:p>
    <w:p>
      <w:pPr>
        <w:spacing w:after="0" w:line="4"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relating to our facilities and communications network, which include telecommunication and IT costs; facilities and customer management support; operational expenses for our outsourcing centers; rent expenses; and travel and other billable costs to our clients.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most significant components of our cost of revenues are employee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We also expect our cost of revenues to increase due to employee turnover resulting in higher recruitment and training costs. See “Item 1A—Risk Factors—Employee wage increases may prevent us from sustaining our competitive advantage and may reduce our profit margin.”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Our general and administrative expenses are comprised of expenses relating to salaries of senior management and other support personnel, legal and other professional fees, telecommunications, utilities, travel and other miscellaneous administrative costs. Selling and marketing expenses primarily consist of salaries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 We also expect our costs to increase as we continue to strengthen our support and enabling functions and invest in leadership development, performance management and training programs. However, our SG&amp;A as a percentage of revenues has declined from 21.1% in 2011 to 19.9% in 2012 as a result of our acquisitions in 2011 and 2012 and operating leverage in 2012. SG&amp;A expenses also include acquisition-related costs, professional fees, which represent the costs of third party legal, tax, accounting and other advisors, bad debt allowance and non-cash amortization of stock compensation expense related to our issuance of equity awards to senior management, members of our board of directors, other support personnel and consultants.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As we add new facilities and expand our existing operations centers, we expect that depreciation expense will increase, reflecting additional investments in equipment such as desktop computers, servers and other infrastructure. Amortization of intangible assets acquired is included in depreciation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amortization. Amortization of intangible assets has increased substantially in 2012 due to the Landacorp Acquisition in 2012 and the OPI Acquisition and the Trumbull Acquisition in 2011. We expect amortization of intangible assets to increase further as we pursue strategic relationships and acquisitions. As a percentage of revenues, depreciation and amortization expenses decreased from 6.4% for the year ended December 31, 2011 to 5.8% for the year ended December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report our financial results in U.S. dollars. However, a significant portion of our total revenues is earned in U.K. pounds sterling (20.2% and 22.0%, respectively, of our total revenues for the year ended December 31, 2012 and 2011) while a significant portion of our expenses is incurred and paid in Indian rupees (55.2% and 57.6%, respectively, of our total costs for the years ended December 31, 2012 and 2011) and the Philippine peso (7.2% and 5.6%, respectively, of our total costs for the year ended December 31, 2012 and 2011). The exchange rates among the Indian rupee, the Philippine peso, the U.K. pound sterling, Czech koruna and the U.S. dollar have changed substantially in recent years and may fluctuate substantially in the future. The results of our operations could be substantially impacted as the Indian rupee and U.K. pound sterling appreciate or depreciate against the U.S. dollar. See Notes 2 and 7 to our consolidated financial statements and “Item 7A—Quantitative and Qualitative Disclosures about Market Risk—Foreign Currency Risk.”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According to the prevailing foreign exchange regulations in India, an exporter of outsourcing and transformation services that is registered with a software technology park in India, such as our Indian subsidiaries in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those subsidiaries in India did not meet these conditions, they would be required to obtain permission from the Reserve Bank of India.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fiscal year under the Indian Income Tax Act ends on March 31. Certain of our operations centers in India qualified for an exemption from corporate tax under the Indian Income Tax Act which expired on April 1, 2011. Therefore, profits generated from the services provided from such operations centers have become fully taxable and consequently, our tax expense increased significantly from 2011 and may continue to be higher going forward.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Special Economic Zones Act, 2005 and rules framed thereunder (the “SEZ Regulations”), introduced a 15-year tax holiday scheme for operations established in designated SEZs. Under the SEZ Regulations, qualifying operations are eligible for a profit-based deduction from taxable income equal to (i) 100% of the export profits derived for the first five years from the commencement of operations; (ii) 50% of the export profits for the next five years; and (iii) subject to satisfying certain investment requirements, 50% of the export profits for a further five years.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operations centers in Jaipur and Noida, India, which were established in SEZs in 2010, are eligible for tax incentives until 2020, ten years from the year of their establishment. As part of the OPI Acquisition, we acquired operations centers in Bengaluru and Kochi, India that are also located in SEZs. Our operations center in Bengaluru completed its first five years of operations on March 31, 2012 and benefitted from a 100% exemption on export profits in prior years. Under the tax regulations, the Bengaluru operations center is now entitled to a 50% tax exemption on export profits for five years beginning on April 1, 2012. After April 1, 2017, the applicable tax exemption will be further reduced. We also established a new operations center in Pune, India in June 2012, which is located in an SEZ. We anticipate establishing additional operations centers in SEZs in the future.</w:t>
      </w:r>
    </w:p>
    <w:p>
      <w:pPr>
        <w:spacing w:after="0" w:line="12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operations centers in SEZs set up after March 31, 2014 and replaces them with investment-based incentives for operations centers in SEZs established after that date.</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Accordingly, we expect to continue receiving the benefit of tax deductions for our existing operations centers in SEZs pursuant to the current regulations until the currently proposed March 31, 2014 sunset date. If this grandfathering does not happen under the Direct Taxes Code and if the sunset date is brought forward, our new operations centers in SEZs will not receive profit-based tax benefits. Without such benefits, we expect that our tax rate in India and our overall tax rate will increase over the next few years and that such increase may be material.</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One of our operations centers in the Philippines benefited from a four-year income tax holiday that expired in May 2012. In February 2013, PEZA, which can approve two successive one-year extensions, granted us a one year extension retroactively from May 2012. Our new operations center in the Philippines, which began operations in January 2012, benefits from a separate four-year income tax holiday that can be extended at PEZA’s discretion. While we are reasonably certain that PEZA will extend these tax holidays, it is possible that such extension requests may be denied, or that these tax holidays may be conditioned or removed entirely due to changes in applicable legislation by the government of the Philippines. Should any of these events occur, our tax liability in the Philippines would likely increase.</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financial statements included in this Annual Report on Form 10-K, which have been prepared in accordance with generally accepted accounting principles in the U.S.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assets and obligations related to employee benefit plans. These accounting policies and the associated risks are set out below. Future events may not develop exactly as forecast and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Revenues are recognized on fixed-price contracts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if the license fee is fixed or determinable, collection is probable, and there is sufficient vendor specific evidence of the fair value of each undelivered element. When there are significant production modifications or customization, installation, systems integration or related services, the professional services and license revenues are combined and recorded based upon proportional performance, measured in the manner described above. Revenues from fixed-term maintenance and support contracts are recognized ratably on a monthly basis over the period of the contract.</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make accruals for revenues and receivables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 We 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4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Under the fair value recognition provisions of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If the actual forfeiture rate differs significantly from our estimates, our stock-based compensation expense and our results of operations could be materially impacted.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arrangements, authorized under our policies, with counterparties that are highly rated financial institutions. Our primary exchange rate exposure is with the U.K. pound sterling and the Indian rupee. We also have exposure in Philippine pesos,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hedge anticipated transactions that are subject to foreign exchange exposure with foreign currency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deferred and recorded as a component of accumulated other comprehensive income/(loss), net of tax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also use derivatives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evaluate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estimates of future taxable income.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potential additional tax assessments.</w:t>
      </w:r>
    </w:p>
    <w:p>
      <w:pPr>
        <w:spacing w:after="0" w:line="9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generally anticipate that we will indefinitely reinvest the undistributed earnings of our foreign subsidiaries. Accordingly, we do not accrue any material income, distribution or withholding taxes that would otherwise arise if such earnings were repatriated in a taxable manner.</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provision for income tax expense also takes into account any interest or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235"/>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(in million)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442.9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252.8</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101.5</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include reimbursable expenses of $18.9 million, $16.1 million and $11.8 million for the years ended December 31, 2012, 2011 and 2010, respectively. Revenues also include a one-time fee of $2.3 million in 2011.</w:t>
      </w:r>
    </w:p>
    <w:p>
      <w:pPr>
        <w:jc w:val="both"/>
        <w:ind w:left="460" w:right="2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revenues includes $1.9 million, $1.6 million and $1.6 million for the years ended December 31, 2012, 2011 and 2010, respectively, of non-cash stock compensation expense relating to the issuance of equity awards to employees directly involved in providing services to our clients as described in Note 13 to our consolidated financial statements.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$7.5 million, $7.8 million and $6.9 million for the years ended December 31, 2012, 2011 and 2010, respectively, as non-cash amortization of stock compensation expense relating to the issuance of equity awards to our non-operations staff as described in Note 13 to our consolidated financial statements.</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$5.6 million, $4.3 million and $2.0 million for the years ended December 31, 2012, 2011 and 2010, respectively, of amortization of intangibles as described in Note 5 to our consolidated financial statements.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22.9% from $360.5 million for the year ended December 31, 2011 to $442.9 million for the year ended December 31,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$294.4 million for the year ended December 31, 2011 to $366.8 million for the year ended December 31, 2012. The increase in revenues from outsourcing services of $72.4 million was primarily driven by revenues of $49.9 million from the Landacorp Acquisition in 2012 and the OPI Acquisition and the Trumbull Acquisition in 2011 and net volume increases from existing and new clients aggregating to $35.7 million. These increases were partially offset by a net decrease in revenues of $13.2 million, primarily due to the depreciation of the Indian rupee, the U.K. pound sterling and Czech koruna against the U.S. dollar during the year ended December 31, 2012 compared to the year ended December 31, 2011.</w:t>
      </w:r>
    </w:p>
    <w:p>
      <w:pPr>
        <w:spacing w:after="0" w:line="12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Revenues from transformation services increased from $66.2 million for the year ended December, 2011 to $76.2 million for the year ended December 31, 2012. The increase was primarily due to a combination of increased revenues in recurring or annuity-based decision analytics services and an increase in project-based engagements both in our decision analytics and operations and process excellence services. Revenues from new clients for transformation services were $9.4 million and $0.9 million during the year ended December 31, 2012 and 2011, respectively.</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23.6% from $220.0 million for the year ended December 31, 2011 to $271.9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2012. The increase in cost of revenues was primarily due to an increase in employee-related costs of $55.4 million as a result of an increase in the number of our personnel directly involved in providing services to our clients, including $25.8 million of employee-related costs related to our acquisitions. We also experienced an increase in reimbursable expenses of $2.8 million and an increase in facilities, technology and other operating expenses of $14.4 million (primarily due to our acquisitions and new operating centers to support business growth). These increases were partially offset by a decrease of $20.8 million due to the net effect of depreciation of the Indian rupee and the Czech koruna and appreciation of the Philippines peso against the U.S. dollar during the year ended December 31, 2012 compared to the year ended December 31, 2011. Cost of revenues as a percentage of revenues increased from 61.0% for the year ended December 31, 2011 to 61.4% for the year ended December 31, 2012.</w:t>
      </w:r>
    </w:p>
    <w:p>
      <w:pPr>
        <w:spacing w:after="0" w:line="11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21.7% from $140.6 million for the year ended December 31, 2011 to $171.1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The increase in gross profit was primarily due to an increase in revenues of $82.4 million, offset by the increase in cost of revenues of $51.9 million. Gross profit as a percentage of revenues decreased marginally from 39.0% for the year ended December 31, 2011 to 38.6% for the year ended December 31, 2012, primarily due to the OPI Acquisition and the Trumbull Acquisition in 2011, partially offset by the depreciation of the Indian rupee against the U.S. dollar during the year ended December 31, 2012 compared to the year ended December 31, 2011.</w:t>
      </w:r>
    </w:p>
    <w:p>
      <w:pPr>
        <w:spacing w:after="0" w:line="114"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SG&amp;A Expenses. </w:t>
      </w:r>
      <w:r>
        <w:rPr>
          <w:rFonts w:ascii="Arial" w:cs="Arial" w:eastAsia="Arial" w:hAnsi="Arial"/>
          <w:sz w:val="15"/>
          <w:szCs w:val="15"/>
          <w:color w:val="auto"/>
        </w:rPr>
        <w:t>SG&amp;A expenses increased 15.7% from $76.2 million for the year ended December 31, 2011 to $88.2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2012. The increase in SG&amp;A expenses is primarily due to an increase in employee-related costs of $10.2 million, including $5.8 million of employee-related costs related to our acquisitions and our continued investment in sales and client management personnel. We also experienced an increase in other SG&amp;A expenses of $5.7 million, primarily due to increased professional fees, facilities and technology costs incurred at our new operating centers, costs associated with our acquisitions as well as increases in other marketing expenses. These increases were partially offset by a decrease of $3.8 million due to the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net effect of depreciation of the Indian rupee and the Czech koruna and appreciation of the Philippines peso against the U.S. dollar during the year ended December 31, 2012 compared to the year ended December 31, 2011. As a percentage of revenues, SG&amp;A expenses decreased from 21.1% for the year ended December 31, 2011 to 19.9% for the year ended December 31, 2012 as a result of our acquisitions and operating leverage.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11.4% from $23.0 million for the year ended December 31, 2011 to $25.6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2012. The increase is primarily due to the increase in amortization of acquisition-related intangibles of $1.3 million and depreciation related to our new operations centers including our acquisitions of $3.4 million offset by a decrease of $2.0 million due to the net effect of depreciation of the Indian rupee and the Czech koruna and appreciation of the Philippines peso against the U.S. dollar during the year ended December 31, 2012 compared to the year ended December 31, 2011. As a percentage of revenues, depreciation and amortization expenses decreased from 6.4% for the year ended December 31, 2011 to 5.8% for the year ended December 31, 2012. As we add more operations centers, we expect that depreciation expense will increase to reflect the additional investment in equipment and operations centers necessary to meet our service requirements.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38.5% from $41.3 million for the year ended December 31, 2011 to $57.2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2012. As a percentage of revenues, income from operations increased from 11.5% for the year ended December 31, 2011 to 12.9% for the year ended December 31, 2012. The increase in income from operations as a percentage of revenues was primarily due to our operating leverage, resulting in lower SG&amp;A and depreciation and amortization expenses as a percentage of revenue in 2012.</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decreased from $5.3 million for the year ended December 31, 2011 to ($0.5 million) for the year ended December 31, 2012, due to net foreign exchange loss of $2.5 million during the year ended December 31, 2012 compared to net foreign exchange gain of $3.4 million during the year ended December 31, 2011 attributable to movement of the U.S. dollar against the Indian rupee. The average exchange rate of the Indian rupee against the U.S. dollar increased from 46.92 during the year ended December 31, 2011 to 53.40 during the year ended December 31, 2012.</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$11.9 million for the year ended December 31, 2011 to $14.9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2012. The effective tax rate increased from 25.4% for the year ended December 31, 2011 to 26.2% for the year ended December 31, 2012. The increase is primarily due to the partial expiry of the tax holiday benefit for our operations center in Bengaluru, India and provision for taxes for one of our operating centers in Manila, Philippines. Please see Note 12 to our consolidated financial statements for further details.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$34.8 million for the year ended December 31, 2011 to $41.8 million for the year ended December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$15.9 million, offset by a decrease in other income of $5.9 million and an increase in provision for income taxes of $3.0 million. As a percentage of revenues, net income decreased marginally from 9.6% for the year ended December 31, 2011 to 9.4% for the year ended December 31,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42.6% from $252.8 million for the year ended December 31, 2010 to $360.5 million for the year ended December 31,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from outsourcing services increased from $192.1 million for the year ended December 31, 2010 to $294.4 million for the year ended December 31, 2011. The increase in revenues from outsourcing services of $102.3 million was primarily driven by revenues of $63.6 million from the OPI Acquisition and the Trumbull Acquisition in 2011 and our acquisitions of American Express Global Travel Service Center (“GTSC”) and Professional Data Management Again (“PDMA”) in 2010, revenues from a one-time payment of $2.3 million from a client with no associated costs and net volume increases from existing and new clients aggregating to $38.3 million. These increases were partially offset by a net decrease in revenues of $1.9 million, primarily due to the depreciation of the Indian rupee and appreciation of the U.K. pound sterling and Czech koruna against the U.S. dollar during the year ended December 31, 2011 compared to the year ended December 31, 2010.</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Revenues from transformation services increased from $60.7 million for the year ended December, 2010 to $66.2 million for the year ended December 31, 2011. The increase was primarily due to a combination of increased revenues in recurring or annuity-based decision analytics services and an increase in project-based engagements both in our decision analytics and operations and process excellence services. Revenues from new clients for transformation services were $0.9 million and $4.1 million during the year ended December 31, 2011 and 2010, respectively.</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45.4% from $151.3 million for the year ended December 31, 2010 to $220.0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2011. The increase in cost of revenues was primarily due to an increase in employee-related costs of $57.5 million as a result of an increase in the number of our personnel directly involved in providing services to our clients, including $33.9 million of employee-related costs related to the OPI Acquisition and our other acquisitions. We also experienced an increase in reimbursable expenses of $4.3 million (resulting in an increase in revenues) and an increase in facilities, technology and other operating expenses of $9.2 million (primarily due to our acquisitions and new operating centers to support business growth). These increases were partially offset by a decrease of $2.3 million due to the net effect of depreciation of the Indian rupee and appreciation of the Philippines peso and Czech koruna against the U.S. dollar during the year ended December 31, 2011 compared to the year ended December 31, 2010. Cost of revenues as a percentage of revenues increased from 59.9% for the year ended December 31, 2010 to 61.0% for the year ended December 31, 2011.</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38.5% from $101.5 million for the year ended December 31, 2010 to $140.6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increase in gross profit was primarily due to an increase in revenues of $107.8 million, offset by the increase in cost of revenues of $68.7 million. Gross profit as a percentage of revenues decreased from 40.1% for the year ended December 31, 2010 to 39.0% for the year ended December 31, 2011, primarily due to the impact of our acquisitions, partially offset by the depreciation of the Indian rupee against the U.S. dollar during the year ended December 31, 2011 compared to the year ended December 31, 2010.</w:t>
      </w:r>
    </w:p>
    <w:p>
      <w:pPr>
        <w:spacing w:after="0" w:line="139"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expenses increased 29.0% from $59.1 million for the year ended December 31, 2010 to $76.2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2011. The increase in SG&amp;A expenses is primarily due to an increase in employee-related costs of $12.0 million, including $4.7 million of employee-related costs related to the OPI acquisition and our continued investment in sales and client management personnel. We also experienced an increase in other SG&amp;A expenses of $3.6 million, primarily due to professional fees associated with our acquisitions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and travel-related expenses. These increases were partially offset by a decrease of $0.5 million due to the depreciation of the Indian rupee against the U.S. dollar during the year ended December 31, 2011 compared to the year ended December 31, 2010. As a percentage of revenues, SG&amp;A expenses decreased from 23.4% for the year ended December 31, 2010 to 21.1% for the year ended December 31, 2011.</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45.2% from $15.9 million for the year ended December 31, 2010 to $23.0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2011. The increase is primarily due to the increase in amortization of acquisition-related intangibles of $2.3 million and depreciation related to our new operations centers (including those acquired from our acquisitions) of $5.3 million offset by a decrease of $0.5 million due to the depreciation of the Indian rupee and appreciation of the Philippine peso and the Czech koruna against the U.S. dollar during the year ended December 31, 2011 compared to the year ended December 31, 2010. As we add more operations centers, we expect that depreciation expense will increase to reflect the additional investment in equipment and operations centers necessary to meet our service requirements.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55.8% from $26.5 million for the year ended December 31, 2010 to $41.3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As a percentage of revenues, income from operations increased from 10.5% for the year ended December 31, 2010 to 11.5% for the year ended December 31, 2011. The increase in income from operations as a percentage of revenues was primarily due to operating leverage and the OPI Acquisition, resulting in lower SG&amp;A expenses as a percentage of revenue in 2011.</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decreased from $5.6 million for the year ended December 31, 2010 to $5.3 million for the year ended December 31, 2011, primarily as a result of decrease in net foreign exchange gain of $3.4 million during the year ended December 31, 2011 compared to net foreign exchange gain of $4.2 million during the year ended December 31, 2010 attributable to movement of the U.S. dollar against the Indian rupee, offset by an increase of $0.6 million in net interest income and other income. The average exchange rate of the Indian rupee against the U.S. dollar increased from 45.65 during the year ended December 31, 2010 to 46.92 during the year ended December 31, 2011.</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from $5.5 million for the year ended December 31, 2010 to $11.9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The effective tax rate increased from 17.1% for the year ended December 31, 2010 to 25.4% for the year ended December 31, 2011. The increase in effective tax rate in 2011 was primarily due to a reversal in 2010 related to a tax position taken by one of our foreign subsidiaries in India. During 2010, the Indian tax authorities issued a clarification with respect to the taxability of certain components of taxable income which reduced our foreign subsidiary’s taxable income and its corresponding tax liability. This clarification decreased the level of uncertainty in our tax position and was the basis on which we reduced the amount of our income tax reserve by $2.8 million for 2010. The reversal of the tax reserve positively impacted our effective income tax rate by 8.9% for 2010.</w:t>
      </w:r>
    </w:p>
    <w:p>
      <w:pPr>
        <w:spacing w:after="0" w:line="14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$26.6 million for the year ended December 31, 2010 to $34.8 million for the year ended December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$14.8 million, offset by a decrease in other income of $0.2 million and an increase in provision for income taxes of $6.4 million. As a percentage of revenues, net income decreased from 10.5% for the year ended December 31, 2010 to 9.6% for the year ended December 31, 2011.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December 31, 2012, we had $109.2 million in cash and cash equivalents and short-term investments which include $61.5 million held by our foreign subsidiaries. We do not intend to repatriate such funds since our future growth depends upon continued infrastructure and technology investments, geographical expansions and acquisitions outside of the U.S. Therefore, we need to continuously and permanently reinvest the earnings generated outside of the U.S. If we were to repatriate the funds, we would need to accrue and pay applicable taxes.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flows provided by operating activities increased from $56.2 million in the year ended December 31, 2011 to $65.8 million in the year ended December 31, 2012.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 The increase in cash flows provided by operations for the year ended December 31, 2012 was predominantly due to an increase in net income adjusted for non-cash items by $21.1 million offset by decrease in working capital of $11.6 million. The increase in net income adjusted for non-cash items is primarily due to an increase in net income of $7.0 million, depreciation and amortization expense of $2.6 million, deferred income taxes of $6.4 million and decrease in unrealized foreign exchange gain of $5.7 million.</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Changes in working capital are primarily due to a decrease in trade accounts receivable of $3.0 million and accrued expenses and other liabilities of $9.2 million during the year ended December 31, 2012 compared to the year ended December 31, 2011. Our days’ sales outstanding increased from 49 days as of December 31, 2011 to 56 days as of December 31, 2012, primarily due to our milestones-based billing pertaining to our software licensing and implementation contracts associated with the Landacorp Acquisition.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flows used for investing activities decreased from $105.8 million in the year ended December 31, 2011 to $54.8 million in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decrease is primarily due to the payment of the purchase consideration of approximately $37.5 million for the Landacorp Acquisition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compared to $81.0 million (net of cash acquired of $20.1 million) paid for the OPI Acquisition and the Trumbull Acquisition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Further, net proceeds from short-term investments increased by $6.8 million during the year ended December 31, 2012 compared to the year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2011.</w:t>
      </w:r>
    </w:p>
    <w:p>
      <w:pPr>
        <w:spacing w:after="0" w:line="16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Cash flows provided by financing activities decreased from $24.9 million in the year ended December 31, 2011 to $9.9 million during the year ended December 31, 2012. The decrease was primarily due to net proceeds from the issuance of common stock in a public offering of $21.5 million during the year ended December 31, 2011. This decrease was partially offset by higher proceeds from the exercise of stock options of $9.6 million during the year ended December 31, 2012 compared to $5.5 million during the year ended December 31, 2011.</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purchase telecommunications equipment and computer hardware and software in connection with managing client operations. We incurred approximately $18.8 million and $19.5 million of capital expenditures in the year ended December 31, 2012 and 2011, respectively. We expect to incur capital expenditures of between $25.0 million to $30.0 million in the calendar year 2013, primarily to meet the growth requirements of our clients, including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including against exl Service.com (India) Private Limited (“Exl India”) and Exl Service.com, Inc. (“Exl Inc.”), we may be required to deposit additional amounts with respect to such assessment orders. Refer to Note 15 to our consolidated financial statements for further details.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26, 2011, we entered into a three-year credit agreement (the “Credit Facility”) with certain lenders and JPMorgan Chase Bank, N.A., as Administrative Agent. Borrowings under the Credit Facility may be used for working capital and general corporate purposes. Originally a $50.0 million revolving facility, including a letter of credit sub-facility, the availability under the Credit Facility was reduced to $15.0 million in June 2012. Upon our request, and the fulfillment of certain conditions, the Credit Facility can be increased to $50.0 million. As of December 31, 2012, we did not have any borrowings under the Credit Facility.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we had no off-balance sheet arrangements or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6"/>
              </w:rPr>
              <w:t>Payment Due by Period</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66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90"/>
              </w:rPr>
              <w:t>After 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1 year</w:t>
            </w: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13.4</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18.9</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$3.0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operations centers in Manila, the Philippines are registered with PEZA. The registration provides us with certain fiscal incentives on the import of capital goods and requires that Exl Philippines meet certain performance and investment criteria. One of our operations centers in the Philippines benefited from a four-year income tax holiday that expired in May 2012. In February 2013, we received a one-year extension retroactively from May 2012 and expect to file another extension request after which no further extensions are presently permitted. Our new operations center in the Philippines, which began operations in January 2012, benefits from a separate four-year income tax holiday that can be extended at PEZA’s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Requirements in U.S. GAAP and IFRS</w:t>
      </w:r>
      <w:r>
        <w:rPr>
          <w:rFonts w:ascii="Arial" w:cs="Arial" w:eastAsia="Arial" w:hAnsi="Arial"/>
          <w:sz w:val="16"/>
          <w:szCs w:val="16"/>
          <w:color w:val="auto"/>
        </w:rPr>
        <w:t>” (ASU No. 2011-04). ASU No. 2011-04 is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U.S. generally accepted accounting principles (“GAAP”) and International Financial Reporting Standards (“IFRS”). ASU No. 2011-04 explains how to measure fair value and does not require additional measurements. Accordingly, our adoption of this accounting pronouncement from January 1, 2012 did not have an impact on our consolidated financial statements.</w:t>
      </w:r>
    </w:p>
    <w:p>
      <w:pPr>
        <w:spacing w:after="0" w:line="1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June 2011, the FASB issued update No.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(ASU No. 2011-05). ASU No. 2011-05, effective retrospectively for the interim and annual periods beginning on or 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We adopted the option of presentation in two separate but consecutive statements. Refer to our consolidated statements of comprehensive income/(loss) for further details.</w:t>
      </w:r>
    </w:p>
    <w:p>
      <w:pPr>
        <w:spacing w:after="0" w:line="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December 2011, the FASB issued update No. 2011-12, </w:t>
      </w:r>
      <w:r>
        <w:rPr>
          <w:rFonts w:ascii="Arial" w:cs="Arial" w:eastAsia="Arial" w:hAnsi="Arial"/>
          <w:sz w:val="18"/>
          <w:szCs w:val="18"/>
          <w:i w:val="1"/>
          <w:iCs w:val="1"/>
          <w:color w:val="auto"/>
        </w:rPr>
        <w:t>“Deferral of the Effective Date for Amendments to the Presentation of Reclassifications of Items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in Accounting Standards” </w:t>
      </w:r>
      <w:r>
        <w:rPr>
          <w:rFonts w:ascii="Arial" w:cs="Arial" w:eastAsia="Arial" w:hAnsi="Arial"/>
          <w:sz w:val="18"/>
          <w:szCs w:val="18"/>
          <w:color w:val="auto"/>
        </w:rPr>
        <w:t>(ASU No. 2011-12), which deferred the requirement to present on the face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effects of reclassifications out of accumulated other comprehensive income on the components of net income and other comprehensive income for annual and interim financial statements. The adoption of this accounting pronouncement from January 1, 2012 did not have any impact on our consolidated financial statements.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(ASU No. 2011-08), which permits an entity to first perform a qualitative assessment to determine whether it is more likely than not that the fair value of a reporting unit is less than its carrying value. If an entity concludes that the fair value of a reporting unit is less than its carrying value, it is necessary to perform a two-step goodwill impairment test. ASU No. 2011-08 is effective for annual and interim goodwill impairment tests performed for fiscal years beginning after December 15, 2011. The adoption of this accounting pronouncement did not have a material impact on our consolidated financial statements and our annual goodwill impairment assessment for the fiscal year 2012.</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July 2012, the FASB issued update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We do not expect the new guidance to have an impact on our 2013 impairment test results.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No.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(ASU 2013-02). Under ASU 2013-02, an entity is required to provide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reclassified out of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2013-02 does not change the current requirements for reporting net income or other comprehensive income in the financial statements. ASU 2013-02 is effective for us on January 1, 2013 and we do not expect the new guidance to have an impact on our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 xml:space="preserve">Foreign Currency Risk. </w:t>
      </w:r>
      <w:r>
        <w:rPr>
          <w:rFonts w:ascii="Arial" w:cs="Arial" w:eastAsia="Arial" w:hAnsi="Arial"/>
          <w:sz w:val="15"/>
          <w:szCs w:val="15"/>
          <w:color w:val="auto"/>
        </w:rPr>
        <w:t>Our exposure to market risk arises principally from exchange rate risk. Although substantially all of our revenues are denominated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U.S. dollars (72.3% in the year ended December 31, 2012) or U.K. pounds sterling (20.2% in the year ended December 31, 2012), a substantial portion of our expenses were incurred and paid in Indian rupees and Philippine pesos (55.2% and 7.2%, respectively, in the year ended December 31, 2012). We also incur expenses in U.S. dollars, the Czech koruna and the currencies of the other countries in which we have operations. The exchange rates among the Indian rupee, the Philippine peso, U.K. pound sterling, Czech koruna and the U.S. dollar have changed substantially in recent years and may fluctuate substantially in the future.</w:t>
      </w:r>
    </w:p>
    <w:p>
      <w:pPr>
        <w:spacing w:after="0" w:line="10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Our exchange rate risk primarily arises from our foreign currency revenues, expenses incurred by our foreign subsidiaries and foreign currency accounts receivable and payable. Based upon our level of operations during the year ended December 31, 2012 and excluding any hedging arrangements that we had in place during that period, a 5% appreciation/depreciation in the Indian rupee against the U.S. dollar would have increased/decreased our revenues in the year ended December 31, 2012 by approximately $5.6 million and our expenses incurred and paid in Indian rupees by approximately $10.6 million.</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sought to reduce the effect of Indian rupee and Philippine peso and certain other local currency exchange rate fluctuations on our operating results by purchasing forward foreign exchange contracts to cover a substantial portion of our expected cash flows. Further, a significant number of our customer contracts include protection against foreign exchange rate fluctuations which minimizes the impact of volatility in the exchange rates on our operating results. Forward exchange contracts with notional amounts of $160.0 million were outstanding at December 31, 2012 compared to $184.3 million outstanding at December 31, 2011. At December 31, 2012, the cash flow hedging derivatives had maturity periods of one to thirty-three months. These contracts must be settled on the day of maturity or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Philippine pesos foreign exchange currency risks. In addition, any such contracts may not perform adequately as a hedging mechanism. We may, in the future, adopt more active hedging policies, and have done so in the past.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hedge our net recognized foreign currency assets and liabilities with foreign exchange forward contracts to reduce the risk that our earnings and cash flows will be adversely affected by changes in foreign currency exchange rates. These derivative instruments hedge assets and liabilities that are denominated in foreign currencies and are carried at fair value with changes in the fair value recorded as foreign exchange gain/(loss).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$61.2 million and GBP 11.4 million were outstanding at December 31, 2012 compared to $51.6 million and GBP 10.3 million outstanding at December 31, 2011. At December 31, 2012, the outstanding balance sheet hedging derivatives had maturities of 31 days or less.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We had cash, cash equivalents and short-term investments totaling $109.2 million at December 31, 2012. These amounts were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50 basis points change in short term rates would impact our interest income for the year ended December 31, 2012 by approximately $0.2 million. As of December 31, 2012, we did not have any borrowings under the Credit Facility.</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Credit Risk. </w:t>
      </w:r>
      <w:r>
        <w:rPr>
          <w:rFonts w:ascii="Arial" w:cs="Arial" w:eastAsia="Arial" w:hAnsi="Arial"/>
          <w:sz w:val="16"/>
          <w:szCs w:val="16"/>
          <w:color w:val="auto"/>
        </w:rPr>
        <w:t>As of December 31, 2012, we had accounts receivable of $73.7 million. We believe that our credit policies reflect normal industry terms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2012. Based upon that evaluation, the CEO and CFO have concluded that, as of December 31, 2012, the Company’s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The financial statements include amounts that are based on estimates and judgments which management believes are reasonable under the circumstances.</w:t>
      </w:r>
    </w:p>
    <w:p>
      <w:pPr>
        <w:spacing w:after="0" w:line="8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3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2012. In making this assessment, management used the criteria described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2012. See Ernst &amp; Young LLP’s accompanying report on their audit of our internal controls over financial reporting.</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On October 12, 2012, we completed the Landacorp Acquisition. The scope of our assessment of the effectiveness of internal control over financial reporting does not include this newly acquired business as permitted by SEC rules for recently acquired businesses. We are in the process of reviewing the internal control structure of Landacorp, and, if necessary, will make appropriate changes as we incorporate our controls and procedures into the acquired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260" w:firstLine="456"/>
        <w:spacing w:after="0" w:line="370" w:lineRule="auto"/>
        <w:rPr>
          <w:sz w:val="20"/>
          <w:szCs w:val="20"/>
          <w:color w:val="auto"/>
        </w:rPr>
      </w:pPr>
      <w:r>
        <w:rPr>
          <w:rFonts w:ascii="Arial" w:cs="Arial" w:eastAsia="Arial" w:hAnsi="Arial"/>
          <w:sz w:val="15"/>
          <w:szCs w:val="15"/>
          <w:color w:val="auto"/>
        </w:rPr>
        <w:t>During the three months ended December 31, 2012,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making its assessment of the changes in internal control over financial reporting during the quarter ended December 31, 2012, our management excluded an evaluation of the disclosure controls and procedures of Landacorp, Inc. which was acquired on October 12, 2012. See Note 5 to our consolidated financial statements for details of the acquisition.</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w:t>
      </w:r>
      <w:r>
        <w:rPr>
          <w:rFonts w:ascii="Arial" w:cs="Arial" w:eastAsia="Arial" w:hAnsi="Arial"/>
          <w:sz w:val="18"/>
          <w:szCs w:val="18"/>
          <w:u w:val="single" w:color="auto"/>
          <w:color w:val="auto"/>
        </w:rPr>
        <w:t>http://www.exlservice.com</w:t>
      </w:r>
      <w:r>
        <w:rPr>
          <w:rFonts w:ascii="Arial" w:cs="Arial" w:eastAsia="Arial" w:hAnsi="Arial"/>
          <w:sz w:val="18"/>
          <w:szCs w:val="18"/>
          <w:color w:val="auto"/>
        </w:rPr>
        <w:t>.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2013 Annual Meeting of Stockholders (the Proxy Statement), which we intend to file with the SEC within 120 days after the fiscal year end of December 31, 2012.</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Financial Statements.</w:t>
      </w:r>
    </w:p>
    <w:p>
      <w:pPr>
        <w:spacing w:after="0" w:line="117"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The consolidated financial statements are listed under “Item 8. Financial Statements and Supplementary Data” of this Annual Report on Form 10-K.</w:t>
      </w:r>
    </w:p>
    <w:p>
      <w:pPr>
        <w:spacing w:after="0" w:line="78" w:lineRule="exact"/>
        <w:rPr>
          <w:sz w:val="20"/>
          <w:szCs w:val="20"/>
          <w:color w:val="auto"/>
        </w:rPr>
      </w:pPr>
    </w:p>
    <w:p>
      <w:pPr>
        <w:ind w:left="1040" w:hanging="463"/>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040" w:right="560"/>
        <w:spacing w:after="0" w:line="332" w:lineRule="auto"/>
        <w:rPr>
          <w:rFonts w:ascii="Arial" w:cs="Arial" w:eastAsia="Arial" w:hAnsi="Arial"/>
          <w:sz w:val="18"/>
          <w:szCs w:val="18"/>
          <w:color w:val="auto"/>
        </w:rPr>
      </w:pPr>
      <w:r>
        <w:rPr>
          <w:rFonts w:ascii="Arial" w:cs="Arial" w:eastAsia="Arial" w:hAnsi="Arial"/>
          <w:sz w:val="16"/>
          <w:szCs w:val="16"/>
          <w:color w:val="auto"/>
        </w:rPr>
        <w:t>Financial statement schedules as of December 31, 2012 and 2011, have been omitted since they are either not required, not material or the information is otherwise included in our consolidated financial statements or the notes to our consolidated financial statements.</w:t>
      </w:r>
    </w:p>
    <w:p>
      <w:pPr>
        <w:spacing w:after="0" w:line="31" w:lineRule="exact"/>
        <w:rPr>
          <w:rFonts w:ascii="Arial" w:cs="Arial" w:eastAsia="Arial" w:hAnsi="Arial"/>
          <w:sz w:val="18"/>
          <w:szCs w:val="18"/>
          <w:color w:val="auto"/>
        </w:rPr>
      </w:pPr>
    </w:p>
    <w:p>
      <w:pPr>
        <w:ind w:left="1040" w:hanging="463"/>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040" w:right="520"/>
        <w:spacing w:after="0" w:line="268" w:lineRule="auto"/>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77"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6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March 7, 2013</w:t>
      </w:r>
      <w:r>
        <w:rPr>
          <w:sz w:val="20"/>
          <w:szCs w:val="20"/>
          <w:color w:val="auto"/>
        </w:rPr>
        <w:tab/>
      </w:r>
      <w:r>
        <w:rPr>
          <w:rFonts w:ascii="Arial" w:cs="Arial" w:eastAsia="Arial" w:hAnsi="Arial"/>
          <w:sz w:val="16"/>
          <w:szCs w:val="16"/>
          <w:b w:val="1"/>
          <w:bCs w:val="1"/>
          <w:color w:val="auto"/>
        </w:rPr>
        <w:t>EXLSERVICE HOLDINGS, INC.</w:t>
      </w:r>
    </w:p>
    <w:p>
      <w:pPr>
        <w:spacing w:after="0" w:line="231"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Vishal Chhibbar</w:t>
      </w:r>
    </w:p>
    <w:p>
      <w:pPr>
        <w:ind w:left="6400"/>
        <w:spacing w:after="0" w:line="221" w:lineRule="auto"/>
        <w:rPr>
          <w:sz w:val="20"/>
          <w:szCs w:val="20"/>
          <w:color w:val="auto"/>
        </w:rPr>
      </w:pPr>
      <w:r>
        <w:rPr>
          <w:rFonts w:ascii="Arial" w:cs="Arial" w:eastAsia="Arial" w:hAnsi="Arial"/>
          <w:sz w:val="14"/>
          <w:szCs w:val="14"/>
          <w:b w:val="1"/>
          <w:bCs w:val="1"/>
          <w:color w:val="auto"/>
        </w:rPr>
        <w:t>Chief Financial Officer</w:t>
      </w:r>
    </w:p>
    <w:p>
      <w:pPr>
        <w:ind w:left="640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15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316"/>
        </w:trPr>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Vice-Chairman and Director (Principal</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840" w:type="dxa"/>
            <w:vAlign w:val="bottom"/>
            <w:gridSpan w:val="3"/>
          </w:tcPr>
          <w:p>
            <w:pPr>
              <w:ind w:left="300"/>
              <w:spacing w:after="0"/>
              <w:rPr>
                <w:sz w:val="20"/>
                <w:szCs w:val="20"/>
                <w:color w:val="auto"/>
              </w:rPr>
            </w:pPr>
            <w:r>
              <w:rPr>
                <w:rFonts w:ascii="Arial" w:cs="Arial" w:eastAsia="Arial" w:hAnsi="Arial"/>
                <w:sz w:val="14"/>
                <w:szCs w:val="14"/>
                <w:b w:val="1"/>
                <w:bCs w:val="1"/>
                <w:color w:val="auto"/>
              </w:rPr>
              <w:t>Rohit Kapoor</w:t>
            </w:r>
          </w:p>
        </w:tc>
        <w:tc>
          <w:tcPr>
            <w:tcW w:w="51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Executive Officer)</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5160" w:type="dxa"/>
            <w:vAlign w:val="bottom"/>
            <w:gridSpan w:val="3"/>
            <w:vMerge w:val="restart"/>
          </w:tcPr>
          <w:p>
            <w:pPr>
              <w:ind w:left="100"/>
              <w:spacing w:after="0"/>
              <w:rPr>
                <w:sz w:val="20"/>
                <w:szCs w:val="20"/>
                <w:color w:val="auto"/>
              </w:rPr>
            </w:pPr>
            <w:r>
              <w:rPr>
                <w:rFonts w:ascii="Arial" w:cs="Arial" w:eastAsia="Arial" w:hAnsi="Arial"/>
                <w:sz w:val="18"/>
                <w:szCs w:val="18"/>
                <w:color w:val="auto"/>
                <w:w w:val="95"/>
              </w:rPr>
              <w:t>Chief Financial Officer (Principal Financial and Accounting Officer)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0"/>
              </w:rPr>
              <w:t>Vishal Chhibbar</w:t>
            </w:r>
          </w:p>
        </w:tc>
        <w:tc>
          <w:tcPr>
            <w:tcW w:w="516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2"/>
              </w:rPr>
              <w:t>Vikram Talwar</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83"/>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IRAN</w:t>
            </w:r>
            <w:r>
              <w:rPr>
                <w:rFonts w:ascii="Arial" w:cs="Arial" w:eastAsia="Arial" w:hAnsi="Arial"/>
                <w:sz w:val="18"/>
                <w:szCs w:val="18"/>
                <w:color w:val="auto"/>
              </w:rPr>
              <w:t xml:space="preserve"> K</w:t>
            </w:r>
            <w:r>
              <w:rPr>
                <w:rFonts w:ascii="Arial" w:cs="Arial" w:eastAsia="Arial" w:hAnsi="Arial"/>
                <w:sz w:val="14"/>
                <w:szCs w:val="14"/>
                <w:color w:val="auto"/>
              </w:rPr>
              <w:t>ARNIK</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6"/>
              </w:rPr>
              <w:t>Kiran Karnik</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David B. Kelso</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8"/>
              </w:rPr>
              <w:t>Clyde W. Ostler</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28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0"/>
              </w:rPr>
              <w:t>Dr. Mohanbir Sawhney</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51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86"/>
              </w:rPr>
              <w:t>March 7, 2013</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84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Garen K. Staglin</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p>
      <w:pPr>
        <w:spacing w:after="0" w:line="320"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(incorporated by reference to Exhibit 3.1 to the Current Report on Form 8-K filed on October 25,</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2006).</w:t>
      </w:r>
    </w:p>
    <w:p>
      <w:pPr>
        <w:spacing w:after="0" w:line="11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by reference to Exhibit 3.1 to the Current Report on Form 8-K filed on May 2, 2011).</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Stock Certificate (incorporated by reference to Exhibit 4.1 of Amendment 6 to our Registration Statement on Form S-1 (No. 333-121001)).</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Registration Rights Agreement (incorporated by reference to Exhibit 4.1 to the Current Report on Form 8-K filed on October 25, 2006).</w:t>
      </w:r>
    </w:p>
    <w:p>
      <w:pPr>
        <w:spacing w:after="0" w:line="117" w:lineRule="exact"/>
        <w:rPr>
          <w:sz w:val="20"/>
          <w:szCs w:val="20"/>
          <w:color w:val="auto"/>
        </w:rPr>
      </w:pPr>
    </w:p>
    <w:p>
      <w:pPr>
        <w:ind w:left="820" w:right="320" w:hanging="809"/>
        <w:spacing w:after="0" w:line="332"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Professional Services Agreement, dated March 7, 2006, between The Travelers Indemnity Company and ExlService Holdings, Inc as amended by Amendment 3, effective January 1, 2009 (incorporated by reference to Exhibit 10.1 to Annual Report on Form 10-K filed on March 16, 2010).</w:t>
      </w:r>
    </w:p>
    <w:p>
      <w:pPr>
        <w:spacing w:after="0" w:line="31" w:lineRule="exact"/>
        <w:rPr>
          <w:sz w:val="20"/>
          <w:szCs w:val="20"/>
          <w:color w:val="auto"/>
        </w:rPr>
      </w:pPr>
    </w:p>
    <w:p>
      <w:pPr>
        <w:ind w:left="820" w:right="440" w:hanging="809"/>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Employment Agreement, dated May 1, 2009, between exlservice.com (India) Private Limited and Vishal Chhibbar (incorporated by reference to Exhibit 10.2 to Annual Report on Form 10-K filed on March 16, 2010).</w:t>
      </w:r>
    </w:p>
    <w:p>
      <w:pPr>
        <w:spacing w:after="0" w:line="78" w:lineRule="exact"/>
        <w:rPr>
          <w:sz w:val="20"/>
          <w:szCs w:val="20"/>
          <w:color w:val="auto"/>
        </w:rPr>
      </w:pPr>
    </w:p>
    <w:p>
      <w:pPr>
        <w:ind w:left="820" w:right="500" w:hanging="809"/>
        <w:spacing w:after="0" w:line="268"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Letter Agreement, effective June 1, 2009, between ExlService Holdings, Inc, and Vishal Chhibbar (incorporated by reference to Exhibit 10.3 to Annual Report on Form 10-K filed on March 16, 2010).</w:t>
      </w:r>
    </w:p>
    <w:p>
      <w:pPr>
        <w:spacing w:after="0" w:line="78" w:lineRule="exact"/>
        <w:rPr>
          <w:sz w:val="20"/>
          <w:szCs w:val="20"/>
          <w:color w:val="auto"/>
        </w:rPr>
      </w:pPr>
    </w:p>
    <w:p>
      <w:pPr>
        <w:ind w:left="820" w:right="420" w:hanging="809"/>
        <w:spacing w:after="0" w:line="268"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Contract, as amended, effective October 3, 2006, by and between ExlService Inc. and Amit Shashank (incorporated by reference to Exhibit 10.12 of Amendment 6 to our Registration Statement on Form S-1 (No. 333-121001)).</w:t>
      </w:r>
    </w:p>
    <w:p>
      <w:pPr>
        <w:spacing w:after="0" w:line="78" w:lineRule="exact"/>
        <w:rPr>
          <w:sz w:val="20"/>
          <w:szCs w:val="20"/>
          <w:color w:val="auto"/>
        </w:rPr>
      </w:pPr>
    </w:p>
    <w:p>
      <w:pPr>
        <w:ind w:left="820" w:right="420" w:hanging="809"/>
        <w:spacing w:after="0" w:line="268"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Employment and Non-Competition Agreement entered into by and among ExlService Holdings, Inc. and Vikram Talwar (incorporated by reference to Exhibit 10.10 to Annual Report on Form 10-K filed on March 16, 2009).</w:t>
      </w:r>
    </w:p>
    <w:p>
      <w:pPr>
        <w:spacing w:after="0" w:line="78" w:lineRule="exact"/>
        <w:rPr>
          <w:sz w:val="20"/>
          <w:szCs w:val="20"/>
          <w:color w:val="auto"/>
        </w:rPr>
      </w:pPr>
    </w:p>
    <w:p>
      <w:pPr>
        <w:jc w:val="right"/>
        <w:ind w:right="40"/>
        <w:spacing w:after="0" w:line="332" w:lineRule="auto"/>
        <w:rPr>
          <w:sz w:val="20"/>
          <w:szCs w:val="20"/>
          <w:color w:val="auto"/>
        </w:rPr>
      </w:pPr>
      <w:r>
        <w:rPr>
          <w:rFonts w:ascii="Arial" w:cs="Arial" w:eastAsia="Arial" w:hAnsi="Arial"/>
          <w:sz w:val="16"/>
          <w:szCs w:val="16"/>
          <w:color w:val="auto"/>
        </w:rPr>
        <w:t>10.6      Amendment, effective June 2, 2010, to the Amended and Restated Employment and Non-Competition Agreement, dated December 16, 2008 between Vikram Talwar and ExlService Holdings, Inc. (incorporated by reference to Exhibit 10.1 to Quarterly Report on Form 10-Q filed on August 9, 2010).</w:t>
      </w:r>
    </w:p>
    <w:p>
      <w:pPr>
        <w:spacing w:after="0" w:line="31" w:lineRule="exact"/>
        <w:rPr>
          <w:sz w:val="20"/>
          <w:szCs w:val="20"/>
          <w:color w:val="auto"/>
        </w:rPr>
      </w:pPr>
    </w:p>
    <w:p>
      <w:pPr>
        <w:ind w:left="820" w:right="66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Summary of terms of compensation for Vikram Talwar (incorporated by reference to Exhibit 10.1 to Quarterly Report on Form 10-Q filed on November 9, 2010).</w:t>
      </w:r>
    </w:p>
    <w:p>
      <w:pPr>
        <w:spacing w:after="0" w:line="78" w:lineRule="exact"/>
        <w:rPr>
          <w:sz w:val="20"/>
          <w:szCs w:val="20"/>
          <w:color w:val="auto"/>
        </w:rPr>
      </w:pPr>
    </w:p>
    <w:p>
      <w:pPr>
        <w:ind w:left="820" w:right="52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Amended and Restated Employment and Non-Competition Agreement entered into by and among ExlService Holdings, Inc. and Rohit Kapoor (incorporated by reference to Exhibit 10.11 to Annual Report on Form 10-K filed on March 16, 2009).</w:t>
      </w:r>
    </w:p>
    <w:p>
      <w:pPr>
        <w:spacing w:after="0" w:line="78" w:lineRule="exact"/>
        <w:rPr>
          <w:sz w:val="20"/>
          <w:szCs w:val="20"/>
          <w:color w:val="auto"/>
        </w:rPr>
      </w:pPr>
    </w:p>
    <w:p>
      <w:pPr>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to the Amended and Restated Employment and Non-Competition Agreement entered into by and among ExlService Holdings, Inc. and Rohit Kapoor (incorporated by reference to Exhibit 10.7 to Annual Report on Form 10-K filed on March 16, 2010).</w:t>
      </w:r>
    </w:p>
    <w:p>
      <w:pPr>
        <w:spacing w:after="0" w:line="31"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ExlService Holdings, Inc. 2003 India Stock Option Plan (incorporated by reference to Exhibit 10.16 of Amendment 6 to our Registration Statement on Form S-1 (No. 333-121001)).</w:t>
      </w:r>
    </w:p>
    <w:p>
      <w:pPr>
        <w:spacing w:after="0" w:line="78" w:lineRule="exact"/>
        <w:rPr>
          <w:sz w:val="20"/>
          <w:szCs w:val="20"/>
          <w:color w:val="auto"/>
        </w:rPr>
      </w:pPr>
    </w:p>
    <w:p>
      <w:pPr>
        <w:ind w:left="820" w:right="400" w:hanging="809"/>
        <w:spacing w:after="0" w:line="268"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ExlService Holdings, Inc. 2003 Stock Option Plan (incorporated by reference to Exhibit 10.18 of Amendment 6 to our Registration Statement on Form S-1 (No. 333-121001)).</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ExlService Holdings, Inc. 2006 Omnibus Plan (incorporated by reference to Exhibit 10.20 of Amendment 6 to our Registration Statement on Form 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(No. 333-121001)).</w:t>
      </w:r>
    </w:p>
    <w:p>
      <w:pPr>
        <w:spacing w:after="0" w:line="111" w:lineRule="exact"/>
        <w:rPr>
          <w:sz w:val="20"/>
          <w:szCs w:val="20"/>
          <w:color w:val="auto"/>
        </w:rPr>
      </w:pPr>
    </w:p>
    <w:p>
      <w:pPr>
        <w:ind w:left="820" w:right="10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ExlService Holdings, Inc. 2006 Omnibus India Subplan 1 (incorporated by reference to Exhibit 10.21 of Amendment 6 to our Registration Statement on Form S-1 (No. 333-121001)).</w:t>
      </w:r>
    </w:p>
    <w:p>
      <w:pPr>
        <w:spacing w:after="0" w:line="78" w:lineRule="exact"/>
        <w:rPr>
          <w:sz w:val="20"/>
          <w:szCs w:val="20"/>
          <w:color w:val="auto"/>
        </w:rPr>
      </w:pPr>
    </w:p>
    <w:p>
      <w:pPr>
        <w:ind w:left="820" w:right="500" w:hanging="771"/>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Stock Option Agreement under the 2006 Omnibus India Subplan 1 (incorporated by reference to Exhibit 10.22 of Amendment 6 to our Registration Statement on Form S-1 (No. 333-121001)).</w:t>
      </w:r>
    </w:p>
    <w:p>
      <w:pPr>
        <w:spacing w:after="0" w:line="78" w:lineRule="exact"/>
        <w:rPr>
          <w:sz w:val="20"/>
          <w:szCs w:val="20"/>
          <w:color w:val="auto"/>
        </w:rPr>
      </w:pPr>
    </w:p>
    <w:p>
      <w:pPr>
        <w:ind w:left="820" w:right="100" w:hanging="771"/>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ExlService Holdings, Inc. Management Incentive Plan (incorporated by reference to Exhibit 10.23 of Amendment 6 to our Registration Statement on Form S-1 (No. 333-121001)).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920" w:right="220" w:hanging="917"/>
        <w:spacing w:after="0" w:line="268"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Restricted Stock Award Agreement under the 2006 Omnibus Award Plan (incorporated by reference to Exhibit 10.31 of Amendment 6 to our Registration Statement on Form S-1 (No. 333-121001)).</w:t>
      </w:r>
    </w:p>
    <w:p>
      <w:pPr>
        <w:spacing w:after="0" w:line="78" w:lineRule="exact"/>
        <w:rPr>
          <w:sz w:val="20"/>
          <w:szCs w:val="20"/>
          <w:color w:val="auto"/>
        </w:rPr>
      </w:pPr>
    </w:p>
    <w:p>
      <w:pPr>
        <w:ind w:left="920" w:right="680" w:hanging="917"/>
        <w:spacing w:after="0" w:line="268"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Stock Option Agreement under the 2006 Omnibus Award Plan (incorporated by reference to Exhibit 10.32 of Amendment 6 to our Registration Statement on Form S-1 (No. 333-121001)).</w:t>
      </w:r>
    </w:p>
    <w:p>
      <w:pPr>
        <w:spacing w:after="0" w:line="78" w:lineRule="exact"/>
        <w:rPr>
          <w:sz w:val="20"/>
          <w:szCs w:val="20"/>
          <w:color w:val="auto"/>
        </w:rPr>
      </w:pPr>
    </w:p>
    <w:p>
      <w:pPr>
        <w:ind w:left="920" w:right="120" w:hanging="917"/>
        <w:spacing w:after="0" w:line="268"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Restricted Stock Award Agreement under the 2006 Omnibus India Subplan 1 (incorporated by reference to Exhibit 10.33 of Amendment 6 to our Registration Statement on Form S-1 (No. 333-121001)).</w:t>
      </w:r>
    </w:p>
    <w:p>
      <w:pPr>
        <w:spacing w:after="0" w:line="78" w:lineRule="exact"/>
        <w:rPr>
          <w:sz w:val="20"/>
          <w:szCs w:val="20"/>
          <w:color w:val="auto"/>
        </w:rPr>
      </w:pPr>
    </w:p>
    <w:p>
      <w:pPr>
        <w:ind w:left="920" w:right="180" w:hanging="917"/>
        <w:spacing w:after="0" w:line="268"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Nonqualified Stock Option Award Agreement between Amit Shashank and the Company dated June 1, 2005 (incorporated by reference to Exhibit 10.35 of Amendment 6 to our Registration Statement on Form S-1 (No. 333-121001)).</w:t>
      </w:r>
    </w:p>
    <w:p>
      <w:pPr>
        <w:spacing w:after="0" w:line="78"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ExlService Holdings, Inc. 2006 Omnibus India Subplan 2 (incorporated by reference to Exhibit 10.38 of Amendment 6 to our Registration Statement on Form S-1 (No. 333-121001)).</w:t>
      </w:r>
    </w:p>
    <w:p>
      <w:pPr>
        <w:spacing w:after="0" w:line="78"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Stock Option Agreement under the 2006 Omnibus India Subplan 2 (incorporated by reference to Exhibit 10.39 of Amendment 6 to our Registration Statement on Form S-1 (No. 333-121001)).</w:t>
      </w:r>
    </w:p>
    <w:p>
      <w:pPr>
        <w:spacing w:after="0" w:line="78" w:lineRule="exact"/>
        <w:rPr>
          <w:sz w:val="20"/>
          <w:szCs w:val="20"/>
          <w:color w:val="auto"/>
        </w:rPr>
      </w:pPr>
    </w:p>
    <w:p>
      <w:pPr>
        <w:ind w:left="920" w:right="120" w:hanging="917"/>
        <w:spacing w:after="0" w:line="268"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Restricted Stock Award Agreement under the 2006 Omnibus India Subplan 2 (incorporated by reference to Exhibit 10.40 of Amendment 6 to our Registration Statement on Form S-1 (No. 333-121001)).</w:t>
      </w:r>
    </w:p>
    <w:p>
      <w:pPr>
        <w:spacing w:after="0" w:line="78" w:lineRule="exact"/>
        <w:rPr>
          <w:sz w:val="20"/>
          <w:szCs w:val="20"/>
          <w:color w:val="auto"/>
        </w:rPr>
      </w:pPr>
    </w:p>
    <w:p>
      <w:pPr>
        <w:ind w:left="920" w:right="280" w:hanging="917"/>
        <w:spacing w:after="0" w:line="268"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Restricted Stock Award Agreement between Vikram Talwar and the Company dated July 27, 2006 (incorporated by reference to Exhibit 10.41 of Amendment 6 to our Registration Statement on Form S-1 (No. 333-121001)).</w:t>
      </w:r>
    </w:p>
    <w:p>
      <w:pPr>
        <w:spacing w:after="0" w:line="78" w:lineRule="exact"/>
        <w:rPr>
          <w:sz w:val="20"/>
          <w:szCs w:val="20"/>
          <w:color w:val="auto"/>
        </w:rPr>
      </w:pPr>
    </w:p>
    <w:p>
      <w:pPr>
        <w:ind w:left="920" w:right="40" w:hanging="917"/>
        <w:spacing w:after="0" w:line="268"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Non-Qualified Stock Option Agreement between Rohit Kapoor and the Company dated July 27, 2006 (incorporated by reference to Exhibit 10.42 of Amendment 6 to our Registration Statement on Form S-1 (No. 333-121001)).</w:t>
      </w:r>
    </w:p>
    <w:p>
      <w:pPr>
        <w:spacing w:after="0" w:line="78" w:lineRule="exact"/>
        <w:rPr>
          <w:sz w:val="20"/>
          <w:szCs w:val="20"/>
          <w:color w:val="auto"/>
        </w:rPr>
      </w:pPr>
    </w:p>
    <w:p>
      <w:pPr>
        <w:ind w:left="920" w:right="840" w:hanging="917"/>
        <w:spacing w:after="0" w:line="268"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to ExlService Holdings, Inc. 2006 Omnibus Award Plan (incorporated by reference to Exhibit 10.43 of Amendment 6 to our Registration Statement on Form S-1 (No. 333-121001)).</w:t>
      </w:r>
    </w:p>
    <w:p>
      <w:pPr>
        <w:spacing w:after="0" w:line="78" w:lineRule="exact"/>
        <w:rPr>
          <w:sz w:val="20"/>
          <w:szCs w:val="20"/>
          <w:color w:val="auto"/>
        </w:rPr>
      </w:pPr>
    </w:p>
    <w:p>
      <w:pPr>
        <w:ind w:left="920" w:right="240" w:hanging="917"/>
        <w:spacing w:after="0" w:line="268"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Restricted Stock Unit Agreement 1 under the 2006 Omnibus Award Plan (incorporated by reference to Exhibit 10.44 of Amendment 6 to our Registration Statement on Form S-1 (No. 333-121001)).</w:t>
      </w:r>
    </w:p>
    <w:p>
      <w:pPr>
        <w:spacing w:after="0" w:line="78" w:lineRule="exact"/>
        <w:rPr>
          <w:sz w:val="20"/>
          <w:szCs w:val="20"/>
          <w:color w:val="auto"/>
        </w:rPr>
      </w:pPr>
    </w:p>
    <w:p>
      <w:pPr>
        <w:ind w:left="920" w:right="24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Restricted Stock Unit Agreement 2 under the 2006 Omnibus Award Plan (incorporated by reference to Exhibit 10.45 of Amendment 6 to our Registration Statement on Form S-1 (No. 333-121001)).</w:t>
      </w:r>
    </w:p>
    <w:p>
      <w:pPr>
        <w:spacing w:after="0" w:line="78" w:lineRule="exact"/>
        <w:rPr>
          <w:sz w:val="20"/>
          <w:szCs w:val="20"/>
          <w:color w:val="auto"/>
        </w:rPr>
      </w:pPr>
    </w:p>
    <w:p>
      <w:pPr>
        <w:ind w:left="920" w:right="420" w:hanging="917"/>
        <w:spacing w:after="0" w:line="268"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 2 to ExlService Holdings, Inc. 2006 Omnibus Award Plan (incorporated by reference to Exhibit 10.46 of Amendment 6 to our Registration Statement on Form S-1 (No. 333-121001)).</w:t>
      </w:r>
    </w:p>
    <w:p>
      <w:pPr>
        <w:spacing w:after="0" w:line="78" w:lineRule="exact"/>
        <w:rPr>
          <w:sz w:val="20"/>
          <w:szCs w:val="20"/>
          <w:color w:val="auto"/>
        </w:rPr>
      </w:pPr>
    </w:p>
    <w:p>
      <w:pPr>
        <w:ind w:left="920" w:right="300" w:hanging="917"/>
        <w:spacing w:after="0" w:line="26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Letter Agreement, dated March 20, 2008, between Exl Service.com, Inc. and Rembert de Villa (incorporated by reference to Exhibit 10.29 to the Annual Report on Form 10-K filed on March 16, 2011).</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2010 Restricted Stock Unit Agreement 1 (incorporated by reference to Exhibit 99.1 to the Current Report on Form 8-K filed on February 4,</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2010 Restricted Stock Unit Agreement 2 (incorporated by reference to Exhibit 99.2 to the Current Report on Form 8-K filed on February 4,</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2010 Restricted Stock Unit Agreement 3 (incorporated by reference to Exhibit 99.3 to the Current Report on Form 8-K filed on February 4,</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2010 Restricted Stock Unit Agreement 4 (incorporated by reference to Exhibit 99.4 to the Current Report on Form 8-K filed on February 4,</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Form of 2010 Restricted Stock Unit Agreement 5 (incorporated by reference to Exhibit 99.5 to the Current Report on Form 8-K filed on February 4,</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ind w:left="920" w:right="440" w:hanging="917"/>
        <w:spacing w:after="0" w:line="268"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Framework Agreement, dated July 25, 2005, between Centrica plc, the Company and ExlService.com (India) Private Limited (incorporated by reference to Exhibit 10.37 to Annual Report on Form 10-K filed on March 16, 2009).</w:t>
      </w:r>
    </w:p>
    <w:p>
      <w:pPr>
        <w:spacing w:after="0" w:line="78" w:lineRule="exact"/>
        <w:rPr>
          <w:sz w:val="20"/>
          <w:szCs w:val="20"/>
          <w:color w:val="auto"/>
        </w:rPr>
      </w:pPr>
    </w:p>
    <w:p>
      <w:pPr>
        <w:ind w:left="920" w:right="140" w:hanging="917"/>
        <w:spacing w:after="0" w:line="268"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Notice of Extension between Centrica plc and the Company, dated July 11, 2008 (incorporated by reference to Exhibit 10.1 to the Quarterly Report on Form 10-Q filed on November 10, 2008).</w:t>
      </w:r>
    </w:p>
    <w:p>
      <w:pPr>
        <w:spacing w:after="0" w:line="78" w:lineRule="exact"/>
        <w:rPr>
          <w:sz w:val="20"/>
          <w:szCs w:val="20"/>
          <w:color w:val="auto"/>
        </w:rPr>
      </w:pPr>
    </w:p>
    <w:p>
      <w:pPr>
        <w:ind w:left="920" w:right="480" w:hanging="917"/>
        <w:spacing w:after="0" w:line="332"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Amendment No. 6, dated April 1, 2009, to the Framework Agreement between Centrica plc, the Company and ExlService.com (India) Private Limited (incorporated by reference to Exhibit 10.36 to Annual Report on Form 10-K filed on March 16, 2010).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380" w:type="dxa"/>
            <w:vAlign w:val="bottom"/>
          </w:tcPr>
          <w:p>
            <w:pPr>
              <w:ind w:left="240"/>
              <w:spacing w:after="0"/>
              <w:rPr>
                <w:sz w:val="20"/>
                <w:szCs w:val="20"/>
                <w:color w:val="auto"/>
              </w:rPr>
            </w:pPr>
            <w:r>
              <w:rPr>
                <w:rFonts w:ascii="Arial" w:cs="Arial" w:eastAsia="Arial" w:hAnsi="Arial"/>
                <w:sz w:val="18"/>
                <w:szCs w:val="18"/>
                <w:color w:val="auto"/>
                <w:w w:val="94"/>
              </w:rPr>
              <w:t>Amendment No. 3 to ExlService Holdings, Inc. 2006 Omnibus Award Plan (incorporated by reference to Exhibit 4.6 to our Registration</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Statement on Form S-8 (No. 333-157076)).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0380" w:type="dxa"/>
            <w:vAlign w:val="bottom"/>
          </w:tcPr>
          <w:p>
            <w:pPr>
              <w:ind w:left="240"/>
              <w:spacing w:after="0"/>
              <w:rPr>
                <w:sz w:val="20"/>
                <w:szCs w:val="20"/>
                <w:color w:val="auto"/>
              </w:rPr>
            </w:pPr>
            <w:r>
              <w:rPr>
                <w:rFonts w:ascii="Arial" w:cs="Arial" w:eastAsia="Arial" w:hAnsi="Arial"/>
                <w:sz w:val="18"/>
                <w:szCs w:val="18"/>
                <w:color w:val="auto"/>
                <w:w w:val="93"/>
              </w:rPr>
              <w:t>Framework Agreement, dated February 29, 2012, by and among Centrica plc, the Company and exl Service.com (India) Private Limited</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10.39 to the Annual Report on Form 10-K/A filed on June 1, 2012).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2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Certification of the Chief Executive Officer of ExlService Holdings, pursuant to Rule 13a-14(a) of the Exchange Act, as adopted pursuant to</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240"/>
              <w:spacing w:after="0"/>
              <w:rPr>
                <w:sz w:val="20"/>
                <w:szCs w:val="20"/>
                <w:color w:val="auto"/>
              </w:rPr>
            </w:pPr>
            <w:r>
              <w:rPr>
                <w:rFonts w:ascii="Arial" w:cs="Arial" w:eastAsia="Arial" w:hAnsi="Arial"/>
                <w:sz w:val="18"/>
                <w:szCs w:val="18"/>
                <w:color w:val="auto"/>
                <w:w w:val="92"/>
              </w:rPr>
              <w:t>Certification of the Chief Financial Officer of ExlService Holdings, pursuant to Rule 13a-14(a) of the Exchange Act, as adopted pursuant to</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240"/>
              <w:spacing w:after="0"/>
              <w:rPr>
                <w:sz w:val="20"/>
                <w:szCs w:val="20"/>
                <w:color w:val="auto"/>
              </w:rPr>
            </w:pPr>
            <w:r>
              <w:rPr>
                <w:rFonts w:ascii="Arial" w:cs="Arial" w:eastAsia="Arial" w:hAnsi="Arial"/>
                <w:sz w:val="18"/>
                <w:szCs w:val="18"/>
                <w:color w:val="auto"/>
                <w:w w:val="88"/>
              </w:rPr>
              <w:t>Certification of the Chief Executive Officer pursuant to Rule 13a-14(b) of the Exchange Act and 18 U.S.C. Section 1350, as adopted pursuant to</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24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920" w:type="dxa"/>
            <w:vAlign w:val="bottom"/>
          </w:tcPr>
          <w:p>
            <w:pPr>
              <w:spacing w:after="0"/>
              <w:rPr>
                <w:sz w:val="19"/>
                <w:szCs w:val="19"/>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80" w:firstLine="8"/>
        <w:spacing w:after="0" w:line="286" w:lineRule="auto"/>
        <w:tabs>
          <w:tab w:leader="none" w:pos="4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confidential treatment granted by the SEC. The omitted portions have been filed with the SEC. ** This exhibit will not be deemed “filed” for purposes of Section 18 of the Exchange Act, or otherwise subject to the liability of that section. Such exhibit</w:t>
      </w:r>
    </w:p>
    <w:p>
      <w:pPr>
        <w:ind w:left="460" w:right="260"/>
        <w:spacing w:after="0" w:line="261" w:lineRule="auto"/>
        <w:rPr>
          <w:rFonts w:ascii="Arial" w:cs="Arial" w:eastAsia="Arial" w:hAnsi="Arial"/>
          <w:sz w:val="16"/>
          <w:szCs w:val="16"/>
          <w:color w:val="auto"/>
        </w:rPr>
      </w:pPr>
      <w:r>
        <w:rPr>
          <w:rFonts w:ascii="Arial" w:cs="Arial" w:eastAsia="Arial" w:hAnsi="Arial"/>
          <w:sz w:val="18"/>
          <w:szCs w:val="18"/>
          <w:color w:val="auto"/>
        </w:rPr>
        <w:t>will not be deemed to be incorporated by reference into any filing under the Securities Act or the Exchange Act, except to the extent that the Company specifically incorporates it by reference.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9"/>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4"/>
        </w:trPr>
        <w:tc>
          <w:tcPr>
            <w:tcW w:w="11060" w:type="dxa"/>
            <w:vAlign w:val="bottom"/>
            <w:gridSpan w:val="9"/>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Report of Independent Registered Public Accounting Firm</w:t>
              </w:r>
            </w:hyperlink>
          </w:p>
        </w:tc>
        <w:tc>
          <w:tcPr>
            <w:tcW w:w="6500" w:type="dxa"/>
            <w:vAlign w:val="bottom"/>
            <w:gridSpan w:val="6"/>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2012 and 2011</w:t>
              </w:r>
            </w:hyperlink>
          </w:p>
        </w:tc>
        <w:tc>
          <w:tcPr>
            <w:tcW w:w="360" w:type="dxa"/>
            <w:vAlign w:val="bottom"/>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4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Statements of Income for the years ended December 31, 2012, 2011 and 2010</w:t>
              </w:r>
            </w:hyperlink>
          </w:p>
        </w:tc>
        <w:tc>
          <w:tcPr>
            <w:tcW w:w="4180" w:type="dxa"/>
            <w:vAlign w:val="bottom"/>
            <w:gridSpan w:val="4"/>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Income/(Loss) for the years ended December 31, 2012, 2011 and 2010</w:t>
              </w:r>
            </w:hyperlink>
          </w:p>
        </w:tc>
        <w:tc>
          <w:tcPr>
            <w:tcW w:w="360" w:type="dxa"/>
            <w:vAlign w:val="bottom"/>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Statements of Stockholders’ Equity for the years ended December 31, 2012, 2011 and 2010</w:t>
              </w:r>
            </w:hyperlink>
          </w:p>
        </w:tc>
        <w:tc>
          <w:tcPr>
            <w:tcW w:w="68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2012, 2011 and 2010</w:t>
              </w:r>
            </w:hyperlink>
          </w:p>
        </w:tc>
        <w:tc>
          <w:tcPr>
            <w:tcW w:w="3880" w:type="dxa"/>
            <w:vAlign w:val="bottom"/>
            <w:gridSpan w:val="3"/>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360" w:type="dxa"/>
            <w:vAlign w:val="bottom"/>
          </w:tcPr>
          <w:p>
            <w:pP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00" w:type="dxa"/>
            <w:vAlign w:val="bottom"/>
            <w:gridSpan w:val="5"/>
          </w:tcPr>
          <w:p>
            <w:pPr>
              <w:ind w:left="64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2012 and 2011, and the related consolidated statements of income, comprehensive income/(loss), stockholders’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and subsidiaries at December 31, 2012 and 2011, and the consolidated results of their operations and their cash flows for each of the three years in the period ended December 31, 2012, in conformity with U.S. generally accepted accounting principles.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ExlService Holdings Inc. and subsidiaries’ internal control over financial reporting as of December 31, 2012, based on criteria established in Internal Control—Integrated Framework issued by the Committee of Sponsoring Organizations of the Treadway Commission and our report dated March 7, 2013 expressed an unqualified opinion thereon.</w:t>
      </w:r>
    </w:p>
    <w:p>
      <w:pPr>
        <w:spacing w:after="0" w:line="188" w:lineRule="exact"/>
        <w:rPr>
          <w:sz w:val="20"/>
          <w:szCs w:val="20"/>
          <w:color w:val="auto"/>
        </w:rPr>
      </w:pPr>
    </w:p>
    <w:p>
      <w:pPr>
        <w:ind w:left="7200"/>
        <w:spacing w:after="0"/>
        <w:tabs>
          <w:tab w:leader="none" w:pos="7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ExlService Holdings, Inc.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ExlService Holdings, Inc. and subsidiaries’ internal control over financial reporting as of December 31, 2012, based on criteria established in Internal Control—Integrated Framework issued by the Committee of Sponsoring Organizations of the Treadway Commission (the COSO criteria). ExlService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Landacorp, Inc., which is included in the 2012 consolidated financial statements of ExlService Holdings, Inc. and subsidiaries and constituted total assets of $43,745 thousand (of which $27,660 thousand represents goodwill and intangibles included within the scope of the assessment) as of December 31, 2012 and $4,022 thousand of revenues and insignificant net income for the year then ended. Our audit of internal control over financial reporting of ExlService Holdings, Inc. and subsidiaries also did not include an evaluation of the internal controls over financial reporting of Landacorp, Inc.</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our opinion, ExlService Holdings, Inc. and subsidiaries maintained, in all material respects, effective internal control over financial reporting as of December 31, 2012, based on the COSO criteria.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and subsidiaries as of December 31, 2012 and 2011, and the related consolidated statements of income, comprehensive income/(loss), stockholders’ equity and cash flows for each of the three years in the period ended December 31, 2012 and our report dated March 7, 2013 expressed an unqualified opinion thereon.</w:t>
      </w:r>
    </w:p>
    <w:p>
      <w:pPr>
        <w:spacing w:after="0" w:line="224" w:lineRule="exact"/>
        <w:rPr>
          <w:sz w:val="20"/>
          <w:szCs w:val="20"/>
          <w:color w:val="auto"/>
        </w:rPr>
      </w:pPr>
    </w:p>
    <w:p>
      <w:pPr>
        <w:ind w:left="7200"/>
        <w:spacing w:after="0"/>
        <w:tabs>
          <w:tab w:leader="none" w:pos="7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2013</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00"/>
          </w:cols>
          <w:pgMar w:left="240" w:top="459" w:right="6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207,935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166,841</w:t>
            </w:r>
          </w:p>
        </w:tc>
        <w:tc>
          <w:tcPr>
            <w:tcW w:w="100" w:type="dxa"/>
            <w:vAlign w:val="bottom"/>
            <w:shd w:val="clear" w:color="auto" w:fill="CCEEFF"/>
          </w:tcPr>
          <w:p>
            <w:pPr>
              <w:spacing w:after="0"/>
              <w:rPr>
                <w:sz w:val="18"/>
                <w:szCs w:val="18"/>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40,239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106,671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435,854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30,956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32,540,082 shares issued and 32,203,820 shares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outstanding as of December 31, 2012 and 31,496,461 shares issued and 31,173,064 shares outstanding as of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195,248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188,882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(36,647)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347,516</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281,145</w:t>
            </w:r>
          </w:p>
        </w:tc>
        <w:tc>
          <w:tcPr>
            <w:tcW w:w="100" w:type="dxa"/>
            <w:vAlign w:val="bottom"/>
            <w:shd w:val="clear" w:color="auto" w:fill="CCEEFF"/>
          </w:tcPr>
          <w:p>
            <w:pPr>
              <w:spacing w:after="0"/>
              <w:rPr>
                <w:sz w:val="18"/>
                <w:szCs w:val="18"/>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w w:val="97"/>
              </w:rPr>
              <w:t>Less: 336,262 shares as of December 31, 2012 and 323,397 shares as of December 31, 2011, held in treasury, at cost</w:t>
            </w: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344,492</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344,517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278,475</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435,854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271,876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219,987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171,054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25,582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income/(expense):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31,968,386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30,264,805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33,171,105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31,546,144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5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34,780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Other comprehensive income/(loss):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Unrealized gain/(loss) on effective cash flow hedges, net of taxes $192, ($5,509) and $1,524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(14,820)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8860" w:type="dxa"/>
            <w:vAlign w:val="bottom"/>
          </w:tcPr>
          <w:p>
            <w:pPr>
              <w:ind w:left="130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(24,844)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Retirement benefits, net of taxes ($65), ($66) and ($30)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860" w:type="dxa"/>
            <w:vAlign w:val="bottom"/>
          </w:tcPr>
          <w:p>
            <w:pPr>
              <w:ind w:left="880"/>
              <w:spacing w:after="0"/>
              <w:rPr>
                <w:sz w:val="20"/>
                <w:szCs w:val="20"/>
                <w:color w:val="auto"/>
              </w:rPr>
            </w:pPr>
            <w:r>
              <w:rPr>
                <w:rFonts w:ascii="Arial" w:cs="Arial" w:eastAsia="Arial" w:hAnsi="Arial"/>
                <w:sz w:val="18"/>
                <w:szCs w:val="18"/>
                <w:color w:val="auto"/>
              </w:rPr>
              <w:t>Reclassification Adjustments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Realized loss/(gain) on cash flow hedges, net of taxes $2,106, ($484) and ($916)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23"/>
        </w:trPr>
        <w:tc>
          <w:tcPr>
            <w:tcW w:w="8860" w:type="dxa"/>
            <w:vAlign w:val="bottom"/>
          </w:tcPr>
          <w:p>
            <w:pPr>
              <w:ind w:left="1300"/>
              <w:spacing w:after="0"/>
              <w:rPr>
                <w:sz w:val="20"/>
                <w:szCs w:val="20"/>
                <w:color w:val="auto"/>
              </w:rPr>
            </w:pPr>
            <w:r>
              <w:rPr>
                <w:rFonts w:ascii="Arial" w:cs="Arial" w:eastAsia="Arial" w:hAnsi="Arial"/>
                <w:sz w:val="18"/>
                <w:szCs w:val="18"/>
                <w:color w:val="auto"/>
              </w:rPr>
              <w:t>Retirement benefits, net of taxes $26, $22 and $47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(40,984)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Total comprehensive income/(loss)</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45,047</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(6,204)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31,233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Non -</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Paid-in</w:t>
            </w:r>
          </w:p>
        </w:tc>
        <w:tc>
          <w:tcPr>
            <w:tcW w:w="2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8"/>
              </w:rPr>
              <w:t>Controlling</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Capital</w:t>
            </w:r>
          </w:p>
        </w:tc>
        <w:tc>
          <w:tcPr>
            <w:tcW w:w="28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16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Income/(Loss)</w:t>
            </w: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Shares</w:t>
            </w: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Amount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2009</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29,278,103</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124,493</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85,674</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(3,515)</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(247,030)</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(976)</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$205,718</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412,360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3,025</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8,491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8,491</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(5,472)</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(93)</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controlling interest</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4,641</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4,641</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26,592</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26,592</w:t>
            </w:r>
          </w:p>
        </w:tc>
        <w:tc>
          <w:tcPr>
            <w:tcW w:w="80" w:type="dxa"/>
            <w:vAlign w:val="bottom"/>
            <w:shd w:val="clear" w:color="auto" w:fill="CCEEFF"/>
          </w:tcPr>
          <w:p>
            <w:pPr>
              <w:spacing w:after="0"/>
              <w:rPr>
                <w:sz w:val="12"/>
                <w:szCs w:val="12"/>
                <w:color w:val="auto"/>
              </w:rPr>
            </w:pPr>
          </w:p>
        </w:tc>
      </w:tr>
      <w:tr>
        <w:trPr>
          <w:trHeight w:val="156"/>
        </w:trPr>
        <w:tc>
          <w:tcPr>
            <w:tcW w:w="3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December 31, 2010</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29,690,463</w:t>
            </w:r>
          </w:p>
        </w:tc>
        <w:tc>
          <w:tcPr>
            <w:tcW w:w="5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30</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136,173</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2"/>
              </w:rPr>
              <w:t>112,266</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1,126</w:t>
            </w:r>
          </w:p>
        </w:tc>
        <w:tc>
          <w:tcPr>
            <w:tcW w:w="26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(252,502)</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(1,069)</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$248,546</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805,998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5,535</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 issued in primary offering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21,525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21,526</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9,462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9,462</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1,210</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(70,895)</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(1,624)</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(1,624)</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controlling interest</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(40,984)</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(40,984)</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34,780</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34,780</w:t>
            </w:r>
          </w:p>
        </w:tc>
        <w:tc>
          <w:tcPr>
            <w:tcW w:w="80" w:type="dxa"/>
            <w:vAlign w:val="bottom"/>
            <w:shd w:val="clear" w:color="auto" w:fill="CCEEFF"/>
          </w:tcPr>
          <w:p>
            <w:pPr>
              <w:spacing w:after="0"/>
              <w:rPr>
                <w:sz w:val="12"/>
                <w:szCs w:val="12"/>
                <w:color w:val="auto"/>
              </w:rPr>
            </w:pPr>
          </w:p>
        </w:tc>
      </w:tr>
      <w:tr>
        <w:trPr>
          <w:trHeight w:val="156"/>
        </w:trPr>
        <w:tc>
          <w:tcPr>
            <w:tcW w:w="3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December 31, 2011</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31,496,461</w:t>
            </w:r>
          </w:p>
        </w:tc>
        <w:tc>
          <w:tcPr>
            <w:tcW w:w="5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31</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173,926</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147,046</w:t>
            </w:r>
          </w:p>
        </w:tc>
        <w:tc>
          <w:tcPr>
            <w:tcW w:w="2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(39,858)</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(323,397)</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(2,693)</w:t>
            </w: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$278,475</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1,043,621</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9,603</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Non-employee stock options</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9,416</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2,273</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(12,865)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w:t>
            </w: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Non controlling interest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3,211</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3,211</w:t>
            </w:r>
          </w:p>
        </w:tc>
      </w:tr>
      <w:tr>
        <w:trPr>
          <w:trHeight w:val="156"/>
        </w:trPr>
        <w:tc>
          <w:tcPr>
            <w:tcW w:w="20" w:type="dxa"/>
            <w:vAlign w:val="bottom"/>
          </w:tcPr>
          <w:p>
            <w:pPr>
              <w:spacing w:after="0"/>
              <w:rPr>
                <w:sz w:val="13"/>
                <w:szCs w:val="13"/>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41,836</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41,836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32,540,082</w:t>
            </w:r>
          </w:p>
        </w:tc>
        <w:tc>
          <w:tcPr>
            <w:tcW w:w="5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195,248</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188,882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(36,647)</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(336,262)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(3,024)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344,517</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41,836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34,780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25,623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bargain purchase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Advance income tax,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(18,804)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(54,834)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(105,752)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(60,972)</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4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103,037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82,393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 net of refund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Assets acquired under capital lease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p>
      <w:pPr>
        <w:ind w:right="828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U.S. and the U.K.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conform to the 2012 presentation.</w:t>
      </w:r>
    </w:p>
    <w:p>
      <w:pPr>
        <w:spacing w:after="0" w:line="246" w:lineRule="exact"/>
        <w:rPr>
          <w:sz w:val="20"/>
          <w:szCs w:val="20"/>
          <w:color w:val="auto"/>
        </w:rPr>
      </w:pPr>
    </w:p>
    <w:p>
      <w:pPr>
        <w:ind w:right="7560" w:firstLine="8"/>
        <w:spacing w:after="0" w:line="417" w:lineRule="auto"/>
        <w:tabs>
          <w:tab w:leader="none" w:pos="176"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Preparation and Principles of Consolidation</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(“GAAP”).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non-controlling interest represents the minority partner’s interest in the operation of exl Service.com (India) Private Limited (“Exl India”) and the profits associated with the minority partner’s interest in those operations, in the consolidated balance sheets and consolidated statements of income, respectively. The minority partner’s interest in the operations for the years ended December 31, 2012, 2011 and 2010 was insignificant and is included under general and administrative expenses in the consolidated statements of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except for the entity in Mauritius.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9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Revenues and expenses are translated into U.S. dollars at the exchange rates prevailing on the last business day of each month, which approximates the average monthly exchange rate. Resulting translation adjustments are included in accumulated other comprehensive loss in the audited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and fixed price basis. The services provided within our contracts generally contain one unit of accounting. Revenues are recognized under our contracts generally when persuasive evidence of an arrangement exists, the sales price is fixed or determinable, services have been performed and collection of amounts billed is reasonably assured.</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 Revenue on contingent fee based contracts is recognized when the related contingency has been met to the client’s satisfaction.</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Revenues are recognized on fixed-price contracts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if the license fee is fixed or determinable, collection is probable, and there is sufficient vendor specific evidence of the fair value of each undelivered element. When there are significant production, modifications or customization, installation, systems integration or related services, the professional services and license revenues are combined and recorded based upon proportional performance, measured in the manner described above. Revenues from fixed-term maintenance and support contracts are recognized ratably on a monthly basis over the period of the contract.</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Reimbursements of out-of-pocket expenses received from clients have been included as part of revenues in accordance with Accounting Standards Codification (ASC) topic 605-45-14, “</w:t>
      </w:r>
      <w:r>
        <w:rPr>
          <w:rFonts w:ascii="Arial" w:cs="Arial" w:eastAsia="Arial" w:hAnsi="Arial"/>
          <w:sz w:val="15"/>
          <w:szCs w:val="15"/>
          <w:i w:val="1"/>
          <w:iCs w:val="1"/>
          <w:color w:val="auto"/>
        </w:rPr>
        <w:t>Income Statement Characterization of Reimbursements Received for “Out-of-Pocket” Expenses Incurred.</w:t>
      </w:r>
      <w:r>
        <w:rPr>
          <w:rFonts w:ascii="Arial" w:cs="Arial" w:eastAsia="Arial" w:hAnsi="Arial"/>
          <w:sz w:val="15"/>
          <w:szCs w:val="15"/>
          <w:color w:val="auto"/>
        </w:rPr>
        <w:t>”</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$18,862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Year ended December 31, 2011</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$16,073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bank guarantees issued through banks for equipment imports that will mature on various dates before December 31, 2013, as well as client funds held in dedicated bank accounts.</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Non-current restricted cash represents amounts on deposit with banks against bank guarantees issued through banks for equipment imports and for demands against pending income tax assessments (see Note 15 for details), that will mature on various dates after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three months but less than twelve months are classified as short-term investments. Investments with maturities greater than twelve months from the balance sheet date are classified as long-term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ageing and prior collection experience to estimate the ultimate collectability of these receivables. As of December 31, 2012 and 2011, the Company had $207 and $134 of allowance for doubtful accounts, respectively.</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Accounts receivable include unbilled accounts receivable which represents revenues for services performed but yet to be billed to the client. As of December 31, 2012 and 2011, the Company had $15,601 and $6,103 of unbilled accounts receivable, respectively, part of which are subsequently billed to the respective clients.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less accumulated depreciation and amortization.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lives used in determining depreciation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5140" w:type="dxa"/>
            <w:vAlign w:val="bottom"/>
          </w:tcPr>
          <w:p>
            <w:pPr>
              <w:spacing w:after="0"/>
              <w:rPr>
                <w:sz w:val="12"/>
                <w:szCs w:val="12"/>
                <w:color w:val="auto"/>
              </w:rPr>
            </w:pPr>
          </w:p>
        </w:tc>
        <w:tc>
          <w:tcPr>
            <w:tcW w:w="2620" w:type="dxa"/>
            <w:vAlign w:val="bottom"/>
            <w:gridSpan w:val="2"/>
          </w:tcPr>
          <w:p>
            <w:pPr>
              <w:jc w:val="center"/>
              <w:ind w:left="1876"/>
              <w:spacing w:after="0" w:line="149" w:lineRule="exact"/>
              <w:rPr>
                <w:sz w:val="20"/>
                <w:szCs w:val="20"/>
                <w:color w:val="auto"/>
              </w:rPr>
            </w:pPr>
            <w:r>
              <w:rPr>
                <w:rFonts w:ascii="Arial" w:cs="Arial" w:eastAsia="Arial" w:hAnsi="Arial"/>
                <w:sz w:val="14"/>
                <w:szCs w:val="14"/>
                <w:b w:val="1"/>
                <w:bCs w:val="1"/>
                <w:color w:val="auto"/>
                <w:w w:val="86"/>
              </w:rPr>
              <w:t>Useful Life</w:t>
            </w:r>
          </w:p>
        </w:tc>
      </w:tr>
      <w:tr>
        <w:trPr>
          <w:trHeight w:val="161"/>
        </w:trPr>
        <w:tc>
          <w:tcPr>
            <w:tcW w:w="51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Network equipment, computers and software</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Buildings</w:t>
            </w:r>
          </w:p>
        </w:tc>
        <w:tc>
          <w:tcPr>
            <w:tcW w:w="2620" w:type="dxa"/>
            <w:vAlign w:val="bottom"/>
            <w:gridSpan w:val="2"/>
          </w:tcPr>
          <w:p>
            <w:pPr>
              <w:jc w:val="center"/>
              <w:ind w:left="1876"/>
              <w:spacing w:after="0"/>
              <w:rPr>
                <w:sz w:val="20"/>
                <w:szCs w:val="20"/>
                <w:color w:val="auto"/>
              </w:rPr>
            </w:pPr>
            <w:r>
              <w:rPr>
                <w:rFonts w:ascii="Arial" w:cs="Arial" w:eastAsia="Arial" w:hAnsi="Arial"/>
                <w:sz w:val="18"/>
                <w:szCs w:val="18"/>
                <w:color w:val="auto"/>
                <w:w w:val="89"/>
              </w:rPr>
              <w:t>30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20" w:type="dxa"/>
            <w:vAlign w:val="bottom"/>
            <w:gridSpan w:val="2"/>
            <w:shd w:val="clear" w:color="auto" w:fill="CCEEFF"/>
          </w:tcPr>
          <w:p>
            <w:pPr>
              <w:jc w:val="center"/>
              <w:ind w:left="1876"/>
              <w:spacing w:after="0"/>
              <w:rPr>
                <w:sz w:val="20"/>
                <w:szCs w:val="20"/>
                <w:color w:val="auto"/>
              </w:rPr>
            </w:pPr>
            <w:r>
              <w:rPr>
                <w:rFonts w:ascii="Arial" w:cs="Arial" w:eastAsia="Arial" w:hAnsi="Arial"/>
                <w:sz w:val="18"/>
                <w:szCs w:val="18"/>
                <w:color w:val="auto"/>
                <w:w w:val="84"/>
              </w:rPr>
              <w:t>3-8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620" w:type="dxa"/>
            <w:vAlign w:val="bottom"/>
            <w:gridSpan w:val="2"/>
          </w:tcPr>
          <w:p>
            <w:pPr>
              <w:jc w:val="center"/>
              <w:ind w:left="1876"/>
              <w:spacing w:after="0"/>
              <w:rPr>
                <w:sz w:val="20"/>
                <w:szCs w:val="20"/>
                <w:color w:val="auto"/>
              </w:rPr>
            </w:pPr>
            <w:r>
              <w:rPr>
                <w:rFonts w:ascii="Arial" w:cs="Arial" w:eastAsia="Arial" w:hAnsi="Arial"/>
                <w:sz w:val="18"/>
                <w:szCs w:val="18"/>
                <w:color w:val="auto"/>
                <w:w w:val="84"/>
              </w:rPr>
              <w:t>3-7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620" w:type="dxa"/>
            <w:vAlign w:val="bottom"/>
            <w:gridSpan w:val="2"/>
            <w:shd w:val="clear" w:color="auto" w:fill="CCEEFF"/>
          </w:tcPr>
          <w:p>
            <w:pPr>
              <w:jc w:val="center"/>
              <w:ind w:left="1876"/>
              <w:spacing w:after="0"/>
              <w:rPr>
                <w:sz w:val="20"/>
                <w:szCs w:val="20"/>
                <w:color w:val="auto"/>
              </w:rPr>
            </w:pPr>
            <w:r>
              <w:rPr>
                <w:rFonts w:ascii="Arial" w:cs="Arial" w:eastAsia="Arial" w:hAnsi="Arial"/>
                <w:sz w:val="18"/>
                <w:szCs w:val="18"/>
                <w:color w:val="auto"/>
                <w:w w:val="84"/>
              </w:rPr>
              <w:t>3-5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Other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No. 805), requires that the purchase method of accounting be used for all business combinations. The guidance specifies criteria as to intangible assets acquired in a business combination that must be recognized and reported separately from goodwill.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No. 350), all assets and liabilities of the acquired businesses, including goodwill, are assigned to reporting units.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Intangible assets are initially valued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the estimated future undiscounted net cash flows expected to be generated by the asset. If estimated future undiscounted cash flows are less than the carrying amount of the asset, the asset is considered impaired. The impairment expense is determined by comparing the estimated fair value of the intangible asset to its carrying value, with any shortfall from fair value recognized as an expense in the current period.</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Company’s definite lived intangible assets are amortized over their estimated useful lives as listed below using a straight-line method or a method of amortization that reflects the pattern in which the economic benefits of the intangibles assets were consumed or otherwise realized:</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Leasehold benefits</w:t>
            </w:r>
          </w:p>
        </w:tc>
        <w:tc>
          <w:tcPr>
            <w:tcW w:w="3300" w:type="dxa"/>
            <w:vAlign w:val="bottom"/>
          </w:tcPr>
          <w:p>
            <w:pPr>
              <w:jc w:val="right"/>
              <w:ind w:right="12"/>
              <w:spacing w:after="0"/>
              <w:rPr>
                <w:sz w:val="20"/>
                <w:szCs w:val="20"/>
                <w:color w:val="auto"/>
              </w:rPr>
            </w:pPr>
            <w:r>
              <w:rPr>
                <w:rFonts w:ascii="Arial" w:cs="Arial" w:eastAsia="Arial" w:hAnsi="Arial"/>
                <w:sz w:val="18"/>
                <w:szCs w:val="18"/>
                <w:color w:val="auto"/>
              </w:rPr>
              <w:t>3-8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300" w:type="dxa"/>
            <w:vAlign w:val="bottom"/>
          </w:tcPr>
          <w:p>
            <w:pPr>
              <w:jc w:val="right"/>
              <w:ind w:right="12"/>
              <w:spacing w:after="0"/>
              <w:rPr>
                <w:sz w:val="20"/>
                <w:szCs w:val="20"/>
                <w:color w:val="auto"/>
              </w:rPr>
            </w:pPr>
            <w:r>
              <w:rPr>
                <w:rFonts w:ascii="Arial" w:cs="Arial" w:eastAsia="Arial" w:hAnsi="Arial"/>
                <w:sz w:val="18"/>
                <w:szCs w:val="18"/>
                <w:color w:val="auto"/>
              </w:rPr>
              <w:t>1-2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 years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9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(loss)/gain. The Company also uses derivatives instruments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consolidated statements of income and are included in foreign exchange (loss)/gain.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(loss)/gain. For hedge relationships that are discontinued because the forecasted transaction is not expected to occur by the end of the originally specified period, any related derivative amounts recorded in equity are reclassified to earnings.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Contributions to defined contribution plans are charged to the consolidated statements of income in the period in which services are rendered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covered employees. Current service costs for defined benefit plans are accrued in the period to which they relate. In accordance with ASC topic 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 (ASC No. 715), the liability in respect of defined benefit plans is calculated annually by the Company using the projected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credit method. Prior service cost, if any, resulting from an amendment to a plan is recognized and amortized over the remaining period of service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covered employees. The Company recognizes its liabilities for compensated absences in accordance with ASC topic 710, “</w:t>
      </w:r>
      <w:r>
        <w:rPr>
          <w:rFonts w:ascii="Arial" w:cs="Arial" w:eastAsia="Arial" w:hAnsi="Arial"/>
          <w:sz w:val="16"/>
          <w:szCs w:val="16"/>
          <w:i w:val="1"/>
          <w:iCs w:val="1"/>
          <w:color w:val="auto"/>
        </w:rPr>
        <w:t>Compensation—General</w:t>
      </w:r>
      <w:r>
        <w:rPr>
          <w:rFonts w:ascii="Arial" w:cs="Arial" w:eastAsia="Arial" w:hAnsi="Arial"/>
          <w:sz w:val="16"/>
          <w:szCs w:val="16"/>
          <w:color w:val="auto"/>
        </w:rPr>
        <w:t>” (ASC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710).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The Company follows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No. 718), which requires the recognition of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No. 740). Under ASC No. 740,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ASC No. 740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The guidance contains a two-step approach to recognizing and measuring uncertain tax positions accounted for in accordance with ASC No. 740. The first step is to evaluate the tax position for recognition by determining, based on the technical merits, that the position will be more likely than not sustained upon examination. The second step is to measure the tax benefit as the largest amount of the tax benefit that is greater than 50% likely of being realized upon settlement. Interest and penalties related to unrecognized tax benefits are being included in provision for income-tax expense in the consolidated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payable, accrued expenses, and other current liabilities, recorded amounts approximate fair value due to the relatively short maturity periods of such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to reduce its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basic earnings per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41,836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34,780</w:t>
            </w: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tcPr>
          <w:p>
            <w:pPr>
              <w:spacing w:after="0"/>
              <w:rPr>
                <w:sz w:val="19"/>
                <w:szCs w:val="19"/>
                <w:color w:val="auto"/>
              </w:rPr>
            </w:pPr>
          </w:p>
        </w:tc>
      </w:tr>
      <w:tr>
        <w:trPr>
          <w:trHeight w:val="210"/>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w w:val="94"/>
              </w:rPr>
              <w:t>Basic weighted average common shares outstanding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31,968,386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30,264,805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29,281,364</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share based awards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1,202,719</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1,281,339</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1,107,156</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33,171,105</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31,546,144</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30,388,520</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r>
      <w:tr>
        <w:trPr>
          <w:trHeight w:val="208"/>
        </w:trPr>
        <w:tc>
          <w:tcPr>
            <w:tcW w:w="4460" w:type="dxa"/>
            <w:vAlign w:val="bottom"/>
          </w:tcPr>
          <w:p>
            <w:pPr>
              <w:spacing w:after="0"/>
              <w:rPr>
                <w:sz w:val="20"/>
                <w:szCs w:val="20"/>
                <w:color w:val="auto"/>
              </w:rPr>
            </w:pPr>
            <w:r>
              <w:rPr>
                <w:rFonts w:ascii="Arial" w:cs="Arial" w:eastAsia="Arial" w:hAnsi="Arial"/>
                <w:sz w:val="18"/>
                <w:szCs w:val="18"/>
                <w:color w:val="auto"/>
                <w:w w:val="91"/>
              </w:rPr>
              <w:t>Weighted average common shares considered anti-dilutive in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computing diluted earnings per share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413,493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424,081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674,507</w:t>
            </w:r>
          </w:p>
        </w:tc>
        <w:tc>
          <w:tcPr>
            <w:tcW w:w="100" w:type="dxa"/>
            <w:vAlign w:val="bottom"/>
          </w:tcPr>
          <w:p>
            <w:pPr>
              <w:spacing w:after="0"/>
              <w:rPr>
                <w:sz w:val="19"/>
                <w:szCs w:val="19"/>
                <w:color w:val="auto"/>
              </w:rPr>
            </w:pPr>
          </w:p>
        </w:tc>
      </w:tr>
      <w:tr>
        <w:trPr>
          <w:trHeight w:val="365"/>
        </w:trPr>
        <w:tc>
          <w:tcPr>
            <w:tcW w:w="446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F-16</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ASC topic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establishes rules for the reporting of comprehensive income and its components. Comprehensive income is defined as all changes in equity from non-owner sources. For the Company, comprehensive loss consists of net earnings/(loss),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loss until the settlement of that contract. The balances as of December 31, 2012 and 2011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8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5"/>
          </w:tcPr>
          <w:p>
            <w:pPr>
              <w:jc w:val="center"/>
              <w:ind w:left="157"/>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(30,486)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Unrealized loss on cash flow hedges, net of taxes of ($2,521) and ($4,819)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(5,456)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(12,910)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 net of taxes of ($203) and ($164)</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138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(36,647)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(39,858)</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24"/>
                <w:szCs w:val="2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6,403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2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31,737</w:t>
            </w:r>
          </w:p>
        </w:tc>
        <w:tc>
          <w:tcPr>
            <w:tcW w:w="36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gridSpan w:val="2"/>
          </w:tcPr>
          <w:p>
            <w:pPr>
              <w:spacing w:after="0"/>
              <w:rPr>
                <w:sz w:val="20"/>
                <w:szCs w:val="20"/>
                <w:color w:val="auto"/>
              </w:rPr>
            </w:pPr>
            <w:r>
              <w:rPr>
                <w:rFonts w:ascii="Arial" w:cs="Arial" w:eastAsia="Arial" w:hAnsi="Arial"/>
                <w:sz w:val="18"/>
                <w:szCs w:val="18"/>
                <w:color w:val="auto"/>
              </w:rPr>
              <w:t>Non-current liabilities consist of the following:</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24"/>
                <w:szCs w:val="2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Retirement benefits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14,317</w:t>
            </w:r>
          </w:p>
        </w:tc>
        <w:tc>
          <w:tcPr>
            <w:tcW w:w="36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 Requirements in U.S. GAAP and IFRS</w:t>
      </w:r>
      <w:r>
        <w:rPr>
          <w:rFonts w:ascii="Arial" w:cs="Arial" w:eastAsia="Arial" w:hAnsi="Arial"/>
          <w:sz w:val="16"/>
          <w:szCs w:val="16"/>
          <w:color w:val="auto"/>
        </w:rPr>
        <w:t>” (ASU No. 2011-04). ASU No. 2011-04 is intended to improve the comparability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presented and disclosed in financial statements prepared in accordance with GAAP and International Financial Reporting Standards (“IFRS”). ASU No. 2011-04 explains how to measure fair value and does not require additional measurements. Accordingly, the adoption of this accounting pronouncement from January 1, 2012 did not have an impact on the Company’s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780" w:firstLine="456"/>
        <w:spacing w:after="0" w:line="294" w:lineRule="auto"/>
        <w:rPr>
          <w:sz w:val="20"/>
          <w:szCs w:val="20"/>
          <w:color w:val="auto"/>
        </w:rPr>
      </w:pPr>
      <w:r>
        <w:rPr>
          <w:rFonts w:ascii="Arial" w:cs="Arial" w:eastAsia="Arial" w:hAnsi="Arial"/>
          <w:sz w:val="16"/>
          <w:szCs w:val="16"/>
          <w:color w:val="auto"/>
        </w:rPr>
        <w:t>In June 2011, the FASB issued update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No. 2011-05). ASU No. 2011-05,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The Company adopted the option of presentation in two separate but consecutive statements. Refer to the Company’s consolidated statements of comprehensive income/(loss) for further details.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December 2011, the FASB issued update No. 2011-12, </w:t>
      </w:r>
      <w:r>
        <w:rPr>
          <w:rFonts w:ascii="Arial" w:cs="Arial" w:eastAsia="Arial" w:hAnsi="Arial"/>
          <w:sz w:val="18"/>
          <w:szCs w:val="18"/>
          <w:i w:val="1"/>
          <w:iCs w:val="1"/>
          <w:color w:val="auto"/>
        </w:rPr>
        <w:t>“Deferral of the Effective Date for Amendments to the Presentation of Reclassifications of Items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in Accounting Standards” </w:t>
      </w:r>
      <w:r>
        <w:rPr>
          <w:rFonts w:ascii="Arial" w:cs="Arial" w:eastAsia="Arial" w:hAnsi="Arial"/>
          <w:sz w:val="18"/>
          <w:szCs w:val="18"/>
          <w:color w:val="auto"/>
        </w:rPr>
        <w:t>(ASU No. 2011-12), which deferred the requirement to present on the face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the effects of reclassifications out of accumulated other comprehensive income (“AOCI”) on the components of net income and other comprehensive income for annual and interim financial statements. The adoption of this accounting pronouncement from January 1, 2012 did not have any impact on the Company’s consolidated financial statements.</w:t>
      </w:r>
    </w:p>
    <w:p>
      <w:pPr>
        <w:spacing w:after="0" w:line="14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In September 2011, the FASB issued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(ASU No. 2011-08), which permits an entity to first perform a qualitative assessment to determine whether it is more likely than not that the fair value of a reporting unit is less than its carrying value. If an entity concludes that the fair value of a reporting unit is less than its carrying value, it is necessary to perform a two-step goodwill impairment test. ASU No. 2011-08 is effective for annual and interim goodwill impairment tests performed for fiscal years beginning after December 15, 2011. The adoption of this accounting pronouncement did not have a material impact on the Company’s consolidated financial statements and annual goodwill impairment for the fiscal year 2012.</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July 2012, the FASB issued update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The Company does not expect the new guidance to have an impact on its 2013 impairment test results.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No.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(ASU 2013-02). Under ASU 2013-02, an entity is required to provide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reclassified out of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2013-02 does not change the current requirements for reporting net income or other comprehensive income in the financial statements. ASU 2013-02 is effective from January 1, 2013 and the Company does not expect the new guidance to have an impact on its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December 31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37,936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41,985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43,989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47,144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11,703</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Earnings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number of shares used in computing earnings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Basic</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31,445,592</w:t>
            </w:r>
          </w:p>
        </w:tc>
        <w:tc>
          <w:tcPr>
            <w:tcW w:w="4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31,970,881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32,154,001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32,297,414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31,968,386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32,783,855</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33,096,607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33,283,854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33,514,446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1,394</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4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9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102,580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28,688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33,030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38,271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40,565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8,361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8,475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8,391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Earnings Per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0.27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0.27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0.27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number of shares used in computing earnings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w w:val="86"/>
              </w:rPr>
              <w:t>29,620,218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29,859,811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30,293,114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31,266,183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30,264,805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6"/>
              </w:rPr>
              <w:t>30,911,066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31,043,426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6"/>
              </w:rPr>
              <w:t>31,586,936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32,623,251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31,546,144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2,248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2,160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636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913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1,395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Figures for the quarters may not be comparable due to acquisitions in 2011 and 2012.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 of Landacorp, Inc. (“Landacorp”) is classified within the outsourcing services segment. See Note 5 for further details regarding the acquisition of Landacorp (the “Landacorp Acquisition”).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years ended December 31, 2012, 2011 and 2010,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 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 2011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Pr>
          <w:p>
            <w:pPr>
              <w:spacing w:after="0"/>
              <w:rPr>
                <w:sz w:val="11"/>
                <w:szCs w:val="11"/>
                <w:color w:val="auto"/>
              </w:rPr>
            </w:pPr>
          </w:p>
        </w:tc>
        <w:tc>
          <w:tcPr>
            <w:tcW w:w="9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Pr>
          <w:p>
            <w:pPr>
              <w:spacing w:after="0"/>
              <w:rPr>
                <w:sz w:val="11"/>
                <w:szCs w:val="11"/>
                <w:color w:val="auto"/>
              </w:rPr>
            </w:pPr>
          </w:p>
        </w:tc>
        <w:tc>
          <w:tcPr>
            <w:tcW w:w="122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20" w:type="dxa"/>
            <w:vAlign w:val="bottom"/>
          </w:tcPr>
          <w:p>
            <w:pPr>
              <w:jc w:val="right"/>
              <w:ind w:right="41"/>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Services</w:t>
            </w:r>
          </w:p>
        </w:tc>
        <w:tc>
          <w:tcPr>
            <w:tcW w:w="160" w:type="dxa"/>
            <w:vAlign w:val="bottom"/>
          </w:tcPr>
          <w:p>
            <w:pPr>
              <w:spacing w:after="0"/>
              <w:rPr>
                <w:sz w:val="14"/>
                <w:szCs w:val="14"/>
                <w:color w:val="auto"/>
              </w:rPr>
            </w:pPr>
          </w:p>
        </w:tc>
        <w:tc>
          <w:tcPr>
            <w:tcW w:w="12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$ 366,767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76,163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442,930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$ 294,361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66,180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360,541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222,860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49,016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271,876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219,987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$ 143,907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171,054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$ 116,060</w:t>
            </w:r>
          </w:p>
        </w:tc>
        <w:tc>
          <w:tcPr>
            <w:tcW w:w="4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140,554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113,822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0"/>
          </w:tcPr>
          <w:p>
            <w:pPr>
              <w:jc w:val="right"/>
              <w:ind w:right="203"/>
              <w:spacing w:after="0"/>
              <w:rPr>
                <w:sz w:val="20"/>
                <w:szCs w:val="20"/>
                <w:color w:val="auto"/>
              </w:rPr>
            </w:pPr>
            <w:r>
              <w:rPr>
                <w:rFonts w:ascii="Arial" w:cs="Arial" w:eastAsia="Arial" w:hAnsi="Arial"/>
                <w:sz w:val="14"/>
                <w:szCs w:val="14"/>
                <w:b w:val="1"/>
                <w:bCs w:val="1"/>
                <w:color w:val="auto"/>
                <w:w w:val="92"/>
              </w:rPr>
              <w:t>Year ended December 31, 2010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Outsourcing</w:t>
            </w:r>
          </w:p>
        </w:tc>
        <w:tc>
          <w:tcPr>
            <w:tcW w:w="4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$ 192,095</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60,658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252,753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5"/>
          </w:tcPr>
          <w:p>
            <w:pPr>
              <w:jc w:val="right"/>
              <w:ind w:right="412"/>
              <w:spacing w:after="0"/>
              <w:rPr>
                <w:sz w:val="20"/>
                <w:szCs w:val="20"/>
                <w:color w:val="auto"/>
              </w:rPr>
            </w:pPr>
            <w:r>
              <w:rPr>
                <w:rFonts w:ascii="Arial" w:cs="Arial" w:eastAsia="Arial" w:hAnsi="Arial"/>
                <w:sz w:val="18"/>
                <w:szCs w:val="18"/>
                <w:color w:val="auto"/>
              </w:rPr>
              <w:t>113,461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37,824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12"/>
              <w:spacing w:after="0"/>
              <w:rPr>
                <w:sz w:val="20"/>
                <w:szCs w:val="20"/>
                <w:color w:val="auto"/>
              </w:rPr>
            </w:pPr>
            <w:r>
              <w:rPr>
                <w:rFonts w:ascii="Arial" w:cs="Arial" w:eastAsia="Arial" w:hAnsi="Arial"/>
                <w:sz w:val="18"/>
                <w:szCs w:val="18"/>
                <w:color w:val="auto"/>
                <w:w w:val="87"/>
              </w:rPr>
              <w:t>78,634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22,834</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101,468</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Income tax provision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F-20</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October 12, 2012, the Company acquired Landacorp Inc., a leading provider of healthcare solutions and technology (the “Landacorp Acquisition”). Landacorp has more than 50 million lives under management on its software platforms and has developed services and technology solutions that share vital clinical data with payers, providers, plan participants and accountable care organizations. The Landacorp Acquisition furthers the Company’s strategic intent to continue investing in the healthcare domain and strengthen its capabilities to serve the U.S. healthcare industry and continue to invest in building processes, analytics and platform capabilities in its focused verticals. Accordingly, the Company paid a premium for the acquisition which is being reflected in the goodwill recognized from the purchase price allocation of the total consideration paid by the Company.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40" w:type="dxa"/>
            <w:vAlign w:val="bottom"/>
            <w:gridSpan w:val="3"/>
          </w:tcPr>
          <w:p>
            <w:pPr>
              <w:ind w:left="460"/>
              <w:spacing w:after="0"/>
              <w:rPr>
                <w:sz w:val="20"/>
                <w:szCs w:val="20"/>
                <w:color w:val="auto"/>
              </w:rPr>
            </w:pPr>
            <w:r>
              <w:rPr>
                <w:rFonts w:ascii="Arial" w:cs="Arial" w:eastAsia="Arial" w:hAnsi="Arial"/>
                <w:sz w:val="18"/>
                <w:szCs w:val="18"/>
                <w:color w:val="auto"/>
              </w:rPr>
              <w:t>The total purchase price of the acquisitions is as follows: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68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Add: Working capital adjustments*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8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640" w:type="dxa"/>
            <w:vAlign w:val="bottom"/>
            <w:gridSpan w:val="3"/>
          </w:tcPr>
          <w:p>
            <w:pPr>
              <w:spacing w:after="0"/>
              <w:rPr>
                <w:sz w:val="20"/>
                <w:szCs w:val="20"/>
                <w:color w:val="auto"/>
              </w:rPr>
            </w:pPr>
            <w:r>
              <w:rPr>
                <w:rFonts w:ascii="Arial" w:cs="Arial" w:eastAsia="Arial" w:hAnsi="Arial"/>
                <w:sz w:val="18"/>
                <w:szCs w:val="18"/>
                <w:color w:val="auto"/>
              </w:rPr>
              <w:t>*Paid in January 2013.</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40" w:type="dxa"/>
            <w:vAlign w:val="bottom"/>
            <w:gridSpan w:val="3"/>
          </w:tcPr>
          <w:p>
            <w:pPr>
              <w:ind w:left="460"/>
              <w:spacing w:after="0"/>
              <w:rPr>
                <w:sz w:val="20"/>
                <w:szCs w:val="20"/>
                <w:color w:val="auto"/>
              </w:rPr>
            </w:pPr>
            <w:r>
              <w:rPr>
                <w:rFonts w:ascii="Arial" w:cs="Arial" w:eastAsia="Arial" w:hAnsi="Arial"/>
                <w:sz w:val="18"/>
                <w:szCs w:val="18"/>
                <w:color w:val="auto"/>
              </w:rPr>
              <w:t>The Company’s preliminary purchase price allocation for the acquisitions is as follows: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Developed technology</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Includes $4,500 deposited in escrow accounts in connection with the acquisition.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preliminary allocation of the purchase price to the tangible and intangible assets and liabilities acquired may change up to a period of one year from the date of acquisition. Accordingly, the Company may adjust the amounts recorded as of December 31, 2012 to reflect any revised valuations of the assets acquired or liabilities assumed. The Company’s purchase accounting as of December 31, 2012 was incomplete primarily due to the pending final assessment of the realizability of the Landacorp’s federal and state net operating losses in the U.S. and valuation of intangibles as of October 12, 2012. The total amount of deferred tax assets recognized for the acquired federal and state net operating losses is approximately $6,004 as of December 31, 2012 and is included under “deferred tax assets” in the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customer relationships and developed technology from the Landacorp Acquisition are being amortized over a weighted average life of 10.0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trade names are being amortized over a life of 5.0 years.</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year ended December 31, 2012, the Company recognized $450 of acquisition-related costs. Such amounts are included under general and administrative expenses in the audited consolidated statements of income.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2012 include $4,022 of revenues and insignificant net income since the Landacorp Acquisition was consummated.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December 31, 2012:</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7"/>
              </w:rPr>
              <w:t>16,785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Goodwill arising from OPI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54,604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54,604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75,502</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16,785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 arising from Landacorp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2012</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89,886</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16,785</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106,671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line="33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Relates to the acquisition of Business Process outsourcing Inc. (“OPI”) on May 31, 2011 (the “OPI Acquisition”) pertaining to service tax receivables included under “other current assets” in the consolidated balance sheet as of December 31,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entire amount of goodwill recognized from the OPI Acquisition in 2011 and Landacorp Acquisition in 2012 is not deductible for tax purposes.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the results of its impairment testing performed during the year ended December 31, 2012,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3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$40,159</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Leasehold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320" w:type="dxa"/>
            <w:vAlign w:val="bottom"/>
          </w:tcPr>
          <w:p>
            <w:pPr>
              <w:spacing w:after="0"/>
              <w:rPr>
                <w:sz w:val="19"/>
                <w:szCs w:val="19"/>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55,545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(12,023)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43,522</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3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3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$33,100</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Leasehold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320" w:type="dxa"/>
            <w:vAlign w:val="bottom"/>
          </w:tcPr>
          <w:p>
            <w:pPr>
              <w:spacing w:after="0"/>
              <w:rPr>
                <w:sz w:val="19"/>
                <w:szCs w:val="19"/>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42,745</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(6,432)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36,313</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400" w:type="dxa"/>
            <w:vAlign w:val="bottom"/>
            <w:gridSpan w:val="2"/>
          </w:tcPr>
          <w:p>
            <w:pPr>
              <w:jc w:val="right"/>
              <w:ind w:right="1684"/>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Amortization expense for the years ended December 31, 2012, 2011 and 2010 was $5,638, $4,329 and $2,024, respectively. The weighted average life of intangible assets was 10.1 years for customer relationships, 6.8 years for leasehold benefits, 10.0 years for developed technology, 1.5 years for non-compete agreements and 3.5 years for trade names and trademarks excluding indefinite life trade names and trademarks. The Company had $900 of indefinite lived trade names and trademarks as of December 31, 2012 and December 31, 2011.</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6560" w:type="dxa"/>
            <w:vAlign w:val="bottom"/>
          </w:tcPr>
          <w:p>
            <w:pPr>
              <w:spacing w:after="0"/>
              <w:rPr>
                <w:sz w:val="20"/>
                <w:szCs w:val="20"/>
                <w:color w:val="auto"/>
              </w:rPr>
            </w:pPr>
            <w:r>
              <w:rPr>
                <w:rFonts w:ascii="Arial" w:cs="Arial" w:eastAsia="Arial" w:hAnsi="Arial"/>
                <w:sz w:val="18"/>
                <w:szCs w:val="18"/>
                <w:b w:val="1"/>
                <w:bCs w:val="1"/>
                <w:color w:val="auto"/>
                <w:w w:val="94"/>
              </w:rPr>
              <w:t>Estimated amortization of intangible assets during the year ending December 31,</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5,749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5,294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5,044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5,042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5,012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14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171"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following table sets forth the Company’s assets and liabilities that were accounted for at fair value as of December 31, 2012 and 2011. The table excludes short-term investments, accounts receivable, accounts payable and accrued expenses for which fair values approximate their carrying amounts.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2012</w:t>
            </w:r>
          </w:p>
        </w:tc>
        <w:tc>
          <w:tcPr>
            <w:tcW w:w="24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64,766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64,766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1,730</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9,861</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9,861</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2011</w:t>
            </w:r>
          </w:p>
        </w:tc>
        <w:tc>
          <w:tcPr>
            <w:tcW w:w="2400" w:type="dxa"/>
            <w:vAlign w:val="bottom"/>
          </w:tcPr>
          <w:p>
            <w:pPr>
              <w:spacing w:after="0"/>
              <w:rPr>
                <w:sz w:val="24"/>
                <w:szCs w:val="2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4"/>
                <w:szCs w:val="2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42,067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17,729</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 for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 are based on independent sources including highly rated financial institutions and are classified as Level 2. See Note 7 for further details on Derivatives and Hedge Accounting.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The Company’s primary exchange rate exposure is with the U.K. pound sterling and the Indian rupee. The Company also has exposure in Philippine pesos, Czech koruna and other local currencies in which it operates.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$221,255 and GBP 11,544 as of December 31, 2012 and totaling $235,866 and GBP 10,368 as of December 31, 2011. The Company estimates that approximately $5,269 of net derivative losses included in accumulated other comprehensive loss could be reclassified into earnings within the next 12 months based on exchange rates prevailing as of December 31, 2012. At December 31, 2012, the maximum outstanding term of derivative instruments that hedge forecasted transactions was thirty three months.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(loss)/gain.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year ended December 31, 2012 and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980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750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jc w:val="center"/>
              <w:ind w:right="115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6,249</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460" w:type="dxa"/>
            <w:vAlign w:val="bottom"/>
            <w:gridSpan w:val="3"/>
          </w:tcPr>
          <w:p>
            <w:pPr>
              <w:ind w:left="43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3,458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r>
      <w:tr>
        <w:trPr>
          <w:trHeight w:val="451"/>
        </w:trPr>
        <w:tc>
          <w:tcPr>
            <w:tcW w:w="47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76"/>
              </w:rPr>
              <w:t>2012</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38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jc w:val="center"/>
              <w:ind w:right="115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740" w:type="dxa"/>
            <w:vAlign w:val="bottom"/>
          </w:tcPr>
          <w:p>
            <w:pPr>
              <w:jc w:val="center"/>
              <w:ind w:right="1192"/>
              <w:spacing w:after="0"/>
              <w:rPr>
                <w:sz w:val="20"/>
                <w:szCs w:val="20"/>
                <w:color w:val="auto"/>
              </w:rPr>
            </w:pPr>
            <w:r>
              <w:rPr>
                <w:rFonts w:ascii="Arial" w:cs="Arial" w:eastAsia="Arial" w:hAnsi="Arial"/>
                <w:sz w:val="18"/>
                <w:szCs w:val="18"/>
                <w:color w:val="auto"/>
                <w:w w:val="87"/>
              </w:rPr>
              <w:t>Foreign currency exchange contracts</w:t>
            </w:r>
          </w:p>
        </w:tc>
        <w:tc>
          <w:tcPr>
            <w:tcW w:w="438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356"/>
        </w:trPr>
        <w:tc>
          <w:tcPr>
            <w:tcW w:w="4740" w:type="dxa"/>
            <w:vAlign w:val="bottom"/>
          </w:tcPr>
          <w:p>
            <w:pPr>
              <w:spacing w:after="0"/>
              <w:rPr>
                <w:sz w:val="24"/>
                <w:szCs w:val="24"/>
                <w:color w:val="auto"/>
              </w:rPr>
            </w:pPr>
          </w:p>
        </w:tc>
        <w:tc>
          <w:tcPr>
            <w:tcW w:w="4460" w:type="dxa"/>
            <w:vAlign w:val="bottom"/>
            <w:gridSpan w:val="3"/>
          </w:tcPr>
          <w:p>
            <w:pPr>
              <w:ind w:left="800"/>
              <w:spacing w:after="0"/>
              <w:rPr>
                <w:sz w:val="20"/>
                <w:szCs w:val="20"/>
                <w:color w:val="auto"/>
              </w:rPr>
            </w:pPr>
            <w:r>
              <w:rPr>
                <w:rFonts w:ascii="Arial" w:cs="Arial" w:eastAsia="Arial" w:hAnsi="Arial"/>
                <w:sz w:val="18"/>
                <w:szCs w:val="18"/>
                <w:color w:val="auto"/>
              </w:rPr>
              <w:t>F-25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consolidated statements of income for the years ended December 31,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Location of</w:t>
            </w:r>
          </w:p>
        </w:tc>
        <w:tc>
          <w:tcPr>
            <w:tcW w:w="1060" w:type="dxa"/>
            <w:vAlign w:val="bottom"/>
            <w:gridSpan w:val="3"/>
          </w:tcPr>
          <w:p>
            <w:pPr>
              <w:jc w:val="center"/>
              <w:ind w:left="130"/>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060" w:type="dxa"/>
            <w:vAlign w:val="bottom"/>
            <w:gridSpan w:val="3"/>
          </w:tcPr>
          <w:p>
            <w:pPr>
              <w:jc w:val="center"/>
              <w:ind w:left="130"/>
              <w:spacing w:after="0" w:line="135" w:lineRule="exact"/>
              <w:rPr>
                <w:sz w:val="20"/>
                <w:szCs w:val="20"/>
                <w:color w:val="auto"/>
              </w:rPr>
            </w:pPr>
            <w:r>
              <w:rPr>
                <w:rFonts w:ascii="Arial" w:cs="Arial" w:eastAsia="Arial" w:hAnsi="Arial"/>
                <w:sz w:val="14"/>
                <w:szCs w:val="14"/>
                <w:b w:val="1"/>
                <w:bCs w:val="1"/>
                <w:color w:val="auto"/>
                <w:w w:val="85"/>
              </w:rPr>
              <w:t>Gain/(Loss)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Gain/(Loss) Recognized</w:t>
            </w:r>
          </w:p>
        </w:tc>
        <w:tc>
          <w:tcPr>
            <w:tcW w:w="106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440" w:type="dxa"/>
            <w:vAlign w:val="bottom"/>
          </w:tcPr>
          <w:p>
            <w:pPr>
              <w:spacing w:after="0"/>
              <w:rPr>
                <w:sz w:val="12"/>
                <w:szCs w:val="12"/>
                <w:color w:val="auto"/>
              </w:rPr>
            </w:pPr>
          </w:p>
        </w:tc>
        <w:tc>
          <w:tcPr>
            <w:tcW w:w="1780" w:type="dxa"/>
            <w:vAlign w:val="bottom"/>
            <w:gridSpan w:val="5"/>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Amount of Gain/</w:t>
            </w:r>
          </w:p>
        </w:tc>
        <w:tc>
          <w:tcPr>
            <w:tcW w:w="140" w:type="dxa"/>
            <w:vAlign w:val="bottom"/>
          </w:tcPr>
          <w:p>
            <w:pPr>
              <w:spacing w:after="0"/>
              <w:rPr>
                <w:sz w:val="12"/>
                <w:szCs w:val="12"/>
                <w:color w:val="auto"/>
              </w:rPr>
            </w:pP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Location of</w:t>
            </w:r>
          </w:p>
        </w:tc>
        <w:tc>
          <w:tcPr>
            <w:tcW w:w="15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1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 Income on Derivative</w:t>
            </w:r>
          </w:p>
        </w:tc>
        <w:tc>
          <w:tcPr>
            <w:tcW w:w="14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Income on Derivative</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780" w:type="dxa"/>
            <w:vAlign w:val="bottom"/>
            <w:gridSpan w:val="5"/>
          </w:tcPr>
          <w:p>
            <w:pPr>
              <w:jc w:val="center"/>
              <w:ind w:right="98"/>
              <w:spacing w:after="0" w:line="148" w:lineRule="exact"/>
              <w:rPr>
                <w:sz w:val="20"/>
                <w:szCs w:val="20"/>
                <w:color w:val="auto"/>
              </w:rPr>
            </w:pPr>
            <w:r>
              <w:rPr>
                <w:rFonts w:ascii="Arial" w:cs="Arial" w:eastAsia="Arial" w:hAnsi="Arial"/>
                <w:sz w:val="14"/>
                <w:szCs w:val="14"/>
                <w:b w:val="1"/>
                <w:bCs w:val="1"/>
                <w:color w:val="auto"/>
                <w:w w:val="85"/>
              </w:rPr>
              <w:t>(Loss) Recognized in</w:t>
            </w:r>
          </w:p>
        </w:tc>
        <w:tc>
          <w:tcPr>
            <w:tcW w:w="140" w:type="dxa"/>
            <w:vAlign w:val="bottom"/>
          </w:tcPr>
          <w:p>
            <w:pPr>
              <w:spacing w:after="0"/>
              <w:rPr>
                <w:sz w:val="12"/>
                <w:szCs w:val="12"/>
                <w:color w:val="auto"/>
              </w:rPr>
            </w:pPr>
          </w:p>
        </w:tc>
        <w:tc>
          <w:tcPr>
            <w:tcW w:w="21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Gain/(Loss) Reclassified</w:t>
            </w:r>
          </w:p>
        </w:tc>
        <w:tc>
          <w:tcPr>
            <w:tcW w:w="860" w:type="dxa"/>
            <w:vAlign w:val="bottom"/>
            <w:gridSpan w:val="2"/>
          </w:tcPr>
          <w:p>
            <w:pPr>
              <w:jc w:val="center"/>
              <w:ind w:left="430"/>
              <w:spacing w:after="0" w:line="148" w:lineRule="exact"/>
              <w:rPr>
                <w:sz w:val="20"/>
                <w:szCs w:val="20"/>
                <w:color w:val="auto"/>
              </w:rPr>
            </w:pPr>
            <w:r>
              <w:rPr>
                <w:rFonts w:ascii="Arial" w:cs="Arial" w:eastAsia="Arial" w:hAnsi="Arial"/>
                <w:sz w:val="14"/>
                <w:szCs w:val="14"/>
                <w:b w:val="1"/>
                <w:bCs w:val="1"/>
                <w:color w:val="auto"/>
                <w:w w:val="85"/>
              </w:rPr>
              <w:t>(Loss)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1460" w:type="dxa"/>
            <w:vAlign w:val="bottom"/>
            <w:gridSpan w:val="5"/>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(Ineffective Portion</w:t>
            </w: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in Cash Flow</w:t>
            </w: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right="678"/>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15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and Amount</w:t>
            </w:r>
          </w:p>
        </w:tc>
        <w:tc>
          <w:tcPr>
            <w:tcW w:w="106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8"/>
              </w:rPr>
              <w:t>And Amount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440" w:type="dxa"/>
            <w:vAlign w:val="bottom"/>
          </w:tcPr>
          <w:p>
            <w:pPr>
              <w:spacing w:after="0"/>
              <w:rPr>
                <w:sz w:val="12"/>
                <w:szCs w:val="12"/>
                <w:color w:val="auto"/>
              </w:rPr>
            </w:pPr>
          </w:p>
        </w:tc>
        <w:tc>
          <w:tcPr>
            <w:tcW w:w="1780" w:type="dxa"/>
            <w:vAlign w:val="bottom"/>
            <w:gridSpan w:val="5"/>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on Derivative</w:t>
            </w:r>
          </w:p>
        </w:tc>
        <w:tc>
          <w:tcPr>
            <w:tcW w:w="140" w:type="dxa"/>
            <w:vAlign w:val="bottom"/>
          </w:tcPr>
          <w:p>
            <w:pPr>
              <w:spacing w:after="0"/>
              <w:rPr>
                <w:sz w:val="12"/>
                <w:szCs w:val="12"/>
                <w:color w:val="auto"/>
              </w:rPr>
            </w:pP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Income (Effective</w:t>
            </w:r>
          </w:p>
        </w:tc>
        <w:tc>
          <w:tcPr>
            <w:tcW w:w="15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4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106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8"/>
              </w:rPr>
              <w:t>Excluded from</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Relationships</w:t>
            </w:r>
          </w:p>
        </w:tc>
        <w:tc>
          <w:tcPr>
            <w:tcW w:w="1440" w:type="dxa"/>
            <w:vAlign w:val="bottom"/>
          </w:tcPr>
          <w:p>
            <w:pPr>
              <w:spacing w:after="0"/>
              <w:rPr>
                <w:sz w:val="12"/>
                <w:szCs w:val="12"/>
                <w:color w:val="auto"/>
              </w:rPr>
            </w:pPr>
          </w:p>
        </w:tc>
        <w:tc>
          <w:tcPr>
            <w:tcW w:w="1780" w:type="dxa"/>
            <w:vAlign w:val="bottom"/>
            <w:gridSpan w:val="5"/>
          </w:tcPr>
          <w:p>
            <w:pPr>
              <w:jc w:val="center"/>
              <w:ind w:right="98"/>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40" w:type="dxa"/>
            <w:vAlign w:val="bottom"/>
          </w:tcPr>
          <w:p>
            <w:pPr>
              <w:spacing w:after="0"/>
              <w:rPr>
                <w:sz w:val="12"/>
                <w:szCs w:val="12"/>
                <w:color w:val="auto"/>
              </w:rPr>
            </w:pPr>
          </w:p>
        </w:tc>
        <w:tc>
          <w:tcPr>
            <w:tcW w:w="21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Portion)</w:t>
            </w:r>
          </w:p>
        </w:tc>
        <w:tc>
          <w:tcPr>
            <w:tcW w:w="152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40" w:type="dxa"/>
            <w:vAlign w:val="bottom"/>
          </w:tcPr>
          <w:p>
            <w:pPr>
              <w:spacing w:after="0"/>
              <w:rPr>
                <w:sz w:val="12"/>
                <w:szCs w:val="12"/>
                <w:color w:val="auto"/>
              </w:rPr>
            </w:pP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146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Effectiveness Testing)</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b w:val="1"/>
                <w:bCs w:val="1"/>
                <w:color w:val="auto"/>
              </w:rPr>
              <w:t>2012</w:t>
            </w:r>
          </w:p>
        </w:tc>
        <w:tc>
          <w:tcPr>
            <w:tcW w:w="1020" w:type="dxa"/>
            <w:vAlign w:val="bottom"/>
            <w:gridSpan w:val="2"/>
            <w:shd w:val="clear" w:color="auto" w:fill="CCEEFF"/>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0"/>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76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line="188" w:lineRule="exact"/>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16"/>
                <w:szCs w:val="16"/>
                <w:color w:val="auto"/>
              </w:rPr>
            </w:pPr>
          </w:p>
        </w:tc>
        <w:tc>
          <w:tcPr>
            <w:tcW w:w="5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$708</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w w:val="81"/>
              </w:rPr>
              <w:t>$ (20,329</w:t>
            </w: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c>
          <w:tcPr>
            <w:tcW w:w="2320" w:type="dxa"/>
            <w:vAlign w:val="bottom"/>
            <w:gridSpan w:val="3"/>
          </w:tcPr>
          <w:p>
            <w:pPr>
              <w:ind w:left="140"/>
              <w:spacing w:after="0" w:line="188" w:lineRule="exact"/>
              <w:rPr>
                <w:sz w:val="20"/>
                <w:szCs w:val="20"/>
                <w:color w:val="auto"/>
              </w:rPr>
            </w:pPr>
            <w:r>
              <w:rPr>
                <w:rFonts w:ascii="Arial" w:cs="Arial" w:eastAsia="Arial" w:hAnsi="Arial"/>
                <w:sz w:val="18"/>
                <w:szCs w:val="18"/>
                <w:color w:val="auto"/>
              </w:rPr>
              <w:t>Foreign</w:t>
            </w:r>
          </w:p>
        </w:tc>
        <w:tc>
          <w:tcPr>
            <w:tcW w:w="5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w w:val="88"/>
              </w:rPr>
              <w:t>$(9,044</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w w:val="87"/>
              </w:rPr>
              <w:t>$1,600</w:t>
            </w:r>
          </w:p>
        </w:tc>
        <w:tc>
          <w:tcPr>
            <w:tcW w:w="160" w:type="dxa"/>
            <w:vAlign w:val="bottom"/>
          </w:tcPr>
          <w:p>
            <w:pPr>
              <w:spacing w:after="0"/>
              <w:rPr>
                <w:sz w:val="16"/>
                <w:szCs w:val="16"/>
                <w:color w:val="auto"/>
              </w:rPr>
            </w:pPr>
          </w:p>
        </w:tc>
        <w:tc>
          <w:tcPr>
            <w:tcW w:w="2060" w:type="dxa"/>
            <w:vAlign w:val="bottom"/>
            <w:gridSpan w:val="3"/>
          </w:tcPr>
          <w:p>
            <w:pPr>
              <w:ind w:left="140"/>
              <w:spacing w:after="0" w:line="188" w:lineRule="exact"/>
              <w:rPr>
                <w:sz w:val="20"/>
                <w:szCs w:val="20"/>
                <w:color w:val="auto"/>
              </w:rPr>
            </w:pPr>
            <w:r>
              <w:rPr>
                <w:rFonts w:ascii="Arial" w:cs="Arial" w:eastAsia="Arial" w:hAnsi="Arial"/>
                <w:sz w:val="18"/>
                <w:szCs w:val="18"/>
                <w:color w:val="auto"/>
              </w:rPr>
              <w:t>Foreign exchange</w:t>
            </w:r>
          </w:p>
        </w:tc>
        <w:tc>
          <w:tcPr>
            <w:tcW w:w="500" w:type="dxa"/>
            <w:vAlign w:val="bottom"/>
            <w:tcBorders>
              <w:top w:val="single" w:sz="8" w:color="auto"/>
            </w:tcBorders>
          </w:tcPr>
          <w:p>
            <w:pPr>
              <w:jc w:val="right"/>
              <w:ind w:right="10"/>
              <w:spacing w:after="0" w:line="188" w:lineRule="exact"/>
              <w:rPr>
                <w:sz w:val="20"/>
                <w:szCs w:val="20"/>
                <w:color w:val="auto"/>
              </w:rPr>
            </w:pPr>
            <w:r>
              <w:rPr>
                <w:rFonts w:ascii="Arial" w:cs="Arial" w:eastAsia="Arial" w:hAnsi="Arial"/>
                <w:sz w:val="18"/>
                <w:szCs w:val="18"/>
                <w:color w:val="auto"/>
              </w:rPr>
              <w:t>$  —</w:t>
            </w:r>
          </w:p>
        </w:tc>
        <w:tc>
          <w:tcPr>
            <w:tcW w:w="240" w:type="dxa"/>
            <w:vAlign w:val="bottom"/>
          </w:tcPr>
          <w:p>
            <w:pPr>
              <w:spacing w:after="0"/>
              <w:rPr>
                <w:sz w:val="16"/>
                <w:szCs w:val="16"/>
                <w:color w:val="auto"/>
              </w:rPr>
            </w:pPr>
          </w:p>
        </w:tc>
        <w:tc>
          <w:tcPr>
            <w:tcW w:w="32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exchange</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Arial" w:cs="Arial" w:eastAsia="Arial" w:hAnsi="Arial"/>
                <w:sz w:val="18"/>
                <w:szCs w:val="18"/>
                <w:color w:val="auto"/>
              </w:rPr>
              <w:t>exchange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(loss)/gain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contracts</w:t>
            </w: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3"/>
          </w:tcPr>
          <w:p>
            <w:pPr>
              <w:ind w:left="140"/>
              <w:spacing w:after="0"/>
              <w:rPr>
                <w:sz w:val="20"/>
                <w:szCs w:val="20"/>
                <w:color w:val="auto"/>
              </w:rPr>
            </w:pPr>
            <w:r>
              <w:rPr>
                <w:rFonts w:ascii="Arial" w:cs="Arial" w:eastAsia="Arial" w:hAnsi="Arial"/>
                <w:sz w:val="18"/>
                <w:szCs w:val="18"/>
                <w:color w:val="auto"/>
              </w:rPr>
              <w:t>(loss)/gain</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Amount of Gain/(Loss)</w:t>
            </w:r>
          </w:p>
        </w:tc>
      </w:tr>
      <w:tr>
        <w:trPr>
          <w:trHeight w:val="162"/>
        </w:trPr>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Recognized in Income on</w:t>
            </w:r>
          </w:p>
        </w:tc>
      </w:t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5500" w:type="dxa"/>
            <w:vAlign w:val="bottom"/>
            <w:gridSpan w:val="3"/>
          </w:tcPr>
          <w:p>
            <w:pPr>
              <w:ind w:left="1320"/>
              <w:spacing w:after="0"/>
              <w:rPr>
                <w:sz w:val="20"/>
                <w:szCs w:val="20"/>
                <w:color w:val="auto"/>
              </w:rPr>
            </w:pPr>
            <w:r>
              <w:rPr>
                <w:rFonts w:ascii="Arial" w:cs="Arial" w:eastAsia="Arial" w:hAnsi="Arial"/>
                <w:sz w:val="14"/>
                <w:szCs w:val="14"/>
                <w:b w:val="1"/>
                <w:bCs w:val="1"/>
                <w:color w:val="auto"/>
              </w:rPr>
              <w:t>Location of Gain/(Loss)</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Derivatives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4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as Hedging Instruments</w:t>
            </w:r>
          </w:p>
        </w:tc>
        <w:tc>
          <w:tcPr>
            <w:tcW w:w="5500" w:type="dxa"/>
            <w:vAlign w:val="bottom"/>
            <w:gridSpan w:val="3"/>
          </w:tcPr>
          <w:p>
            <w:pPr>
              <w:ind w:left="1320"/>
              <w:spacing w:after="0" w:line="109" w:lineRule="exact"/>
              <w:rPr>
                <w:sz w:val="20"/>
                <w:szCs w:val="20"/>
                <w:color w:val="auto"/>
              </w:rPr>
            </w:pPr>
            <w:r>
              <w:rPr>
                <w:rFonts w:ascii="Arial" w:cs="Arial" w:eastAsia="Arial" w:hAnsi="Arial"/>
                <w:sz w:val="12"/>
                <w:szCs w:val="12"/>
                <w:b w:val="1"/>
                <w:bCs w:val="1"/>
                <w:color w:val="auto"/>
              </w:rPr>
              <w:t>Recognized in Income on Derivatives</w:t>
            </w:r>
          </w:p>
        </w:tc>
        <w:tc>
          <w:tcPr>
            <w:tcW w:w="580" w:type="dxa"/>
            <w:vAlign w:val="bottom"/>
          </w:tcPr>
          <w:p>
            <w:pPr>
              <w:ind w:left="140"/>
              <w:spacing w:after="0" w:line="115"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1"/>
                <w:szCs w:val="11"/>
                <w:color w:val="auto"/>
              </w:rPr>
            </w:pPr>
          </w:p>
        </w:tc>
        <w:tc>
          <w:tcPr>
            <w:tcW w:w="840" w:type="dxa"/>
            <w:vAlign w:val="bottom"/>
            <w:gridSpan w:val="2"/>
          </w:tcPr>
          <w:p>
            <w:pPr>
              <w:jc w:val="right"/>
              <w:ind w:right="132"/>
              <w:spacing w:after="0" w:line="115"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1"/>
                <w:szCs w:val="11"/>
                <w:color w:val="auto"/>
              </w:rPr>
            </w:pPr>
          </w:p>
        </w:tc>
      </w:tr>
      <w:tr>
        <w:trPr>
          <w:trHeight w:val="20"/>
        </w:trPr>
        <w:tc>
          <w:tcPr>
            <w:tcW w:w="162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132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 exchange (loss)/gain</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$ 2,076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(5,482)</w:t>
            </w:r>
          </w:p>
        </w:tc>
        <w:tc>
          <w:tcPr>
            <w:tcW w:w="100" w:type="dxa"/>
            <w:vAlign w:val="bottom"/>
            <w:shd w:val="clear" w:color="auto" w:fill="CCEEFF"/>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60" w:type="dxa"/>
            <w:vAlign w:val="bottom"/>
            <w:gridSpan w:val="4"/>
          </w:tcPr>
          <w:p>
            <w:pPr>
              <w:ind w:left="216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63,463</w:t>
            </w:r>
          </w:p>
        </w:tc>
        <w:tc>
          <w:tcPr>
            <w:tcW w:w="40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Land</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102,815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w w:val="91"/>
              </w:rPr>
              <w:t>Less: Accumulated depreciation and amortization</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(65,581)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(54,736)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37,234</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w w:val="91"/>
              </w:rPr>
              <w:t>Less: Accumulated depreciation and amortization</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(2,196)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8"/>
                <w:szCs w:val="18"/>
                <w:color w:val="auto"/>
              </w:rPr>
              <w:t>Fixed assets, net</w:t>
            </w: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40,239</w:t>
            </w:r>
          </w:p>
        </w:tc>
        <w:tc>
          <w:tcPr>
            <w:tcW w:w="40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F-26</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and amortization expense excluding amortization of acquisition related intangibles for the year ended December 31, 2012, 2011 and 2010 was $19,985, $18,665 and $13,811,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towards acquisition of fixed assets and the cost of fixed assets not yet ready to be placed in service.</w:t>
      </w:r>
    </w:p>
    <w:p>
      <w:pPr>
        <w:spacing w:after="0" w:line="269" w:lineRule="exact"/>
        <w:rPr>
          <w:sz w:val="20"/>
          <w:szCs w:val="20"/>
          <w:color w:val="auto"/>
        </w:rPr>
      </w:pPr>
    </w:p>
    <w:p>
      <w:pPr>
        <w:ind w:right="9900" w:firstLine="8"/>
        <w:spacing w:after="0" w:line="391" w:lineRule="auto"/>
        <w:tabs>
          <w:tab w:leader="none" w:pos="17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year ended December 31, 2012 and 2011, the Company acquired 12,865 and 9,596 shares of common stock, respectively from employees in connection with withholding tax payments related to the vesting of restricted stock for a total consideration of $331 and $185, respectively. The weighted average purchase price of $25.78 and $19.26, respectively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September 19, 2011, the Company completed a public offering of its common stock. The Company sold 1,000,000 shares of its common stock and certain selling stockholders sold an aggregate of 3,000,000 shares of common stock at a price of $23.00 per share less underwriting discount. The Company received net proceeds of $21,526 from the offering.</w:t>
      </w:r>
    </w:p>
    <w:p>
      <w:pPr>
        <w:spacing w:after="0" w:line="14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During the year ended December 31, 2011, the Company acquired 61,299 shares of common stock for a total consideration of $1,439 in pursuance of an option agreement between the Company and Prudential Financial, Inc. (Prudential) dated July 1, 2004. The purchase price of $23.47 per share was the average closing price for the 30-day period on the Nasdaq Global Select Market preceding the date of exercise of options by Prudential. The shares acquired are held as treasury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provides a lump 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benefit obligation has been measured as of December 31, 2012. The following table sets forth the activity and the funded status of the Gratuity Plan and the amounts recognized in the Company’s consolidated financial statements at the end of the relevant periods: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projected benefit obligation:</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$4,429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cost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Actuarial loss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8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Unfunded amount—non-current</w:t>
            </w:r>
          </w:p>
        </w:tc>
        <w:tc>
          <w:tcPr>
            <w:tcW w:w="1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amount—current</w:t>
            </w:r>
          </w:p>
        </w:tc>
        <w:tc>
          <w:tcPr>
            <w:tcW w:w="18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Total accrued liability</w:t>
            </w:r>
          </w:p>
        </w:tc>
        <w:tc>
          <w:tcPr>
            <w:tcW w:w="2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3,290</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$ 526</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302</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Actuarial loss</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$ 845</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$149. The components of accumulated other comprehensive income that has not been recognized as components of net gratuity cost in the statement of income as of December 31, 2012 is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actuarial loss</w:t>
            </w:r>
          </w:p>
        </w:tc>
        <w:tc>
          <w:tcPr>
            <w:tcW w:w="3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prior service cost</w:t>
            </w:r>
          </w:p>
        </w:tc>
        <w:tc>
          <w:tcPr>
            <w:tcW w:w="3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other comprehensive loss, net of tax</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60" w:type="dxa"/>
            <w:vAlign w:val="bottom"/>
            <w:gridSpan w:val="2"/>
          </w:tcPr>
          <w:p>
            <w:pPr>
              <w:jc w:val="right"/>
              <w:ind w:right="3222"/>
              <w:spacing w:after="0"/>
              <w:rPr>
                <w:sz w:val="20"/>
                <w:szCs w:val="20"/>
                <w:color w:val="auto"/>
              </w:rPr>
            </w:pPr>
            <w:r>
              <w:rPr>
                <w:rFonts w:ascii="Arial" w:cs="Arial" w:eastAsia="Arial" w:hAnsi="Arial"/>
                <w:sz w:val="18"/>
                <w:szCs w:val="18"/>
                <w:color w:val="auto"/>
              </w:rPr>
              <w:t>F-28</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9.1%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8.7%</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8.4%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8.0%</w:t>
            </w:r>
          </w:p>
        </w:tc>
      </w:tr>
    </w:tbl>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19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2013</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$1,693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2015</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$1,409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2017</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$1,121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2018 to 2022</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$2,940</w:t>
            </w: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expects the return on the Gratuity Plans to be approximately 8.5% per annum for the year ended March 31, 2013.</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Plan assets at January 1, 2012</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Actual return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3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December 31, 2012</w:t>
            </w:r>
          </w:p>
        </w:tc>
        <w:tc>
          <w:tcPr>
            <w:tcW w:w="23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$942, $662 and $269 during the years ended December 31, 2012, 2011 and 2010, respectively. The increase in contributions in 2012 compared to 2011 is primarily due to the Company’s acquisitions of OPI and Trumbull in 2011 and increased participation by employees.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years ended December 31, 2012, 2011 and 2010, the Company contributed the following amounts to various defined contribution plans on behalf of its employees in India, the Philippines,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4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$5,626</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Year ended December 31, 2011</w:t>
            </w:r>
          </w:p>
        </w:tc>
        <w:tc>
          <w:tcPr>
            <w:tcW w:w="4800" w:type="dxa"/>
            <w:vAlign w:val="bottom"/>
          </w:tcPr>
          <w:p>
            <w:pPr>
              <w:jc w:val="right"/>
              <w:ind w:right="12"/>
              <w:spacing w:after="0"/>
              <w:rPr>
                <w:sz w:val="20"/>
                <w:szCs w:val="20"/>
                <w:color w:val="auto"/>
              </w:rPr>
            </w:pPr>
            <w:r>
              <w:rPr>
                <w:rFonts w:ascii="Arial" w:cs="Arial" w:eastAsia="Arial" w:hAnsi="Arial"/>
                <w:sz w:val="18"/>
                <w:szCs w:val="18"/>
                <w:color w:val="auto"/>
              </w:rPr>
              <w:t>$ 5,011</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4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$3,648</w:t>
            </w:r>
          </w:p>
        </w:tc>
      </w:tr>
      <w:tr>
        <w:trPr>
          <w:trHeight w:val="363"/>
        </w:trPr>
        <w:tc>
          <w:tcPr>
            <w:tcW w:w="2960" w:type="dxa"/>
            <w:vAlign w:val="bottom"/>
          </w:tcPr>
          <w:p>
            <w:pPr>
              <w:spacing w:after="0"/>
              <w:rPr>
                <w:sz w:val="24"/>
                <w:szCs w:val="24"/>
                <w:color w:val="auto"/>
              </w:rPr>
            </w:pPr>
          </w:p>
        </w:tc>
        <w:tc>
          <w:tcPr>
            <w:tcW w:w="4800" w:type="dxa"/>
            <w:vAlign w:val="bottom"/>
          </w:tcPr>
          <w:p>
            <w:pPr>
              <w:jc w:val="right"/>
              <w:ind w:right="3632"/>
              <w:spacing w:after="0"/>
              <w:rPr>
                <w:sz w:val="20"/>
                <w:szCs w:val="20"/>
                <w:color w:val="auto"/>
              </w:rPr>
            </w:pPr>
            <w:r>
              <w:rPr>
                <w:rFonts w:ascii="Arial" w:cs="Arial" w:eastAsia="Arial" w:hAnsi="Arial"/>
                <w:sz w:val="18"/>
                <w:szCs w:val="18"/>
                <w:color w:val="auto"/>
              </w:rPr>
              <w:t>F-29</w:t>
            </w:r>
          </w:p>
        </w:tc>
      </w:tr>
    </w:tbl>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finances its use of certain computer hardware, leasehold improvements, furniture, fixtures, office equipment and motor vehicles under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various lease arrangements provided by financial institutions. Future minimum lease payments under these capital leases as of December 31, 2012 are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2013</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2017</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more than twelve months are set forth below:</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26,078</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cancelable and non-cancelable operating leases was $17,860, $14,599 and $9,808 for the years ended December 31, 2012, 2011 and 2010, respectively. Deferred rent as of December 31, 2012 and 2011 was $4,893 and $3,815, respectively, and is included in “Accrued expenses and other current liabilities” and “Non-current liabilities”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660" w:type="dxa"/>
            <w:vAlign w:val="bottom"/>
            <w:tcBorders>
              <w:bottom w:val="single" w:sz="8" w:color="CCEEFF"/>
            </w:tcBorders>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4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Foreign</w:t>
            </w:r>
          </w:p>
        </w:tc>
        <w:tc>
          <w:tcPr>
            <w:tcW w:w="4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40,636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26,125</w:t>
            </w:r>
          </w:p>
        </w:tc>
        <w:tc>
          <w:tcPr>
            <w:tcW w:w="100" w:type="dxa"/>
            <w:vAlign w:val="bottom"/>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56,720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46,648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32,089</w:t>
            </w:r>
          </w:p>
        </w:tc>
        <w:tc>
          <w:tcPr>
            <w:tcW w:w="100" w:type="dxa"/>
            <w:vAlign w:val="bottom"/>
            <w:shd w:val="clear" w:color="auto" w:fill="CCEEFF"/>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4740" w:type="dxa"/>
            <w:vAlign w:val="bottom"/>
            <w:gridSpan w:val="2"/>
          </w:tcPr>
          <w:p>
            <w:pPr>
              <w:jc w:val="right"/>
              <w:ind w:right="2357"/>
              <w:spacing w:after="0"/>
              <w:rPr>
                <w:sz w:val="20"/>
                <w:szCs w:val="20"/>
                <w:color w:val="auto"/>
              </w:rPr>
            </w:pPr>
            <w:r>
              <w:rPr>
                <w:rFonts w:ascii="Arial" w:cs="Arial" w:eastAsia="Arial" w:hAnsi="Arial"/>
                <w:sz w:val="18"/>
                <w:szCs w:val="18"/>
                <w:color w:val="auto"/>
              </w:rPr>
              <w:t>F-30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provision:</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Domestic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1,433</w:t>
            </w:r>
          </w:p>
        </w:tc>
        <w:tc>
          <w:tcPr>
            <w:tcW w:w="4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$ 4,380</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10,157</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13,573</w:t>
            </w:r>
          </w:p>
        </w:tc>
        <w:tc>
          <w:tcPr>
            <w:tcW w:w="44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$ 7,872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provision/(benefit):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Domestic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4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$(1,431)</w:t>
            </w: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(3,704)</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r>
      <w:tr>
        <w:trPr>
          <w:trHeight w:val="20"/>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(1,705)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(2,375)</w:t>
            </w:r>
          </w:p>
        </w:tc>
      </w:tr>
      <w:tr>
        <w:trPr>
          <w:trHeight w:val="28"/>
        </w:trPr>
        <w:tc>
          <w:tcPr>
            <w:tcW w:w="6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11,868</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$ 5,497</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tax provision</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$19,852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$16,327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(254)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(3,219)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(2,573)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(1,071)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provision/(benefit)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(1,179)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Unrecognized tax benefits and interest</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(2,083)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(2,848)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Tax provision</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14,884</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11,868</w:t>
            </w:r>
          </w:p>
        </w:tc>
        <w:tc>
          <w:tcPr>
            <w:tcW w:w="2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5,497</w:t>
            </w: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fiscal year under the Indian Income Tax Act ends on March 31. Certain of the Company’s operations centers in India qualified for an exemption from corporate tax under the Indian Income Tax Act which expired on April 1, 2011. Therefore, profits generated from the services provided from such operations centers have become fully taxable and consequently, the Company’s tax expense increased from 2011 and may continue to be higher going forward.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benefited from a four-year income tax holiday that expired in May 2012. The tax benefit is extendable by two successive one-year periods on fulfillment of certain performance and investment criteria. The Company had fulfilled such obligations and had applied to the Philippines Economic Zone Authority (“PEZA”) for an extension of the tax holiday. In February 2013, the Company received a formal communication from PEZA approving a one year extension retroactively from May 2012. The Company’s new operations center in the Philippines, which began operations in January 2012, benefits from a separate four-year income tax holiday that can be extended at PEZA’s discretion. While the Company is reasonably certain that PEZA will extend these tax holidays, it is possible that such extension requests may be denied, or that these tax holidays may be conditioned or removed entirely due to changes in applicable legislation by the government of the Philippines. Should any of these events occur, the Company’s tax liability in the Philippines would likely increase.</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Company’s operations centers in Jaipur and Noida, India, which were established in Special Economic Zones (“SEZ”) in 2010, are eligible for tax incentives until 2020. As part of the OPI Acquisition, the Company also acquired operations centers in Bengaluru and Kochi, India that are also established in SEZs. The operations center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Bengaluru completed its first five years of operations on March 31, 2012. Under the tax regulations, the Bengaluru operations center is entitled to a 50% tax exemption on export profits for five years from April 1, 2012, for an additional five year period. Our tax expense for the Bengaluru center has increased after April 1, 2012 and will further increase after the expiry of a further five year. The Company also established a new operations center in Pune, India in June 2012, which is located in an SEZ. The Company anticipates establishing additional operations centers in SEZs or other tax advantaged locations in the future.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diluted earnings per share effect of the tax holiday is $0.10, $0.10 and $0.08 for the years ended December 31, 2012, 2011 and 2010,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 balances as of December 31, 2012 and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Tax credit carry forward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2,932</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costs and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Net operating loss carry 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exchange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35,735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35,070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exchange gain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14,401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14,471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20,599</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2012 and 2011,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Accordingly, the Company has recorded a valuation allowance as of December 31, 2012 and 2011 of $665 and $919, respectively.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OPI Acquisition and the Landacorp Acquisition, the Company acquired federal and state net operating losses in the United States. Thus, as of December 31, 2012, the Company has federal net operating loss carry forwards of approximately $34,700, which expire through various years till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Indian subsidiaries are liable to pay Minimum Alternative Tax (MAT) under the domestic tax laws. As of December 31, 2012 and 2011 deferred income taxes related to the MAT were $2,932 and $2,793, respectively expiring through various years until 2024.</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December 31, 2012 and 2011, no deferred income taxes have been provided for the Company’s share of undistributed net earnings of foreign operations due to management’s intent to reinvest such amounts indefinitely. The determination of the amount of such unrecognized deferred taxes is not practical. Those earnings totaled approximately $153,906 and $125,226 as of December 31, 2012 and 2011, respectively.</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 well as the related net interest. Tax exposures can involve complex issues and their resolution may require extended periods.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the gross unrecognized tax benefits from January 1, 2012 through December 31, 2012:</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9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December 31, 2012 of $3,019, if recognized, would impact the effective tax rate.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has recognized interest and penalties of $23 during the year ended December 31, 2012, which is included in the income tax provision in the consolidated statements of income. The unrecognized tax benefits may increase or decrease in the next twelve months depending on the Company’s tax positions.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which replaced the 2003 Plan. The 2006 Plan covers all of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329,854 shares from the 2003 plan) for the granting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Effective January 1, 2006, the Company adopted guidance under ASC No. 718, using the modified prospective method of transition. Under the provisions of this guidance, the estimated fair value of share-based awards granted under stock incentive plans is recognized as compensation expense over the vesting period. Using the modified prospective method, compensation expense is recognized beginning with the effective date of adoption of this guidance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 of income: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$1,893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9,416</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9,462</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8,491</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5.38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4.65</w:t>
            </w:r>
          </w:p>
        </w:tc>
        <w:tc>
          <w:tcPr>
            <w:tcW w:w="2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0.97%</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2.16%</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1.84%</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Volatility</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3,188,066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326,319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18.03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(278,118)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(160,650)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3,075,617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360,867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(342,166)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(64,190)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3,030,128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416,129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25.36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(793,053)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(198,570)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2,454,634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15.30</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$ 27,554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1,289,428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13.45</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$ 16,823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2,229,618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unrecognized compensation cost for unvested options as of December 31, 2012, is $5,158, which is expected to be expensed over a weighted average period of 2.41 years. The weighted-average fair value of options granted during the years ended December 31, 2012, 2011 and 2010 was $9.43, $8.16 and $7.10, respectively. The total grant date fair value of options vested during the years ended December 31, 2012, 2011 and 2010 was $3,000, $3,099 and $3,481, respectively. The aggregate intrinsic value of options exercised during the years ended December 31, 2012, 2011 and 2010 was $12,020, $4,180 and $2,416,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2012:</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2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Options Outstanding</w:t>
            </w:r>
          </w:p>
        </w:tc>
        <w:tc>
          <w:tcPr>
            <w:tcW w:w="46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w w:val="95"/>
              </w:rPr>
              <w:t>Options Vested and Exercisable</w:t>
            </w: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4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480" w:type="dxa"/>
            <w:vAlign w:val="bottom"/>
          </w:tcPr>
          <w:p>
            <w:pPr>
              <w:spacing w:after="0"/>
              <w:rPr>
                <w:sz w:val="14"/>
                <w:szCs w:val="14"/>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56"/>
              <w:spacing w:after="0" w:line="148" w:lineRule="exact"/>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4"/>
                <w:szCs w:val="14"/>
                <w:color w:val="auto"/>
              </w:rPr>
            </w:pPr>
          </w:p>
        </w:tc>
        <w:tc>
          <w:tcPr>
            <w:tcW w:w="14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$0.12 to $0.17</w:t>
            </w:r>
          </w:p>
        </w:tc>
        <w:tc>
          <w:tcPr>
            <w:tcW w:w="4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$8.00 to $15.00</w:t>
            </w:r>
          </w:p>
        </w:tc>
        <w:tc>
          <w:tcPr>
            <w:tcW w:w="5460" w:type="dxa"/>
            <w:vAlign w:val="bottom"/>
            <w:gridSpan w:val="3"/>
          </w:tcPr>
          <w:p>
            <w:pPr>
              <w:jc w:val="right"/>
              <w:ind w:right="240"/>
              <w:spacing w:after="0"/>
              <w:rPr>
                <w:sz w:val="20"/>
                <w:szCs w:val="20"/>
                <w:color w:val="auto"/>
              </w:rPr>
            </w:pPr>
            <w:r>
              <w:rPr>
                <w:rFonts w:ascii="Arial" w:cs="Arial" w:eastAsia="Arial" w:hAnsi="Arial"/>
                <w:sz w:val="18"/>
                <w:szCs w:val="18"/>
                <w:color w:val="auto"/>
              </w:rPr>
              <w:t>1,225,088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9.87</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818,908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$15.01 to $24.00</w:t>
            </w:r>
          </w:p>
        </w:tc>
        <w:tc>
          <w:tcPr>
            <w:tcW w:w="5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860,506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457,870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$24.01 to $36.15</w:t>
            </w:r>
          </w:p>
        </w:tc>
        <w:tc>
          <w:tcPr>
            <w:tcW w:w="44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359,040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25.18</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2,454,634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1,289,428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Subsequent to December 31, 2012, the Company granted 14,301 stock options and 437,880 restricted stock units to its employees and directors. F-35</w:t>
      </w:r>
    </w:p>
    <w:p>
      <w:pPr>
        <w:sectPr>
          <w:pgSz w:w="11900" w:h="16838" w:orient="portrait"/>
          <w:cols w:equalWidth="0" w:num="1">
            <w:col w:w="11300"/>
          </w:cols>
          <w:pgMar w:left="24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0" w:type="dxa"/>
            <w:vAlign w:val="bottom"/>
            <w:gridSpan w:val="5"/>
          </w:tcPr>
          <w:p>
            <w:pPr>
              <w:jc w:val="right"/>
              <w:ind w:right="234"/>
              <w:spacing w:after="0"/>
              <w:rPr>
                <w:sz w:val="20"/>
                <w:szCs w:val="20"/>
                <w:color w:val="auto"/>
              </w:rPr>
            </w:pPr>
            <w:r>
              <w:rPr>
                <w:rFonts w:ascii="Arial" w:cs="Arial" w:eastAsia="Arial" w:hAnsi="Arial"/>
                <w:sz w:val="14"/>
                <w:szCs w:val="14"/>
                <w:b w:val="1"/>
                <w:bCs w:val="1"/>
                <w:color w:val="auto"/>
              </w:rPr>
              <w:t>Restricted Stock</w:t>
            </w:r>
          </w:p>
        </w:tc>
        <w:tc>
          <w:tcPr>
            <w:tcW w:w="30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643,819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(134,242)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15.66</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624,815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460,972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(152,962)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(108,670)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19.70</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(37,458)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939,659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389,050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(198,842)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23.82</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(103,956)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1,025,911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24,000 restricted stock units vested during both the years ended December 31, 2012 and 2011 (124,000 and 120,000 as of December 31, 2012 and 2011, respectively) for which the underlying common stock is yet to be issued.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2012, unrecognized compensation cost of $16,069 is expected to be expensed over a weighted average period of 2.28 years. The weighted-average fair value of restricted stock and restricted stock units under the 2006 Plan granted during the years ended December 31, 2012, 2011 and 2010 was $25.07, $20.84 and $18.14, respectively. The total grant date fair value of restricted stock and restricted stock units vested during the years ended December 31, 2012, 2011 and 2010 was $7,010, $5,456 and $2,913,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the year ended December 31, 2012, 2011 and 2010, the Company recorded compensation expense of $32, $21 and $58, respectively, related to stock options granted to members of the Company’s advisory board. There are no unvested stock options granted to the advisory board members as of December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9"/>
          </w:tcPr>
          <w:p>
            <w:pPr>
              <w:jc w:val="center"/>
              <w:ind w:right="78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460" w:type="dxa"/>
            <w:vAlign w:val="bottom"/>
            <w:tcBorders>
              <w:bottom w:val="single" w:sz="8" w:color="CCEEFF"/>
            </w:tcBorders>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5"/>
          </w:tcPr>
          <w:p>
            <w:pPr>
              <w:jc w:val="right"/>
              <w:ind w:right="232"/>
              <w:spacing w:after="0"/>
              <w:rPr>
                <w:sz w:val="20"/>
                <w:szCs w:val="20"/>
                <w:color w:val="auto"/>
              </w:rPr>
            </w:pPr>
            <w:r>
              <w:rPr>
                <w:rFonts w:ascii="Arial" w:cs="Arial" w:eastAsia="Arial" w:hAnsi="Arial"/>
                <w:sz w:val="18"/>
                <w:szCs w:val="18"/>
                <w:color w:val="auto"/>
                <w:w w:val="87"/>
              </w:rPr>
              <w:t>$320,246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$258,807</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$182,043</w:t>
            </w: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80" w:type="dxa"/>
            <w:vAlign w:val="bottom"/>
            <w:gridSpan w:val="5"/>
            <w:shd w:val="clear" w:color="auto" w:fill="CCEEFF"/>
          </w:tcPr>
          <w:p>
            <w:pPr>
              <w:jc w:val="right"/>
              <w:ind w:right="232"/>
              <w:spacing w:after="0"/>
              <w:rPr>
                <w:sz w:val="20"/>
                <w:szCs w:val="20"/>
                <w:color w:val="auto"/>
              </w:rPr>
            </w:pPr>
            <w:r>
              <w:rPr>
                <w:rFonts w:ascii="Arial" w:cs="Arial" w:eastAsia="Arial" w:hAnsi="Arial"/>
                <w:sz w:val="18"/>
                <w:szCs w:val="18"/>
                <w:color w:val="auto"/>
              </w:rPr>
              <w:t>89,483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79,419</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61,436</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33,201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22,315</w:t>
            </w:r>
          </w:p>
        </w:tc>
        <w:tc>
          <w:tcPr>
            <w:tcW w:w="46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9"/>
                <w:szCs w:val="19"/>
                <w:color w:val="auto"/>
              </w:rPr>
            </w:pPr>
          </w:p>
        </w:tc>
      </w:tr>
      <w:tr>
        <w:trPr>
          <w:trHeight w:val="216"/>
        </w:trPr>
        <w:tc>
          <w:tcPr>
            <w:tcW w:w="46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442,930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360,541</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252,753</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7"/>
          </w:tcPr>
          <w:p>
            <w:pPr>
              <w:ind w:left="5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6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India</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30,422</w:t>
            </w:r>
          </w:p>
        </w:tc>
        <w:tc>
          <w:tcPr>
            <w:tcW w:w="160" w:type="dxa"/>
            <w:vAlign w:val="bottom"/>
          </w:tcPr>
          <w:p>
            <w:pPr>
              <w:spacing w:after="0"/>
              <w:rPr>
                <w:sz w:val="18"/>
                <w:szCs w:val="18"/>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Philippines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4,363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40,239</w:t>
            </w:r>
          </w:p>
        </w:tc>
        <w:tc>
          <w:tcPr>
            <w:tcW w:w="160" w:type="dxa"/>
            <w:vAlign w:val="bottom"/>
          </w:tcPr>
          <w:p>
            <w:pPr>
              <w:spacing w:after="0"/>
              <w:rPr>
                <w:sz w:val="19"/>
                <w:szCs w:val="19"/>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At December 31, 2012, the Company has committed to spend approximately $3,392 under agreements to purchase fixed assets. This amount is net of capital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4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Company’s operations centers in Manila, the Philippines are registered with the Philippines Economic Zone Authority (“PEZA”). The registration provides the Company with certain fiscal incentives on the import of capital goods and requires Exl Philippines to meet certain performance and investment criteria. One of the Company’s operations centers in the Philippines benefited from a four-year income tax holiday that expired in May 2012. In February 2013, the Company received a one-year extension retroactively from May 2012 and expects to file another extension request after which no further extensions are presently permitted. The Company’s new operations center in the Philippines, which began operations in January 2012, benefits from a separate four-year income tax holiday that can be extended at PEZA’s discretion.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are engaged in tax litigation with the income-tax authorities in India on the issue of permanent establishment.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aggregate disputed amount demanded from the Company related to its transfer pricing issues for various years ranging from tax years 2003 to 2009 and its permanent establishment issues ranging from tax years 2003 to 2008 as of December 31, 2012 and 2011 is $18,624 and $19,228, respectively of which the Company has already made payment or provided bank guarantee to the extent $14,715 and $14,156, respectively. Amounts paid as deposits in respect of such assessments aggregating to $12,307 and $11,662 as of December 31, 2012 and 2011, respectively, are included in “Other assets” and amounts deposited for bank guarantees aggregating to $2,408 and $2,494 as of December 31, 2012 and 2011, respectively, are included in “Restricted cash” in the non-current assets section of the Company’s consolidated balance sheets as of December 31, 2012 and 2011.</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crystallization of these liabilities is remote and accordingly has not accrued any amount with respect to these matters in its consolidated financial statements. The Company does not expect any impact from these assessments on its future income tax expense. There is a likelihood that the Company might receive similar orders for subsequent years. Even if these disputes are resolved, the Indian tax authorities may still serve additional orders.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b w:val="1"/>
                <w:bCs w:val="1"/>
                <w:color w:val="auto"/>
                <w:w w:val="87"/>
              </w:rPr>
              <w:t>Exhibit 21.1</w:t>
            </w:r>
          </w:p>
        </w:tc>
      </w:tr>
      <w:tr>
        <w:trPr>
          <w:trHeight w:val="340"/>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20" w:type="dxa"/>
            <w:vAlign w:val="bottom"/>
            <w:gridSpan w:val="5"/>
          </w:tcPr>
          <w:p>
            <w:pPr>
              <w:ind w:left="400"/>
              <w:spacing w:after="0"/>
              <w:rPr>
                <w:sz w:val="20"/>
                <w:szCs w:val="20"/>
                <w:color w:val="auto"/>
              </w:rPr>
            </w:pPr>
            <w:r>
              <w:rPr>
                <w:rFonts w:ascii="Arial" w:cs="Arial" w:eastAsia="Arial" w:hAnsi="Arial"/>
                <w:sz w:val="18"/>
                <w:szCs w:val="18"/>
                <w:b w:val="1"/>
                <w:bCs w:val="1"/>
                <w:color w:val="auto"/>
              </w:rPr>
              <w:t>Subsidiaries of the Registrant</w:t>
            </w:r>
          </w:p>
        </w:tc>
      </w:tr>
      <w:tr>
        <w:trPr>
          <w:trHeight w:val="37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r>
      <w:tr>
        <w:trPr>
          <w:trHeight w:val="201"/>
        </w:trPr>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Business Process</w:t>
            </w:r>
          </w:p>
        </w:tc>
        <w:tc>
          <w:tcPr>
            <w:tcW w:w="2980" w:type="dxa"/>
            <w:vAlign w:val="bottom"/>
          </w:tcPr>
          <w:p>
            <w:pPr>
              <w:ind w:left="40"/>
              <w:spacing w:after="0" w:line="201" w:lineRule="exact"/>
              <w:rPr>
                <w:sz w:val="20"/>
                <w:szCs w:val="20"/>
                <w:color w:val="auto"/>
              </w:rPr>
            </w:pPr>
            <w:r>
              <w:rPr>
                <w:rFonts w:ascii="Arial" w:cs="Arial" w:eastAsia="Arial" w:hAnsi="Arial"/>
                <w:sz w:val="18"/>
                <w:szCs w:val="18"/>
                <w:color w:val="auto"/>
              </w:rPr>
              <w:t>Outsourcing (India) Private Limited</w:t>
            </w: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India</w:t>
            </w:r>
          </w:p>
        </w:tc>
        <w:tc>
          <w:tcPr>
            <w:tcW w:w="640" w:type="dxa"/>
            <w:vAlign w:val="bottom"/>
          </w:tcPr>
          <w:p>
            <w:pPr>
              <w:spacing w:after="0"/>
              <w:rPr>
                <w:sz w:val="17"/>
                <w:szCs w:val="17"/>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Business Process Outsourcing Ltd.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Business Process Outsourcing, LLC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Service.com (India)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Support Services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Service Germany, GmbH</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(U.K.)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Czech Republic S.R.O.</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ADAPT, LLC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Mauritius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Philippines,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Romania Private Limited S.R.L.</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ExlService SEZ BPO Solutions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Exl Service.com, LLC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(India)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Inductis (Singapore) PTE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Landacorp,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OPI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Mauritius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EAD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Ltd.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Private Limited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SDN BHD</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Outsource Partners International,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Professional Data Management Again, Inc.</w:t>
            </w: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Trumbull Services, LLC</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Connecticut</w:t>
            </w:r>
          </w:p>
        </w:tc>
      </w:tr>
    </w:tbl>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S-3 No. 333-179098) of ExlService Holdings,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S-8 No. 333-139211) pertaining to the 2006 Omnibus Award Plan of ExlService Holdings, Inc.; and</w:t>
      </w:r>
    </w:p>
    <w:p>
      <w:pPr>
        <w:spacing w:after="0" w:line="9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S-8 No. 333-157076) pertaining to the 2003 Stock Option Plan, 2003 India Stock Employee Option Plan, 2006 Omnibus Award Plan, 2006 Omnibus India Subplan 1 and 2006 Omnibus India Subplan 2 of ExlService Holdings, Inc.;</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our reports dated March 7, 2013, with respect to the consolidated financial statements of ExlService Holdings, Inc. and subsidiaries, and the effectiveness of internal control over financial reporting of ExlService Holdings, Inc. and subsidiaries included in this Annual Report (Form 10-K) for the year ended December 31, 2012.</w:t>
      </w:r>
    </w:p>
    <w:p>
      <w:pPr>
        <w:spacing w:after="0" w:line="14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2013</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March 7, 2013</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7, 2013</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Vishal Chhibbar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2012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7, 2013</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2012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Vishal Chhibbar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7,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lvl w:ilvl="1">
      <w:lvlJc w:val="left"/>
      <w:lvlText w:val="%2."/>
      <w:numFmt w:val="decimal"/>
      <w:start w:val="2"/>
    </w:lvl>
  </w:abstractNum>
  <w:abstractNum w:abstractNumId="11">
    <w:nsid w:val="3F2DBA31"/>
    <w:multiLevelType w:val="hybridMultilevel"/>
    <w:lvl w:ilvl="0">
      <w:lvlJc w:val="left"/>
      <w:lvlText w:val="(%1)"/>
      <w:numFmt w:val="lowerLetter"/>
      <w:start w:val="2"/>
    </w:lvl>
    <w:lvl w:ilvl="1">
      <w:lvlJc w:val="left"/>
      <w:lvlText w:val="%2"/>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9"/>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5"/>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2019-12-07T08:06:48Z</dcterms:created>
  <dcterms:modified xsi:type="dcterms:W3CDTF">2019-12-07T08:06:48Z</dcterms:modified>
</cp:coreProperties>
</file>