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10/10/2017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4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gridSpan w:val="6"/>
            <w:vMerge w:val="continue"/>
          </w:tcPr>
          <w:p>
            <w:pPr>
              <w:spacing w:after="0"/>
              <w:rPr>
                <w:sz w:val="11"/>
                <w:szCs w:val="11"/>
                <w:color w:val="auto"/>
              </w:rPr>
            </w:pPr>
          </w:p>
        </w:tc>
        <w:tc>
          <w:tcPr>
            <w:tcW w:w="38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20" w:type="dxa"/>
            <w:vAlign w:val="bottom"/>
            <w:gridSpan w:val="8"/>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10/10/2017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15,358</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19.76</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188,044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10/10/2017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15,358</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59.61</w:t>
            </w:r>
            <w:r>
              <w:rPr>
                <w:rFonts w:ascii="Arial" w:cs="Arial" w:eastAsia="Arial" w:hAnsi="Arial"/>
                <w:sz w:val="22"/>
                <w:szCs w:val="22"/>
                <w:color w:val="008000"/>
                <w:w w:val="94"/>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172,686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333,185</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177,134</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740" w:type="dxa"/>
            <w:vAlign w:val="bottom"/>
          </w:tcPr>
          <w:p>
            <w:pPr>
              <w:spacing w:after="0"/>
              <w:rPr>
                <w:sz w:val="12"/>
                <w:szCs w:val="12"/>
                <w:color w:val="auto"/>
              </w:rPr>
            </w:pPr>
          </w:p>
        </w:tc>
        <w:tc>
          <w:tcPr>
            <w:tcW w:w="62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15,358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10/10/2017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15,358</w:t>
            </w:r>
          </w:p>
        </w:tc>
        <w:tc>
          <w:tcPr>
            <w:tcW w:w="800" w:type="dxa"/>
            <w:vAlign w:val="bottom"/>
            <w:vMerge w:val="continue"/>
          </w:tcPr>
          <w:p>
            <w:pPr>
              <w:spacing w:after="0"/>
              <w:rPr>
                <w:sz w:val="12"/>
                <w:szCs w:val="12"/>
                <w:color w:val="auto"/>
              </w:rPr>
            </w:pPr>
          </w:p>
        </w:tc>
        <w:tc>
          <w:tcPr>
            <w:tcW w:w="740" w:type="dxa"/>
            <w:vAlign w:val="bottom"/>
          </w:tcPr>
          <w:p>
            <w:pPr>
              <w:ind w:left="60"/>
              <w:spacing w:after="0" w:line="148" w:lineRule="exact"/>
              <w:rPr>
                <w:sz w:val="20"/>
                <w:szCs w:val="20"/>
                <w:color w:val="auto"/>
              </w:rPr>
            </w:pPr>
            <w:r>
              <w:rPr>
                <w:rFonts w:ascii="Arial" w:cs="Arial" w:eastAsia="Arial" w:hAnsi="Arial"/>
                <w:sz w:val="13"/>
                <w:szCs w:val="13"/>
                <w:color w:val="0000FF"/>
              </w:rPr>
              <w:t>02/03/2021</w:t>
            </w:r>
          </w:p>
        </w:tc>
        <w:tc>
          <w:tcPr>
            <w:tcW w:w="62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32,142</w:t>
            </w:r>
          </w:p>
        </w:tc>
        <w:tc>
          <w:tcPr>
            <w:tcW w:w="6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w w:val="94"/>
              </w:rPr>
              <w:t>per share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10, 2017 the reporting person exercised previously issued options to purchase an aggregate of 15,358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$59.60 to $59.71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42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3, 2011, the reporting person was granted 97, 500 stock options. 25 percent of these options became vested and exercisable on February 3, 2012, an additional 25 percent became vested and exercisable on February 3, 2013, an additional 25 percent became vested and exercisable on February 3, 2014, and the balance of 25 percent became vested and exercisable on February 3, 2015.</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10/12/2017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2019-12-04T01:04:13Z</dcterms:created>
  <dcterms:modified xsi:type="dcterms:W3CDTF">2019-12-04T01:04:13Z</dcterms:modified>
</cp:coreProperties>
</file>