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March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On March 3, 2014, ExlService Holdings, Inc. (the “Company”) reported its results of operations for the three and twelve months ended December 31, 2013. A copy of the press release issued by the Company concerning the foregoing is furnished herewith as Exhibit 99.1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3, 2014 (furnished pursuant to Item 2.02)</w:t>
      </w:r>
    </w:p>
    <w:p>
      <w:pPr>
        <w:sectPr>
          <w:pgSz w:w="11900" w:h="16838" w:orient="portrait"/>
          <w:cols w:equalWidth="0" w:num="1">
            <w:col w:w="11160"/>
          </w:cols>
          <w:pgMar w:left="240" w:top="270" w:right="4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 w:leader="none" w:pos="8020" w:val="left"/>
        </w:tabs>
        <w:rPr>
          <w:sz w:val="20"/>
          <w:szCs w:val="20"/>
          <w:color w:val="auto"/>
        </w:rPr>
      </w:pPr>
      <w:r>
        <w:rPr>
          <w:rFonts w:ascii="Arial" w:cs="Arial" w:eastAsia="Arial" w:hAnsi="Arial"/>
          <w:sz w:val="18"/>
          <w:szCs w:val="18"/>
          <w:color w:val="auto"/>
        </w:rPr>
        <w:t>Date: March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3, 2014 (furnished pursuant to Item 2.02)</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2013 FOURTH QUARTER AND FULL YEAR RESULTS AND PROVIDES GUIDANCE FOR CALENDAR YEAR 2014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2013 Fourth Quarter Revenues of $124.1 Million and Adjusted Diluted Earnings Per Share (EPS) of $0.55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2013 Revenues of $478.5 Million and Adjusted Diluted EPS of $1.80</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2014 Revenue Guidance of $480 million to $500 million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i w:val="1"/>
          <w:iCs w:val="1"/>
          <w:color w:val="auto"/>
        </w:rPr>
        <w:t>2014 Adjusted Diluted EPS Guidance of $1.70 to $1.80</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New York, NY – March 3, 2014 – ExlService Holdings, Inc. (NASDAQ: EXLS), a leading provider of outsourcing and transformation services, today announced its financial results for the fourth quarter of 2013 and the year ended December 31, 2013.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Rohit Kapoor, Vice Chairman and CEO, commented: “EXL had a strong fourth quarter, driven by broad-based revenue and profit growth. Decision analytics revenue grew 24% year-over-year, driven by risk and marketing analytics engagements tailored to the banking, insurance and healthcare industries. Our platform businesses benefitted from new client wins and brought differentiation to our service offerings. Finally, our rapidly expanding healthcare operations management practice continued to enjoy powerful secular demand.</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EXL won three significant outsourcing contracts with new clients, two in insurance and one in transportation and logistics. These wins are important validations of our domain expertise in our targeted verticals, and demonstrate the resilience of our company. Our client base continues to be highly engaged and receptive to our innovative solution ideas, and we believe the growth opportunity in our industry remains attractive. Our recent significant new client wins, coupled with strong fourth quarter results and an attractive new business pipeline, bolster our conviction in EXL’s robust long-term outlook.”</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Vishal Chhibbar, CFO, commented: “In the fourth quarter, EXL achieved revenues of $124 million, up 5% year-over-year, driven by 4% growth in outsourcing and 10% growth in transformation services. Excluding previously announced client transitions, constant currency revenues grew 12% year-over-year. In the fourth quarter we delivered adjusted diluted earnings per share of $0.55, up 24% year-over-year, driven by revenue growth and operating leverage. Our 2013 adjusted diluted EPS of $1.80 grew 14% year-over-year. During the fourth quarter, we repurchased $21 million of our stock, the majority of the $25 million repurchase authorization announced on November 7, 2013.</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2014, we are providing revenue guidance of $480 million to $500 million based on an Indian rupee to U.S. dollar exchange rate of 62. For 2014, we expect to achieve adjusted diluted EPS of $1.70 to $1.80. Our revenue and adjusted EPS guidance excludes the impact of the reimbursement of transition and disentanglement costs for a disclosed client issue.”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Fourth Quarter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right="2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December 31, 2013 were $124.1 million compared to $117.7 million for the quarter ended December 31, 2012 and $122.3 million for the quarter ended September 30, 2013. Revenues for the quarter ended December 31, 2013 were reduced by approximately $0.4 million due to the reimbursement of transition and disentanglement costs tied to a previously disclosed client issue. Outsourcing services revenues for the quarter ended December 31, 2013 were $100.4 million compared to $96.1 million for the quarter ended December 31, 2012 and $99.7 million for the quarter ended September 30, 2013. Transformation services revenues for the quarter ended December 31, 2013 were $23.7 million compared to $21.5 million for the quarter ended December 31, 2012 and $22.6 million for the quarter ended September 30, 2013.</w:t>
      </w:r>
    </w:p>
    <w:p>
      <w:pPr>
        <w:spacing w:after="0" w:line="94" w:lineRule="exact"/>
        <w:rPr>
          <w:rFonts w:ascii="Arial" w:cs="Arial" w:eastAsia="Arial" w:hAnsi="Arial"/>
          <w:sz w:val="18"/>
          <w:szCs w:val="18"/>
          <w:color w:val="auto"/>
        </w:rPr>
      </w:pPr>
    </w:p>
    <w:p>
      <w:pPr>
        <w:ind w:left="900" w:right="12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December 31, 2013 was 42.0% compared to 40.1% for the quarter ended December 31, 2012 and 41.1% for the quarter ended September 30, 2013. Outsourcing services gross margin for the quarter ended December 31, 2013 was 43.4% compared to</w:t>
      </w:r>
    </w:p>
    <w:p>
      <w:pPr>
        <w:jc w:val="both"/>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41.5% for the quarter ended December 31, 2012 and 43.3% for the quarter ended September 30, 2013. Transformation services gross margin for the quarter ended December 31, 2013 was 35.7% compared to 33.6% for the quarter ended December 31, 2012 and 31.5% for the quarter ended September 30, 2013.</w:t>
      </w:r>
    </w:p>
    <w:p>
      <w:pPr>
        <w:spacing w:after="0" w:line="95" w:lineRule="exact"/>
        <w:rPr>
          <w:rFonts w:ascii="Arial" w:cs="Arial" w:eastAsia="Arial" w:hAnsi="Arial"/>
          <w:sz w:val="16"/>
          <w:szCs w:val="16"/>
          <w:color w:val="auto"/>
        </w:rPr>
      </w:pPr>
    </w:p>
    <w:p>
      <w:pPr>
        <w:ind w:left="900" w:right="8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December 31, 2013 was 18.5% compared to 13.2% for the quarter ended December 31, 2012 and 16.0% for the quarter ended September 30, 2013. Adjusted operating margin for the quarter ended December 31, 2013 was 21.6% compared to 16.3% for the quarter ended December 31, 2012 and 19.6% for the quarter ended September 30, 2013.</w:t>
      </w:r>
    </w:p>
    <w:p>
      <w:pPr>
        <w:spacing w:after="0" w:line="86"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for the quarter ended December 31, 2013 was $15.9 million compared to $12.2 million for the quarter ended December 31, 2012 and $13.2 million for the quarter ended September 30, 2013. Adjusted EBITDA for the quarter ended December 31, 2013 was $31.4 million compared to $24.5 million for the quarter ended December 31, 2012 and $28.4 million for the quarter ended September 30, 2013.</w:t>
      </w:r>
    </w:p>
    <w:p>
      <w:pPr>
        <w:spacing w:after="0" w:line="70"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for the quarter ended December 31, 2013 were $0.47 compared to $0.36 for the quarter ended December 31, 2012 and $0.39 for the quarter ended September 30, 2013. Adjusted diluted earnings per share for the quarter ended December 31, 2013 were $0.55 compared to $0.44 for the quarter ended December 31, 2012 and $0.48 for the quarter ended September 30,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right="6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the Business EXLerator Framework, EXL’s proprietary methodology integrating business process automation, analytics, and benchmarking across client processes.</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a “Leader” by Everest Group in its market report, “Insurance BPO – Service Provider Landscape with PEAK Matrix™ Assessment 2013”.</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a “Major Contender” by Everest Group in its market report, “Banking BPO – Service Provider Landscape with PEAK Matrix™ Assessment 2013”.</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five new clients during the fourth quarter, including three transformation clients and two outsourcing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26 new processes in the fourth quarter of 2013.</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the “Aon Hewitt Voice of the Employee Award” for the IT and ITeS sector in India, based on employee opinion scores, recognizing EXL’s investment in people practices that attract and retain strong talent.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Recorded headcount as of December 31, 2013 of 22,208, compared to 21,049 as of December 31, 2012 and 21,372 as of September 30, 2013.</w:t>
      </w:r>
    </w:p>
    <w:p>
      <w:pPr>
        <w:spacing w:after="0" w:line="153"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December 31, 2013 of 25.0%, compared with 30.4% for the quarter ended December 31, 2012 and 25.4% for the quarter ended September 30,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an Indian rupee to U.S. dollar exchange rate of 62, the Company is providing the following guidance for calendar year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Guidance excludes the impact of the reimbursement of transition and disentanglement costs for a disclosed client issue:</w:t>
      </w:r>
    </w:p>
    <w:p>
      <w:pPr>
        <w:spacing w:after="0" w:line="1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$480 million to $500 million.</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$1.70 to $1.80.</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Monday, March 3, 2014 at 8:00 a.m. (ET) to discuss the Company’s quarterly and annual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auto"/>
        </w:rPr>
        <w:t>ir.exlservice.com</w:t>
      </w:r>
      <w:r>
        <w:rPr>
          <w:rFonts w:ascii="Arial" w:cs="Arial" w:eastAsia="Arial" w:hAnsi="Arial"/>
          <w:sz w:val="18"/>
          <w:szCs w:val="18"/>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(Audited)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290,942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72,050</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187,510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52,073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47,144</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58,797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14,532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36,376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8,492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24,917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6,074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29,098</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67,420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64,977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21,897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0.47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32,750,178</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31,968,386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32,788,489</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32,297,414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33,842,938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33,171,105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33,792,757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33,514,446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(Recasted)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148,065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76,121</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252,627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206,104</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12,254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107,407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463,432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29,405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32,219</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19,812</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97,258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33,342,312 shares issued and 32,172,183 shares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outstanding as of December 31, 2013 and 32,540,082 shares issued and 32,203,820 shares outstanding as of</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214,522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236,979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(60,718)</w:t>
            </w: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390,816</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w w:val="95"/>
              </w:rPr>
              <w:t>Less: 1,170,129 shares as of December 31, 2013 and 336,262 shares as of December 31, 2012, held in treasury, at cost</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(24,642)</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366,174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366,174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344,517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463,432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the Company’s ability to generate cash flow.</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reconciliation of these adjusted financial measures from GAAP measures for the year ended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the three months ended December 31, 2013 and December 31, 2012 and for the three months ended September 30,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21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21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72"/>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48,097</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$41,836</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$15,859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$12,163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add: Income tax provision and other income/(expense)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19,323</w:t>
            </w:r>
          </w:p>
        </w:tc>
        <w:tc>
          <w:tcPr>
            <w:tcW w:w="4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15,396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7,116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3,375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67,420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$57,232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$22,975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$15,538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11,832</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9,416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2,360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2,087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5,638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85,552</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72,286</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26,871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19,180</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17.9%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16.3%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21.6%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16.3%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add: Depreciation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18,617</w:t>
            </w:r>
          </w:p>
        </w:tc>
        <w:tc>
          <w:tcPr>
            <w:tcW w:w="4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19,985</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4,538</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5,336</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104,169</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92,271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31,409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24,516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28,449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21.8%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20.8%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25.3%</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20.8%</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9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September 30,</w:t>
            </w:r>
          </w:p>
        </w:tc>
      </w:tr>
      <w:tr>
        <w:trPr>
          <w:trHeight w:val="142"/>
        </w:trPr>
        <w:tc>
          <w:tcPr>
            <w:tcW w:w="57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$48,097</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$15,859</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$12,163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13,240</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11,832</w:t>
            </w:r>
          </w:p>
        </w:tc>
        <w:tc>
          <w:tcPr>
            <w:tcW w:w="600" w:type="dxa"/>
            <w:vAlign w:val="bottom"/>
          </w:tcPr>
          <w:p>
            <w:pPr>
              <w:jc w:val="right"/>
              <w:spacing w:after="0"/>
              <w:rPr>
                <w:sz w:val="20"/>
                <w:szCs w:val="20"/>
                <w:color w:val="auto"/>
              </w:rPr>
            </w:pPr>
            <w:r>
              <w:rPr>
                <w:rFonts w:ascii="Arial" w:cs="Arial" w:eastAsia="Arial" w:hAnsi="Arial"/>
                <w:sz w:val="18"/>
                <w:szCs w:val="18"/>
                <w:color w:val="auto"/>
              </w:rPr>
              <w:t>9,416</w:t>
            </w:r>
          </w:p>
        </w:tc>
        <w:tc>
          <w:tcPr>
            <w:tcW w:w="2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2,360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2,967</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1,536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(4,520)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(3,601)</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(900)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(1,131)</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subtract: Tax impact on amortization of acquisition-related intangibles</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60,995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52,515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18,685</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14,900</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16,440</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0.55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0.44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0.48</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2019-12-07T07:48:56Z</dcterms:created>
  <dcterms:modified xsi:type="dcterms:W3CDTF">2019-12-07T07:48:56Z</dcterms:modified>
</cp:coreProperties>
</file>