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740"/>
              <w:spacing w:after="0"/>
              <w:rPr>
                <w:rFonts w:ascii="Arial" w:cs="Arial" w:eastAsia="Arial" w:hAnsi="Arial"/>
                <w:sz w:val="22"/>
                <w:szCs w:val="22"/>
                <w:color w:val="0000EE"/>
                <w:w w:val="96"/>
              </w:rPr>
            </w:pPr>
            <w:hyperlink r:id="rId11">
              <w:r>
                <w:rPr>
                  <w:rFonts w:ascii="Arial" w:cs="Arial" w:eastAsia="Arial" w:hAnsi="Arial"/>
                  <w:sz w:val="22"/>
                  <w:szCs w:val="22"/>
                  <w:color w:val="0000EE"/>
                  <w:w w:val="96"/>
                </w:rPr>
                <w:t>SAWHNEY MOHANBIR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8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35"/>
              <w:spacing w:after="0"/>
              <w:rPr>
                <w:sz w:val="20"/>
                <w:szCs w:val="20"/>
                <w:color w:val="auto"/>
              </w:rPr>
            </w:pPr>
            <w:r>
              <w:rPr>
                <w:rFonts w:ascii="Arial" w:cs="Arial" w:eastAsia="Arial" w:hAnsi="Arial"/>
                <w:sz w:val="14"/>
                <w:szCs w:val="14"/>
                <w:color w:val="0000FF"/>
                <w:w w:val="96"/>
              </w:rPr>
              <w:t>11/08/2015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27"/>
              <w:spacing w:after="0"/>
              <w:rPr>
                <w:sz w:val="20"/>
                <w:szCs w:val="20"/>
                <w:color w:val="auto"/>
              </w:rPr>
            </w:pPr>
            <w:r>
              <w:rPr>
                <w:rFonts w:ascii="Arial" w:cs="Arial" w:eastAsia="Arial" w:hAnsi="Arial"/>
                <w:sz w:val="18"/>
                <w:szCs w:val="18"/>
                <w:color w:val="0000FF"/>
              </w:rPr>
              <w:t>30,000</w:t>
            </w:r>
          </w:p>
        </w:tc>
        <w:tc>
          <w:tcPr>
            <w:tcW w:w="880" w:type="dxa"/>
            <w:vAlign w:val="bottom"/>
            <w:vMerge w:val="restart"/>
          </w:tcPr>
          <w:p>
            <w:pPr>
              <w:jc w:val="right"/>
              <w:ind w:right="171"/>
              <w:spacing w:after="0"/>
              <w:rPr>
                <w:sz w:val="20"/>
                <w:szCs w:val="20"/>
                <w:color w:val="auto"/>
              </w:rPr>
            </w:pPr>
            <w:r>
              <w:rPr>
                <w:rFonts w:ascii="Arial" w:cs="Arial" w:eastAsia="Arial" w:hAnsi="Arial"/>
                <w:sz w:val="18"/>
                <w:szCs w:val="18"/>
                <w:color w:val="0000FF"/>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right"/>
              <w:ind w:right="275"/>
              <w:spacing w:after="0"/>
              <w:rPr>
                <w:sz w:val="20"/>
                <w:szCs w:val="20"/>
                <w:color w:val="auto"/>
              </w:rPr>
            </w:pPr>
            <w:r>
              <w:rPr>
                <w:rFonts w:ascii="Arial" w:cs="Arial" w:eastAsia="Arial" w:hAnsi="Arial"/>
                <w:sz w:val="11"/>
                <w:szCs w:val="11"/>
                <w:color w:val="008000"/>
              </w:rPr>
              <w:t>(3)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67"/>
              <w:spacing w:after="0"/>
              <w:rPr>
                <w:sz w:val="20"/>
                <w:szCs w:val="20"/>
                <w:color w:val="auto"/>
              </w:rPr>
            </w:pPr>
            <w:r>
              <w:rPr>
                <w:rFonts w:ascii="Arial" w:cs="Arial" w:eastAsia="Arial" w:hAnsi="Arial"/>
                <w:sz w:val="18"/>
                <w:szCs w:val="18"/>
                <w:color w:val="0000FF"/>
              </w:rPr>
              <w:t>4,000</w:t>
            </w:r>
          </w:p>
        </w:tc>
        <w:tc>
          <w:tcPr>
            <w:tcW w:w="880" w:type="dxa"/>
            <w:vAlign w:val="bottom"/>
            <w:vMerge w:val="restart"/>
          </w:tcPr>
          <w:p>
            <w:pPr>
              <w:jc w:val="right"/>
              <w:ind w:right="311"/>
              <w:spacing w:after="0"/>
              <w:rPr>
                <w:sz w:val="20"/>
                <w:szCs w:val="20"/>
                <w:color w:val="auto"/>
              </w:rPr>
            </w:pPr>
            <w:r>
              <w:rPr>
                <w:rFonts w:ascii="Arial" w:cs="Arial" w:eastAsia="Arial" w:hAnsi="Arial"/>
                <w:sz w:val="11"/>
                <w:szCs w:val="11"/>
                <w:color w:val="008000"/>
              </w:rPr>
              <w:t>(4)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percent of the options vest on November 8, 2006, 25 percent of the options vest on November 8, 2007, 25 percent of the options vest on November 8, 2008 and 25 percent of the options vest on November 8, 2009. Upon vesting, options are immediately exerciseable.</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of restricted stock vest on the earlier of (i) the first anniversary of the date of the reporting person's installation as a member of the Board, (ii) the end of the reporting person's term on the Company's Board of Directors, and (iii) the occurrence of a "Change in Control", as defined in the Company's 2006 Omnibus Award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8"/>
              </w:rPr>
              <w:t>/s/ Mohanbir Sawhney</w:t>
            </w:r>
          </w:p>
        </w:tc>
        <w:tc>
          <w:tcPr>
            <w:tcW w:w="5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Mohanbir Sawhney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Mohanbir Sawhney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4538"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2019-12-16T15:24:10Z</dcterms:created>
  <dcterms:modified xsi:type="dcterms:W3CDTF">2019-12-16T15:24:10Z</dcterms:modified>
</cp:coreProperties>
</file>