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August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82-0572194</w:t>
      </w:r>
    </w:p>
    <w:p>
      <w:pPr>
        <w:spacing w:after="0" w:line="47" w:lineRule="exact"/>
        <w:rPr>
          <w:sz w:val="24"/>
          <w:szCs w:val="24"/>
          <w:color w:val="auto"/>
        </w:rPr>
      </w:pPr>
    </w:p>
    <w:p>
      <w:pPr>
        <w:sectPr>
          <w:pgSz w:w="11900" w:h="16838" w:orient="portrait"/>
          <w:cols w:equalWidth="0" w:num="3">
            <w:col w:w="4740" w:space="720"/>
            <w:col w:w="3000" w:space="720"/>
            <w:col w:w="1840"/>
          </w:cols>
          <w:pgMar w:left="240" w:top="301" w:right="639" w:bottom="1440" w:gutter="0" w:footer="0" w:header="0"/>
          <w:type w:val="continuous"/>
        </w:sectPr>
      </w:pP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480" w:space="720"/>
            <w:col w:w="314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6"/>
          <w:szCs w:val="16"/>
          <w:u w:val="single" w:color="auto"/>
          <w:color w:val="auto"/>
        </w:rPr>
        <w:t>Results of Operations and Financial Condition.</w:t>
      </w:r>
    </w:p>
    <w:p>
      <w:pPr>
        <w:spacing w:after="0" w:line="9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On August 6, 2009, ExlService Holdings, Inc. (the “Company”) reported its results of operations for the second quarter ended June 30, 2009. A copy of the press release issued by the Company concerning the foregoing is furnished herewith as Exhibit 99.1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2"/>
          </w:tcPr>
          <w:p>
            <w:pPr>
              <w:spacing w:after="0"/>
              <w:rPr>
                <w:sz w:val="20"/>
                <w:szCs w:val="20"/>
                <w:color w:val="auto"/>
              </w:rPr>
            </w:pPr>
            <w:r>
              <w:rPr>
                <w:rFonts w:ascii="Arial" w:cs="Arial" w:eastAsia="Arial" w:hAnsi="Arial"/>
                <w:sz w:val="18"/>
                <w:szCs w:val="18"/>
                <w:color w:val="auto"/>
                <w:w w:val="93"/>
              </w:rPr>
              <w:t>Item 9.01</w:t>
            </w:r>
          </w:p>
        </w:tc>
        <w:tc>
          <w:tcPr>
            <w:tcW w:w="5240" w:type="dxa"/>
            <w:vAlign w:val="bottom"/>
            <w:gridSpan w:val="5"/>
          </w:tcPr>
          <w:p>
            <w:pPr>
              <w:ind w:left="420"/>
              <w:spacing w:after="0"/>
              <w:rPr>
                <w:sz w:val="20"/>
                <w:szCs w:val="20"/>
                <w:color w:val="auto"/>
              </w:rPr>
            </w:pPr>
            <w:r>
              <w:rPr>
                <w:rFonts w:ascii="Arial" w:cs="Arial" w:eastAsia="Arial" w:hAnsi="Arial"/>
                <w:sz w:val="18"/>
                <w:szCs w:val="18"/>
                <w:color w:val="auto"/>
              </w:rPr>
              <w:t>Financial Statements and Exhibits</w:t>
            </w:r>
          </w:p>
        </w:tc>
      </w:tr>
      <w:tr>
        <w:trPr>
          <w:trHeight w:val="20"/>
        </w:trPr>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gridSpan w:val="3"/>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16"/>
        </w:trPr>
        <w:tc>
          <w:tcPr>
            <w:tcW w:w="680" w:type="dxa"/>
            <w:vAlign w:val="bottom"/>
          </w:tcPr>
          <w:p>
            <w:pPr>
              <w:ind w:left="460"/>
              <w:spacing w:after="0"/>
              <w:rPr>
                <w:sz w:val="20"/>
                <w:szCs w:val="20"/>
                <w:color w:val="auto"/>
              </w:rPr>
            </w:pPr>
            <w:r>
              <w:rPr>
                <w:rFonts w:ascii="Arial" w:cs="Arial" w:eastAsia="Arial" w:hAnsi="Arial"/>
                <w:sz w:val="18"/>
                <w:szCs w:val="18"/>
                <w:color w:val="auto"/>
                <w:w w:val="90"/>
              </w:rPr>
              <w:t>(d)</w:t>
            </w:r>
          </w:p>
        </w:tc>
        <w:tc>
          <w:tcPr>
            <w:tcW w:w="40" w:type="dxa"/>
            <w:vAlign w:val="bottom"/>
          </w:tcPr>
          <w:p>
            <w:pPr>
              <w:spacing w:after="0"/>
              <w:rPr>
                <w:sz w:val="24"/>
                <w:szCs w:val="24"/>
                <w:color w:val="auto"/>
              </w:rPr>
            </w:pPr>
          </w:p>
        </w:tc>
        <w:tc>
          <w:tcPr>
            <w:tcW w:w="5240" w:type="dxa"/>
            <w:vAlign w:val="bottom"/>
            <w:gridSpan w:val="5"/>
          </w:tcPr>
          <w:p>
            <w:pPr>
              <w:ind w:left="180"/>
              <w:spacing w:after="0"/>
              <w:rPr>
                <w:sz w:val="20"/>
                <w:szCs w:val="20"/>
                <w:color w:val="auto"/>
              </w:rPr>
            </w:pPr>
            <w:r>
              <w:rPr>
                <w:rFonts w:ascii="Arial" w:cs="Arial" w:eastAsia="Arial" w:hAnsi="Arial"/>
                <w:sz w:val="18"/>
                <w:szCs w:val="18"/>
                <w:color w:val="auto"/>
              </w:rPr>
              <w:t>Exhibits</w:t>
            </w:r>
          </w:p>
        </w:tc>
      </w:tr>
      <w:tr>
        <w:trPr>
          <w:trHeight w:val="353"/>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900" w:type="dxa"/>
            <w:vAlign w:val="bottom"/>
            <w:gridSpan w:val="2"/>
          </w:tcPr>
          <w:p>
            <w:pPr>
              <w:spacing w:after="0"/>
              <w:rPr>
                <w:sz w:val="24"/>
                <w:szCs w:val="24"/>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w w:val="87"/>
              </w:rPr>
              <w:t>Press Release of ExlService Holdings, Inc. dated August 6, 2009.</w:t>
            </w:r>
          </w:p>
        </w:tc>
      </w:tr>
    </w:tbl>
    <w:p>
      <w:pPr>
        <w:sectPr>
          <w:pgSz w:w="11900" w:h="16838" w:orient="portrait"/>
          <w:cols w:equalWidth="0" w:num="1">
            <w:col w:w="11380"/>
          </w:cols>
          <w:pgMar w:left="240" w:top="280" w:right="27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8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742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Vishal Chhibbar</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 &amp;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2009</w:t>
      </w:r>
    </w:p>
    <w:p>
      <w:pPr>
        <w:sectPr>
          <w:pgSz w:w="11900" w:h="16838" w:orient="portrait"/>
          <w:cols w:equalWidth="0" w:num="1">
            <w:col w:w="10760"/>
          </w:cols>
          <w:pgMar w:left="240" w:top="274"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INDEX</w:t>
            </w:r>
          </w:p>
        </w:tc>
      </w:tr>
      <w:tr>
        <w:trPr>
          <w:trHeight w:val="37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6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300" w:type="dxa"/>
            <w:vAlign w:val="bottom"/>
            <w:gridSpan w:val="2"/>
          </w:tcPr>
          <w:p>
            <w:pPr>
              <w:spacing w:after="0"/>
              <w:rPr>
                <w:sz w:val="24"/>
                <w:szCs w:val="24"/>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w w:val="95"/>
              </w:rPr>
              <w:t>Press Release of ExlService Holdings, Inc. dated August 6, 2009.</w:t>
            </w: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 Jean Liang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277-7115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b w:val="1"/>
          <w:bCs w:val="1"/>
          <w:color w:val="auto"/>
        </w:rPr>
        <w:t xml:space="preserve">EXL REPORTS 2009 SECOND QUARTER RESULTS </w:t>
      </w:r>
      <w:r>
        <w:rPr>
          <w:rFonts w:ascii="Arial" w:cs="Arial" w:eastAsia="Arial" w:hAnsi="Arial"/>
          <w:sz w:val="18"/>
          <w:szCs w:val="18"/>
          <w:b w:val="1"/>
          <w:bCs w:val="1"/>
          <w:i w:val="1"/>
          <w:iCs w:val="1"/>
          <w:color w:val="auto"/>
        </w:rPr>
        <w:t>Second Quarter Revenues of $42.4 million; Operating Cash Flow of $7.8 million Expands Global Delivery Capability with Entry in Czech Republic and Decision to Operate from Romania</w:t>
      </w:r>
    </w:p>
    <w:p>
      <w:pPr>
        <w:spacing w:after="0" w:line="2"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New York, NY – August 6, 2009 – ExlService Holdings, Inc. (NASDAQ: EXLS), a leading provider of outsourcing and transformation services, today announced its financial results for the quarter ended June 30, 2009.</w:t>
      </w:r>
    </w:p>
    <w:p>
      <w:pPr>
        <w:spacing w:after="0" w:line="13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Rohit Kapoor, President and CEO, commented: “After announcing our win in July with a strategic client in the transportation and logistics vertical, which will enable us to deliver services from the Czech Republic, we are now excited to announce that we will be setting up a new center in Romania. We continue to invest in our long-term growth despite the difficult economic environment and believe our expansion into Europe will benefit our Global 1000 clients by providing enhanced capabilities in finance and accounting as well as multi-lingual business process outsourcing solutions. With our recent expansion into two countries in Central and Eastern Europe, and our Philippines and India facilities already at significant operating scale, EXL is executing a key strategic objective of providing a world-class global delivery capability to our clients.</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This quarter we made the requisite investments in our outsourcing business to support the growth we anticipate in the second half of the year. Implementation and employee training for our new outsourcing clients are on schedule and we expect those efforts to be completed over the second half of 2009, driving continued sequential revenue growth. EXL’s transformation business stabilized in the second quarter and we now see increased momentum and faster decision making by our clients and expect to see growth in the second half of the year.”</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Vishal Chhibbar, CFO, commented: “EXL’s second quarter results were in line with our revenue and margin expectations. We are making prudent investments in our delivery infrastructure expansion and are pleased to announce that our Philippines center is now operationally profitable. Our new center in Pune, India, which opened this May, is ramping on schedule to accommodate our new client wins. Adjusted operating margin for the quarter was 11.3% despite incurring several one-time expense items. We generated strong cash flows of $7.8 million for the quarter and remain a secure partner for our clients with $114.3 million of cash on the balance sheet at the end of the quarter. We are maintaining our calendar year 2009 guidance for revenue and adjusted operating margin.”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Financial highlights are based on continuing operations of the Company and exclude the sale of the Pune assets providing services to Aviva under the BOT arrangement, which is treated as a discontinued operation as of the third quarter of 2008. Reconciliations of adjusted financial measures to GAAP are included at the end of this release.</w:t>
      </w:r>
    </w:p>
    <w:p>
      <w:pPr>
        <w:spacing w:after="0" w:line="59" w:lineRule="exact"/>
        <w:rPr>
          <w:sz w:val="20"/>
          <w:szCs w:val="20"/>
          <w:color w:val="auto"/>
        </w:rPr>
      </w:pPr>
    </w:p>
    <w:p>
      <w:pPr>
        <w:ind w:left="900" w:right="20" w:hanging="446"/>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June 30, 2009 were $42.4 million compared to $47.0 million for the quarter ended June 30, 2008 and $41.0 million for the quarter ended March 31, 2009. Revenues attributable to outsourcing services for the quarter ended June 30, 2009 were $34.5 million compared to $36.1 million in the quarter ended June 30, 2008 and $33.4 million in the quarter ended March 31, 2009. Transformation services revenues for the quarter ended June 30, 2009 were $7.9 million compared to $10.9 million in the quarter ended June 30, 2008 and $7.6 million in the quarter ended March 31, 2009.</w:t>
      </w:r>
    </w:p>
    <w:p>
      <w:pPr>
        <w:spacing w:after="0" w:line="61" w:lineRule="exact"/>
        <w:rPr>
          <w:rFonts w:ascii="Arial" w:cs="Arial" w:eastAsia="Arial" w:hAnsi="Arial"/>
          <w:sz w:val="18"/>
          <w:szCs w:val="18"/>
          <w:color w:val="auto"/>
        </w:rPr>
      </w:pPr>
    </w:p>
    <w:p>
      <w:pPr>
        <w:ind w:left="900" w:right="320" w:hanging="446"/>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quarter ended June 30, 2009 was 39.1% compared to 35.7% for the quarter ended June 30, 2008 and 40.6% for the quarter ended March 31, 2009. Gross margin for outsourcing services was 41.9% for the quarter ended June 30, 2009 compared to 45.3% for the quarter ended March 31, 2009. Transformation services gross margin was 26.8% for the quarter ended June 30, 2009 compared to 19.7% for the quarter ended March 31, 2009.</w:t>
      </w:r>
    </w:p>
    <w:p>
      <w:pPr>
        <w:spacing w:after="0" w:line="62" w:lineRule="exact"/>
        <w:rPr>
          <w:rFonts w:ascii="Arial" w:cs="Arial" w:eastAsia="Arial" w:hAnsi="Arial"/>
          <w:sz w:val="18"/>
          <w:szCs w:val="18"/>
          <w:color w:val="auto"/>
        </w:rPr>
      </w:pPr>
    </w:p>
    <w:p>
      <w:pPr>
        <w:ind w:left="900" w:right="60" w:hanging="446"/>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Operating margin for the quarter ended June 30, 2009 was 6.6%, compared to 5.2% for the quarter ended June 30, 2008 and 10.4% for the quarter ended March 31, 2009; adjusted operating margin for the quarter ended June 30, 2009, excluding the impact of stock-based compensation expense and amortization of intangibles, was 11.3% compared to 9.7% for the quarter ended June 30, 2008 and 14.2% for the quarter ended March 31, 2009.</w:t>
      </w:r>
    </w:p>
    <w:p>
      <w:pPr>
        <w:spacing w:after="0" w:line="7"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to common stockholders for the quarter ended June 30, 2009 were $0.04 compared to $0.09 for the quarter ended June 30, 2008 and $0.10 for the quarter ended March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Announcements</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Setting up a new delivery center in Romania in the third quarter to deliver near-shore multi-lingual outsourcing services.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Awarded a multi-year outsourcing contract in July with a leading transportation and logistics company to provide business process services from our new delivery center in the Czech Republic.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wins in annuity-based transformation work from three existing insurance and banking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operating profitability in the Philippines center fifteen months after commencement of operational delivery.</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strategic outsourcing relationships with the migration of 20 new processes during the quarter. Migrating processes for four recently acquired clients.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Quarterly attrition of 22.0% for billable employees compared to 30.7% for the second quarter of 2008 and 21.0% for the first quarter of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maintaining its guidance for calendar year 2009:</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between $170.0 million to $175.0 million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between 10.0% and 12.0%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EXL will host a conference call on Thursday, August 6, at 10:00 a.m. (ET) to discuss the company’s quarterly results and operating performance. The conference call will be available live via the internet by accessing the investor relations section of EXL's website at www.exlservice.com, where the accompanying presentation and an investor factsheet can also be accessed. Please go to the website at least fifteen minutes prior to the call to register, download and install any necessary audio software.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listen to the conference call via phone, please dial 1-800-638-4817 or 1-617-614-3943 and enter “96023834.” For those who cannot access the live broadcast, a replay will be available by dialing 1-888-286-8010 or 1-617-801-6888 and entering “10709074” from two hours after the end of the call until 11:59 p.m. (ET) on August 13, 2009. The replay will also be available at the EXL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(Nasdaq: EXLS - News) is a leading provider of outsourcing and transformation services. EXL's outsourcing services include a full spectrum of business process outsourcing services from offshore delivery centers requiring ongoing process management skills. Transformation services enable continuous improvement of client processes by bringing together EXL's capabilities in reengineering including decision analytics, risk and financial management and operations and process excellence services. Headquartered in New York, EXL primarily serves the needs of Global 1000 companies in the insurance, utilities, financial services and transportation and logistics sectors. Find additional information about EXL at www.exlservice.com.</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2008. These risks could cause actual results to differ materially from those implied by forward-looking statements in this release.</w:t>
      </w:r>
    </w:p>
    <w:p>
      <w:pPr>
        <w:spacing w:after="0" w:line="12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83,371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25,827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50,183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33,188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14,367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2,911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6,524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13,763</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26,110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7,078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 income/(expense):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4,646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 provision/(benefit)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4,274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Income/(loss) from discontinued operations, net of taxes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12"/>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4,135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(a):</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Continuing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0.14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number of shares used in computing earnings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28,906,052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28,799,510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28,874,795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28,778,337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29,159,547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29,351,038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6"/>
              </w:rPr>
              <w:t>29,119,785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29,321,982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Per share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114,291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Accounts receivable, net of allowance for doubtful accounts of $287 at June 30, 2009 and $128 at December 31, 2008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tax</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156,178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Fixed assets, net of accumulated depreciation of $33,188 at June 30, 2009 and $27,727 at December 31, 2008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22,598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212,584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211,969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1,948</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employee cost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29,353</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30,098</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0"/>
              </w:rPr>
              <w:t>Common stock, $0.001 par value; 100,000,000 shares authorized, 29,172,063 shares issued and outstanding as of June 30,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2009 and 29,054,145 shares issued and outstanding as of December 31, 2008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120,394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74,156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(11,117)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183,462</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172,235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Less: 247,030 shares as of June 30, 2009 and 237,080 shares as of December 31, 2008, held in treasury, at cost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182,486</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212,584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211,969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addition to its reported operating results in accordance with U.S. generally accepted accounting principles (GAAP), EXL has included in this release adjusted financial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stock compensation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SFAS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reconciliation of these adjusted financial measures from GAAP measures for the three month periods ended June 30,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44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4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5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Non-GAAP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42,385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42,385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47,015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47,015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3"/>
              </w:rPr>
              <w:t>Cost of revenues (exclusive of depreciation and amortization)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25,827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(454)(a)</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25,373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w w:val="87"/>
              </w:rPr>
              <w:t>30,222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(455)(a)</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16,558</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17,012</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i w:val="1"/>
                <w:iCs w:val="1"/>
                <w:color w:val="auto"/>
              </w:rPr>
              <w:t>39.1%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40.1%</w:t>
            </w:r>
          </w:p>
        </w:tc>
        <w:tc>
          <w:tcPr>
            <w:tcW w:w="10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i w:val="1"/>
                <w:iCs w:val="1"/>
                <w:color w:val="auto"/>
              </w:rPr>
              <w:t>35.7%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(1,520)(a)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7"/>
              </w:rPr>
              <w:t>11,381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(1,432)(a)</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(b)</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2,789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12"/>
              <w:spacing w:after="0"/>
              <w:rPr>
                <w:sz w:val="20"/>
                <w:szCs w:val="20"/>
                <w:color w:val="auto"/>
              </w:rPr>
            </w:pPr>
            <w:r>
              <w:rPr>
                <w:rFonts w:ascii="Arial" w:cs="Arial" w:eastAsia="Arial" w:hAnsi="Arial"/>
                <w:sz w:val="18"/>
                <w:szCs w:val="18"/>
                <w:color w:val="auto"/>
              </w:rPr>
              <w:t>2,954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(221)(b)</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2,458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Income from Operations Margin %</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i w:val="1"/>
                <w:iCs w:val="1"/>
                <w:color w:val="auto"/>
              </w:rPr>
              <w:t>6.6%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11.3%</w:t>
            </w:r>
          </w:p>
        </w:tc>
        <w:tc>
          <w:tcPr>
            <w:tcW w:w="10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i w:val="1"/>
                <w:iCs w:val="1"/>
                <w:color w:val="auto"/>
              </w:rPr>
              <w:t>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SFAS 123R.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2019-12-10T23:18:04Z</dcterms:created>
  <dcterms:modified xsi:type="dcterms:W3CDTF">2019-12-10T23:18:04Z</dcterms:modified>
</cp:coreProperties>
</file>