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5"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20, 2013</w:t>
      </w:r>
    </w:p>
    <w:p>
      <w:pPr>
        <w:spacing w:after="0" w:line="27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820"/>
          </w:cols>
          <w:pgMar w:left="240" w:top="305" w:right="839" w:bottom="1440" w:gutter="0" w:footer="0" w:header="0"/>
        </w:sectPr>
      </w:pPr>
    </w:p>
    <w:p>
      <w:pPr>
        <w:spacing w:after="0" w:line="20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(I.R.S. Employer</w:t>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00" w:space="720"/>
            <w:col w:w="1980"/>
          </w:cols>
          <w:pgMar w:left="240" w:top="305" w:right="839" w:bottom="1440" w:gutter="0" w:footer="0" w:header="0"/>
          <w:type w:val="continuous"/>
        </w:sectPr>
      </w:pPr>
    </w:p>
    <w:p>
      <w:pPr>
        <w:spacing w:after="0" w:line="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280 Park Avenue, 38</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3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1" w:lineRule="exact"/>
        <w:rPr>
          <w:sz w:val="24"/>
          <w:szCs w:val="24"/>
          <w:color w:val="auto"/>
        </w:rPr>
      </w:pPr>
    </w:p>
    <w:p>
      <w:pPr>
        <w:ind w:left="3220"/>
        <w:spacing w:after="0"/>
        <w:tabs>
          <w:tab w:leader="none" w:pos="7060" w:val="left"/>
        </w:tabs>
        <w:rPr>
          <w:sz w:val="20"/>
          <w:szCs w:val="20"/>
          <w:color w:val="auto"/>
        </w:rPr>
      </w:pPr>
      <w:r>
        <w:rPr>
          <w:rFonts w:ascii="Times New Roman" w:cs="Times New Roman" w:eastAsia="Times New Roman" w:hAnsi="Times New Roman"/>
          <w:sz w:val="18"/>
          <w:szCs w:val="18"/>
          <w:color w:val="auto"/>
        </w:rPr>
        <w:t>Registrant’s telephone number, including area code:</w:t>
      </w:r>
      <w:r>
        <w:rPr>
          <w:sz w:val="20"/>
          <w:szCs w:val="20"/>
          <w:color w:val="auto"/>
        </w:rPr>
        <w:tab/>
      </w:r>
      <w:r>
        <w:rPr>
          <w:rFonts w:ascii="Times New Roman" w:cs="Times New Roman" w:eastAsia="Times New Roman" w:hAnsi="Times New Roman"/>
          <w:sz w:val="17"/>
          <w:szCs w:val="17"/>
          <w:b w:val="1"/>
          <w:bCs w:val="1"/>
          <w:color w:val="auto"/>
        </w:rPr>
        <w:t>(212) 277-7100</w:t>
      </w:r>
    </w:p>
    <w:p>
      <w:pPr>
        <w:sectPr>
          <w:pgSz w:w="11900" w:h="16838" w:orient="portrait"/>
          <w:cols w:equalWidth="0" w:num="1">
            <w:col w:w="10820"/>
          </w:cols>
          <w:pgMar w:left="240" w:top="305" w:right="839" w:bottom="1440" w:gutter="0" w:footer="0" w:header="0"/>
          <w:type w:val="continuous"/>
        </w:sectPr>
      </w:pP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51065" cy="44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44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467360</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820"/>
          </w:cols>
          <w:pgMar w:left="240" w:top="305" w:right="839" w:bottom="1440" w:gutter="0" w:footer="0" w:header="0"/>
          <w:type w:val="continuous"/>
        </w:sectPr>
      </w:pPr>
    </w:p>
    <w:bookmarkStart w:id="1" w:name="page2"/>
    <w:bookmarkEnd w:id="1"/>
    <w:p>
      <w:pPr>
        <w:ind w:left="1040" w:right="240" w:hanging="1034"/>
        <w:spacing w:after="0" w:line="284"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5"/>
        <w:spacing w:after="0" w:line="257" w:lineRule="auto"/>
        <w:rPr>
          <w:sz w:val="20"/>
          <w:szCs w:val="20"/>
          <w:color w:val="auto"/>
        </w:rPr>
      </w:pPr>
      <w:r>
        <w:rPr>
          <w:rFonts w:ascii="Times New Roman" w:cs="Times New Roman" w:eastAsia="Times New Roman" w:hAnsi="Times New Roman"/>
          <w:sz w:val="18"/>
          <w:szCs w:val="18"/>
          <w:color w:val="auto"/>
        </w:rPr>
        <w:t>On November 20, 2013, the Board of Directors (the “Board”) of ExlService Holdings, Inc. (the “Company”) appointed Som Mittal to be a member of the Board with effect from December 1, 2013. Mr. Mittal was also appointed to serve on the Nominating and Governance Committee and the Compensation Committee with effect from December 1, 2013. Mr. Mittal is currently the President of NASSCOM, a trade body for the IT and business process management industries in India. The Board determined that Mr. Mittal satisfies the requirements pertaining to director independence under the provisions of the NASDAQ Stock Market Rules and the federal securities laws.</w:t>
      </w:r>
    </w:p>
    <w:p>
      <w:pPr>
        <w:spacing w:after="0" w:line="236" w:lineRule="exact"/>
        <w:rPr>
          <w:sz w:val="20"/>
          <w:szCs w:val="20"/>
          <w:color w:val="auto"/>
        </w:rPr>
      </w:pPr>
    </w:p>
    <w:p>
      <w:pPr>
        <w:ind w:right="200" w:firstLine="645"/>
        <w:spacing w:after="0" w:line="259" w:lineRule="auto"/>
        <w:rPr>
          <w:sz w:val="20"/>
          <w:szCs w:val="20"/>
          <w:color w:val="auto"/>
        </w:rPr>
      </w:pPr>
      <w:r>
        <w:rPr>
          <w:rFonts w:ascii="Times New Roman" w:cs="Times New Roman" w:eastAsia="Times New Roman" w:hAnsi="Times New Roman"/>
          <w:sz w:val="18"/>
          <w:szCs w:val="18"/>
          <w:color w:val="auto"/>
        </w:rPr>
        <w:t>Mr. Mittal will be entitled to the compensation the Company offers its other non-executive directors, including annual retainers and equity compensation in the form of Company restricted stock units. For more information on the compensation of the Company’s directors, please refer to the disclosure under the heading “Director Compensation for Fiscal Year 2012” in the Company’s Proxy Statement for its Annual Meeting of Stockholders held on June 14, 2013 (filed with the Securities and Exchange Commission on April 29, 2013).</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announcing Mr. Mittal’s appointment is attached hereto as Exhibit 99.1 and is hereby incorporated by reference.</w:t>
      </w:r>
    </w:p>
    <w:p>
      <w:pPr>
        <w:spacing w:after="0" w:line="21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223" w:lineRule="exact"/>
        <w:rPr>
          <w:sz w:val="20"/>
          <w:szCs w:val="20"/>
          <w:color w:val="auto"/>
        </w:rPr>
      </w:pPr>
    </w:p>
    <w:p>
      <w:pPr>
        <w:ind w:left="500"/>
        <w:spacing w:after="0"/>
        <w:tabs>
          <w:tab w:leader="none" w:pos="1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November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1021715</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695"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640" w:firstLine="48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00" w:type="dxa"/>
            <w:vAlign w:val="bottom"/>
          </w:tcPr>
          <w:p>
            <w:pPr>
              <w:spacing w:after="0"/>
              <w:rPr>
                <w:sz w:val="19"/>
                <w:szCs w:val="19"/>
                <w:color w:val="auto"/>
              </w:rPr>
            </w:pPr>
          </w:p>
        </w:tc>
        <w:tc>
          <w:tcPr>
            <w:tcW w:w="63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c>
          <w:tcPr>
            <w:tcW w:w="112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p>
        </w:tc>
        <w:tc>
          <w:tcPr>
            <w:tcW w:w="63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(Registrant)</w:t>
            </w:r>
          </w:p>
        </w:tc>
        <w:tc>
          <w:tcPr>
            <w:tcW w:w="1120" w:type="dxa"/>
            <w:vAlign w:val="bottom"/>
          </w:tcPr>
          <w:p>
            <w:pPr>
              <w:spacing w:after="0"/>
              <w:rPr>
                <w:sz w:val="20"/>
                <w:szCs w:val="20"/>
                <w:color w:val="auto"/>
              </w:rPr>
            </w:pPr>
          </w:p>
        </w:tc>
      </w:tr>
      <w:tr>
        <w:trPr>
          <w:trHeight w:val="65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21, 2013</w:t>
            </w: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c>
          <w:tcPr>
            <w:tcW w:w="1120" w:type="dxa"/>
            <w:vAlign w:val="bottom"/>
          </w:tcPr>
          <w:p>
            <w:pPr>
              <w:spacing w:after="0"/>
              <w:rPr>
                <w:sz w:val="24"/>
                <w:szCs w:val="24"/>
                <w:color w:val="auto"/>
              </w:rPr>
            </w:pPr>
          </w:p>
        </w:tc>
      </w:tr>
      <w:tr>
        <w:trPr>
          <w:trHeight w:val="197"/>
        </w:trPr>
        <w:tc>
          <w:tcPr>
            <w:tcW w:w="4000" w:type="dxa"/>
            <w:vAlign w:val="bottom"/>
          </w:tcPr>
          <w:p>
            <w:pPr>
              <w:spacing w:after="0"/>
              <w:rPr>
                <w:sz w:val="17"/>
                <w:szCs w:val="17"/>
                <w:color w:val="auto"/>
              </w:rPr>
            </w:pPr>
          </w:p>
        </w:tc>
        <w:tc>
          <w:tcPr>
            <w:tcW w:w="2760" w:type="dxa"/>
            <w:vAlign w:val="bottom"/>
          </w:tcPr>
          <w:p>
            <w:pPr>
              <w:ind w:left="210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Rohit Kapoor</w:t>
            </w:r>
          </w:p>
        </w:tc>
        <w:tc>
          <w:tcPr>
            <w:tcW w:w="1120" w:type="dxa"/>
            <w:vAlign w:val="bottom"/>
          </w:tcPr>
          <w:p>
            <w:pPr>
              <w:spacing w:after="0"/>
              <w:rPr>
                <w:sz w:val="17"/>
                <w:szCs w:val="17"/>
                <w:color w:val="auto"/>
              </w:rPr>
            </w:pPr>
          </w:p>
        </w:tc>
      </w:tr>
      <w:tr>
        <w:trPr>
          <w:trHeight w:val="215"/>
        </w:trPr>
        <w:tc>
          <w:tcPr>
            <w:tcW w:w="4000" w:type="dxa"/>
            <w:vAlign w:val="bottom"/>
          </w:tcPr>
          <w:p>
            <w:pPr>
              <w:spacing w:after="0"/>
              <w:rPr>
                <w:sz w:val="18"/>
                <w:szCs w:val="18"/>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Vice-Chairman and Director</w:t>
            </w:r>
          </w:p>
        </w:tc>
        <w:tc>
          <w:tcPr>
            <w:tcW w:w="1120" w:type="dxa"/>
            <w:vAlign w:val="bottom"/>
          </w:tcPr>
          <w:p>
            <w:pPr>
              <w:spacing w:after="0"/>
              <w:rPr>
                <w:sz w:val="20"/>
                <w:szCs w:val="20"/>
                <w:color w:val="auto"/>
              </w:rPr>
            </w:pPr>
          </w:p>
        </w:tc>
      </w:tr>
      <w:tr>
        <w:trPr>
          <w:trHeight w:val="1220"/>
        </w:trPr>
        <w:tc>
          <w:tcPr>
            <w:tcW w:w="400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 is being filed as part of this Current Report on Form 8-K:</w:t>
      </w:r>
    </w:p>
    <w:p>
      <w:pPr>
        <w:spacing w:after="0" w:line="3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561340</wp:posOffset>
            </wp:positionV>
            <wp:extent cx="726821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80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EXL Elects Som Mittal to Board of Directors</w:t>
      </w:r>
    </w:p>
    <w:p>
      <w:pPr>
        <w:spacing w:after="0" w:line="28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NEW YORK, November 21, 2013 </w:t>
      </w:r>
      <w:r>
        <w:rPr>
          <w:rFonts w:ascii="Arial" w:cs="Arial" w:eastAsia="Arial" w:hAnsi="Arial"/>
          <w:sz w:val="18"/>
          <w:szCs w:val="18"/>
          <w:color w:val="auto"/>
        </w:rPr>
        <w:t>— EXL (NASDAQ: EXLS), a leading business process solutions company, announced that it has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Som Mittal to its Board of Directors with effect from December 1, 2013. Som Mittal has served as President of NASSCOM, the premier trade body for the IT and business process management industries in India from 2008 and will conclude his tenure in January 2014. As the President of NASSCOM, Mittal has worked with stakeholders around the world including governments, leading multinational corporations, think tanks, analysts and other associations to further the industry. While at NASSCOM, he focused his priorities on enabling industry growth, supporting talent development and increasing the industry’s value proposition.</w:t>
      </w:r>
    </w:p>
    <w:p>
      <w:pPr>
        <w:spacing w:after="0" w:line="22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“Som is a leader in advancing and evolving the IT and business process management industries, and we are thrilled to welcome him to our Board of Directors,” said Vikram Talwar, Chairman of EXL’s Board of Directors. “EXL will greatly benefit from his guidance, experience and knowledge as we further integrate technology and analytics into our operations management services to deliver differentiated value to our clients.”</w:t>
      </w:r>
    </w:p>
    <w:p>
      <w:pPr>
        <w:spacing w:after="0" w:line="225"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Rohit Kapoor, Vice-Chairman and CEO of EXL, commented, “Som’s vast global perspective across governments, companies and educational institutions, as well as his unique strategic vision will greatly enrich EXL as we continue to address the complex and changing industry challenges of our clients.”</w:t>
      </w:r>
    </w:p>
    <w:p>
      <w:pPr>
        <w:spacing w:after="0" w:line="21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Mittal has held various corporate leadership roles in the IT industry since 1989, including at companies such as Wipro, Digital India, Compaq and HP. He also has extensive experience in the engineering, manufacturing and automotive industries, having held executive roles with Larsen &amp; Toubro, Escorts and Denso.</w:t>
      </w: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Mittal also serves as an Independent Director and Chairman of the IT Strategy Committee of Axis Bank and is a member of Board of Governors the Indian Institute of Corporate Affairs. He and has been a committee member with the Indian Prime Minister’s National e-Governance Program, a board member at the Indian Institute of Technology (IIT) in Indore, a member of the Governing Council at the International Institute of Information Technology (IIIT) at Hyderabad, and a member of the Governing Body of the International Institute of Information Technology (IIIT) at Bangalore.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EXL (NASDAQ: EXLS) is a leading business process solutions company that looks deeper to drive business impact through integrated services and industry knowledge. EXL provides operations management,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more than 21,000 professionals in locations throughout the U.S., Europe and Asia. For more information, visit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CONTACT:</w:t>
        <w:tab/>
        <w:t>Charles Murphy, CFA</w:t>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Head of Investor Relations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ExlService Holdings, Inc.</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280 Park Avenue</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NY 10017</w:t>
      </w:r>
    </w:p>
    <w:p>
      <w:pPr>
        <w:spacing w:after="0" w:line="8" w:lineRule="exact"/>
        <w:rPr>
          <w:sz w:val="20"/>
          <w:szCs w:val="20"/>
          <w:color w:val="auto"/>
        </w:rPr>
      </w:pPr>
    </w:p>
    <w:p>
      <w:pPr>
        <w:ind w:left="1160" w:right="8800" w:hanging="10"/>
        <w:spacing w:after="0" w:line="294" w:lineRule="auto"/>
        <w:tabs>
          <w:tab w:leader="none" w:pos="1628" w:val="left"/>
        </w:tabs>
        <w:numPr>
          <w:ilvl w:val="0"/>
          <w:numId w:val="2"/>
        </w:numPr>
        <w:rPr>
          <w:rFonts w:ascii="Arial" w:cs="Arial" w:eastAsia="Arial" w:hAnsi="Arial"/>
          <w:sz w:val="17"/>
          <w:szCs w:val="17"/>
          <w:color w:val="auto"/>
        </w:rPr>
      </w:pPr>
      <w:r>
        <w:rPr>
          <w:rFonts w:ascii="Arial" w:cs="Arial" w:eastAsia="Arial" w:hAnsi="Arial"/>
          <w:sz w:val="17"/>
          <w:szCs w:val="17"/>
          <w:color w:val="auto"/>
        </w:rPr>
        <w:t>624-5913 ir@exlservice.com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Source: 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393065</wp:posOffset>
            </wp:positionV>
            <wp:extent cx="726821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2019-12-07T08:19:59Z</dcterms:created>
  <dcterms:modified xsi:type="dcterms:W3CDTF">2019-12-07T08:19:59Z</dcterms:modified>
</cp:coreProperties>
</file>