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Bhalla Vikas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Head of Outsourcing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ind w:left="620"/>
              <w:spacing w:after="0"/>
              <w:rPr>
                <w:sz w:val="20"/>
                <w:szCs w:val="20"/>
                <w:color w:val="auto"/>
              </w:rPr>
            </w:pPr>
            <w:r>
              <w:rPr>
                <w:rFonts w:ascii="Arial" w:cs="Arial" w:eastAsia="Arial" w:hAnsi="Arial"/>
                <w:sz w:val="18"/>
                <w:szCs w:val="18"/>
                <w:color w:val="0000FF"/>
              </w:rPr>
              <w:t>17,377</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3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 (right to buy)</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07/26/2016</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2"/>
              <w:spacing w:after="0"/>
              <w:rPr>
                <w:sz w:val="20"/>
                <w:szCs w:val="20"/>
                <w:color w:val="auto"/>
              </w:rPr>
            </w:pPr>
            <w:r>
              <w:rPr>
                <w:rFonts w:ascii="Arial" w:cs="Arial" w:eastAsia="Arial" w:hAnsi="Arial"/>
                <w:sz w:val="18"/>
                <w:szCs w:val="18"/>
                <w:color w:val="0000FF"/>
                <w:w w:val="87"/>
              </w:rPr>
              <w:t>10,000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11.875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 (right to buy)</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02/10/2019</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2"/>
              <w:spacing w:after="0"/>
              <w:rPr>
                <w:sz w:val="20"/>
                <w:szCs w:val="20"/>
                <w:color w:val="auto"/>
              </w:rPr>
            </w:pPr>
            <w:r>
              <w:rPr>
                <w:rFonts w:ascii="Arial" w:cs="Arial" w:eastAsia="Arial" w:hAnsi="Arial"/>
                <w:sz w:val="18"/>
                <w:szCs w:val="18"/>
                <w:color w:val="0000FF"/>
                <w:w w:val="87"/>
              </w:rPr>
              <w:t>24,000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8.75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06/12/2017</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2"/>
              <w:spacing w:after="0"/>
              <w:rPr>
                <w:sz w:val="20"/>
                <w:szCs w:val="20"/>
                <w:color w:val="auto"/>
              </w:rPr>
            </w:pPr>
            <w:r>
              <w:rPr>
                <w:rFonts w:ascii="Arial" w:cs="Arial" w:eastAsia="Arial" w:hAnsi="Arial"/>
                <w:sz w:val="18"/>
                <w:szCs w:val="18"/>
                <w:color w:val="0000FF"/>
                <w:w w:val="88"/>
              </w:rPr>
              <w:t>5,250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w:t>
            </w:r>
          </w:p>
        </w:tc>
        <w:tc>
          <w:tcPr>
            <w:tcW w:w="12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04/23/2018</w:t>
            </w:r>
          </w:p>
        </w:tc>
        <w:tc>
          <w:tcPr>
            <w:tcW w:w="184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ind w:left="162"/>
              <w:spacing w:after="0"/>
              <w:rPr>
                <w:sz w:val="20"/>
                <w:szCs w:val="20"/>
                <w:color w:val="auto"/>
              </w:rPr>
            </w:pPr>
            <w:r>
              <w:rPr>
                <w:rFonts w:ascii="Arial" w:cs="Arial" w:eastAsia="Arial" w:hAnsi="Arial"/>
                <w:sz w:val="18"/>
                <w:szCs w:val="18"/>
                <w:color w:val="0000FF"/>
                <w:w w:val="88"/>
              </w:rPr>
              <w:t>4,590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40 percent of the options will vest and become exercisable on April 20, 2010; 60 percent of the options have previously vested and are immediately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Common Stock, par value $0.001 per share.</w:t>
      </w:r>
    </w:p>
    <w:p>
      <w:pPr>
        <w:spacing w:after="0" w:line="41"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10 percent of the options will vest and become exercisable on February 10, 2010, an additional 20 percent of the options will vest and become exercisable on February 10, 2011, an additional 30 percent of the options will vest and become exercisable on February 10, 2012, and the remaining 40 percent of options will vest and become exercisable on February 10, 2013.</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2,250 shares of restricted stock vest on April 25, 2010 and 3,000 shares of restricted stock vest on April 25,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1,020 shares of restricted stock vest on April 24, 2010, 1,530 shares of restricted stock vest on April 24, 2011 and 2,040 shares of restricted stock vest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Lazbart Oseni</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11/10/2009</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00" w:lineRule="exact"/>
        <w:rPr>
          <w:sz w:val="20"/>
          <w:szCs w:val="20"/>
          <w:color w:val="auto"/>
        </w:rPr>
      </w:pP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186" w:lineRule="exact"/>
        <w:rPr>
          <w:sz w:val="20"/>
          <w:szCs w:val="20"/>
          <w:color w:val="auto"/>
        </w:rPr>
      </w:pPr>
    </w:p>
    <w:p>
      <w:pPr>
        <w:ind w:left="1700" w:hanging="3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360"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360"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360"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360"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360" w:lineRule="exact"/>
        <w:rPr>
          <w:rFonts w:ascii="Arial" w:cs="Arial" w:eastAsia="Arial" w:hAnsi="Arial"/>
          <w:sz w:val="18"/>
          <w:szCs w:val="18"/>
          <w:color w:val="auto"/>
        </w:rPr>
      </w:pPr>
    </w:p>
    <w:p>
      <w:pPr>
        <w:ind w:left="1700" w:hanging="341"/>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jc w:val="both"/>
        <w:ind w:right="2119" w:firstLine="1305"/>
        <w:spacing w:after="0" w:line="259" w:lineRule="auto"/>
        <w:tabs>
          <w:tab w:leader="none" w:pos="1877"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94" w:lineRule="exact"/>
        <w:rPr>
          <w:rFonts w:ascii="Arial" w:cs="Arial" w:eastAsia="Arial" w:hAnsi="Arial"/>
          <w:sz w:val="18"/>
          <w:szCs w:val="18"/>
          <w:color w:val="auto"/>
        </w:rPr>
      </w:pPr>
    </w:p>
    <w:p>
      <w:pPr>
        <w:jc w:val="both"/>
        <w:ind w:right="2119" w:firstLine="1305"/>
        <w:spacing w:after="0" w:line="306" w:lineRule="auto"/>
        <w:tabs>
          <w:tab w:leader="none" w:pos="1987" w:val="left"/>
        </w:tabs>
        <w:numPr>
          <w:ilvl w:val="0"/>
          <w:numId w:val="7"/>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60" w:lineRule="exact"/>
        <w:rPr>
          <w:rFonts w:ascii="Arial" w:cs="Arial" w:eastAsia="Arial" w:hAnsi="Arial"/>
          <w:sz w:val="16"/>
          <w:szCs w:val="16"/>
          <w:color w:val="auto"/>
        </w:rPr>
      </w:pPr>
    </w:p>
    <w:p>
      <w:pPr>
        <w:jc w:val="both"/>
        <w:ind w:right="2099" w:firstLine="1305"/>
        <w:spacing w:after="0" w:line="294" w:lineRule="auto"/>
        <w:tabs>
          <w:tab w:leader="none" w:pos="1877" w:val="left"/>
        </w:tabs>
        <w:numPr>
          <w:ilvl w:val="0"/>
          <w:numId w:val="7"/>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jc w:val="both"/>
        <w:ind w:right="211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4"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7"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IN WITNESS WHEREOF, the undersigned has caused this Power of Attorney to be executed as of this 2rd day of November, 2009.</w:t>
      </w:r>
    </w:p>
    <w:p>
      <w:pPr>
        <w:spacing w:after="0" w:line="200" w:lineRule="exact"/>
        <w:rPr>
          <w:sz w:val="20"/>
          <w:szCs w:val="20"/>
          <w:color w:val="auto"/>
        </w:rPr>
      </w:pPr>
    </w:p>
    <w:p>
      <w:pPr>
        <w:spacing w:after="0" w:line="22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 Vikas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27940</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Vikas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27940</wp:posOffset>
            </wp:positionV>
            <wp:extent cx="1818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lvl w:ilvl="1">
      <w:lvlJc w:val="left"/>
      <w:lvlText w:val="(%2)"/>
      <w:numFmt w:val="lowerRoman"/>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373633"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2019-12-16T14:04:22Z</dcterms:created>
  <dcterms:modified xsi:type="dcterms:W3CDTF">2019-12-16T14:04:22Z</dcterms:modified>
</cp:coreProperties>
</file>