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6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6"/>
          <w:szCs w:val="16"/>
          <w:b w:val="1"/>
          <w:bCs w:val="1"/>
          <w:color w:val="auto"/>
        </w:rPr>
        <w:t>Pursuant to Sections 13 or 15(d) of the Securities Exchange Act of 1934</w:t>
      </w:r>
    </w:p>
    <w:p>
      <w:pPr>
        <w:spacing w:after="0" w:line="57"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7"/>
          <w:szCs w:val="17"/>
          <w:color w:val="auto"/>
        </w:rPr>
        <w:t>May 2, 2024</w:t>
      </w:r>
    </w:p>
    <w:p>
      <w:pPr>
        <w:spacing w:after="0" w:line="57"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EXLSERVICE HOLDINGS, INC.</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8"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ectPr>
          <w:pgSz w:w="11900" w:h="16838" w:orient="portrait"/>
          <w:cols w:equalWidth="0" w:num="1">
            <w:col w:w="11240"/>
          </w:cols>
          <w:pgMar w:left="320" w:top="1168" w:right="339" w:bottom="1440" w:gutter="0" w:footer="0" w:header="0"/>
        </w:sectPr>
      </w:pPr>
    </w:p>
    <w:p>
      <w:pPr>
        <w:spacing w:after="0" w:line="121"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82-0572194</w:t>
      </w:r>
    </w:p>
    <w:p>
      <w:pPr>
        <w:spacing w:after="0" w:line="30" w:lineRule="exact"/>
        <w:rPr>
          <w:sz w:val="24"/>
          <w:szCs w:val="24"/>
          <w:color w:val="auto"/>
        </w:rPr>
      </w:pPr>
    </w:p>
    <w:p>
      <w:pPr>
        <w:sectPr>
          <w:pgSz w:w="11900" w:h="16838" w:orient="portrait"/>
          <w:cols w:equalWidth="0" w:num="3">
            <w:col w:w="4540" w:space="720"/>
            <w:col w:w="3000" w:space="720"/>
            <w:col w:w="2260"/>
          </w:cols>
          <w:pgMar w:left="320" w:top="1168" w:right="339" w:bottom="1440" w:gutter="0" w:footer="0" w:header="0"/>
          <w:type w:val="continuous"/>
        </w:sectPr>
      </w:pPr>
    </w:p>
    <w:p>
      <w:pPr>
        <w:jc w:val="center"/>
        <w:ind w:right="260"/>
        <w:spacing w:after="0"/>
        <w:rPr>
          <w:sz w:val="20"/>
          <w:szCs w:val="20"/>
          <w:color w:val="auto"/>
        </w:rPr>
      </w:pPr>
      <w:r>
        <w:rPr>
          <w:rFonts w:ascii="Times New Roman" w:cs="Times New Roman" w:eastAsia="Times New Roman" w:hAnsi="Times New Roman"/>
          <w:sz w:val="16"/>
          <w:szCs w:val="16"/>
          <w:color w:val="auto"/>
        </w:rPr>
        <w:t>(State or other jurisdiction</w:t>
      </w:r>
    </w:p>
    <w:p>
      <w:pPr>
        <w:jc w:val="center"/>
        <w:ind w:right="260"/>
        <w:spacing w:after="0"/>
        <w:rPr>
          <w:sz w:val="20"/>
          <w:szCs w:val="20"/>
          <w:color w:val="auto"/>
        </w:rPr>
      </w:pPr>
      <w:r>
        <w:rPr>
          <w:rFonts w:ascii="Times New Roman" w:cs="Times New Roman" w:eastAsia="Times New Roman" w:hAnsi="Times New Roman"/>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6"/>
          <w:szCs w:val="16"/>
          <w:color w:val="auto"/>
        </w:rPr>
        <w:t>(I.R.S. Employer</w:t>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4000" w:space="720"/>
            <w:col w:w="3320" w:space="720"/>
            <w:col w:w="2480"/>
          </w:cols>
          <w:pgMar w:left="320" w:top="1168" w:right="339" w:bottom="1440" w:gutter="0" w:footer="0" w:header="0"/>
          <w:type w:val="continuous"/>
        </w:sectPr>
      </w:pPr>
    </w:p>
    <w:p>
      <w:pPr>
        <w:spacing w:after="0" w:line="17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5"/>
          <w:szCs w:val="15"/>
          <w:b w:val="1"/>
          <w:bCs w:val="1"/>
          <w:color w:val="auto"/>
        </w:rPr>
        <w:t>320 Park Avenue, 29th Floor,</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10022</w:t>
      </w:r>
    </w:p>
    <w:p>
      <w:pPr>
        <w:spacing w:after="0" w:line="32" w:lineRule="exact"/>
        <w:rPr>
          <w:sz w:val="24"/>
          <w:szCs w:val="24"/>
          <w:color w:val="auto"/>
        </w:rPr>
      </w:pPr>
    </w:p>
    <w:p>
      <w:pPr>
        <w:sectPr>
          <w:pgSz w:w="11900" w:h="16838" w:orient="portrait"/>
          <w:cols w:equalWidth="0" w:num="2">
            <w:col w:w="7620" w:space="720"/>
            <w:col w:w="2900"/>
          </w:cols>
          <w:pgMar w:left="320" w:top="1168" w:right="339" w:bottom="1440" w:gutter="0" w:footer="0" w:header="0"/>
          <w:type w:val="continuous"/>
        </w:sectPr>
      </w:pPr>
    </w:p>
    <w:p>
      <w:pPr>
        <w:ind w:left="4960"/>
        <w:spacing w:after="0"/>
        <w:rPr>
          <w:sz w:val="20"/>
          <w:szCs w:val="20"/>
          <w:color w:val="auto"/>
        </w:rPr>
      </w:pPr>
      <w:r>
        <w:rPr>
          <w:rFonts w:ascii="Times New Roman" w:cs="Times New Roman" w:eastAsia="Times New Roman" w:hAnsi="Times New Roman"/>
          <w:sz w:val="15"/>
          <w:szCs w:val="15"/>
          <w:b w:val="1"/>
          <w:bCs w:val="1"/>
          <w:color w:val="auto"/>
        </w:rPr>
        <w:t>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32" w:lineRule="exact"/>
        <w:rPr>
          <w:sz w:val="24"/>
          <w:szCs w:val="24"/>
          <w:color w:val="auto"/>
        </w:rPr>
      </w:pPr>
    </w:p>
    <w:p>
      <w:pPr>
        <w:sectPr>
          <w:pgSz w:w="11900" w:h="16838" w:orient="portrait"/>
          <w:cols w:equalWidth="0" w:num="2">
            <w:col w:w="7480" w:space="720"/>
            <w:col w:w="3040"/>
          </w:cols>
          <w:pgMar w:left="320" w:top="1168" w:right="339" w:bottom="1440" w:gutter="0" w:footer="0" w:header="0"/>
          <w:type w:val="continuous"/>
        </w:sectPr>
      </w:pPr>
    </w:p>
    <w:p>
      <w:pPr>
        <w:ind w:left="458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6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(212) 277-7100</w:t>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or address, if changed since last report)</w:t>
      </w:r>
    </w:p>
    <w:p>
      <w:pPr>
        <w:spacing w:after="0" w:line="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w:t>
      </w:r>
    </w:p>
    <w:p>
      <w:pPr>
        <w:sectPr>
          <w:pgSz w:w="11900" w:h="16838" w:orient="portrait"/>
          <w:cols w:equalWidth="0" w:num="1">
            <w:col w:w="11240"/>
          </w:cols>
          <w:pgMar w:left="320" w:top="1168" w:right="339" w:bottom="1440" w:gutter="0" w:footer="0" w:header="0"/>
          <w:type w:val="continuous"/>
        </w:sectPr>
      </w:pP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27"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Written communication pursuant to Rule 425 under the Securities Act (17 CFR 230.425)</w:t>
      </w:r>
    </w:p>
    <w:p>
      <w:pPr>
        <w:spacing w:after="0" w:line="167"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4"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84"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8"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Emerging growth company</w:t>
      </w:r>
    </w:p>
    <w:p>
      <w:pPr>
        <w:spacing w:after="0" w:line="221" w:lineRule="exact"/>
        <w:rPr>
          <w:rFonts w:ascii="MS PGothic" w:cs="MS PGothic" w:eastAsia="MS PGothic" w:hAnsi="MS PGothic"/>
          <w:sz w:val="22"/>
          <w:szCs w:val="22"/>
          <w:color w:val="auto"/>
        </w:rPr>
      </w:pPr>
    </w:p>
    <w:p>
      <w:pPr>
        <w:ind w:left="620" w:right="480" w:hanging="594"/>
        <w:spacing w:after="0" w:line="219" w:lineRule="auto"/>
        <w:tabs>
          <w:tab w:leader="none" w:pos="6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81280</wp:posOffset>
            </wp:positionV>
            <wp:extent cx="7123430"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754380"/>
                    </a:xfrm>
                    <a:prstGeom prst="rect">
                      <a:avLst/>
                    </a:prstGeom>
                    <a:noFill/>
                  </pic:spPr>
                </pic:pic>
              </a:graphicData>
            </a:graphic>
          </wp:anchor>
        </w:drawing>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489"/>
        </w:trPr>
        <w:tc>
          <w:tcPr>
            <w:tcW w:w="20" w:type="dxa"/>
            <w:vAlign w:val="bottom"/>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EXLS</w:t>
            </w: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w:t>
            </w:r>
          </w:p>
        </w:tc>
      </w:tr>
      <w:tr>
        <w:trPr>
          <w:trHeight w:val="347"/>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972"/>
        </w:trPr>
        <w:tc>
          <w:tcPr>
            <w:tcW w:w="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 2024, ExlService Holdings, Inc. (the “Company”) reported its results of operations for the three months ended March 31, 2024.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200" w:lineRule="exact"/>
        <w:rPr>
          <w:sz w:val="20"/>
          <w:szCs w:val="20"/>
          <w:color w:val="auto"/>
        </w:rPr>
      </w:pPr>
    </w:p>
    <w:p>
      <w:pPr>
        <w:spacing w:after="0" w:line="2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44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May 2, 2024 (furnished pursuant to Item 2.02).</w:t>
            </w:r>
          </w:p>
        </w:tc>
      </w:tr>
      <w:tr>
        <w:trPr>
          <w:trHeight w:val="205"/>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90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Cover Page Interactive Data File (the cover page XBRL tags are</w:t>
            </w:r>
          </w:p>
        </w:tc>
        <w:tc>
          <w:tcPr>
            <w:tcW w:w="4000" w:type="dxa"/>
            <w:vAlign w:val="bottom"/>
          </w:tcPr>
          <w:p>
            <w:pPr>
              <w:spacing w:after="0"/>
              <w:rPr>
                <w:sz w:val="17"/>
                <w:szCs w:val="17"/>
                <w:color w:val="auto"/>
              </w:rPr>
            </w:pPr>
          </w:p>
        </w:tc>
      </w:tr>
      <w:tr>
        <w:trPr>
          <w:trHeight w:val="234"/>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40" w:type="dxa"/>
            <w:vAlign w:val="bottom"/>
          </w:tcPr>
          <w:p>
            <w:pPr>
              <w:spacing w:after="0"/>
              <w:rPr>
                <w:sz w:val="20"/>
                <w:szCs w:val="20"/>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09"/>
        </w:trPr>
        <w:tc>
          <w:tcPr>
            <w:tcW w:w="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4000" w:type="dxa"/>
            <w:vAlign w:val="bottom"/>
            <w:tcBorders>
              <w:bottom w:val="single" w:sz="8" w:color="9A9A9A"/>
            </w:tcBorders>
          </w:tcPr>
          <w:p>
            <w:pPr>
              <w:spacing w:after="0"/>
              <w:rPr>
                <w:sz w:val="18"/>
                <w:szCs w:val="18"/>
                <w:color w:val="auto"/>
              </w:rPr>
            </w:pPr>
          </w:p>
        </w:tc>
        <w:tc>
          <w:tcPr>
            <w:tcW w:w="40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828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2940" w:type="dxa"/>
            <w:vAlign w:val="bottom"/>
          </w:tcPr>
          <w:p>
            <w:pPr>
              <w:spacing w:after="0"/>
              <w:rPr>
                <w:sz w:val="20"/>
                <w:szCs w:val="20"/>
                <w:color w:val="auto"/>
              </w:rPr>
            </w:pPr>
          </w:p>
        </w:tc>
        <w:tc>
          <w:tcPr>
            <w:tcW w:w="33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(Registrant)</w:t>
            </w:r>
          </w:p>
        </w:tc>
        <w:tc>
          <w:tcPr>
            <w:tcW w:w="4960" w:type="dxa"/>
            <w:vAlign w:val="bottom"/>
          </w:tcPr>
          <w:p>
            <w:pPr>
              <w:spacing w:after="0"/>
              <w:rPr>
                <w:sz w:val="20"/>
                <w:szCs w:val="20"/>
                <w:color w:val="auto"/>
              </w:rPr>
            </w:pPr>
          </w:p>
        </w:tc>
      </w:tr>
      <w:tr>
        <w:trPr>
          <w:trHeight w:val="75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May 2, 2024</w:t>
            </w:r>
          </w:p>
        </w:tc>
        <w:tc>
          <w:tcPr>
            <w:tcW w:w="33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Ajay Ayyappan</w:t>
            </w:r>
          </w:p>
        </w:tc>
      </w:tr>
      <w:tr>
        <w:trPr>
          <w:trHeight w:val="27"/>
        </w:trPr>
        <w:tc>
          <w:tcPr>
            <w:tcW w:w="29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32"/>
        </w:trPr>
        <w:tc>
          <w:tcPr>
            <w:tcW w:w="2940" w:type="dxa"/>
            <w:vAlign w:val="bottom"/>
          </w:tcPr>
          <w:p>
            <w:pPr>
              <w:spacing w:after="0"/>
              <w:rPr>
                <w:sz w:val="20"/>
                <w:szCs w:val="20"/>
                <w:color w:val="auto"/>
              </w:rPr>
            </w:pPr>
          </w:p>
        </w:tc>
        <w:tc>
          <w:tcPr>
            <w:tcW w:w="33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Ajay Ayyappan</w:t>
            </w:r>
          </w:p>
        </w:tc>
      </w:tr>
      <w:tr>
        <w:trPr>
          <w:trHeight w:val="234"/>
        </w:trPr>
        <w:tc>
          <w:tcPr>
            <w:tcW w:w="2940" w:type="dxa"/>
            <w:vAlign w:val="bottom"/>
          </w:tcPr>
          <w:p>
            <w:pPr>
              <w:spacing w:after="0"/>
              <w:rPr>
                <w:sz w:val="20"/>
                <w:szCs w:val="20"/>
                <w:color w:val="auto"/>
              </w:rPr>
            </w:pPr>
          </w:p>
        </w:tc>
        <w:tc>
          <w:tcPr>
            <w:tcW w:w="33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ectPr>
          <w:pgSz w:w="11900" w:h="16838" w:orient="portrait"/>
          <w:cols w:equalWidth="0" w:num="1">
            <w:col w:w="11240"/>
          </w:cols>
          <w:pgMar w:left="320" w:top="684" w:right="339" w:bottom="1440" w:gutter="0" w:footer="0" w:header="0"/>
        </w:sectPr>
      </w:pPr>
    </w:p>
    <w:bookmarkStart w:id="3" w:name="page4"/>
    <w:bookmarkEnd w:id="3"/>
    <w:p>
      <w:pPr>
        <w:spacing w:after="0" w:line="200" w:lineRule="auto"/>
        <w:framePr w:w="440" w:h="125" w:wrap="auto" w:vAnchor="page" w:hAnchor="page" w:x="5540" w:y="3444"/>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(1) (2)</w:t>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rFonts w:ascii="Times New Roman" w:cs="Times New Roman" w:eastAsia="Times New Roman" w:hAnsi="Times New Roman"/>
          <w:sz w:val="13"/>
          <w:szCs w:val="13"/>
          <w:b w:val="1"/>
          <w:bCs w:val="1"/>
          <w:i w:val="1"/>
          <w:iCs w:val="1"/>
          <w:color w:val="auto"/>
        </w:rPr>
      </w:pPr>
    </w:p>
    <w:p>
      <w:pPr>
        <w:spacing w:after="0" w:line="200" w:lineRule="exact"/>
        <w:rPr>
          <w:rFonts w:ascii="Times New Roman" w:cs="Times New Roman" w:eastAsia="Times New Roman" w:hAnsi="Times New Roman"/>
          <w:sz w:val="13"/>
          <w:szCs w:val="13"/>
          <w:b w:val="1"/>
          <w:bCs w:val="1"/>
          <w:i w:val="1"/>
          <w:iCs w:val="1"/>
          <w:color w:val="auto"/>
        </w:rPr>
      </w:pPr>
    </w:p>
    <w:p>
      <w:pPr>
        <w:spacing w:after="0" w:line="356" w:lineRule="exact"/>
        <w:rPr>
          <w:rFonts w:ascii="Times New Roman" w:cs="Times New Roman" w:eastAsia="Times New Roman" w:hAnsi="Times New Roman"/>
          <w:sz w:val="13"/>
          <w:szCs w:val="13"/>
          <w:b w:val="1"/>
          <w:bCs w:val="1"/>
          <w:i w:val="1"/>
          <w:iCs w:val="1"/>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EXL REPORTS 2024 FIRST QUARTER RESULTS</w:t>
      </w:r>
    </w:p>
    <w:p>
      <w:pPr>
        <w:spacing w:after="0" w:line="200" w:lineRule="exact"/>
        <w:rPr>
          <w:rFonts w:ascii="Times New Roman" w:cs="Times New Roman" w:eastAsia="Times New Roman" w:hAnsi="Times New Roman"/>
          <w:sz w:val="13"/>
          <w:szCs w:val="13"/>
          <w:b w:val="1"/>
          <w:bCs w:val="1"/>
          <w:i w:val="1"/>
          <w:iCs w:val="1"/>
          <w:color w:val="auto"/>
        </w:rPr>
      </w:pPr>
    </w:p>
    <w:p>
      <w:pPr>
        <w:spacing w:after="0" w:line="342" w:lineRule="exact"/>
        <w:rPr>
          <w:rFonts w:ascii="Times New Roman" w:cs="Times New Roman" w:eastAsia="Times New Roman" w:hAnsi="Times New Roman"/>
          <w:sz w:val="13"/>
          <w:szCs w:val="13"/>
          <w:b w:val="1"/>
          <w:bCs w:val="1"/>
          <w:i w:val="1"/>
          <w:iCs w:val="1"/>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2024 First Quarter Revenue of $436.5 Million, up 9.0% year-over-year</w:t>
      </w:r>
    </w:p>
    <w:p>
      <w:pPr>
        <w:spacing w:after="0" w:line="139" w:lineRule="exact"/>
        <w:rPr>
          <w:rFonts w:ascii="Times New Roman" w:cs="Times New Roman" w:eastAsia="Times New Roman" w:hAnsi="Times New Roman"/>
          <w:sz w:val="13"/>
          <w:szCs w:val="13"/>
          <w:b w:val="1"/>
          <w:bCs w:val="1"/>
          <w:i w:val="1"/>
          <w:iCs w:val="1"/>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Q1 Diluted EPS (GAAP) </w:t>
      </w:r>
      <w:r>
        <w:rPr>
          <w:rFonts w:ascii="Times New Roman" w:cs="Times New Roman" w:eastAsia="Times New Roman" w:hAnsi="Times New Roman"/>
          <w:sz w:val="28"/>
          <w:szCs w:val="28"/>
          <w:b w:val="1"/>
          <w:bCs w:val="1"/>
          <w:i w:val="1"/>
          <w:iCs w:val="1"/>
          <w:color w:val="auto"/>
          <w:vertAlign w:val="superscript"/>
        </w:rPr>
        <w:t>(1)</w:t>
      </w:r>
      <w:r>
        <w:rPr>
          <w:rFonts w:ascii="Times New Roman" w:cs="Times New Roman" w:eastAsia="Times New Roman" w:hAnsi="Times New Roman"/>
          <w:sz w:val="22"/>
          <w:szCs w:val="22"/>
          <w:b w:val="1"/>
          <w:bCs w:val="1"/>
          <w:i w:val="1"/>
          <w:iCs w:val="1"/>
          <w:color w:val="auto"/>
        </w:rPr>
        <w:t xml:space="preserve"> of $0.29, down 3.3% from $0.30 in Q1 of 2023</w:t>
      </w:r>
    </w:p>
    <w:p>
      <w:pPr>
        <w:spacing w:after="0" w:line="231" w:lineRule="exact"/>
        <w:rPr>
          <w:rFonts w:ascii="Times New Roman" w:cs="Times New Roman" w:eastAsia="Times New Roman" w:hAnsi="Times New Roman"/>
          <w:sz w:val="13"/>
          <w:szCs w:val="13"/>
          <w:b w:val="1"/>
          <w:bCs w:val="1"/>
          <w:i w:val="1"/>
          <w:iCs w:val="1"/>
          <w:color w:val="auto"/>
        </w:rPr>
      </w:pPr>
    </w:p>
    <w:p>
      <w:pPr>
        <w:ind w:left="1720"/>
        <w:spacing w:after="0" w:line="182" w:lineRule="auto"/>
        <w:tabs>
          <w:tab w:leader="none" w:pos="5660" w:val="left"/>
        </w:tabs>
        <w:rPr>
          <w:sz w:val="20"/>
          <w:szCs w:val="20"/>
          <w:color w:val="auto"/>
        </w:rPr>
      </w:pPr>
      <w:r>
        <w:rPr>
          <w:rFonts w:ascii="Times New Roman" w:cs="Times New Roman" w:eastAsia="Times New Roman" w:hAnsi="Times New Roman"/>
          <w:sz w:val="13"/>
          <w:szCs w:val="13"/>
          <w:b w:val="1"/>
          <w:bCs w:val="1"/>
          <w:i w:val="1"/>
          <w:iCs w:val="1"/>
          <w:color w:val="auto"/>
        </w:rPr>
        <w:t>Q1 Adjusted Diluted EPS (Non-GAAP)</w:t>
      </w:r>
      <w:r>
        <w:rPr>
          <w:sz w:val="20"/>
          <w:szCs w:val="20"/>
          <w:color w:val="auto"/>
        </w:rPr>
        <w:tab/>
      </w:r>
      <w:r>
        <w:rPr>
          <w:rFonts w:ascii="Times New Roman" w:cs="Times New Roman" w:eastAsia="Times New Roman" w:hAnsi="Times New Roman"/>
          <w:sz w:val="13"/>
          <w:szCs w:val="13"/>
          <w:b w:val="1"/>
          <w:bCs w:val="1"/>
          <w:i w:val="1"/>
          <w:iCs w:val="1"/>
          <w:color w:val="auto"/>
        </w:rPr>
        <w:t>of $0.38, up 8.9% from $0.35 in Q1 of 2023</w:t>
      </w:r>
    </w:p>
    <w:p>
      <w:pPr>
        <w:spacing w:after="0" w:line="200" w:lineRule="exact"/>
        <w:rPr>
          <w:rFonts w:ascii="Times New Roman" w:cs="Times New Roman" w:eastAsia="Times New Roman" w:hAnsi="Times New Roman"/>
          <w:sz w:val="13"/>
          <w:szCs w:val="13"/>
          <w:b w:val="1"/>
          <w:bCs w:val="1"/>
          <w:i w:val="1"/>
          <w:iCs w:val="1"/>
          <w:color w:val="auto"/>
        </w:rPr>
      </w:pPr>
    </w:p>
    <w:p>
      <w:pPr>
        <w:spacing w:after="0" w:line="200" w:lineRule="exact"/>
        <w:rPr>
          <w:rFonts w:ascii="Times New Roman" w:cs="Times New Roman" w:eastAsia="Times New Roman" w:hAnsi="Times New Roman"/>
          <w:sz w:val="13"/>
          <w:szCs w:val="13"/>
          <w:b w:val="1"/>
          <w:bCs w:val="1"/>
          <w:i w:val="1"/>
          <w:iCs w:val="1"/>
          <w:color w:val="auto"/>
        </w:rPr>
      </w:pPr>
    </w:p>
    <w:p>
      <w:pPr>
        <w:spacing w:after="0" w:line="200" w:lineRule="exact"/>
        <w:rPr>
          <w:rFonts w:ascii="Times New Roman" w:cs="Times New Roman" w:eastAsia="Times New Roman" w:hAnsi="Times New Roman"/>
          <w:sz w:val="13"/>
          <w:szCs w:val="13"/>
          <w:b w:val="1"/>
          <w:bCs w:val="1"/>
          <w:i w:val="1"/>
          <w:iCs w:val="1"/>
          <w:color w:val="auto"/>
        </w:rPr>
      </w:pPr>
    </w:p>
    <w:p>
      <w:pPr>
        <w:spacing w:after="0" w:line="207" w:lineRule="exact"/>
        <w:rPr>
          <w:rFonts w:ascii="Times New Roman" w:cs="Times New Roman" w:eastAsia="Times New Roman" w:hAnsi="Times New Roman"/>
          <w:sz w:val="13"/>
          <w:szCs w:val="13"/>
          <w:b w:val="1"/>
          <w:bCs w:val="1"/>
          <w:i w:val="1"/>
          <w:iCs w:val="1"/>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New York - May 2, 2024 (GLOBE NEWSWIRE) - ExlService Holdings, Inc. (NASDAQ: EXLS), a leading data analytics and digital operations and solutions company, today announced its financial results for the quarter ended March 31, 2024.</w:t>
      </w:r>
    </w:p>
    <w:p>
      <w:pPr>
        <w:spacing w:after="0" w:line="202" w:lineRule="exact"/>
        <w:rPr>
          <w:rFonts w:ascii="Times New Roman" w:cs="Times New Roman" w:eastAsia="Times New Roman" w:hAnsi="Times New Roman"/>
          <w:sz w:val="13"/>
          <w:szCs w:val="13"/>
          <w:b w:val="1"/>
          <w:bCs w:val="1"/>
          <w:i w:val="1"/>
          <w:iCs w:val="1"/>
          <w:color w:val="auto"/>
        </w:rPr>
      </w:pPr>
    </w:p>
    <w:p>
      <w:pPr>
        <w:jc w:val="both"/>
        <w:spacing w:after="0" w:line="307" w:lineRule="auto"/>
        <w:rPr>
          <w:sz w:val="20"/>
          <w:szCs w:val="20"/>
          <w:color w:val="auto"/>
        </w:rPr>
      </w:pPr>
      <w:r>
        <w:rPr>
          <w:rFonts w:ascii="Times New Roman" w:cs="Times New Roman" w:eastAsia="Times New Roman" w:hAnsi="Times New Roman"/>
          <w:sz w:val="18"/>
          <w:szCs w:val="18"/>
          <w:color w:val="auto"/>
        </w:rPr>
        <w:t>Rohit Kapoor, Chairman and Chief Executive Officer, said, “We are pleased with our first quarter results and solid start to the year, as we delivered revenue growth and adjusted diluted EPS growth of 9%. Our data and AI-led strategy, combined with our deep domain expertise, continues to resonate with our clients and fuel our above industry average growth rates. The consistent execution of our differentiated strategy has enabled us to continue our momentum into 2024.”</w:t>
      </w:r>
    </w:p>
    <w:p>
      <w:pPr>
        <w:spacing w:after="0" w:line="200" w:lineRule="exact"/>
        <w:rPr>
          <w:rFonts w:ascii="Times New Roman" w:cs="Times New Roman" w:eastAsia="Times New Roman" w:hAnsi="Times New Roman"/>
          <w:sz w:val="13"/>
          <w:szCs w:val="13"/>
          <w:b w:val="1"/>
          <w:bCs w:val="1"/>
          <w:i w:val="1"/>
          <w:iCs w:val="1"/>
          <w:color w:val="auto"/>
        </w:rPr>
      </w:pPr>
    </w:p>
    <w:p>
      <w:pPr>
        <w:spacing w:after="0" w:line="253" w:lineRule="exact"/>
        <w:rPr>
          <w:rFonts w:ascii="Times New Roman" w:cs="Times New Roman" w:eastAsia="Times New Roman" w:hAnsi="Times New Roman"/>
          <w:sz w:val="13"/>
          <w:szCs w:val="13"/>
          <w:b w:val="1"/>
          <w:bCs w:val="1"/>
          <w:i w:val="1"/>
          <w:iCs w:val="1"/>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Maurizio Nicolelli, Chief Financial Officer, said, “While we remain cautious on the macro-economic environment, we are raising the bottom of our range for both revenue and EPS based on our solid momentum in the first quarter and current visibility for the remainder of the year. We now expect revenue to be in the range of $1.79 billion to $1.82 billion, up from our prior guidance of $1.78 billion to $1.82 billion. This represents 10% to 12% year-over-year growth on both a reported and constant currency basis. We now expect our adjusted diluted earnings per share for 2024 to be in the range of $1.58 to $1.62, up from our prior guidance of $1.56 to $1.62, representing growth of 10% to 13% over the prior year.”</w:t>
      </w:r>
    </w:p>
    <w:p>
      <w:pPr>
        <w:spacing w:after="0" w:line="200" w:lineRule="exact"/>
        <w:rPr>
          <w:rFonts w:ascii="Times New Roman" w:cs="Times New Roman" w:eastAsia="Times New Roman" w:hAnsi="Times New Roman"/>
          <w:sz w:val="13"/>
          <w:szCs w:val="13"/>
          <w:b w:val="1"/>
          <w:bCs w:val="1"/>
          <w:i w:val="1"/>
          <w:iCs w:val="1"/>
          <w:color w:val="auto"/>
        </w:rPr>
      </w:pPr>
    </w:p>
    <w:p>
      <w:pPr>
        <w:spacing w:after="0" w:line="200" w:lineRule="exact"/>
        <w:rPr>
          <w:rFonts w:ascii="Times New Roman" w:cs="Times New Roman" w:eastAsia="Times New Roman" w:hAnsi="Times New Roman"/>
          <w:sz w:val="13"/>
          <w:szCs w:val="13"/>
          <w:b w:val="1"/>
          <w:bCs w:val="1"/>
          <w:i w:val="1"/>
          <w:iCs w:val="1"/>
          <w:color w:val="auto"/>
        </w:rPr>
      </w:pPr>
    </w:p>
    <w:p>
      <w:pPr>
        <w:spacing w:after="0" w:line="200" w:lineRule="exact"/>
        <w:rPr>
          <w:rFonts w:ascii="Times New Roman" w:cs="Times New Roman" w:eastAsia="Times New Roman" w:hAnsi="Times New Roman"/>
          <w:sz w:val="13"/>
          <w:szCs w:val="13"/>
          <w:b w:val="1"/>
          <w:bCs w:val="1"/>
          <w:i w:val="1"/>
          <w:iCs w:val="1"/>
          <w:color w:val="auto"/>
        </w:rPr>
      </w:pPr>
    </w:p>
    <w:p>
      <w:pPr>
        <w:spacing w:after="0" w:line="200" w:lineRule="exact"/>
        <w:rPr>
          <w:rFonts w:ascii="Times New Roman" w:cs="Times New Roman" w:eastAsia="Times New Roman" w:hAnsi="Times New Roman"/>
          <w:sz w:val="13"/>
          <w:szCs w:val="13"/>
          <w:b w:val="1"/>
          <w:bCs w:val="1"/>
          <w:i w:val="1"/>
          <w:iCs w:val="1"/>
          <w:color w:val="auto"/>
        </w:rPr>
      </w:pPr>
    </w:p>
    <w:p>
      <w:pPr>
        <w:spacing w:after="0" w:line="200" w:lineRule="exact"/>
        <w:rPr>
          <w:rFonts w:ascii="Times New Roman" w:cs="Times New Roman" w:eastAsia="Times New Roman" w:hAnsi="Times New Roman"/>
          <w:sz w:val="13"/>
          <w:szCs w:val="13"/>
          <w:b w:val="1"/>
          <w:bCs w:val="1"/>
          <w:i w:val="1"/>
          <w:iCs w:val="1"/>
          <w:color w:val="auto"/>
        </w:rPr>
      </w:pPr>
    </w:p>
    <w:p>
      <w:pPr>
        <w:spacing w:after="0" w:line="200" w:lineRule="exact"/>
        <w:rPr>
          <w:rFonts w:ascii="Times New Roman" w:cs="Times New Roman" w:eastAsia="Times New Roman" w:hAnsi="Times New Roman"/>
          <w:sz w:val="13"/>
          <w:szCs w:val="13"/>
          <w:b w:val="1"/>
          <w:bCs w:val="1"/>
          <w:i w:val="1"/>
          <w:iCs w:val="1"/>
          <w:color w:val="auto"/>
        </w:rPr>
      </w:pPr>
    </w:p>
    <w:p>
      <w:pPr>
        <w:spacing w:after="0" w:line="200" w:lineRule="exact"/>
        <w:rPr>
          <w:rFonts w:ascii="Times New Roman" w:cs="Times New Roman" w:eastAsia="Times New Roman" w:hAnsi="Times New Roman"/>
          <w:sz w:val="13"/>
          <w:szCs w:val="13"/>
          <w:b w:val="1"/>
          <w:bCs w:val="1"/>
          <w:i w:val="1"/>
          <w:iCs w:val="1"/>
          <w:color w:val="auto"/>
        </w:rPr>
      </w:pPr>
    </w:p>
    <w:p>
      <w:pPr>
        <w:spacing w:after="0" w:line="200" w:lineRule="exact"/>
        <w:rPr>
          <w:rFonts w:ascii="Times New Roman" w:cs="Times New Roman" w:eastAsia="Times New Roman" w:hAnsi="Times New Roman"/>
          <w:sz w:val="13"/>
          <w:szCs w:val="13"/>
          <w:b w:val="1"/>
          <w:bCs w:val="1"/>
          <w:i w:val="1"/>
          <w:iCs w:val="1"/>
          <w:color w:val="auto"/>
        </w:rPr>
      </w:pPr>
    </w:p>
    <w:p>
      <w:pPr>
        <w:spacing w:after="0" w:line="200" w:lineRule="exact"/>
        <w:rPr>
          <w:rFonts w:ascii="Times New Roman" w:cs="Times New Roman" w:eastAsia="Times New Roman" w:hAnsi="Times New Roman"/>
          <w:sz w:val="13"/>
          <w:szCs w:val="13"/>
          <w:b w:val="1"/>
          <w:bCs w:val="1"/>
          <w:i w:val="1"/>
          <w:iCs w:val="1"/>
          <w:color w:val="auto"/>
        </w:rPr>
      </w:pPr>
    </w:p>
    <w:p>
      <w:pPr>
        <w:spacing w:after="0" w:line="200" w:lineRule="exact"/>
        <w:rPr>
          <w:rFonts w:ascii="Times New Roman" w:cs="Times New Roman" w:eastAsia="Times New Roman" w:hAnsi="Times New Roman"/>
          <w:sz w:val="13"/>
          <w:szCs w:val="13"/>
          <w:b w:val="1"/>
          <w:bCs w:val="1"/>
          <w:i w:val="1"/>
          <w:iCs w:val="1"/>
          <w:color w:val="auto"/>
        </w:rPr>
      </w:pPr>
    </w:p>
    <w:p>
      <w:pPr>
        <w:spacing w:after="0" w:line="200" w:lineRule="exact"/>
        <w:rPr>
          <w:rFonts w:ascii="Times New Roman" w:cs="Times New Roman" w:eastAsia="Times New Roman" w:hAnsi="Times New Roman"/>
          <w:sz w:val="13"/>
          <w:szCs w:val="13"/>
          <w:b w:val="1"/>
          <w:bCs w:val="1"/>
          <w:i w:val="1"/>
          <w:iCs w:val="1"/>
          <w:color w:val="auto"/>
        </w:rPr>
      </w:pPr>
    </w:p>
    <w:p>
      <w:pPr>
        <w:spacing w:after="0" w:line="200" w:lineRule="exact"/>
        <w:rPr>
          <w:rFonts w:ascii="Times New Roman" w:cs="Times New Roman" w:eastAsia="Times New Roman" w:hAnsi="Times New Roman"/>
          <w:sz w:val="13"/>
          <w:szCs w:val="13"/>
          <w:b w:val="1"/>
          <w:bCs w:val="1"/>
          <w:i w:val="1"/>
          <w:iCs w:val="1"/>
          <w:color w:val="auto"/>
        </w:rPr>
      </w:pPr>
    </w:p>
    <w:p>
      <w:pPr>
        <w:spacing w:after="0" w:line="200" w:lineRule="exact"/>
        <w:rPr>
          <w:rFonts w:ascii="Times New Roman" w:cs="Times New Roman" w:eastAsia="Times New Roman" w:hAnsi="Times New Roman"/>
          <w:sz w:val="13"/>
          <w:szCs w:val="13"/>
          <w:b w:val="1"/>
          <w:bCs w:val="1"/>
          <w:i w:val="1"/>
          <w:iCs w:val="1"/>
          <w:color w:val="auto"/>
        </w:rPr>
      </w:pPr>
    </w:p>
    <w:p>
      <w:pPr>
        <w:spacing w:after="0" w:line="200" w:lineRule="exact"/>
        <w:rPr>
          <w:rFonts w:ascii="Times New Roman" w:cs="Times New Roman" w:eastAsia="Times New Roman" w:hAnsi="Times New Roman"/>
          <w:sz w:val="13"/>
          <w:szCs w:val="13"/>
          <w:b w:val="1"/>
          <w:bCs w:val="1"/>
          <w:i w:val="1"/>
          <w:iCs w:val="1"/>
          <w:color w:val="auto"/>
        </w:rPr>
      </w:pPr>
    </w:p>
    <w:p>
      <w:pPr>
        <w:spacing w:after="0" w:line="200" w:lineRule="exact"/>
        <w:rPr>
          <w:rFonts w:ascii="Times New Roman" w:cs="Times New Roman" w:eastAsia="Times New Roman" w:hAnsi="Times New Roman"/>
          <w:sz w:val="13"/>
          <w:szCs w:val="13"/>
          <w:b w:val="1"/>
          <w:bCs w:val="1"/>
          <w:i w:val="1"/>
          <w:iCs w:val="1"/>
          <w:color w:val="auto"/>
        </w:rPr>
      </w:pPr>
    </w:p>
    <w:p>
      <w:pPr>
        <w:spacing w:after="0" w:line="270" w:lineRule="exact"/>
        <w:rPr>
          <w:rFonts w:ascii="Times New Roman" w:cs="Times New Roman" w:eastAsia="Times New Roman" w:hAnsi="Times New Roman"/>
          <w:sz w:val="13"/>
          <w:szCs w:val="13"/>
          <w:b w:val="1"/>
          <w:bCs w:val="1"/>
          <w:i w:val="1"/>
          <w:iCs w:val="1"/>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w:t>
      </w:r>
    </w:p>
    <w:p>
      <w:pPr>
        <w:spacing w:after="0" w:line="60" w:lineRule="exact"/>
        <w:rPr>
          <w:rFonts w:ascii="Times New Roman" w:cs="Times New Roman" w:eastAsia="Times New Roman" w:hAnsi="Times New Roman"/>
          <w:sz w:val="13"/>
          <w:szCs w:val="13"/>
          <w:b w:val="1"/>
          <w:bCs w:val="1"/>
          <w:i w:val="1"/>
          <w:iCs w:val="1"/>
          <w:color w:val="auto"/>
        </w:rPr>
      </w:pPr>
    </w:p>
    <w:p>
      <w:pPr>
        <w:ind w:left="660" w:hanging="328"/>
        <w:spacing w:after="0" w:line="242" w:lineRule="auto"/>
        <w:tabs>
          <w:tab w:leader="none" w:pos="648"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Prior period informaton has been adjusted to refect the 5-for-1 forward stock split of our common stock efected in August 2023. See Note 19 – Capital Structure to consolidated fnancial statements included in our Annual Report on Form 10-K for the year ended December 31, 2023, for further details.</w:t>
      </w:r>
    </w:p>
    <w:p>
      <w:pPr>
        <w:jc w:val="both"/>
        <w:ind w:left="660" w:hanging="328"/>
        <w:spacing w:after="0" w:line="227" w:lineRule="auto"/>
        <w:tabs>
          <w:tab w:leader="none" w:pos="648" w:val="left"/>
        </w:tabs>
        <w:numPr>
          <w:ilvl w:val="0"/>
          <w:numId w:val="3"/>
        </w:numPr>
        <w:rPr>
          <w:rFonts w:ascii="Calibri" w:cs="Calibri" w:eastAsia="Calibri" w:hAnsi="Calibri"/>
          <w:sz w:val="14"/>
          <w:szCs w:val="14"/>
          <w:color w:val="auto"/>
        </w:rPr>
      </w:pPr>
      <w:r>
        <w:rPr>
          <w:rFonts w:ascii="Calibri" w:cs="Calibri" w:eastAsia="Calibri" w:hAnsi="Calibri"/>
          <w:sz w:val="14"/>
          <w:szCs w:val="14"/>
          <w:color w:val="auto"/>
        </w:rPr>
        <w:t>Reconciliatons of adjusted (non-GAAP) fnancial measures to the most directly comparable GAAP measures, where applicable, are included at the end of this release under “Reconciliaton of Adjusted Financial Measures to GAAP Measures.” These non-GAAP measures, including adjusted diluted EPS and constant currency measures, are not measures of fnancial performance prepared in accordance with GAAP.</w:t>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Highlights: First Quarter 2024</w:t>
      </w:r>
    </w:p>
    <w:p>
      <w:pPr>
        <w:spacing w:after="0" w:line="200" w:lineRule="exact"/>
        <w:rPr>
          <w:sz w:val="20"/>
          <w:szCs w:val="20"/>
          <w:color w:val="auto"/>
        </w:rPr>
      </w:pPr>
    </w:p>
    <w:p>
      <w:pPr>
        <w:spacing w:after="0" w:line="205" w:lineRule="exact"/>
        <w:rPr>
          <w:sz w:val="20"/>
          <w:szCs w:val="20"/>
          <w:color w:val="auto"/>
        </w:rPr>
      </w:pPr>
    </w:p>
    <w:p>
      <w:pPr>
        <w:jc w:val="both"/>
        <w:ind w:left="660" w:hanging="328"/>
        <w:spacing w:after="0" w:line="31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quarter ended March 31, 2024, increased to $436.5 million compared to $400.6 million for the first quarter of 2023, an increase of 9.0% on a reported basis and 8.8% on a constant currency basis. Revenue increased by 5.4% sequentially on a reported basis and constant currency basis, from the fourth quarter of 2023.</w:t>
      </w:r>
    </w:p>
    <w:p>
      <w:pPr>
        <w:spacing w:after="0" w:line="70"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100" w:type="dxa"/>
            <w:vAlign w:val="bottom"/>
            <w:gridSpan w:val="4"/>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220" w:type="dxa"/>
            <w:vAlign w:val="bottom"/>
          </w:tcPr>
          <w:p>
            <w:pPr>
              <w:spacing w:after="0"/>
              <w:rPr>
                <w:sz w:val="18"/>
                <w:szCs w:val="18"/>
                <w:color w:val="auto"/>
              </w:rPr>
            </w:pPr>
          </w:p>
        </w:tc>
      </w:tr>
      <w:tr>
        <w:trPr>
          <w:trHeight w:val="209"/>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920" w:type="dxa"/>
            <w:vAlign w:val="bottom"/>
            <w:tcBorders>
              <w:top w:val="single" w:sz="8" w:color="auto"/>
              <w:bottom w:val="single" w:sz="8" w:color="auto"/>
            </w:tcBorders>
            <w:gridSpan w:val="4"/>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3100" w:type="dxa"/>
            <w:vAlign w:val="bottom"/>
            <w:tcBorders>
              <w:top w:val="single" w:sz="8" w:color="auto"/>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top w:val="single" w:sz="8" w:color="auto"/>
              <w:bottom w:val="single" w:sz="8" w:color="auto"/>
            </w:tcBorders>
          </w:tcPr>
          <w:p>
            <w:pPr>
              <w:spacing w:after="0"/>
              <w:rPr>
                <w:sz w:val="18"/>
                <w:szCs w:val="18"/>
                <w:color w:val="auto"/>
              </w:rPr>
            </w:pPr>
          </w:p>
        </w:tc>
      </w:tr>
      <w:tr>
        <w:trPr>
          <w:trHeight w:val="211"/>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18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18"/>
                <w:szCs w:val="18"/>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20" w:type="dxa"/>
            <w:vAlign w:val="bottom"/>
          </w:tcPr>
          <w:p>
            <w:pPr>
              <w:spacing w:after="0"/>
              <w:rPr>
                <w:sz w:val="18"/>
                <w:szCs w:val="18"/>
                <w:color w:val="auto"/>
              </w:rPr>
            </w:pPr>
          </w:p>
        </w:tc>
      </w:tr>
      <w:tr>
        <w:trPr>
          <w:trHeight w:val="209"/>
        </w:trPr>
        <w:tc>
          <w:tcPr>
            <w:tcW w:w="24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920" w:type="dxa"/>
            <w:vAlign w:val="bottom"/>
            <w:tcBorders>
              <w:top w:val="single" w:sz="8" w:color="auto"/>
              <w:bottom w:val="single" w:sz="8" w:color="auto"/>
            </w:tcBorders>
            <w:gridSpan w:val="4"/>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0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r>
      <w:tr>
        <w:trPr>
          <w:trHeight w:val="225"/>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Healthcare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Emerging Business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Analytics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37.4 %</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37.2 %</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left="660" w:hanging="328"/>
        <w:spacing w:after="0" w:line="31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margin for the quarter ended March 31, 2024 was 14.1%, compared to 14.8% for the first quarter of 2023 and 13.1% for the fourth quarter of 2023. Adjusted operating income margin for the quarter ended March 31, 2024 was 18.9%, compared to 19.4% for the first quarter of 2023 and 17.8% for the fourth quarter of 2023.</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31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for the quarter ended March 31, 2024 was $0.29, compared to $0.30 for the first quarter of 2023 and $0.24 for the fourth quarter of 2023. Adjusted diluted earnings per share for the quarter ended March 31, 2024 was $0.38, compared to $0.35, both for the first quarter of 2023 and the fourth quarter of 2023.</w:t>
      </w:r>
    </w:p>
    <w:p>
      <w:pPr>
        <w:sectPr>
          <w:pgSz w:w="11900" w:h="16838" w:orient="portrait"/>
          <w:cols w:equalWidth="0" w:num="1">
            <w:col w:w="11240"/>
          </w:cols>
          <w:pgMar w:left="320" w:top="10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Business Highlights: First Quarter 2024</w:t>
      </w:r>
    </w:p>
    <w:p>
      <w:pPr>
        <w:spacing w:after="0" w:line="200" w:lineRule="exact"/>
        <w:rPr>
          <w:sz w:val="20"/>
          <w:szCs w:val="20"/>
          <w:color w:val="auto"/>
        </w:rPr>
      </w:pPr>
    </w:p>
    <w:p>
      <w:pPr>
        <w:spacing w:after="0" w:line="313" w:lineRule="exact"/>
        <w:rPr>
          <w:sz w:val="20"/>
          <w:szCs w:val="20"/>
          <w:color w:val="auto"/>
        </w:rPr>
      </w:pPr>
    </w:p>
    <w:p>
      <w:pPr>
        <w:ind w:left="240" w:hanging="19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Won 16 new clients in the first quarter of 2024, with 6 clients in the digital operations and solutions business and 10 clients in analytics.</w:t>
      </w:r>
    </w:p>
    <w:p>
      <w:pPr>
        <w:spacing w:after="0" w:line="117" w:lineRule="exact"/>
        <w:rPr>
          <w:rFonts w:ascii="Times New Roman" w:cs="Times New Roman" w:eastAsia="Times New Roman" w:hAnsi="Times New Roman"/>
          <w:sz w:val="18"/>
          <w:szCs w:val="18"/>
          <w:color w:val="auto"/>
        </w:rPr>
      </w:pPr>
    </w:p>
    <w:p>
      <w:pPr>
        <w:ind w:left="260" w:hanging="212"/>
        <w:spacing w:after="0" w:line="375"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EXL named top performer and Leader among the 26 leading analytics and AI service providers in Everest Group’s Analytics and Artificial Intelligence (AI) Services Specialists PEAK Matrix® Assessment 2024.</w:t>
      </w:r>
    </w:p>
    <w:p>
      <w:pPr>
        <w:spacing w:after="0" w:line="1" w:lineRule="exact"/>
        <w:rPr>
          <w:rFonts w:ascii="Times New Roman" w:cs="Times New Roman" w:eastAsia="Times New Roman" w:hAnsi="Times New Roman"/>
          <w:sz w:val="18"/>
          <w:szCs w:val="18"/>
          <w:color w:val="auto"/>
        </w:rPr>
      </w:pPr>
    </w:p>
    <w:p>
      <w:pPr>
        <w:ind w:left="260" w:hanging="212"/>
        <w:spacing w:after="0" w:line="375"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an AI in Action virtual customer symposium attended by over 2,300 clients, prospects, analysts, advisors and partners. The event highlighted the use of enterprise data to bridge the gap between strategy and operations and make AI real.</w:t>
      </w:r>
    </w:p>
    <w:p>
      <w:pPr>
        <w:spacing w:after="0" w:line="1" w:lineRule="exact"/>
        <w:rPr>
          <w:rFonts w:ascii="Times New Roman" w:cs="Times New Roman" w:eastAsia="Times New Roman" w:hAnsi="Times New Roman"/>
          <w:sz w:val="18"/>
          <w:szCs w:val="18"/>
          <w:color w:val="auto"/>
        </w:rPr>
      </w:pPr>
    </w:p>
    <w:p>
      <w:pPr>
        <w:ind w:left="260" w:hanging="212"/>
        <w:spacing w:after="0" w:line="375"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Rohit Kapoor named chairman, Vikram Pandit transitioned to lead director; Thomas Bartlett appointed to EXL’s board of directors and will serve on the board’s audit committee and nominating and governance committee.</w:t>
      </w:r>
    </w:p>
    <w:p>
      <w:pPr>
        <w:spacing w:after="0" w:line="1" w:lineRule="exact"/>
        <w:rPr>
          <w:rFonts w:ascii="Times New Roman" w:cs="Times New Roman" w:eastAsia="Times New Roman" w:hAnsi="Times New Roman"/>
          <w:sz w:val="18"/>
          <w:szCs w:val="18"/>
          <w:color w:val="auto"/>
        </w:rPr>
      </w:pPr>
    </w:p>
    <w:p>
      <w:pPr>
        <w:ind w:left="240" w:hanging="19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Vikas Bhalla and Vivek Jetley named president of EXL in addition to their current roles of head of insurance and head of analytics, respectively.</w:t>
      </w:r>
    </w:p>
    <w:p>
      <w:pPr>
        <w:spacing w:after="0" w:line="117" w:lineRule="exact"/>
        <w:rPr>
          <w:rFonts w:ascii="Times New Roman" w:cs="Times New Roman" w:eastAsia="Times New Roman" w:hAnsi="Times New Roman"/>
          <w:sz w:val="18"/>
          <w:szCs w:val="18"/>
          <w:color w:val="auto"/>
        </w:rPr>
      </w:pPr>
    </w:p>
    <w:p>
      <w:pPr>
        <w:ind w:left="260" w:hanging="212"/>
        <w:spacing w:after="0" w:line="407"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EXL entered into an accelerated share repurchase agreement to repurchase $125 million of the company’s common stock as part of its current $500 million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Guidance</w:t>
      </w:r>
    </w:p>
    <w:p>
      <w:pPr>
        <w:spacing w:after="0" w:line="148"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auto"/>
        </w:rPr>
        <w:t>Based on current visibility, and a U.S. dollar to Indian rupee exchange rate of 83.50, U.K. pound sterling to U.S. dollar exchange rate of 1.27, U.S. dollar to the Philippine peso exchange rate of 57.50 and all other currencies at current exchange rates, we are providing the following guidance for the full year 2024:</w:t>
      </w:r>
    </w:p>
    <w:p>
      <w:pPr>
        <w:spacing w:after="0" w:line="20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$1.79 billion to $1.82 billion, representing an increase of 10% to 12% on both a reported and constant currency basis from 2023.</w:t>
      </w:r>
    </w:p>
    <w:p>
      <w:pPr>
        <w:spacing w:after="0" w:line="2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earnings per share of $1.58 to $1.62, representing an increase of 10% to 13% from 2023.</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Conference Call</w:t>
      </w:r>
    </w:p>
    <w:p>
      <w:pPr>
        <w:spacing w:after="0" w:line="202"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 xml:space="preserve">ExlService Holdings, Inc. will host a conference call on Thursday, May 2, 2024 at 10:00 A.M. ET to discuss the Company’s quarterly operating and financial results. The conference call will be available live via the internet by accessing the investor relations section of EXL’s website at </w:t>
      </w:r>
      <w:r>
        <w:rPr>
          <w:rFonts w:ascii="Times New Roman" w:cs="Times New Roman" w:eastAsia="Times New Roman" w:hAnsi="Times New Roman"/>
          <w:sz w:val="18"/>
          <w:szCs w:val="18"/>
          <w:u w:val="single" w:color="auto"/>
          <w:color w:val="0000FF"/>
        </w:rPr>
        <w:t>ir.exlservice.com</w:t>
      </w:r>
      <w:r>
        <w:rPr>
          <w:rFonts w:ascii="Times New Roman" w:cs="Times New Roman" w:eastAsia="Times New Roman" w:hAnsi="Times New Roman"/>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47"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8"/>
          <w:szCs w:val="18"/>
          <w:color w:val="auto"/>
        </w:rPr>
        <w:t xml:space="preserve">Please note that there is a new system to access the live call-in order to ask questions. To join the live call, please register </w:t>
      </w:r>
      <w:r>
        <w:rPr>
          <w:rFonts w:ascii="Times New Roman" w:cs="Times New Roman" w:eastAsia="Times New Roman" w:hAnsi="Times New Roman"/>
          <w:sz w:val="18"/>
          <w:szCs w:val="18"/>
          <w:u w:val="single" w:color="auto"/>
          <w:color w:val="0000FF"/>
        </w:rPr>
        <w:t>here</w:t>
      </w:r>
      <w:r>
        <w:rPr>
          <w:rFonts w:ascii="Times New Roman" w:cs="Times New Roman" w:eastAsia="Times New Roman" w:hAnsi="Times New Roman"/>
          <w:sz w:val="18"/>
          <w:szCs w:val="18"/>
          <w:color w:val="auto"/>
        </w:rPr>
        <w:t xml:space="preserve">. A dial-in and unique PIN will be provided to join the call. For those who cannot access the live broadcast, a replay will be available on the EXL website </w:t>
      </w:r>
      <w:r>
        <w:rPr>
          <w:rFonts w:ascii="Times New Roman" w:cs="Times New Roman" w:eastAsia="Times New Roman" w:hAnsi="Times New Roman"/>
          <w:sz w:val="18"/>
          <w:szCs w:val="18"/>
          <w:u w:val="single" w:color="auto"/>
          <w:color w:val="0000FF"/>
        </w:rPr>
        <w:t>ir.exlservice.com</w:t>
      </w:r>
      <w:r>
        <w:rPr>
          <w:rFonts w:ascii="Times New Roman" w:cs="Times New Roman" w:eastAsia="Times New Roman" w:hAnsi="Times New Roman"/>
          <w:sz w:val="18"/>
          <w:szCs w:val="18"/>
          <w:color w:val="auto"/>
        </w:rPr>
        <w:t xml:space="preserve"> for a period of twelve months.</w:t>
      </w:r>
    </w:p>
    <w:p>
      <w:pPr>
        <w:sectPr>
          <w:pgSz w:w="11900" w:h="16838" w:orient="portrait"/>
          <w:cols w:equalWidth="0" w:num="1">
            <w:col w:w="11240"/>
          </w:cols>
          <w:pgMar w:left="320" w:top="110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ExlService Holdings, Inc.</w:t>
      </w:r>
    </w:p>
    <w:p>
      <w:pPr>
        <w:spacing w:after="0" w:line="81"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18"/>
          <w:szCs w:val="18"/>
          <w:color w:val="auto"/>
        </w:rPr>
        <w:t>EXL (NASDAQ: EXLS) is a leading data analytics and digital operations and solutions company. We partner with clients using a data and AI-led approach to reinvent business models, drive better business outcomes and unlock growth with speed. EXL harnesses the power of data, analytics, AI, and deep</w:t>
      </w:r>
    </w:p>
    <w:p>
      <w:pPr>
        <w:spacing w:after="0" w:line="1"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 xml:space="preserve">industry knowledge to transform operations for the world’s leading corporations in industries including insurance, healthcare, banking and financial services, media and retail, among others. EXL was founded in 1999 with the core values of innovation, collaboration, excellence, integrity and respect. We are headquartered in New York and have more than 55,000 employees spanning six continents. For more information, visit </w:t>
      </w:r>
      <w:r>
        <w:rPr>
          <w:rFonts w:ascii="Times New Roman" w:cs="Times New Roman" w:eastAsia="Times New Roman" w:hAnsi="Times New Roman"/>
          <w:sz w:val="18"/>
          <w:szCs w:val="18"/>
          <w:u w:val="single" w:color="auto"/>
          <w:color w:val="0000FF"/>
        </w:rPr>
        <w:t>www.exlservice.com.</w:t>
      </w:r>
    </w:p>
    <w:p>
      <w:pPr>
        <w:spacing w:after="0" w:line="28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Cautionary Statement Regarding Forward-Looking Statements </w:t>
      </w:r>
      <w:r>
        <w:rPr>
          <w:rFonts w:ascii="Times New Roman" w:cs="Times New Roman" w:eastAsia="Times New Roman" w:hAnsi="Times New Roman"/>
          <w:sz w:val="18"/>
          <w:szCs w:val="18"/>
          <w:i w:val="1"/>
          <w:iCs w:val="1"/>
          <w:color w:val="auto"/>
        </w:rPr>
        <w:t>This press release contains forward-looking statements within the meaning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maintain and grow client demand, our ability to hire and retain sufficiently trained employees, and our ability to accurately estimate and/or manage costs, rising interest rates, rising inflation and recessionary economic trends,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applicable law.</w:t>
      </w:r>
    </w:p>
    <w:p>
      <w:pPr>
        <w:sectPr>
          <w:pgSz w:w="11900" w:h="16838" w:orient="portrait"/>
          <w:cols w:equalWidth="0" w:num="1">
            <w:col w:w="11240"/>
          </w:cols>
          <w:pgMar w:left="320" w:top="914" w:right="339" w:bottom="1440" w:gutter="0" w:footer="0" w:header="0"/>
        </w:sectPr>
      </w:pPr>
    </w:p>
    <w:bookmarkStart w:id="7" w:name="page8"/>
    <w:bookmarkEnd w:id="7"/>
    <w:p>
      <w:pPr>
        <w:ind w:left="4292"/>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04" w:lineRule="exact"/>
        <w:rPr>
          <w:sz w:val="20"/>
          <w:szCs w:val="20"/>
          <w:color w:val="auto"/>
        </w:rPr>
      </w:pPr>
    </w:p>
    <w:p>
      <w:pPr>
        <w:ind w:left="3092"/>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3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5" w:lineRule="exact"/>
        <w:rPr>
          <w:sz w:val="20"/>
          <w:szCs w:val="20"/>
          <w:color w:val="auto"/>
        </w:rPr>
      </w:pPr>
    </w:p>
    <w:tbl>
      <w:tblPr>
        <w:tblLayout w:type="fixed"/>
        <w:tblInd w:w="32"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436,507</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400,643</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273,424</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251,469</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23"/>
                <w:szCs w:val="23"/>
                <w:b w:val="1"/>
                <w:bCs w:val="1"/>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163,083</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149,174</w:t>
            </w:r>
          </w:p>
        </w:tc>
        <w:tc>
          <w:tcPr>
            <w:tcW w:w="0" w:type="dxa"/>
            <w:vAlign w:val="bottom"/>
          </w:tcPr>
          <w:p>
            <w:pPr>
              <w:spacing w:after="0"/>
              <w:rPr>
                <w:sz w:val="1"/>
                <w:szCs w:val="1"/>
                <w:color w:val="auto"/>
              </w:rPr>
            </w:pPr>
          </w:p>
        </w:tc>
      </w:tr>
      <w:tr>
        <w:trPr>
          <w:trHeight w:val="20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46,746</w:t>
            </w:r>
          </w:p>
        </w:tc>
        <w:tc>
          <w:tcPr>
            <w:tcW w:w="0" w:type="dxa"/>
            <w:vAlign w:val="bottom"/>
          </w:tcPr>
          <w:p>
            <w:pPr>
              <w:spacing w:after="0"/>
              <w:rPr>
                <w:sz w:val="1"/>
                <w:szCs w:val="1"/>
                <w:color w:val="auto"/>
              </w:rPr>
            </w:pPr>
          </w:p>
        </w:tc>
      </w:tr>
      <w:tr>
        <w:trPr>
          <w:trHeight w:val="229"/>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29,493</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13,487</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101,559</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89,726</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61,524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59,448</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expense and earnings from equity affiliates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62,544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59,323</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8,058</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earnings from equity affiliates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48,791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51,265</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Gain/(loss) from equity-method investment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ExlService Holdings, Inc. stockholders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48,763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51,331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 attributable to ExlService Holdings, Inc. stockholders: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175"/>
        </w:trPr>
        <w:tc>
          <w:tcPr>
            <w:tcW w:w="8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shares used in computing earnings per share attributable to ExlService Holdings Inc.</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165,082,387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167,197,820</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166,726,853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169,657,400</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52" w:hanging="152"/>
        <w:spacing w:after="0"/>
        <w:tabs>
          <w:tab w:leader="none" w:pos="152"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Exclusive of depreciation and amortization expense.</w:t>
      </w:r>
    </w:p>
    <w:p>
      <w:pPr>
        <w:sectPr>
          <w:pgSz w:w="11900" w:h="16838" w:orient="portrait"/>
          <w:cols w:equalWidth="0" w:num="1">
            <w:col w:w="11192"/>
          </w:cols>
          <w:pgMar w:left="328" w:top="1103" w:right="3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40" w:type="dxa"/>
            <w:vAlign w:val="bottom"/>
          </w:tcPr>
          <w:p>
            <w:pPr>
              <w:spacing w:after="0"/>
              <w:rPr>
                <w:sz w:val="17"/>
                <w:szCs w:val="17"/>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201"/>
        </w:trPr>
        <w:tc>
          <w:tcPr>
            <w:tcW w:w="70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136,953</w:t>
            </w:r>
          </w:p>
        </w:tc>
        <w:tc>
          <w:tcPr>
            <w:tcW w:w="0" w:type="dxa"/>
            <w:vAlign w:val="bottom"/>
          </w:tcPr>
          <w:p>
            <w:pPr>
              <w:spacing w:after="0"/>
              <w:rPr>
                <w:sz w:val="1"/>
                <w:szCs w:val="1"/>
                <w:color w:val="auto"/>
              </w:rPr>
            </w:pPr>
          </w:p>
        </w:tc>
      </w:tr>
      <w:tr>
        <w:trPr>
          <w:trHeight w:val="230"/>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Short-term investments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153,881</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308,108</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76,669</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664,717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679,673</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100,373</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82,927</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405,639</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50,164</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52,979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49,524</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1,439,391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1,441,972</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borrowings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r>
        <w:trPr>
          <w:trHeight w:val="230"/>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12,318</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employee costs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117,137</w:t>
            </w: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12,780</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taxes payable, net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261,441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326,403</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borrowings, less current portion</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less current portion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58,175</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31,462</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636,136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552,535</w:t>
            </w:r>
          </w:p>
        </w:tc>
        <w:tc>
          <w:tcPr>
            <w:tcW w:w="0" w:type="dxa"/>
            <w:vAlign w:val="bottom"/>
          </w:tcPr>
          <w:p>
            <w:pPr>
              <w:spacing w:after="0"/>
              <w:rPr>
                <w:sz w:val="1"/>
                <w:szCs w:val="1"/>
                <w:color w:val="auto"/>
              </w:rPr>
            </w:pPr>
          </w:p>
        </w:tc>
      </w:tr>
      <w:tr>
        <w:trPr>
          <w:trHeight w:val="19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ExlService Holdings, Inc. Stockholders’ equity:</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Preferred stock, $0.001 par value; 15,000,000 shares authorized, none issued</w:t>
            </w:r>
          </w:p>
        </w:tc>
        <w:tc>
          <w:tcPr>
            <w:tcW w:w="2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702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Common stock, $0.001 par value; 400,000,000 shares authorized, 204,734,988 shares issued and</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2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162,425,610 shares outstanding as of March 31, 2024 and 203,410,038 shares issued and</w:t>
            </w: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165,277,880 shares outstanding as of December 31, 2023</w:t>
            </w:r>
          </w:p>
        </w:tc>
        <w:tc>
          <w:tcPr>
            <w:tcW w:w="2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508,028</w:t>
            </w:r>
          </w:p>
        </w:tc>
        <w:tc>
          <w:tcPr>
            <w:tcW w:w="0" w:type="dxa"/>
            <w:vAlign w:val="bottom"/>
          </w:tcPr>
          <w:p>
            <w:pPr>
              <w:spacing w:after="0"/>
              <w:rPr>
                <w:sz w:val="1"/>
                <w:szCs w:val="1"/>
                <w:color w:val="auto"/>
              </w:rPr>
            </w:pPr>
          </w:p>
        </w:tc>
      </w:tr>
      <w:tr>
        <w:trPr>
          <w:trHeight w:val="230"/>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1,132,426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1,083,663</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(130,436)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(127,040)</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including shares held in treasury</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1,505,021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1,464,854</w:t>
            </w:r>
          </w:p>
        </w:tc>
        <w:tc>
          <w:tcPr>
            <w:tcW w:w="0" w:type="dxa"/>
            <w:vAlign w:val="bottom"/>
          </w:tcPr>
          <w:p>
            <w:pPr>
              <w:spacing w:after="0"/>
              <w:rPr>
                <w:sz w:val="1"/>
                <w:szCs w:val="1"/>
                <w:color w:val="auto"/>
              </w:rPr>
            </w:pPr>
          </w:p>
        </w:tc>
      </w:tr>
      <w:tr>
        <w:trPr>
          <w:trHeight w:val="142"/>
        </w:trPr>
        <w:tc>
          <w:tcPr>
            <w:tcW w:w="7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Less: 42,309,378 shares as of March 31, 2024 and 38,132,158 shares as of December 31, 2023, held in</w:t>
            </w:r>
          </w:p>
        </w:tc>
        <w:tc>
          <w:tcPr>
            <w:tcW w:w="2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(701,766)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(575,417)</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at cost</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803,255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889,437</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1,439,391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1,441,972</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360"/>
          </w:cols>
          <w:pgMar w:left="760" w:top="887" w:right="7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Financial Measures to GAAP Measures</w:t>
      </w:r>
    </w:p>
    <w:p>
      <w:pPr>
        <w:spacing w:after="0" w:line="283" w:lineRule="exact"/>
        <w:rPr>
          <w:sz w:val="20"/>
          <w:szCs w:val="20"/>
          <w:color w:val="auto"/>
        </w:rPr>
      </w:pPr>
    </w:p>
    <w:p>
      <w:pPr>
        <w:ind w:firstLine="405"/>
        <w:spacing w:after="0" w:line="329" w:lineRule="auto"/>
        <w:rPr>
          <w:sz w:val="20"/>
          <w:szCs w:val="20"/>
          <w:color w:val="auto"/>
        </w:rPr>
      </w:pPr>
      <w:r>
        <w:rPr>
          <w:rFonts w:ascii="Times New Roman" w:cs="Times New Roman" w:eastAsia="Times New Roman" w:hAnsi="Times New Roman"/>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81"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and adjusted operating income margin;</w:t>
      </w:r>
    </w:p>
    <w:p>
      <w:pPr>
        <w:spacing w:after="0" w:line="7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diluted earnings per share; and</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on constant currency basis.</w:t>
      </w:r>
    </w:p>
    <w:p>
      <w:pPr>
        <w:spacing w:after="0" w:line="306" w:lineRule="exact"/>
        <w:rPr>
          <w:sz w:val="20"/>
          <w:szCs w:val="20"/>
          <w:color w:val="auto"/>
        </w:rPr>
      </w:pPr>
    </w:p>
    <w:p>
      <w:pPr>
        <w:jc w:val="both"/>
        <w:ind w:firstLine="405"/>
        <w:spacing w:after="0" w:line="303" w:lineRule="auto"/>
        <w:rPr>
          <w:sz w:val="20"/>
          <w:szCs w:val="20"/>
          <w:color w:val="auto"/>
        </w:rPr>
      </w:pPr>
      <w:r>
        <w:rPr>
          <w:rFonts w:ascii="Times New Roman" w:cs="Times New Roman" w:eastAsia="Times New Roman" w:hAnsi="Times New Roman"/>
          <w:sz w:val="18"/>
          <w:szCs w:val="18"/>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future acquisitions and the currency fluctuations and associated tax effects. As such, the Company presents guidance with respect to adjusted diluted earnings per share. The Company also incurs significant non-cash charges for depreciation that may not be indicative of the Company’s ability to generate cash flow.</w:t>
      </w:r>
    </w:p>
    <w:p>
      <w:pPr>
        <w:spacing w:after="0" w:line="212" w:lineRule="exact"/>
        <w:rPr>
          <w:sz w:val="20"/>
          <w:szCs w:val="20"/>
          <w:color w:val="auto"/>
        </w:rPr>
      </w:pPr>
    </w:p>
    <w:p>
      <w:pPr>
        <w:jc w:val="both"/>
        <w:ind w:firstLine="405"/>
        <w:spacing w:after="0" w:line="305" w:lineRule="auto"/>
        <w:rPr>
          <w:sz w:val="20"/>
          <w:szCs w:val="20"/>
          <w:color w:val="auto"/>
        </w:rPr>
      </w:pPr>
      <w:r>
        <w:rPr>
          <w:rFonts w:ascii="Times New Roman" w:cs="Times New Roman" w:eastAsia="Times New Roman" w:hAnsi="Times New Roman"/>
          <w:sz w:val="18"/>
          <w:szCs w:val="18"/>
          <w:color w:val="auto"/>
        </w:rPr>
        <w:t>EXL non-GAAP financial measures exclude, where applicable, stock-based compensation expense, amortization of acquisition-related intangible assets, provision for litigation matters, effects of termination of leases, certain defined social security contributions, allowance for certain material expected credit losses, other acquisition-related expenses or benefits and effect of any non-recurring tax adjustments. Acquisition-related expenses or benefits include, changes in the fair value of contingent consideration, external deal costs, integration expenses, direct and incremental travel costs and non-recurring benefits or losses. Our adjusted net income and adjusted diluted EPS also excludes the effects of income tax on the above pre-tax items, as applicable. The effects of income tax of each item is calculated by applying the statutory rate of the local tax regulations in the jurisdiction in which the item was incurred.</w:t>
      </w:r>
    </w:p>
    <w:p>
      <w:pPr>
        <w:spacing w:after="0" w:line="211" w:lineRule="exact"/>
        <w:rPr>
          <w:sz w:val="20"/>
          <w:szCs w:val="20"/>
          <w:color w:val="auto"/>
        </w:rPr>
      </w:pPr>
    </w:p>
    <w:p>
      <w:pPr>
        <w:jc w:val="both"/>
        <w:ind w:firstLine="405"/>
        <w:spacing w:after="0" w:line="309" w:lineRule="auto"/>
        <w:rPr>
          <w:sz w:val="20"/>
          <w:szCs w:val="20"/>
          <w:color w:val="auto"/>
        </w:rPr>
      </w:pPr>
      <w:r>
        <w:rPr>
          <w:rFonts w:ascii="Times New Roman" w:cs="Times New Roman" w:eastAsia="Times New Roman" w:hAnsi="Times New Roman"/>
          <w:sz w:val="18"/>
          <w:szCs w:val="18"/>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207" w:lineRule="exact"/>
        <w:rPr>
          <w:sz w:val="20"/>
          <w:szCs w:val="20"/>
          <w:color w:val="auto"/>
        </w:rPr>
      </w:pPr>
    </w:p>
    <w:p>
      <w:pPr>
        <w:jc w:val="both"/>
        <w:ind w:firstLine="405"/>
        <w:spacing w:after="0" w:line="306" w:lineRule="auto"/>
        <w:rPr>
          <w:sz w:val="20"/>
          <w:szCs w:val="20"/>
          <w:color w:val="auto"/>
        </w:rPr>
      </w:pPr>
      <w:r>
        <w:rPr>
          <w:rFonts w:ascii="Times New Roman" w:cs="Times New Roman" w:eastAsia="Times New Roman" w:hAnsi="Times New Roman"/>
          <w:sz w:val="18"/>
          <w:szCs w:val="18"/>
          <w:color w:val="auto"/>
        </w:rPr>
        <w:t>EXL’s primary exchange rate exposure is with the Indian rupee, the U.K. pound sterling and the Philippine peso. The average exchange rate of the U.S. dollar against the Indian rupee increased from 82.25 during the quarter ended March 31, 2023 to 83.12 during the quarter ended March 31, 2024, representing a depreciation of 1.1% against the U.S. dollar. The average exchange rate of the U.S. dollar against the Philippine peso increased from 54.78 during the quarter ended March 31, 2023 to 56.24 during the quarter ended March 31, 2024, representing a depreciation of 2.7% against the U.S. dollar. The average exchange rate of the U.K. pound sterling against the U.S. dollar increased from 1.23 during the quarter ended March 31, 2023 to 1.27 during the quarter ended March 31, 2024, representing an appreciation of 3.2% against the U.S. dollar.</w:t>
      </w:r>
    </w:p>
    <w:p>
      <w:pPr>
        <w:sectPr>
          <w:pgSz w:w="11900" w:h="16838" w:orient="portrait"/>
          <w:cols w:equalWidth="0" w:num="1">
            <w:col w:w="11240"/>
          </w:cols>
          <w:pgMar w:left="320" w:top="927" w:right="339" w:bottom="1440" w:gutter="0" w:footer="0" w:header="0"/>
        </w:sectPr>
      </w:pPr>
    </w:p>
    <w:bookmarkStart w:id="10" w:name="page11"/>
    <w:bookmarkEnd w:id="10"/>
    <w:p>
      <w:pPr>
        <w:ind w:firstLine="405"/>
        <w:spacing w:after="0" w:line="329" w:lineRule="auto"/>
        <w:rPr>
          <w:sz w:val="20"/>
          <w:szCs w:val="20"/>
          <w:color w:val="auto"/>
        </w:rPr>
      </w:pPr>
      <w:r>
        <w:rPr>
          <w:rFonts w:ascii="Times New Roman" w:cs="Times New Roman" w:eastAsia="Times New Roman" w:hAnsi="Times New Roman"/>
          <w:sz w:val="18"/>
          <w:szCs w:val="18"/>
          <w:color w:val="auto"/>
        </w:rPr>
        <w:t>The following table shows the reconciliation of these non-GAAP financial measures for the three months ended March 31, 2024 and March 31, 2023, and the three months ended December 31, 2023: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Operating Income and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128" w:lineRule="exact"/>
        <w:rPr>
          <w:sz w:val="20"/>
          <w:szCs w:val="20"/>
          <w:color w:val="auto"/>
        </w:rPr>
      </w:pPr>
    </w:p>
    <w:tbl>
      <w:tblPr>
        <w:tblLayout w:type="fixed"/>
        <w:tblInd w:w="340" w:type="dxa"/>
        <w:tblCellMar>
          <w:top w:w="0" w:type="dxa"/>
          <w:left w:w="0" w:type="dxa"/>
          <w:bottom w:w="0" w:type="dxa"/>
          <w:right w:w="0" w:type="dxa"/>
        </w:tblCellMar>
      </w:tblPr>
      <w:tr>
        <w:trPr>
          <w:trHeight w:val="225"/>
        </w:trPr>
        <w:tc>
          <w:tcPr>
            <w:tcW w:w="6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9"/>
        </w:trPr>
        <w:tc>
          <w:tcPr>
            <w:tcW w:w="6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(GAAP)</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48,763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51,331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40,283</w:t>
            </w:r>
          </w:p>
        </w:tc>
        <w:tc>
          <w:tcPr>
            <w:tcW w:w="0" w:type="dxa"/>
            <w:vAlign w:val="bottom"/>
          </w:tcPr>
          <w:p>
            <w:pPr>
              <w:spacing w:after="0"/>
              <w:rPr>
                <w:sz w:val="1"/>
                <w:szCs w:val="1"/>
                <w:color w:val="auto"/>
              </w:rPr>
            </w:pPr>
          </w:p>
        </w:tc>
      </w:tr>
      <w:tr>
        <w:trPr>
          <w:trHeight w:val="213"/>
        </w:trPr>
        <w:tc>
          <w:tcPr>
            <w:tcW w:w="6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 Income tax expense</w:t>
            </w:r>
          </w:p>
        </w:tc>
        <w:tc>
          <w:tcPr>
            <w:tcW w:w="30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13,753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15,763</w:t>
            </w:r>
          </w:p>
        </w:tc>
        <w:tc>
          <w:tcPr>
            <w:tcW w:w="0" w:type="dxa"/>
            <w:vAlign w:val="bottom"/>
          </w:tcPr>
          <w:p>
            <w:pPr>
              <w:spacing w:after="0"/>
              <w:rPr>
                <w:sz w:val="1"/>
                <w:szCs w:val="1"/>
                <w:color w:val="auto"/>
              </w:rPr>
            </w:pPr>
          </w:p>
        </w:tc>
      </w:tr>
      <w:tr>
        <w:trPr>
          <w:trHeight w:val="165"/>
        </w:trPr>
        <w:tc>
          <w:tcPr>
            <w:tcW w:w="618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add/(subtract): Foreign exchange gain, net, interest expense, gain/(loss) from equity-</w:t>
            </w: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(992)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(1,780)</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method investment and other income/(loss), net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 (GAAP)</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61,524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59,448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54,266</w:t>
            </w:r>
          </w:p>
        </w:tc>
        <w:tc>
          <w:tcPr>
            <w:tcW w:w="0" w:type="dxa"/>
            <w:vAlign w:val="bottom"/>
          </w:tcPr>
          <w:p>
            <w:pPr>
              <w:spacing w:after="0"/>
              <w:rPr>
                <w:sz w:val="1"/>
                <w:szCs w:val="1"/>
                <w:color w:val="auto"/>
              </w:rPr>
            </w:pPr>
          </w:p>
        </w:tc>
      </w:tr>
      <w:tr>
        <w:trPr>
          <w:trHeight w:val="218"/>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 Stock-based compensation expense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17,852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14,407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15,452</w:t>
            </w:r>
          </w:p>
        </w:tc>
        <w:tc>
          <w:tcPr>
            <w:tcW w:w="0" w:type="dxa"/>
            <w:vAlign w:val="bottom"/>
          </w:tcPr>
          <w:p>
            <w:pPr>
              <w:spacing w:after="0"/>
              <w:rPr>
                <w:sz w:val="1"/>
                <w:szCs w:val="1"/>
                <w:color w:val="auto"/>
              </w:rPr>
            </w:pPr>
          </w:p>
        </w:tc>
      </w:tr>
      <w:tr>
        <w:trPr>
          <w:trHeight w:val="213"/>
        </w:trPr>
        <w:tc>
          <w:tcPr>
            <w:tcW w:w="6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 Amortization of acquisition-related intangibles</w:t>
            </w:r>
          </w:p>
        </w:tc>
        <w:tc>
          <w:tcPr>
            <w:tcW w:w="30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3,080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3,168</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subtract: Reversal for expected credit losses (a)</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13"/>
        </w:trPr>
        <w:tc>
          <w:tcPr>
            <w:tcW w:w="6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add/(subtract): Other expenses/(benefits) (b)</w:t>
            </w:r>
          </w:p>
        </w:tc>
        <w:tc>
          <w:tcPr>
            <w:tcW w:w="3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895</w:t>
            </w:r>
          </w:p>
        </w:tc>
        <w:tc>
          <w:tcPr>
            <w:tcW w:w="0" w:type="dxa"/>
            <w:vAlign w:val="bottom"/>
          </w:tcPr>
          <w:p>
            <w:pPr>
              <w:spacing w:after="0"/>
              <w:rPr>
                <w:sz w:val="1"/>
                <w:szCs w:val="1"/>
                <w:color w:val="auto"/>
              </w:rPr>
            </w:pPr>
          </w:p>
        </w:tc>
      </w:tr>
      <w:tr>
        <w:trPr>
          <w:trHeight w:val="236"/>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operating income (Non-GAAP)</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82,456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77,915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73,517</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Adjusted operating income margin as a % of Revenue (Non-GAAP)</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18.9 %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19.4 %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17.8 %</w:t>
            </w:r>
          </w:p>
        </w:tc>
        <w:tc>
          <w:tcPr>
            <w:tcW w:w="0" w:type="dxa"/>
            <w:vAlign w:val="bottom"/>
          </w:tcPr>
          <w:p>
            <w:pPr>
              <w:spacing w:after="0"/>
              <w:rPr>
                <w:sz w:val="1"/>
                <w:szCs w:val="1"/>
                <w:color w:val="auto"/>
              </w:rPr>
            </w:pPr>
          </w:p>
        </w:tc>
      </w:tr>
      <w:tr>
        <w:trPr>
          <w:trHeight w:val="218"/>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 Depreciation on long-lived assets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9,266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8,589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9,130</w:t>
            </w:r>
          </w:p>
        </w:tc>
        <w:tc>
          <w:tcPr>
            <w:tcW w:w="0" w:type="dxa"/>
            <w:vAlign w:val="bottom"/>
          </w:tcPr>
          <w:p>
            <w:pPr>
              <w:spacing w:after="0"/>
              <w:rPr>
                <w:sz w:val="1"/>
                <w:szCs w:val="1"/>
                <w:color w:val="auto"/>
              </w:rPr>
            </w:pPr>
          </w:p>
        </w:tc>
      </w:tr>
      <w:tr>
        <w:trPr>
          <w:trHeight w:val="208"/>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91,722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86,504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82,647</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Adjusted EBITDA margin as a % of revenue (Non-GAAP)</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21.0 %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21.6 %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20.0 %</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480" w:hanging="229"/>
        <w:spacing w:after="0"/>
        <w:tabs>
          <w:tab w:leader="none" w:pos="48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exclude the effects of reversal for expected credit losses on accounts receivable related to a customer bankruptcy event.</w:t>
      </w:r>
    </w:p>
    <w:p>
      <w:pPr>
        <w:spacing w:after="0" w:line="234" w:lineRule="exact"/>
        <w:rPr>
          <w:rFonts w:ascii="Times New Roman" w:cs="Times New Roman" w:eastAsia="Times New Roman" w:hAnsi="Times New Roman"/>
          <w:sz w:val="16"/>
          <w:szCs w:val="16"/>
          <w:i w:val="1"/>
          <w:iCs w:val="1"/>
          <w:color w:val="auto"/>
        </w:rPr>
      </w:pPr>
    </w:p>
    <w:p>
      <w:pPr>
        <w:ind w:left="500" w:hanging="249"/>
        <w:spacing w:after="0" w:line="283" w:lineRule="auto"/>
        <w:tabs>
          <w:tab w:leader="none" w:pos="486"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exclude effects of lease termination of $nil and $89 during the three months ended March 31, 2024 and 2023 respectively, and to exclude provision for litigation of $895 during the three months ended December 31, 2023.</w:t>
      </w:r>
    </w:p>
    <w:p>
      <w:pPr>
        <w:sectPr>
          <w:pgSz w:w="11900" w:h="16838" w:orient="portrait"/>
          <w:cols w:equalWidth="0" w:num="1">
            <w:col w:w="11240"/>
          </w:cols>
          <w:pgMar w:left="320" w:top="918"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 and Adjusted Diluted Earnings Per Share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128"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(GAAP)</w:t>
            </w:r>
          </w:p>
        </w:tc>
        <w:tc>
          <w:tcPr>
            <w:tcW w:w="8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48,763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51,331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40,283</w:t>
            </w:r>
          </w:p>
        </w:tc>
        <w:tc>
          <w:tcPr>
            <w:tcW w:w="0" w:type="dxa"/>
            <w:vAlign w:val="bottom"/>
          </w:tcPr>
          <w:p>
            <w:pPr>
              <w:spacing w:after="0"/>
              <w:rPr>
                <w:sz w:val="1"/>
                <w:szCs w:val="1"/>
                <w:color w:val="auto"/>
              </w:rPr>
            </w:pPr>
          </w:p>
        </w:tc>
      </w:tr>
      <w:tr>
        <w:trPr>
          <w:trHeight w:val="21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add: Stock-based compensation expense</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17,852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15,452</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Amortization of acquisition-related intangibles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0" w:type="dxa"/>
            <w:vAlign w:val="bottom"/>
          </w:tcPr>
          <w:p>
            <w:pPr>
              <w:spacing w:after="0"/>
              <w:rPr>
                <w:sz w:val="1"/>
                <w:szCs w:val="1"/>
                <w:color w:val="auto"/>
              </w:rPr>
            </w:pPr>
          </w:p>
        </w:tc>
      </w:tr>
      <w:tr>
        <w:trPr>
          <w:trHeight w:val="21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subtract: Reversal for expected credit losses (a)</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subtract: Changes in fair value of contingent consideration</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226"/>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add/(subtract): Other expenses/(benefits) (b)</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subtract: Tax impact on stock-based compensation expense (c)</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0" w:type="dxa"/>
            <w:vAlign w:val="bottom"/>
          </w:tcPr>
          <w:p>
            <w:pPr>
              <w:spacing w:after="0"/>
              <w:rPr>
                <w:sz w:val="1"/>
                <w:szCs w:val="1"/>
                <w:color w:val="auto"/>
              </w:rPr>
            </w:pPr>
          </w:p>
        </w:tc>
      </w:tr>
      <w:tr>
        <w:trPr>
          <w:trHeight w:val="21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subtract: Tax impact on amortization of acquisition-related intangibles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Tax impact on reversal for expected credit losses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add: Tax impact on changes in fair value of contingent consideration</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add/(subtract): Tax impact on other expenses/(benefits)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add: Other tax expenses (d)</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236"/>
        </w:trPr>
        <w:tc>
          <w:tcPr>
            <w:tcW w:w="59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Adjusted net income (Non-GAAP)</w:t>
            </w:r>
          </w:p>
        </w:tc>
        <w:tc>
          <w:tcPr>
            <w:tcW w:w="86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63,133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58,967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57,769</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Adjusted diluted earnings per share (Non-GAAP)</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940" w:type="dxa"/>
            <w:vAlign w:val="bottom"/>
            <w:vMerge w:val="continue"/>
          </w:tcPr>
          <w:p>
            <w:pPr>
              <w:spacing w:after="0"/>
              <w:rPr>
                <w:sz w:val="16"/>
                <w:szCs w:val="16"/>
                <w:color w:val="auto"/>
              </w:rPr>
            </w:pPr>
          </w:p>
        </w:tc>
        <w:tc>
          <w:tcPr>
            <w:tcW w:w="86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0.38</w:t>
            </w:r>
          </w:p>
        </w:tc>
        <w:tc>
          <w:tcPr>
            <w:tcW w:w="100" w:type="dxa"/>
            <w:vAlign w:val="bottom"/>
          </w:tcPr>
          <w:p>
            <w:pPr>
              <w:spacing w:after="0"/>
              <w:rPr>
                <w:sz w:val="16"/>
                <w:szCs w:val="16"/>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0.35</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0.35</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480" w:hanging="229"/>
        <w:spacing w:after="0"/>
        <w:tabs>
          <w:tab w:leader="none" w:pos="480"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exclude the effects of reversal for expected credit losses on accounts receivable related to a customer bankruptcy event.</w:t>
      </w:r>
    </w:p>
    <w:p>
      <w:pPr>
        <w:spacing w:after="0" w:line="248" w:lineRule="exact"/>
        <w:rPr>
          <w:rFonts w:ascii="Times New Roman" w:cs="Times New Roman" w:eastAsia="Times New Roman" w:hAnsi="Times New Roman"/>
          <w:sz w:val="16"/>
          <w:szCs w:val="16"/>
          <w:i w:val="1"/>
          <w:iCs w:val="1"/>
          <w:color w:val="auto"/>
        </w:rPr>
      </w:pPr>
    </w:p>
    <w:p>
      <w:pPr>
        <w:ind w:left="500" w:hanging="249"/>
        <w:spacing w:after="0" w:line="283" w:lineRule="auto"/>
        <w:tabs>
          <w:tab w:leader="none" w:pos="486"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exclude effects of lease termination of $nil and $89 during the three months ended March 31, 2024 and 2023 respectively, and to exclude provision for litigation matters of $613 during the three months ended December 31, 2023.</w:t>
      </w:r>
    </w:p>
    <w:p>
      <w:pPr>
        <w:spacing w:after="0" w:line="187" w:lineRule="exact"/>
        <w:rPr>
          <w:rFonts w:ascii="Times New Roman" w:cs="Times New Roman" w:eastAsia="Times New Roman" w:hAnsi="Times New Roman"/>
          <w:sz w:val="16"/>
          <w:szCs w:val="16"/>
          <w:i w:val="1"/>
          <w:iCs w:val="1"/>
          <w:color w:val="auto"/>
        </w:rPr>
      </w:pPr>
    </w:p>
    <w:p>
      <w:pPr>
        <w:ind w:left="500" w:hanging="249"/>
        <w:spacing w:after="0" w:line="283" w:lineRule="auto"/>
        <w:tabs>
          <w:tab w:leader="none" w:pos="480"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Tax impact includes $7,523 and $12,520 during the three months ended March 31, 2024 and 2023 respectively, and $1,883 during the three months ended December 31, 2023, related to discrete benefit recognized in income tax expense in accordance with ASU No. 2016-09, Compensation - Stock Compensation.</w:t>
      </w:r>
    </w:p>
    <w:p>
      <w:pPr>
        <w:spacing w:after="0" w:line="173" w:lineRule="exact"/>
        <w:rPr>
          <w:rFonts w:ascii="Times New Roman" w:cs="Times New Roman" w:eastAsia="Times New Roman" w:hAnsi="Times New Roman"/>
          <w:sz w:val="16"/>
          <w:szCs w:val="16"/>
          <w:i w:val="1"/>
          <w:iCs w:val="1"/>
          <w:color w:val="auto"/>
        </w:rPr>
      </w:pPr>
    </w:p>
    <w:p>
      <w:pPr>
        <w:ind w:left="480" w:hanging="229"/>
        <w:spacing w:after="0"/>
        <w:tabs>
          <w:tab w:leader="none" w:pos="480"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To exclude other tax expenses related to certain deferred tax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Contacts</w:t>
      </w:r>
      <w:r>
        <w:rPr>
          <w:rFonts w:ascii="Times New Roman" w:cs="Times New Roman" w:eastAsia="Times New Roman" w:hAnsi="Times New Roman"/>
          <w:sz w:val="17"/>
          <w:szCs w:val="17"/>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John Kristoff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 President, Investor Relations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+1 212 209 4613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ir@exlservice.com</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Media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Keith Little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Senior Manager, Media Relations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+1 703 598 0980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media.relations@exlservice.com</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2024-05-02T05:15:39Z</dcterms:created>
  <dcterms:modified xsi:type="dcterms:W3CDTF">2024-05-02T05:15:39Z</dcterms:modified>
</cp:coreProperties>
</file>