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134620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101600</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7"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13"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116" w:lineRule="exact"/>
        <w:rPr>
          <w:sz w:val="24"/>
          <w:szCs w:val="24"/>
          <w:color w:val="auto"/>
        </w:rPr>
      </w:pPr>
    </w:p>
    <w:p>
      <w:pPr>
        <w:ind w:left="300" w:hanging="280"/>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QUARTERLY PERIOD ENDED JUNE 30, 2025</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133" w:lineRule="exact"/>
        <w:rPr>
          <w:sz w:val="24"/>
          <w:szCs w:val="24"/>
          <w:color w:val="auto"/>
        </w:rPr>
      </w:pPr>
    </w:p>
    <w:p>
      <w:pPr>
        <w:ind w:left="300" w:hanging="280"/>
        <w:spacing w:after="0"/>
        <w:tabs>
          <w:tab w:leader="none" w:pos="3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93" w:lineRule="exact"/>
        <w:rPr>
          <w:sz w:val="24"/>
          <w:szCs w:val="24"/>
          <w:color w:val="auto"/>
        </w:rPr>
      </w:pPr>
    </w:p>
    <w:p>
      <w:pPr>
        <w:ind w:left="3260"/>
        <w:spacing w:after="0"/>
        <w:tabs>
          <w:tab w:leader="none" w:pos="694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3906520</wp:posOffset>
            </wp:positionH>
            <wp:positionV relativeFrom="paragraph">
              <wp:posOffset>-635</wp:posOffset>
            </wp:positionV>
            <wp:extent cx="1171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1575" cy="8255"/>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001-33089</w:t>
      </w:r>
    </w:p>
    <w:p>
      <w:pPr>
        <w:spacing w:after="0" w:line="26"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EXLSERVICE HOLDINGS, INC.</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6"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w:t>
      </w:r>
    </w:p>
    <w:p>
      <w:pPr>
        <w:spacing w:after="0" w:line="122" w:lineRule="exact"/>
        <w:rPr>
          <w:sz w:val="24"/>
          <w:szCs w:val="24"/>
          <w:color w:val="auto"/>
        </w:rPr>
      </w:pPr>
    </w:p>
    <w:tbl>
      <w:tblPr>
        <w:tblLayout w:type="fixed"/>
        <w:tblInd w:w="330" w:type="dxa"/>
        <w:tblCellMar>
          <w:top w:w="0" w:type="dxa"/>
          <w:left w:w="0" w:type="dxa"/>
          <w:bottom w:w="0" w:type="dxa"/>
          <w:right w:w="0" w:type="dxa"/>
        </w:tblCellMar>
      </w:tblPr>
      <w:tr>
        <w:trPr>
          <w:trHeight w:val="198"/>
        </w:trPr>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40" w:type="dxa"/>
            <w:vAlign w:val="bottom"/>
            <w:gridSpan w:val="2"/>
          </w:tcPr>
          <w:p>
            <w:pPr>
              <w:jc w:val="center"/>
              <w:ind w:right="1340"/>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60" w:type="dxa"/>
            <w:vAlign w:val="bottom"/>
            <w:gridSpan w:val="2"/>
          </w:tcPr>
          <w:p>
            <w:pPr>
              <w:jc w:val="right"/>
              <w:ind w:right="1988"/>
              <w:spacing w:after="0"/>
              <w:rPr>
                <w:sz w:val="20"/>
                <w:szCs w:val="20"/>
                <w:color w:val="auto"/>
              </w:rPr>
            </w:pPr>
            <w:r>
              <w:rPr>
                <w:rFonts w:ascii="Times New Roman" w:cs="Times New Roman" w:eastAsia="Times New Roman" w:hAnsi="Times New Roman"/>
                <w:sz w:val="15"/>
                <w:szCs w:val="15"/>
                <w:b w:val="1"/>
                <w:bCs w:val="1"/>
                <w:color w:val="auto"/>
              </w:rPr>
              <w:t>82-0572194</w:t>
            </w:r>
          </w:p>
        </w:tc>
        <w:tc>
          <w:tcPr>
            <w:tcW w:w="620" w:type="dxa"/>
            <w:vAlign w:val="bottom"/>
          </w:tcPr>
          <w:p>
            <w:pPr>
              <w:spacing w:after="0"/>
              <w:rPr>
                <w:sz w:val="17"/>
                <w:szCs w:val="17"/>
                <w:color w:val="auto"/>
              </w:rPr>
            </w:pPr>
          </w:p>
        </w:tc>
      </w:tr>
      <w:tr>
        <w:trPr>
          <w:trHeight w:val="142"/>
        </w:trPr>
        <w:tc>
          <w:tcPr>
            <w:tcW w:w="1340" w:type="dxa"/>
            <w:vAlign w:val="bottom"/>
          </w:tcPr>
          <w:p>
            <w:pPr>
              <w:spacing w:after="0"/>
              <w:rPr>
                <w:sz w:val="12"/>
                <w:szCs w:val="12"/>
                <w:color w:val="auto"/>
              </w:rPr>
            </w:pPr>
          </w:p>
        </w:tc>
        <w:tc>
          <w:tcPr>
            <w:tcW w:w="330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(State or other jurisdiction of</w:t>
            </w:r>
          </w:p>
        </w:tc>
        <w:tc>
          <w:tcPr>
            <w:tcW w:w="1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80" w:type="dxa"/>
            <w:vAlign w:val="bottom"/>
            <w:gridSpan w:val="3"/>
          </w:tcPr>
          <w:p>
            <w:pPr>
              <w:jc w:val="center"/>
              <w:ind w:right="2440"/>
              <w:spacing w:after="0" w:line="142"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2"/>
        </w:trPr>
        <w:tc>
          <w:tcPr>
            <w:tcW w:w="1340" w:type="dxa"/>
            <w:vAlign w:val="bottom"/>
          </w:tcPr>
          <w:p>
            <w:pPr>
              <w:spacing w:after="0"/>
              <w:rPr>
                <w:sz w:val="15"/>
                <w:szCs w:val="15"/>
                <w:color w:val="auto"/>
              </w:rPr>
            </w:pPr>
          </w:p>
        </w:tc>
        <w:tc>
          <w:tcPr>
            <w:tcW w:w="33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incorporation or organization)</w:t>
            </w: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80" w:type="dxa"/>
            <w:vAlign w:val="bottom"/>
            <w:gridSpan w:val="3"/>
          </w:tcPr>
          <w:p>
            <w:pPr>
              <w:jc w:val="center"/>
              <w:ind w:right="2440"/>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264"/>
        </w:trPr>
        <w:tc>
          <w:tcPr>
            <w:tcW w:w="1340" w:type="dxa"/>
            <w:vAlign w:val="bottom"/>
          </w:tcPr>
          <w:p>
            <w:pPr>
              <w:spacing w:after="0"/>
              <w:rPr>
                <w:sz w:val="22"/>
                <w:szCs w:val="22"/>
                <w:color w:val="auto"/>
              </w:rPr>
            </w:pPr>
          </w:p>
        </w:tc>
        <w:tc>
          <w:tcPr>
            <w:tcW w:w="330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9"/>
              </w:rPr>
              <w:t>320 Park Avenue, 29</w:t>
            </w:r>
            <w:r>
              <w:rPr>
                <w:rFonts w:ascii="Times New Roman" w:cs="Times New Roman" w:eastAsia="Times New Roman" w:hAnsi="Times New Roman"/>
                <w:sz w:val="20"/>
                <w:szCs w:val="20"/>
                <w:b w:val="1"/>
                <w:bCs w:val="1"/>
                <w:color w:val="auto"/>
                <w:w w:val="99"/>
                <w:vertAlign w:val="superscript"/>
              </w:rPr>
              <w:t>th</w:t>
            </w:r>
            <w:r>
              <w:rPr>
                <w:rFonts w:ascii="Times New Roman" w:cs="Times New Roman" w:eastAsia="Times New Roman" w:hAnsi="Times New Roman"/>
                <w:sz w:val="15"/>
                <w:szCs w:val="15"/>
                <w:b w:val="1"/>
                <w:bCs w:val="1"/>
                <w:color w:val="auto"/>
                <w:w w:val="99"/>
              </w:rPr>
              <w:t xml:space="preserve"> Floor,</w:t>
            </w:r>
          </w:p>
        </w:tc>
        <w:tc>
          <w:tcPr>
            <w:tcW w:w="1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198"/>
        </w:trPr>
        <w:tc>
          <w:tcPr>
            <w:tcW w:w="1340" w:type="dxa"/>
            <w:vAlign w:val="bottom"/>
          </w:tcPr>
          <w:p>
            <w:pPr>
              <w:spacing w:after="0"/>
              <w:rPr>
                <w:sz w:val="17"/>
                <w:szCs w:val="17"/>
                <w:color w:val="auto"/>
              </w:rPr>
            </w:pPr>
          </w:p>
        </w:tc>
        <w:tc>
          <w:tcPr>
            <w:tcW w:w="3300" w:type="dxa"/>
            <w:vAlign w:val="bottom"/>
            <w:gridSpan w:val="3"/>
          </w:tcPr>
          <w:p>
            <w:pPr>
              <w:ind w:left="1080"/>
              <w:spacing w:after="0"/>
              <w:rPr>
                <w:sz w:val="20"/>
                <w:szCs w:val="20"/>
                <w:color w:val="auto"/>
              </w:rPr>
            </w:pPr>
            <w:r>
              <w:rPr>
                <w:rFonts w:ascii="Times New Roman" w:cs="Times New Roman" w:eastAsia="Times New Roman" w:hAnsi="Times New Roman"/>
                <w:sz w:val="15"/>
                <w:szCs w:val="15"/>
                <w:b w:val="1"/>
                <w:bCs w:val="1"/>
                <w:color w:val="auto"/>
              </w:rPr>
              <w:t>New York, New York</w:t>
            </w: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60" w:type="dxa"/>
            <w:vAlign w:val="bottom"/>
            <w:gridSpan w:val="2"/>
          </w:tcPr>
          <w:p>
            <w:pPr>
              <w:jc w:val="right"/>
              <w:ind w:right="2168"/>
              <w:spacing w:after="0"/>
              <w:rPr>
                <w:sz w:val="20"/>
                <w:szCs w:val="20"/>
                <w:color w:val="auto"/>
              </w:rPr>
            </w:pPr>
            <w:r>
              <w:rPr>
                <w:rFonts w:ascii="Times New Roman" w:cs="Times New Roman" w:eastAsia="Times New Roman" w:hAnsi="Times New Roman"/>
                <w:sz w:val="15"/>
                <w:szCs w:val="15"/>
                <w:b w:val="1"/>
                <w:bCs w:val="1"/>
                <w:color w:val="auto"/>
              </w:rPr>
              <w:t>10022</w:t>
            </w:r>
          </w:p>
        </w:tc>
        <w:tc>
          <w:tcPr>
            <w:tcW w:w="620" w:type="dxa"/>
            <w:vAlign w:val="bottom"/>
          </w:tcPr>
          <w:p>
            <w:pPr>
              <w:spacing w:after="0"/>
              <w:rPr>
                <w:sz w:val="17"/>
                <w:szCs w:val="17"/>
                <w:color w:val="auto"/>
              </w:rPr>
            </w:pPr>
          </w:p>
        </w:tc>
      </w:tr>
      <w:tr>
        <w:trPr>
          <w:trHeight w:val="182"/>
        </w:trPr>
        <w:tc>
          <w:tcPr>
            <w:tcW w:w="1340" w:type="dxa"/>
            <w:vAlign w:val="bottom"/>
          </w:tcPr>
          <w:p>
            <w:pPr>
              <w:spacing w:after="0"/>
              <w:rPr>
                <w:sz w:val="15"/>
                <w:szCs w:val="15"/>
                <w:color w:val="auto"/>
              </w:rPr>
            </w:pPr>
          </w:p>
        </w:tc>
        <w:tc>
          <w:tcPr>
            <w:tcW w:w="33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w:t>
            </w: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60" w:type="dxa"/>
            <w:vAlign w:val="bottom"/>
            <w:gridSpan w:val="2"/>
          </w:tcPr>
          <w:p>
            <w:pPr>
              <w:jc w:val="center"/>
              <w:ind w:right="2760"/>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301"/>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jc w:val="center"/>
              <w:ind w:left="46"/>
              <w:spacing w:after="0"/>
              <w:rPr>
                <w:sz w:val="20"/>
                <w:szCs w:val="20"/>
                <w:color w:val="auto"/>
              </w:rPr>
            </w:pPr>
            <w:r>
              <w:rPr>
                <w:rFonts w:ascii="Times New Roman" w:cs="Times New Roman" w:eastAsia="Times New Roman" w:hAnsi="Times New Roman"/>
                <w:sz w:val="15"/>
                <w:szCs w:val="15"/>
                <w:b w:val="1"/>
                <w:bCs w:val="1"/>
                <w:color w:val="auto"/>
              </w:rPr>
              <w:t>(212) 277-7100</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2"/>
        </w:trPr>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40" w:type="dxa"/>
            <w:vAlign w:val="bottom"/>
            <w:gridSpan w:val="5"/>
          </w:tcPr>
          <w:p>
            <w:pPr>
              <w:jc w:val="center"/>
              <w:ind w:left="1106"/>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 including area code)</w:t>
            </w:r>
          </w:p>
        </w:tc>
        <w:tc>
          <w:tcPr>
            <w:tcW w:w="3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87"/>
        </w:trPr>
        <w:tc>
          <w:tcPr>
            <w:tcW w:w="13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3340" w:type="dxa"/>
            <w:vAlign w:val="bottom"/>
            <w:tcBorders>
              <w:bottom w:val="single" w:sz="8" w:color="auto"/>
            </w:tcBorders>
            <w:gridSpan w:val="3"/>
          </w:tcPr>
          <w:p>
            <w:pPr>
              <w:spacing w:after="0"/>
              <w:rPr>
                <w:sz w:val="7"/>
                <w:szCs w:val="7"/>
                <w:color w:val="auto"/>
              </w:rPr>
            </w:pPr>
          </w:p>
        </w:tc>
        <w:tc>
          <w:tcPr>
            <w:tcW w:w="1420" w:type="dxa"/>
            <w:vAlign w:val="bottom"/>
            <w:tcBorders>
              <w:bottom w:val="single" w:sz="8" w:color="auto"/>
            </w:tcBorders>
            <w:gridSpan w:val="3"/>
          </w:tcPr>
          <w:p>
            <w:pPr>
              <w:spacing w:after="0"/>
              <w:rPr>
                <w:sz w:val="7"/>
                <w:szCs w:val="7"/>
                <w:color w:val="auto"/>
              </w:rPr>
            </w:pPr>
          </w:p>
        </w:tc>
        <w:tc>
          <w:tcPr>
            <w:tcW w:w="27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r>
      <w:tr>
        <w:trPr>
          <w:trHeight w:val="198"/>
        </w:trPr>
        <w:tc>
          <w:tcPr>
            <w:tcW w:w="1340" w:type="dxa"/>
            <w:vAlign w:val="bottom"/>
            <w:tcBorders>
              <w:left w:val="single" w:sz="8" w:color="auto"/>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120" w:type="dxa"/>
            <w:vAlign w:val="bottom"/>
            <w:tcBorders>
              <w:bottom w:val="single" w:sz="8" w:color="auto"/>
              <w:right w:val="single" w:sz="8" w:color="auto"/>
            </w:tcBorders>
            <w:gridSpan w:val="8"/>
          </w:tcPr>
          <w:p>
            <w:pPr>
              <w:jc w:val="center"/>
              <w:ind w:right="2500"/>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r>
      <w:tr>
        <w:trPr>
          <w:trHeight w:val="169"/>
        </w:trPr>
        <w:tc>
          <w:tcPr>
            <w:tcW w:w="1340" w:type="dxa"/>
            <w:vAlign w:val="bottom"/>
            <w:tcBorders>
              <w:left w:val="single" w:sz="8" w:color="auto"/>
            </w:tcBorders>
          </w:tcPr>
          <w:p>
            <w:pPr>
              <w:spacing w:after="0"/>
              <w:rPr>
                <w:sz w:val="14"/>
                <w:szCs w:val="14"/>
                <w:color w:val="auto"/>
              </w:rPr>
            </w:pPr>
          </w:p>
        </w:tc>
        <w:tc>
          <w:tcPr>
            <w:tcW w:w="2500" w:type="dxa"/>
            <w:vAlign w:val="bottom"/>
            <w:tcBorders>
              <w:right w:val="single" w:sz="8" w:color="auto"/>
            </w:tcBorders>
            <w:gridSpan w:val="2"/>
          </w:tcPr>
          <w:p>
            <w:pPr>
              <w:jc w:val="center"/>
              <w:ind w:right="1266"/>
              <w:spacing w:after="0" w:line="135" w:lineRule="exact"/>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800" w:type="dxa"/>
            <w:vAlign w:val="bottom"/>
          </w:tcPr>
          <w:p>
            <w:pPr>
              <w:spacing w:after="0"/>
              <w:rPr>
                <w:sz w:val="14"/>
                <w:szCs w:val="14"/>
                <w:color w:val="auto"/>
              </w:rPr>
            </w:pPr>
          </w:p>
        </w:tc>
        <w:tc>
          <w:tcPr>
            <w:tcW w:w="2020" w:type="dxa"/>
            <w:vAlign w:val="bottom"/>
            <w:tcBorders>
              <w:right w:val="single" w:sz="8" w:color="auto"/>
            </w:tcBorders>
            <w:gridSpan w:val="2"/>
          </w:tcPr>
          <w:p>
            <w:pPr>
              <w:jc w:val="center"/>
              <w:ind w:right="820"/>
              <w:spacing w:after="0" w:line="135" w:lineRule="exact"/>
              <w:rPr>
                <w:sz w:val="20"/>
                <w:szCs w:val="20"/>
                <w:color w:val="auto"/>
              </w:rPr>
            </w:pPr>
            <w:r>
              <w:rPr>
                <w:rFonts w:ascii="Times New Roman" w:cs="Times New Roman" w:eastAsia="Times New Roman" w:hAnsi="Times New Roman"/>
                <w:sz w:val="15"/>
                <w:szCs w:val="15"/>
                <w:b w:val="1"/>
                <w:bCs w:val="1"/>
                <w:color w:val="auto"/>
              </w:rPr>
              <w:t>Trading symbol(s)</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60" w:type="dxa"/>
            <w:vAlign w:val="bottom"/>
            <w:tcBorders>
              <w:right w:val="single" w:sz="8" w:color="auto"/>
            </w:tcBorders>
            <w:gridSpan w:val="2"/>
          </w:tcPr>
          <w:p>
            <w:pPr>
              <w:jc w:val="center"/>
              <w:ind w:right="620"/>
              <w:spacing w:after="0" w:line="135" w:lineRule="exact"/>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20"/>
        </w:trPr>
        <w:tc>
          <w:tcPr>
            <w:tcW w:w="1340" w:type="dxa"/>
            <w:vAlign w:val="bottom"/>
            <w:tcBorders>
              <w:left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r>
      <w:tr>
        <w:trPr>
          <w:trHeight w:val="188"/>
        </w:trPr>
        <w:tc>
          <w:tcPr>
            <w:tcW w:w="38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color w:val="auto"/>
              </w:rPr>
              <w:t>Common Stock, par value $0.001 per share</w:t>
            </w:r>
          </w:p>
        </w:tc>
        <w:tc>
          <w:tcPr>
            <w:tcW w:w="800" w:type="dxa"/>
            <w:vAlign w:val="bottom"/>
            <w:tcBorders>
              <w:bottom w:val="single" w:sz="8" w:color="auto"/>
            </w:tcBorders>
          </w:tcPr>
          <w:p>
            <w:pPr>
              <w:spacing w:after="0"/>
              <w:rPr>
                <w:sz w:val="16"/>
                <w:szCs w:val="16"/>
                <w:color w:val="auto"/>
              </w:rPr>
            </w:pPr>
          </w:p>
        </w:tc>
        <w:tc>
          <w:tcPr>
            <w:tcW w:w="202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14"/>
                <w:szCs w:val="14"/>
                <w:color w:val="auto"/>
                <w:w w:val="97"/>
              </w:rPr>
              <w:t>EXLS</w:t>
            </w:r>
          </w:p>
        </w:tc>
        <w:tc>
          <w:tcPr>
            <w:tcW w:w="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360" w:type="dxa"/>
            <w:vAlign w:val="bottom"/>
            <w:tcBorders>
              <w:bottom w:val="single" w:sz="8" w:color="auto"/>
              <w:right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5"/>
                <w:szCs w:val="15"/>
                <w:color w:val="auto"/>
              </w:rPr>
              <w:t>The Nasdaq Stock Market LLC</w:t>
            </w:r>
          </w:p>
        </w:tc>
      </w:tr>
    </w:tbl>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None</w:t>
      </w:r>
    </w:p>
    <w:p>
      <w:pPr>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w:t>
      </w:r>
    </w:p>
    <w:p>
      <w:pPr>
        <w:spacing w:after="0" w:line="216" w:lineRule="exact"/>
        <w:rPr>
          <w:sz w:val="24"/>
          <w:szCs w:val="24"/>
          <w:color w:val="auto"/>
        </w:rPr>
      </w:pPr>
    </w:p>
    <w:p>
      <w:pPr>
        <w:ind w:firstLine="309"/>
        <w:spacing w:after="0" w:line="254"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7" w:lineRule="exact"/>
        <w:tabs>
          <w:tab w:leader="none" w:pos="4940" w:val="left"/>
        </w:tabs>
        <w:rPr>
          <w:sz w:val="20"/>
          <w:szCs w:val="20"/>
          <w:color w:val="auto"/>
        </w:rPr>
      </w:pPr>
      <w:r>
        <w:rPr>
          <w:rFonts w:ascii="Times New Roman" w:cs="Times New Roman" w:eastAsia="Times New Roman" w:hAnsi="Times New Roman"/>
          <w:sz w:val="15"/>
          <w:szCs w:val="15"/>
          <w:color w:val="auto"/>
        </w:rPr>
        <w:t xml:space="preserve">(2)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8"/>
          <w:szCs w:val="18"/>
          <w:color w:val="auto"/>
        </w:rPr>
        <w:t>☐</w:t>
      </w:r>
    </w:p>
    <w:p>
      <w:pPr>
        <w:spacing w:after="0" w:line="253" w:lineRule="exact"/>
        <w:rPr>
          <w:sz w:val="24"/>
          <w:szCs w:val="24"/>
          <w:color w:val="auto"/>
        </w:rPr>
      </w:pPr>
    </w:p>
    <w:p>
      <w:pPr>
        <w:ind w:firstLine="309"/>
        <w:spacing w:after="0" w:line="22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8"/>
          <w:szCs w:val="18"/>
          <w:color w:val="auto"/>
        </w:rPr>
        <w:t>☐</w:t>
      </w:r>
    </w:p>
    <w:p>
      <w:pPr>
        <w:spacing w:after="0" w:line="199" w:lineRule="exact"/>
        <w:rPr>
          <w:sz w:val="24"/>
          <w:szCs w:val="24"/>
          <w:color w:val="auto"/>
        </w:rPr>
      </w:pPr>
    </w:p>
    <w:p>
      <w:pPr>
        <w:ind w:firstLine="309"/>
        <w:spacing w:after="0" w:line="264"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320" w:type="dxa"/>
        <w:tblCellMar>
          <w:top w:w="0" w:type="dxa"/>
          <w:left w:w="0" w:type="dxa"/>
          <w:bottom w:w="0" w:type="dxa"/>
          <w:right w:w="0" w:type="dxa"/>
        </w:tblCellMar>
      </w:tblPr>
      <w:tr>
        <w:trPr>
          <w:trHeight w:val="254"/>
        </w:trPr>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180" w:type="dxa"/>
            <w:vAlign w:val="bottom"/>
          </w:tcPr>
          <w:p>
            <w:pPr>
              <w:ind w:left="500"/>
              <w:spacing w:after="0" w:line="151" w:lineRule="exact"/>
              <w:rPr>
                <w:sz w:val="20"/>
                <w:szCs w:val="20"/>
                <w:color w:val="auto"/>
              </w:rPr>
            </w:pPr>
            <w:r>
              <w:rPr>
                <w:rFonts w:ascii="MS PGothic" w:cs="MS PGothic" w:eastAsia="MS PGothic" w:hAnsi="MS PGothic"/>
                <w:sz w:val="15"/>
                <w:szCs w:val="15"/>
                <w:color w:val="auto"/>
              </w:rPr>
              <w:t>☒</w:t>
            </w:r>
          </w:p>
        </w:tc>
        <w:tc>
          <w:tcPr>
            <w:tcW w:w="4720" w:type="dxa"/>
            <w:vAlign w:val="bottom"/>
          </w:tcPr>
          <w:p>
            <w:pPr>
              <w:ind w:left="2520"/>
              <w:spacing w:after="0"/>
              <w:rPr>
                <w:sz w:val="20"/>
                <w:szCs w:val="20"/>
                <w:color w:val="auto"/>
              </w:rPr>
            </w:pPr>
            <w:r>
              <w:rPr>
                <w:rFonts w:ascii="Times New Roman" w:cs="Times New Roman" w:eastAsia="Times New Roman" w:hAnsi="Times New Roman"/>
                <w:sz w:val="15"/>
                <w:szCs w:val="15"/>
                <w:color w:val="auto"/>
              </w:rPr>
              <w:t>Accelerated filer</w:t>
            </w:r>
          </w:p>
        </w:tc>
        <w:tc>
          <w:tcPr>
            <w:tcW w:w="640" w:type="dxa"/>
            <w:vAlign w:val="bottom"/>
          </w:tcPr>
          <w:p>
            <w:pPr>
              <w:ind w:left="5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180" w:type="dxa"/>
            <w:vAlign w:val="bottom"/>
          </w:tcPr>
          <w:p>
            <w:pPr>
              <w:ind w:left="500"/>
              <w:spacing w:after="0" w:line="151" w:lineRule="exact"/>
              <w:rPr>
                <w:sz w:val="20"/>
                <w:szCs w:val="20"/>
                <w:color w:val="auto"/>
              </w:rPr>
            </w:pPr>
            <w:r>
              <w:rPr>
                <w:rFonts w:ascii="MS PGothic" w:cs="MS PGothic" w:eastAsia="MS PGothic" w:hAnsi="MS PGothic"/>
                <w:sz w:val="15"/>
                <w:szCs w:val="15"/>
                <w:color w:val="auto"/>
              </w:rPr>
              <w:t>☐</w:t>
            </w:r>
          </w:p>
        </w:tc>
        <w:tc>
          <w:tcPr>
            <w:tcW w:w="4720" w:type="dxa"/>
            <w:vAlign w:val="bottom"/>
          </w:tcPr>
          <w:p>
            <w:pPr>
              <w:ind w:left="25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640" w:type="dxa"/>
            <w:vAlign w:val="bottom"/>
          </w:tcPr>
          <w:p>
            <w:pPr>
              <w:ind w:left="5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60"/>
        </w:trPr>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180" w:type="dxa"/>
            <w:vAlign w:val="bottom"/>
          </w:tcPr>
          <w:p>
            <w:pPr>
              <w:ind w:left="500"/>
              <w:spacing w:after="0" w:line="151" w:lineRule="exact"/>
              <w:rPr>
                <w:sz w:val="20"/>
                <w:szCs w:val="20"/>
                <w:color w:val="auto"/>
              </w:rPr>
            </w:pPr>
            <w:r>
              <w:rPr>
                <w:rFonts w:ascii="MS PGothic" w:cs="MS PGothic" w:eastAsia="MS PGothic" w:hAnsi="MS PGothic"/>
                <w:sz w:val="15"/>
                <w:szCs w:val="15"/>
                <w:color w:val="auto"/>
              </w:rPr>
              <w:t>☐</w:t>
            </w:r>
          </w:p>
        </w:tc>
        <w:tc>
          <w:tcPr>
            <w:tcW w:w="472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47" w:lineRule="exact"/>
        <w:rPr>
          <w:sz w:val="24"/>
          <w:szCs w:val="24"/>
          <w:color w:val="auto"/>
        </w:rPr>
      </w:pPr>
    </w:p>
    <w:p>
      <w:pPr>
        <w:ind w:firstLine="309"/>
        <w:spacing w:after="0" w:line="20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53" w:lineRule="exact"/>
        <w:rPr>
          <w:sz w:val="24"/>
          <w:szCs w:val="24"/>
          <w:color w:val="auto"/>
        </w:rPr>
      </w:pPr>
    </w:p>
    <w:p>
      <w:pPr>
        <w:spacing w:after="0" w:line="173" w:lineRule="exact"/>
        <w:tabs>
          <w:tab w:leader="none" w:pos="7640" w:val="left"/>
        </w:tabs>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340"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5"/>
          <w:szCs w:val="15"/>
          <w:color w:val="auto"/>
        </w:rPr>
        <w:t>As of July 25, 2025, there were 161,513,147 shares of the registrant’s common stock outstanding,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229235</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119380</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86360</wp:posOffset>
            </wp:positionV>
            <wp:extent cx="7138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394" w:lineRule="exact"/>
        <w:rPr>
          <w:sz w:val="20"/>
          <w:szCs w:val="20"/>
          <w:color w:val="auto"/>
        </w:rPr>
      </w:pPr>
    </w:p>
    <w:p>
      <w:pPr>
        <w:ind w:left="10620"/>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6657340</wp:posOffset>
            </wp:positionH>
            <wp:positionV relativeFrom="paragraph">
              <wp:posOffset>-121285</wp:posOffset>
            </wp:positionV>
            <wp:extent cx="4095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tbl>
      <w:tblPr>
        <w:tblLayout w:type="fixed"/>
        <w:tblInd w:w="1060" w:type="dxa"/>
        <w:tblCellMar>
          <w:top w:w="0" w:type="dxa"/>
          <w:left w:w="0" w:type="dxa"/>
          <w:bottom w:w="0" w:type="dxa"/>
          <w:right w:w="0" w:type="dxa"/>
        </w:tblCellMar>
      </w:tblPr>
      <w:tr>
        <w:trPr>
          <w:trHeight w:val="195"/>
        </w:trPr>
        <w:tc>
          <w:tcPr>
            <w:tcW w:w="19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Part I. Financial Information</w:t>
            </w:r>
          </w:p>
        </w:tc>
        <w:tc>
          <w:tcPr>
            <w:tcW w:w="7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w:t>
            </w:r>
          </w:p>
        </w:tc>
      </w:tr>
    </w:tbl>
    <w:p>
      <w:pPr>
        <w:spacing w:after="0" w:line="74" w:lineRule="exact"/>
        <w:rPr>
          <w:sz w:val="20"/>
          <w:szCs w:val="20"/>
          <w:color w:val="auto"/>
        </w:rPr>
      </w:pPr>
    </w:p>
    <w:p>
      <w:pPr>
        <w:ind w:left="1060" w:hanging="924"/>
        <w:spacing w:after="0"/>
        <w:tabs>
          <w:tab w:leader="none" w:pos="10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FINANCIAL STATEMENTS (UNAUDITED)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Consolidated Balance Sheets as of June 30, 2025 and December 31, 2024</w:t>
            </w:r>
          </w:p>
        </w:tc>
        <w:tc>
          <w:tcPr>
            <w:tcW w:w="3460" w:type="dxa"/>
            <w:vAlign w:val="bottom"/>
            <w:gridSpan w:val="6"/>
          </w:tcPr>
          <w:p>
            <w:pPr>
              <w:spacing w:after="0"/>
              <w:rPr>
                <w:sz w:val="17"/>
                <w:szCs w:val="17"/>
                <w:color w:val="auto"/>
              </w:rPr>
            </w:pPr>
          </w:p>
        </w:tc>
        <w:tc>
          <w:tcPr>
            <w:tcW w:w="1460" w:type="dxa"/>
            <w:vAlign w:val="bottom"/>
          </w:tcPr>
          <w:p>
            <w:pPr>
              <w:ind w:left="720"/>
              <w:spacing w:after="0"/>
              <w:rPr>
                <w:sz w:val="20"/>
                <w:szCs w:val="20"/>
                <w:color w:val="auto"/>
              </w:rPr>
            </w:pPr>
            <w:r>
              <w:rPr>
                <w:rFonts w:ascii="Times New Roman" w:cs="Times New Roman" w:eastAsia="Times New Roman" w:hAnsi="Times New Roman"/>
                <w:sz w:val="17"/>
                <w:szCs w:val="17"/>
                <w:color w:val="0000FF"/>
              </w:rPr>
              <w:t>3</w:t>
            </w:r>
          </w:p>
        </w:tc>
      </w:tr>
      <w:tr>
        <w:trPr>
          <w:trHeight w:val="199"/>
        </w:trPr>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Consolidated Statements of Income for the Three and Six Months Ended June 30, 2025 and 2024</w:t>
            </w:r>
          </w:p>
        </w:tc>
        <w:tc>
          <w:tcPr>
            <w:tcW w:w="1840" w:type="dxa"/>
            <w:vAlign w:val="bottom"/>
            <w:gridSpan w:val="3"/>
          </w:tcPr>
          <w:p>
            <w:pPr>
              <w:spacing w:after="0"/>
              <w:rPr>
                <w:sz w:val="17"/>
                <w:szCs w:val="17"/>
                <w:color w:val="auto"/>
              </w:rPr>
            </w:pPr>
          </w:p>
        </w:tc>
        <w:tc>
          <w:tcPr>
            <w:tcW w:w="1460" w:type="dxa"/>
            <w:vAlign w:val="bottom"/>
          </w:tcPr>
          <w:p>
            <w:pPr>
              <w:ind w:left="720"/>
              <w:spacing w:after="0"/>
              <w:rPr>
                <w:sz w:val="20"/>
                <w:szCs w:val="20"/>
                <w:color w:val="auto"/>
              </w:rPr>
            </w:pPr>
            <w:r>
              <w:rPr>
                <w:rFonts w:ascii="Times New Roman" w:cs="Times New Roman" w:eastAsia="Times New Roman" w:hAnsi="Times New Roman"/>
                <w:sz w:val="17"/>
                <w:szCs w:val="17"/>
                <w:color w:val="0000FF"/>
              </w:rPr>
              <w:t>4</w:t>
            </w:r>
          </w:p>
        </w:tc>
      </w:tr>
      <w:tr>
        <w:trPr>
          <w:trHeight w:val="199"/>
        </w:trPr>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Income for the Three and Six Months Ended June 30, 2025 and 2024</w:t>
            </w:r>
          </w:p>
        </w:tc>
        <w:tc>
          <w:tcPr>
            <w:tcW w:w="1460" w:type="dxa"/>
            <w:vAlign w:val="bottom"/>
          </w:tcPr>
          <w:p>
            <w:pPr>
              <w:ind w:left="720"/>
              <w:spacing w:after="0"/>
              <w:rPr>
                <w:sz w:val="20"/>
                <w:szCs w:val="20"/>
                <w:color w:val="auto"/>
              </w:rPr>
            </w:pPr>
            <w:r>
              <w:rPr>
                <w:rFonts w:ascii="Times New Roman" w:cs="Times New Roman" w:eastAsia="Times New Roman" w:hAnsi="Times New Roman"/>
                <w:sz w:val="17"/>
                <w:szCs w:val="17"/>
                <w:color w:val="0000FF"/>
              </w:rPr>
              <w:t>5</w:t>
            </w:r>
          </w:p>
        </w:tc>
      </w:tr>
      <w:tr>
        <w:trPr>
          <w:trHeight w:val="199"/>
        </w:trPr>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 for the Three and Six Months Ended June 30, 2025 and 2024</w:t>
            </w:r>
          </w:p>
        </w:tc>
        <w:tc>
          <w:tcPr>
            <w:tcW w:w="200" w:type="dxa"/>
            <w:vAlign w:val="bottom"/>
            <w:tcBorders>
              <w:top w:val="single" w:sz="8" w:color="0000FF"/>
            </w:tcBorders>
          </w:tcPr>
          <w:p>
            <w:pPr>
              <w:spacing w:after="0"/>
              <w:rPr>
                <w:sz w:val="17"/>
                <w:szCs w:val="17"/>
                <w:color w:val="auto"/>
              </w:rPr>
            </w:pPr>
          </w:p>
        </w:tc>
        <w:tc>
          <w:tcPr>
            <w:tcW w:w="720" w:type="dxa"/>
            <w:vAlign w:val="bottom"/>
          </w:tcPr>
          <w:p>
            <w:pPr>
              <w:spacing w:after="0"/>
              <w:rPr>
                <w:sz w:val="17"/>
                <w:szCs w:val="17"/>
                <w:color w:val="auto"/>
              </w:rPr>
            </w:pPr>
          </w:p>
        </w:tc>
        <w:tc>
          <w:tcPr>
            <w:tcW w:w="1460" w:type="dxa"/>
            <w:vAlign w:val="bottom"/>
          </w:tcPr>
          <w:p>
            <w:pPr>
              <w:ind w:left="720"/>
              <w:spacing w:after="0"/>
              <w:rPr>
                <w:sz w:val="20"/>
                <w:szCs w:val="20"/>
                <w:color w:val="auto"/>
              </w:rPr>
            </w:pPr>
            <w:r>
              <w:rPr>
                <w:rFonts w:ascii="Times New Roman" w:cs="Times New Roman" w:eastAsia="Times New Roman" w:hAnsi="Times New Roman"/>
                <w:sz w:val="17"/>
                <w:szCs w:val="17"/>
                <w:color w:val="0000FF"/>
              </w:rPr>
              <w:t>6</w:t>
            </w:r>
          </w:p>
        </w:tc>
      </w:tr>
      <w:tr>
        <w:trPr>
          <w:trHeight w:val="199"/>
        </w:trPr>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Six Months Ended June 30, 2025 and 2024</w:t>
            </w:r>
          </w:p>
        </w:tc>
        <w:tc>
          <w:tcPr>
            <w:tcW w:w="2280" w:type="dxa"/>
            <w:vAlign w:val="bottom"/>
            <w:gridSpan w:val="4"/>
          </w:tcPr>
          <w:p>
            <w:pPr>
              <w:spacing w:after="0"/>
              <w:rPr>
                <w:sz w:val="17"/>
                <w:szCs w:val="17"/>
                <w:color w:val="auto"/>
              </w:rPr>
            </w:pPr>
          </w:p>
        </w:tc>
        <w:tc>
          <w:tcPr>
            <w:tcW w:w="1460" w:type="dxa"/>
            <w:vAlign w:val="bottom"/>
          </w:tcPr>
          <w:p>
            <w:pPr>
              <w:ind w:left="720"/>
              <w:spacing w:after="0"/>
              <w:rPr>
                <w:sz w:val="20"/>
                <w:szCs w:val="20"/>
                <w:color w:val="auto"/>
              </w:rPr>
            </w:pPr>
            <w:r>
              <w:rPr>
                <w:rFonts w:ascii="Times New Roman" w:cs="Times New Roman" w:eastAsia="Times New Roman" w:hAnsi="Times New Roman"/>
                <w:sz w:val="17"/>
                <w:szCs w:val="17"/>
                <w:color w:val="0000FF"/>
              </w:rPr>
              <w:t>8</w:t>
            </w:r>
          </w:p>
        </w:tc>
      </w:tr>
      <w:tr>
        <w:trPr>
          <w:trHeight w:val="199"/>
        </w:trPr>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1460" w:type="dxa"/>
            <w:vAlign w:val="bottom"/>
          </w:tcPr>
          <w:p>
            <w:pPr>
              <w:ind w:left="720"/>
              <w:spacing w:after="0"/>
              <w:rPr>
                <w:sz w:val="20"/>
                <w:szCs w:val="20"/>
                <w:color w:val="auto"/>
              </w:rPr>
            </w:pPr>
            <w:r>
              <w:rPr>
                <w:rFonts w:ascii="Times New Roman" w:cs="Times New Roman" w:eastAsia="Times New Roman" w:hAnsi="Times New Roman"/>
                <w:sz w:val="17"/>
                <w:szCs w:val="17"/>
                <w:color w:val="0000FF"/>
              </w:rPr>
              <w:t>9</w:t>
            </w:r>
          </w:p>
        </w:tc>
      </w:tr>
      <w:tr>
        <w:trPr>
          <w:trHeight w:val="20"/>
        </w:trPr>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1"/>
        </w:trPr>
        <w:tc>
          <w:tcPr>
            <w:tcW w:w="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2.</w:t>
            </w:r>
          </w:p>
        </w:tc>
        <w:tc>
          <w:tcPr>
            <w:tcW w:w="200" w:type="dxa"/>
            <w:vAlign w:val="bottom"/>
          </w:tcPr>
          <w:p>
            <w:pPr>
              <w:spacing w:after="0"/>
              <w:rPr>
                <w:sz w:val="21"/>
                <w:szCs w:val="21"/>
                <w:color w:val="auto"/>
              </w:rPr>
            </w:pPr>
          </w:p>
        </w:tc>
        <w:tc>
          <w:tcPr>
            <w:tcW w:w="61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2540" w:type="dxa"/>
            <w:vAlign w:val="bottom"/>
            <w:gridSpan w:val="5"/>
          </w:tcPr>
          <w:p>
            <w:pPr>
              <w:spacing w:after="0"/>
              <w:rPr>
                <w:sz w:val="21"/>
                <w:szCs w:val="21"/>
                <w:color w:val="auto"/>
              </w:rPr>
            </w:pPr>
          </w:p>
        </w:tc>
        <w:tc>
          <w:tcPr>
            <w:tcW w:w="1460" w:type="dxa"/>
            <w:vAlign w:val="bottom"/>
          </w:tcPr>
          <w:p>
            <w:pPr>
              <w:ind w:left="720"/>
              <w:spacing w:after="0"/>
              <w:rPr>
                <w:sz w:val="20"/>
                <w:szCs w:val="20"/>
                <w:color w:val="auto"/>
              </w:rPr>
            </w:pPr>
            <w:r>
              <w:rPr>
                <w:rFonts w:ascii="Times New Roman" w:cs="Times New Roman" w:eastAsia="Times New Roman" w:hAnsi="Times New Roman"/>
                <w:sz w:val="17"/>
                <w:szCs w:val="17"/>
                <w:color w:val="0000FF"/>
              </w:rPr>
              <w:t>39</w:t>
            </w:r>
          </w:p>
        </w:tc>
      </w:tr>
      <w:tr>
        <w:trPr>
          <w:trHeight w:val="251"/>
        </w:trPr>
        <w:tc>
          <w:tcPr>
            <w:tcW w:w="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tcPr>
          <w:p>
            <w:pPr>
              <w:spacing w:after="0"/>
              <w:rPr>
                <w:sz w:val="21"/>
                <w:szCs w:val="21"/>
                <w:color w:val="auto"/>
              </w:rPr>
            </w:pPr>
          </w:p>
        </w:tc>
        <w:tc>
          <w:tcPr>
            <w:tcW w:w="41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4540" w:type="dxa"/>
            <w:vAlign w:val="bottom"/>
            <w:gridSpan w:val="7"/>
          </w:tcPr>
          <w:p>
            <w:pPr>
              <w:spacing w:after="0"/>
              <w:rPr>
                <w:sz w:val="21"/>
                <w:szCs w:val="21"/>
                <w:color w:val="auto"/>
              </w:rPr>
            </w:pPr>
          </w:p>
        </w:tc>
        <w:tc>
          <w:tcPr>
            <w:tcW w:w="1460" w:type="dxa"/>
            <w:vAlign w:val="bottom"/>
          </w:tcPr>
          <w:p>
            <w:pPr>
              <w:ind w:left="720"/>
              <w:spacing w:after="0"/>
              <w:rPr>
                <w:sz w:val="20"/>
                <w:szCs w:val="20"/>
                <w:color w:val="auto"/>
              </w:rPr>
            </w:pPr>
            <w:r>
              <w:rPr>
                <w:rFonts w:ascii="Times New Roman" w:cs="Times New Roman" w:eastAsia="Times New Roman" w:hAnsi="Times New Roman"/>
                <w:sz w:val="17"/>
                <w:szCs w:val="17"/>
                <w:color w:val="0000FF"/>
              </w:rPr>
              <w:t>57</w:t>
            </w:r>
          </w:p>
        </w:tc>
      </w:tr>
      <w:tr>
        <w:trPr>
          <w:trHeight w:val="251"/>
        </w:trPr>
        <w:tc>
          <w:tcPr>
            <w:tcW w:w="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4.</w:t>
            </w:r>
          </w:p>
        </w:tc>
        <w:tc>
          <w:tcPr>
            <w:tcW w:w="200" w:type="dxa"/>
            <w:vAlign w:val="bottom"/>
          </w:tcPr>
          <w:p>
            <w:pPr>
              <w:spacing w:after="0"/>
              <w:rPr>
                <w:sz w:val="21"/>
                <w:szCs w:val="21"/>
                <w:color w:val="auto"/>
              </w:rPr>
            </w:pPr>
          </w:p>
        </w:tc>
        <w:tc>
          <w:tcPr>
            <w:tcW w:w="1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7000" w:type="dxa"/>
            <w:vAlign w:val="bottom"/>
            <w:gridSpan w:val="12"/>
          </w:tcPr>
          <w:p>
            <w:pPr>
              <w:spacing w:after="0"/>
              <w:rPr>
                <w:sz w:val="21"/>
                <w:szCs w:val="21"/>
                <w:color w:val="auto"/>
              </w:rPr>
            </w:pPr>
          </w:p>
        </w:tc>
        <w:tc>
          <w:tcPr>
            <w:tcW w:w="1460" w:type="dxa"/>
            <w:vAlign w:val="bottom"/>
          </w:tcPr>
          <w:p>
            <w:pPr>
              <w:ind w:left="720"/>
              <w:spacing w:after="0"/>
              <w:rPr>
                <w:sz w:val="20"/>
                <w:szCs w:val="20"/>
                <w:color w:val="auto"/>
              </w:rPr>
            </w:pPr>
            <w:r>
              <w:rPr>
                <w:rFonts w:ascii="Times New Roman" w:cs="Times New Roman" w:eastAsia="Times New Roman" w:hAnsi="Times New Roman"/>
                <w:sz w:val="17"/>
                <w:szCs w:val="17"/>
                <w:color w:val="0000FF"/>
              </w:rPr>
              <w:t>57</w:t>
            </w:r>
          </w:p>
        </w:tc>
      </w:tr>
      <w:tr>
        <w:trPr>
          <w:trHeight w:val="251"/>
        </w:trPr>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Part II. Other Information</w:t>
            </w:r>
          </w:p>
        </w:tc>
        <w:tc>
          <w:tcPr>
            <w:tcW w:w="6940" w:type="dxa"/>
            <w:vAlign w:val="bottom"/>
            <w:gridSpan w:val="11"/>
          </w:tcPr>
          <w:p>
            <w:pPr>
              <w:spacing w:after="0"/>
              <w:rPr>
                <w:sz w:val="21"/>
                <w:szCs w:val="21"/>
                <w:color w:val="auto"/>
              </w:rPr>
            </w:pPr>
          </w:p>
        </w:tc>
        <w:tc>
          <w:tcPr>
            <w:tcW w:w="1460" w:type="dxa"/>
            <w:vAlign w:val="bottom"/>
          </w:tcPr>
          <w:p>
            <w:pPr>
              <w:ind w:left="720"/>
              <w:spacing w:after="0"/>
              <w:rPr>
                <w:sz w:val="20"/>
                <w:szCs w:val="20"/>
                <w:color w:val="auto"/>
              </w:rPr>
            </w:pPr>
            <w:r>
              <w:rPr>
                <w:rFonts w:ascii="Times New Roman" w:cs="Times New Roman" w:eastAsia="Times New Roman" w:hAnsi="Times New Roman"/>
                <w:sz w:val="17"/>
                <w:szCs w:val="17"/>
                <w:color w:val="0000FF"/>
              </w:rPr>
              <w:t>57</w:t>
            </w:r>
          </w:p>
        </w:tc>
      </w:tr>
      <w:tr>
        <w:trPr>
          <w:trHeight w:val="251"/>
        </w:trPr>
        <w:tc>
          <w:tcPr>
            <w:tcW w:w="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spacing w:after="0"/>
              <w:rPr>
                <w:sz w:val="21"/>
                <w:szCs w:val="21"/>
                <w:color w:val="auto"/>
              </w:rPr>
            </w:pPr>
          </w:p>
        </w:tc>
        <w:tc>
          <w:tcPr>
            <w:tcW w:w="12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9"/>
              </w:rPr>
              <w:t>Legal Proceedings</w:t>
            </w:r>
          </w:p>
        </w:tc>
        <w:tc>
          <w:tcPr>
            <w:tcW w:w="7440" w:type="dxa"/>
            <w:vAlign w:val="bottom"/>
            <w:gridSpan w:val="14"/>
          </w:tcPr>
          <w:p>
            <w:pPr>
              <w:spacing w:after="0"/>
              <w:rPr>
                <w:sz w:val="21"/>
                <w:szCs w:val="21"/>
                <w:color w:val="auto"/>
              </w:rPr>
            </w:pPr>
          </w:p>
        </w:tc>
        <w:tc>
          <w:tcPr>
            <w:tcW w:w="1460" w:type="dxa"/>
            <w:vAlign w:val="bottom"/>
          </w:tcPr>
          <w:p>
            <w:pPr>
              <w:ind w:left="720"/>
              <w:spacing w:after="0"/>
              <w:rPr>
                <w:sz w:val="20"/>
                <w:szCs w:val="20"/>
                <w:color w:val="auto"/>
              </w:rPr>
            </w:pPr>
            <w:r>
              <w:rPr>
                <w:rFonts w:ascii="Times New Roman" w:cs="Times New Roman" w:eastAsia="Times New Roman" w:hAnsi="Times New Roman"/>
                <w:sz w:val="17"/>
                <w:szCs w:val="17"/>
                <w:color w:val="0000FF"/>
              </w:rPr>
              <w:t>57</w:t>
            </w:r>
          </w:p>
        </w:tc>
      </w:tr>
      <w:tr>
        <w:trPr>
          <w:trHeight w:val="251"/>
        </w:trPr>
        <w:tc>
          <w:tcPr>
            <w:tcW w:w="10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1A.</w:t>
            </w:r>
          </w:p>
        </w:tc>
        <w:tc>
          <w:tcPr>
            <w:tcW w:w="87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1460" w:type="dxa"/>
            <w:vAlign w:val="bottom"/>
          </w:tcPr>
          <w:p>
            <w:pPr>
              <w:ind w:left="720"/>
              <w:spacing w:after="0"/>
              <w:rPr>
                <w:sz w:val="20"/>
                <w:szCs w:val="20"/>
                <w:color w:val="auto"/>
              </w:rPr>
            </w:pPr>
            <w:r>
              <w:rPr>
                <w:rFonts w:ascii="Times New Roman" w:cs="Times New Roman" w:eastAsia="Times New Roman" w:hAnsi="Times New Roman"/>
                <w:sz w:val="17"/>
                <w:szCs w:val="17"/>
                <w:color w:val="0000FF"/>
              </w:rPr>
              <w:t>57</w:t>
            </w:r>
          </w:p>
        </w:tc>
      </w:tr>
      <w:tr>
        <w:trPr>
          <w:trHeight w:val="20"/>
        </w:trPr>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1"/>
        </w:trPr>
        <w:tc>
          <w:tcPr>
            <w:tcW w:w="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2.</w:t>
            </w:r>
          </w:p>
        </w:tc>
        <w:tc>
          <w:tcPr>
            <w:tcW w:w="200" w:type="dxa"/>
            <w:vAlign w:val="bottom"/>
          </w:tcPr>
          <w:p>
            <w:pPr>
              <w:spacing w:after="0"/>
              <w:rPr>
                <w:sz w:val="21"/>
                <w:szCs w:val="21"/>
                <w:color w:val="auto"/>
              </w:rPr>
            </w:pPr>
          </w:p>
        </w:tc>
        <w:tc>
          <w:tcPr>
            <w:tcW w:w="41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4560" w:type="dxa"/>
            <w:vAlign w:val="bottom"/>
            <w:gridSpan w:val="8"/>
          </w:tcPr>
          <w:p>
            <w:pPr>
              <w:spacing w:after="0"/>
              <w:rPr>
                <w:sz w:val="21"/>
                <w:szCs w:val="21"/>
                <w:color w:val="auto"/>
              </w:rPr>
            </w:pPr>
          </w:p>
        </w:tc>
        <w:tc>
          <w:tcPr>
            <w:tcW w:w="1460" w:type="dxa"/>
            <w:vAlign w:val="bottom"/>
          </w:tcPr>
          <w:p>
            <w:pPr>
              <w:ind w:left="720"/>
              <w:spacing w:after="0"/>
              <w:rPr>
                <w:sz w:val="20"/>
                <w:szCs w:val="20"/>
                <w:color w:val="auto"/>
              </w:rPr>
            </w:pPr>
            <w:r>
              <w:rPr>
                <w:rFonts w:ascii="Times New Roman" w:cs="Times New Roman" w:eastAsia="Times New Roman" w:hAnsi="Times New Roman"/>
                <w:sz w:val="17"/>
                <w:szCs w:val="17"/>
                <w:color w:val="0000FF"/>
              </w:rPr>
              <w:t>57</w:t>
            </w:r>
          </w:p>
        </w:tc>
      </w:tr>
      <w:tr>
        <w:trPr>
          <w:trHeight w:val="251"/>
        </w:trPr>
        <w:tc>
          <w:tcPr>
            <w:tcW w:w="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tcPr>
          <w:p>
            <w:pPr>
              <w:spacing w:after="0"/>
              <w:rPr>
                <w:sz w:val="21"/>
                <w:szCs w:val="21"/>
                <w:color w:val="auto"/>
              </w:rPr>
            </w:pPr>
          </w:p>
        </w:tc>
        <w:tc>
          <w:tcPr>
            <w:tcW w:w="87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1460" w:type="dxa"/>
            <w:vAlign w:val="bottom"/>
          </w:tcPr>
          <w:p>
            <w:pPr>
              <w:ind w:left="720"/>
              <w:spacing w:after="0"/>
              <w:rPr>
                <w:sz w:val="20"/>
                <w:szCs w:val="20"/>
                <w:color w:val="auto"/>
              </w:rPr>
            </w:pPr>
            <w:r>
              <w:rPr>
                <w:rFonts w:ascii="Times New Roman" w:cs="Times New Roman" w:eastAsia="Times New Roman" w:hAnsi="Times New Roman"/>
                <w:sz w:val="17"/>
                <w:szCs w:val="17"/>
                <w:color w:val="0000FF"/>
              </w:rPr>
              <w:t>58</w:t>
            </w:r>
          </w:p>
        </w:tc>
      </w:tr>
      <w:tr>
        <w:trPr>
          <w:trHeight w:val="251"/>
        </w:trPr>
        <w:tc>
          <w:tcPr>
            <w:tcW w:w="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4.</w:t>
            </w:r>
          </w:p>
        </w:tc>
        <w:tc>
          <w:tcPr>
            <w:tcW w:w="200" w:type="dxa"/>
            <w:vAlign w:val="bottom"/>
          </w:tcPr>
          <w:p>
            <w:pPr>
              <w:spacing w:after="0"/>
              <w:rPr>
                <w:sz w:val="21"/>
                <w:szCs w:val="21"/>
                <w:color w:val="auto"/>
              </w:rPr>
            </w:pPr>
          </w:p>
        </w:tc>
        <w:tc>
          <w:tcPr>
            <w:tcW w:w="17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520" w:type="dxa"/>
            <w:vAlign w:val="bottom"/>
            <w:tcBorders>
              <w:top w:val="single" w:sz="8" w:color="0000FF"/>
            </w:tcBorders>
            <w:gridSpan w:val="3"/>
          </w:tcPr>
          <w:p>
            <w:pPr>
              <w:spacing w:after="0"/>
              <w:rPr>
                <w:sz w:val="21"/>
                <w:szCs w:val="21"/>
                <w:color w:val="auto"/>
              </w:rPr>
            </w:pPr>
          </w:p>
        </w:tc>
        <w:tc>
          <w:tcPr>
            <w:tcW w:w="6500" w:type="dxa"/>
            <w:vAlign w:val="bottom"/>
            <w:gridSpan w:val="10"/>
          </w:tcPr>
          <w:p>
            <w:pPr>
              <w:spacing w:after="0"/>
              <w:rPr>
                <w:sz w:val="21"/>
                <w:szCs w:val="21"/>
                <w:color w:val="auto"/>
              </w:rPr>
            </w:pPr>
          </w:p>
        </w:tc>
        <w:tc>
          <w:tcPr>
            <w:tcW w:w="1460" w:type="dxa"/>
            <w:vAlign w:val="bottom"/>
          </w:tcPr>
          <w:p>
            <w:pPr>
              <w:ind w:left="720"/>
              <w:spacing w:after="0"/>
              <w:rPr>
                <w:sz w:val="20"/>
                <w:szCs w:val="20"/>
                <w:color w:val="auto"/>
              </w:rPr>
            </w:pPr>
            <w:r>
              <w:rPr>
                <w:rFonts w:ascii="Times New Roman" w:cs="Times New Roman" w:eastAsia="Times New Roman" w:hAnsi="Times New Roman"/>
                <w:sz w:val="17"/>
                <w:szCs w:val="17"/>
                <w:color w:val="0000FF"/>
              </w:rPr>
              <w:t>58</w:t>
            </w:r>
          </w:p>
        </w:tc>
      </w:tr>
      <w:tr>
        <w:trPr>
          <w:trHeight w:val="251"/>
        </w:trPr>
        <w:tc>
          <w:tcPr>
            <w:tcW w:w="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5.</w:t>
            </w:r>
          </w:p>
        </w:tc>
        <w:tc>
          <w:tcPr>
            <w:tcW w:w="200" w:type="dxa"/>
            <w:vAlign w:val="bottom"/>
          </w:tcPr>
          <w:p>
            <w:pPr>
              <w:spacing w:after="0"/>
              <w:rPr>
                <w:sz w:val="21"/>
                <w:szCs w:val="21"/>
                <w:color w:val="auto"/>
              </w:rPr>
            </w:pPr>
          </w:p>
        </w:tc>
        <w:tc>
          <w:tcPr>
            <w:tcW w:w="12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9"/>
              </w:rPr>
              <w:t>Other Information</w:t>
            </w:r>
          </w:p>
        </w:tc>
        <w:tc>
          <w:tcPr>
            <w:tcW w:w="7460" w:type="dxa"/>
            <w:vAlign w:val="bottom"/>
            <w:gridSpan w:val="15"/>
          </w:tcPr>
          <w:p>
            <w:pPr>
              <w:spacing w:after="0"/>
              <w:rPr>
                <w:sz w:val="21"/>
                <w:szCs w:val="21"/>
                <w:color w:val="auto"/>
              </w:rPr>
            </w:pPr>
          </w:p>
        </w:tc>
        <w:tc>
          <w:tcPr>
            <w:tcW w:w="1460" w:type="dxa"/>
            <w:vAlign w:val="bottom"/>
          </w:tcPr>
          <w:p>
            <w:pPr>
              <w:ind w:left="720"/>
              <w:spacing w:after="0"/>
              <w:rPr>
                <w:sz w:val="20"/>
                <w:szCs w:val="20"/>
                <w:color w:val="auto"/>
              </w:rPr>
            </w:pPr>
            <w:r>
              <w:rPr>
                <w:rFonts w:ascii="Times New Roman" w:cs="Times New Roman" w:eastAsia="Times New Roman" w:hAnsi="Times New Roman"/>
                <w:sz w:val="17"/>
                <w:szCs w:val="17"/>
                <w:color w:val="0000FF"/>
              </w:rPr>
              <w:t>58</w:t>
            </w:r>
          </w:p>
        </w:tc>
      </w:tr>
      <w:tr>
        <w:trPr>
          <w:trHeight w:val="251"/>
        </w:trPr>
        <w:tc>
          <w:tcPr>
            <w:tcW w:w="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6.</w:t>
            </w:r>
          </w:p>
        </w:tc>
        <w:tc>
          <w:tcPr>
            <w:tcW w:w="200" w:type="dxa"/>
            <w:vAlign w:val="bottom"/>
          </w:tcPr>
          <w:p>
            <w:pPr>
              <w:spacing w:after="0"/>
              <w:rPr>
                <w:sz w:val="21"/>
                <w:szCs w:val="21"/>
                <w:color w:val="auto"/>
              </w:rPr>
            </w:pPr>
          </w:p>
        </w:tc>
        <w:tc>
          <w:tcPr>
            <w:tcW w:w="87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Exhibits</w:t>
            </w:r>
          </w:p>
        </w:tc>
        <w:tc>
          <w:tcPr>
            <w:tcW w:w="1460" w:type="dxa"/>
            <w:vAlign w:val="bottom"/>
          </w:tcPr>
          <w:p>
            <w:pPr>
              <w:ind w:left="720"/>
              <w:spacing w:after="0"/>
              <w:rPr>
                <w:sz w:val="20"/>
                <w:szCs w:val="20"/>
                <w:color w:val="auto"/>
              </w:rPr>
            </w:pPr>
            <w:r>
              <w:rPr>
                <w:rFonts w:ascii="Times New Roman" w:cs="Times New Roman" w:eastAsia="Times New Roman" w:hAnsi="Times New Roman"/>
                <w:sz w:val="17"/>
                <w:szCs w:val="17"/>
                <w:color w:val="0000FF"/>
              </w:rPr>
              <w:t>59</w:t>
            </w:r>
          </w:p>
        </w:tc>
      </w:tr>
      <w:tr>
        <w:trPr>
          <w:trHeight w:val="251"/>
        </w:trPr>
        <w:tc>
          <w:tcPr>
            <w:tcW w:w="10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Signatures</w:t>
            </w:r>
          </w:p>
        </w:tc>
        <w:tc>
          <w:tcPr>
            <w:tcW w:w="200" w:type="dxa"/>
            <w:vAlign w:val="bottom"/>
            <w:tcBorders>
              <w:top w:val="single" w:sz="8" w:color="0000FF"/>
            </w:tcBorders>
          </w:tcPr>
          <w:p>
            <w:pPr>
              <w:spacing w:after="0"/>
              <w:rPr>
                <w:sz w:val="21"/>
                <w:szCs w:val="21"/>
                <w:color w:val="auto"/>
              </w:rPr>
            </w:pPr>
          </w:p>
        </w:tc>
        <w:tc>
          <w:tcPr>
            <w:tcW w:w="38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60" w:type="dxa"/>
            <w:vAlign w:val="bottom"/>
          </w:tcPr>
          <w:p>
            <w:pPr>
              <w:ind w:left="720"/>
              <w:spacing w:after="0"/>
              <w:rPr>
                <w:sz w:val="20"/>
                <w:szCs w:val="20"/>
                <w:color w:val="auto"/>
              </w:rPr>
            </w:pPr>
            <w:r>
              <w:rPr>
                <w:rFonts w:ascii="Times New Roman" w:cs="Times New Roman" w:eastAsia="Times New Roman" w:hAnsi="Times New Roman"/>
                <w:sz w:val="17"/>
                <w:szCs w:val="17"/>
                <w:color w:val="0000FF"/>
              </w:rPr>
              <w:t>60</w:t>
            </w:r>
          </w:p>
        </w:tc>
      </w:tr>
      <w:tr>
        <w:trPr>
          <w:trHeight w:val="870"/>
        </w:trPr>
        <w:tc>
          <w:tcPr>
            <w:tcW w:w="14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5260" w:type="dxa"/>
            <w:vAlign w:val="bottom"/>
            <w:gridSpan w:val="13"/>
          </w:tcPr>
          <w:p>
            <w:pPr>
              <w:ind w:left="4520"/>
              <w:spacing w:after="0"/>
              <w:rPr>
                <w:sz w:val="20"/>
                <w:szCs w:val="20"/>
                <w:color w:val="auto"/>
              </w:rPr>
            </w:pPr>
            <w:r>
              <w:rPr>
                <w:rFonts w:ascii="Times New Roman" w:cs="Times New Roman" w:eastAsia="Times New Roman" w:hAnsi="Times New Roman"/>
                <w:sz w:val="17"/>
                <w:szCs w:val="17"/>
                <w:color w:val="auto"/>
              </w:rPr>
              <w:t>2</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08"/>
        </w:trPr>
        <w:tc>
          <w:tcPr>
            <w:tcW w:w="1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1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CONSOLIDATED BALANCE SHEETS (UNAUDITED)</w:t>
      </w:r>
    </w:p>
    <w:p>
      <w:pPr>
        <w:spacing w:after="0" w:line="1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34" w:lineRule="exact"/>
        <w:rPr>
          <w:sz w:val="20"/>
          <w:szCs w:val="20"/>
          <w:color w:val="auto"/>
        </w:rPr>
      </w:pPr>
    </w:p>
    <w:tbl>
      <w:tblPr>
        <w:tblLayout w:type="fixed"/>
        <w:tblInd w:w="100" w:type="dxa"/>
        <w:tblCellMar>
          <w:top w:w="0" w:type="dxa"/>
          <w:left w:w="0" w:type="dxa"/>
          <w:bottom w:w="0" w:type="dxa"/>
          <w:right w:w="0" w:type="dxa"/>
        </w:tblCellMar>
      </w:tblPr>
      <w:tr>
        <w:trPr>
          <w:trHeight w:val="176"/>
        </w:trPr>
        <w:tc>
          <w:tcPr>
            <w:tcW w:w="74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As of</w:t>
            </w: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8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40" w:type="dxa"/>
            <w:vAlign w:val="bottom"/>
          </w:tcPr>
          <w:p>
            <w:pPr>
              <w:spacing w:after="0"/>
              <w:rPr>
                <w:sz w:val="15"/>
                <w:szCs w:val="15"/>
                <w:color w:val="auto"/>
              </w:rPr>
            </w:pPr>
          </w:p>
        </w:tc>
        <w:tc>
          <w:tcPr>
            <w:tcW w:w="1300" w:type="dxa"/>
            <w:vAlign w:val="bottom"/>
          </w:tcPr>
          <w:p>
            <w:pPr>
              <w:jc w:val="right"/>
              <w:ind w:right="127"/>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79"/>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4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149,134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153,355</w:t>
            </w:r>
          </w:p>
        </w:tc>
        <w:tc>
          <w:tcPr>
            <w:tcW w:w="0" w:type="dxa"/>
            <w:vAlign w:val="bottom"/>
          </w:tcPr>
          <w:p>
            <w:pPr>
              <w:spacing w:after="0"/>
              <w:rPr>
                <w:sz w:val="1"/>
                <w:szCs w:val="1"/>
                <w:color w:val="auto"/>
              </w:rPr>
            </w:pPr>
          </w:p>
        </w:tc>
      </w:tr>
      <w:tr>
        <w:trPr>
          <w:trHeight w:val="192"/>
        </w:trPr>
        <w:tc>
          <w:tcPr>
            <w:tcW w:w="7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Short-term investments</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204,160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187,223</w:t>
            </w:r>
          </w:p>
        </w:tc>
        <w:tc>
          <w:tcPr>
            <w:tcW w:w="0" w:type="dxa"/>
            <w:vAlign w:val="bottom"/>
          </w:tcPr>
          <w:p>
            <w:pPr>
              <w:spacing w:after="0"/>
              <w:rPr>
                <w:sz w:val="1"/>
                <w:szCs w:val="1"/>
                <w:color w:val="auto"/>
              </w:rPr>
            </w:pPr>
          </w:p>
        </w:tc>
      </w:tr>
      <w:tr>
        <w:trPr>
          <w:trHeight w:val="195"/>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Restricted cash</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11,503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9,972</w:t>
            </w:r>
          </w:p>
        </w:tc>
        <w:tc>
          <w:tcPr>
            <w:tcW w:w="0" w:type="dxa"/>
            <w:vAlign w:val="bottom"/>
          </w:tcPr>
          <w:p>
            <w:pPr>
              <w:spacing w:after="0"/>
              <w:rPr>
                <w:sz w:val="1"/>
                <w:szCs w:val="1"/>
                <w:color w:val="auto"/>
              </w:rPr>
            </w:pPr>
          </w:p>
        </w:tc>
      </w:tr>
      <w:tr>
        <w:trPr>
          <w:trHeight w:val="192"/>
        </w:trPr>
        <w:tc>
          <w:tcPr>
            <w:tcW w:w="7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Accounts receivable, net</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345,470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304,322</w:t>
            </w:r>
          </w:p>
        </w:tc>
        <w:tc>
          <w:tcPr>
            <w:tcW w:w="0" w:type="dxa"/>
            <w:vAlign w:val="bottom"/>
          </w:tcPr>
          <w:p>
            <w:pPr>
              <w:spacing w:after="0"/>
              <w:rPr>
                <w:sz w:val="1"/>
                <w:szCs w:val="1"/>
                <w:color w:val="auto"/>
              </w:rPr>
            </w:pPr>
          </w:p>
        </w:tc>
      </w:tr>
      <w:tr>
        <w:trPr>
          <w:trHeight w:val="195"/>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current assets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148,049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140,317</w:t>
            </w:r>
          </w:p>
        </w:tc>
        <w:tc>
          <w:tcPr>
            <w:tcW w:w="0" w:type="dxa"/>
            <w:vAlign w:val="bottom"/>
          </w:tcPr>
          <w:p>
            <w:pPr>
              <w:spacing w:after="0"/>
              <w:rPr>
                <w:sz w:val="1"/>
                <w:szCs w:val="1"/>
                <w:color w:val="auto"/>
              </w:rPr>
            </w:pPr>
          </w:p>
        </w:tc>
      </w:tr>
      <w:tr>
        <w:trPr>
          <w:trHeight w:val="186"/>
        </w:trPr>
        <w:tc>
          <w:tcPr>
            <w:tcW w:w="74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858,316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795,189</w:t>
            </w:r>
          </w:p>
        </w:tc>
        <w:tc>
          <w:tcPr>
            <w:tcW w:w="0" w:type="dxa"/>
            <w:vAlign w:val="bottom"/>
          </w:tcPr>
          <w:p>
            <w:pPr>
              <w:spacing w:after="0"/>
              <w:rPr>
                <w:sz w:val="1"/>
                <w:szCs w:val="1"/>
                <w:color w:val="auto"/>
              </w:rPr>
            </w:pPr>
          </w:p>
        </w:tc>
      </w:tr>
      <w:tr>
        <w:trPr>
          <w:trHeight w:val="194"/>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114,103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101,837</w:t>
            </w:r>
          </w:p>
        </w:tc>
        <w:tc>
          <w:tcPr>
            <w:tcW w:w="0" w:type="dxa"/>
            <w:vAlign w:val="bottom"/>
          </w:tcPr>
          <w:p>
            <w:pPr>
              <w:spacing w:after="0"/>
              <w:rPr>
                <w:sz w:val="1"/>
                <w:szCs w:val="1"/>
                <w:color w:val="auto"/>
              </w:rPr>
            </w:pPr>
          </w:p>
        </w:tc>
      </w:tr>
      <w:tr>
        <w:trPr>
          <w:trHeight w:val="192"/>
        </w:trPr>
        <w:tc>
          <w:tcPr>
            <w:tcW w:w="748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73,083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68,784</w:t>
            </w:r>
          </w:p>
        </w:tc>
        <w:tc>
          <w:tcPr>
            <w:tcW w:w="0" w:type="dxa"/>
            <w:vAlign w:val="bottom"/>
          </w:tcPr>
          <w:p>
            <w:pPr>
              <w:spacing w:after="0"/>
              <w:rPr>
                <w:sz w:val="1"/>
                <w:szCs w:val="1"/>
                <w:color w:val="auto"/>
              </w:rPr>
            </w:pPr>
          </w:p>
        </w:tc>
      </w:tr>
      <w:tr>
        <w:trPr>
          <w:trHeight w:val="195"/>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9,888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8,071</w:t>
            </w:r>
          </w:p>
        </w:tc>
        <w:tc>
          <w:tcPr>
            <w:tcW w:w="0" w:type="dxa"/>
            <w:vAlign w:val="bottom"/>
          </w:tcPr>
          <w:p>
            <w:pPr>
              <w:spacing w:after="0"/>
              <w:rPr>
                <w:sz w:val="1"/>
                <w:szCs w:val="1"/>
                <w:color w:val="auto"/>
              </w:rPr>
            </w:pPr>
          </w:p>
        </w:tc>
      </w:tr>
      <w:tr>
        <w:trPr>
          <w:trHeight w:val="192"/>
        </w:trPr>
        <w:tc>
          <w:tcPr>
            <w:tcW w:w="7480" w:type="dxa"/>
            <w:vAlign w:val="bottom"/>
          </w:tcPr>
          <w:p>
            <w:pPr>
              <w:spacing w:after="0"/>
              <w:rPr>
                <w:sz w:val="20"/>
                <w:szCs w:val="20"/>
                <w:color w:val="auto"/>
              </w:rPr>
            </w:pPr>
            <w:r>
              <w:rPr>
                <w:rFonts w:ascii="Times New Roman" w:cs="Times New Roman" w:eastAsia="Times New Roman" w:hAnsi="Times New Roman"/>
                <w:sz w:val="15"/>
                <w:szCs w:val="15"/>
                <w:color w:val="auto"/>
              </w:rPr>
              <w:t>Deferred tax assets, net</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117,208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104,747</w:t>
            </w:r>
          </w:p>
        </w:tc>
        <w:tc>
          <w:tcPr>
            <w:tcW w:w="0" w:type="dxa"/>
            <w:vAlign w:val="bottom"/>
          </w:tcPr>
          <w:p>
            <w:pPr>
              <w:spacing w:after="0"/>
              <w:rPr>
                <w:sz w:val="1"/>
                <w:szCs w:val="1"/>
                <w:color w:val="auto"/>
              </w:rPr>
            </w:pPr>
          </w:p>
        </w:tc>
      </w:tr>
      <w:tr>
        <w:trPr>
          <w:trHeight w:val="195"/>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Goodwill</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420,573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420,387</w:t>
            </w:r>
          </w:p>
        </w:tc>
        <w:tc>
          <w:tcPr>
            <w:tcW w:w="0" w:type="dxa"/>
            <w:vAlign w:val="bottom"/>
          </w:tcPr>
          <w:p>
            <w:pPr>
              <w:spacing w:after="0"/>
              <w:rPr>
                <w:sz w:val="1"/>
                <w:szCs w:val="1"/>
                <w:color w:val="auto"/>
              </w:rPr>
            </w:pPr>
          </w:p>
        </w:tc>
      </w:tr>
      <w:tr>
        <w:trPr>
          <w:trHeight w:val="192"/>
        </w:trPr>
        <w:tc>
          <w:tcPr>
            <w:tcW w:w="7480" w:type="dxa"/>
            <w:vAlign w:val="bottom"/>
          </w:tcPr>
          <w:p>
            <w:pPr>
              <w:spacing w:after="0"/>
              <w:rPr>
                <w:sz w:val="20"/>
                <w:szCs w:val="20"/>
                <w:color w:val="auto"/>
              </w:rPr>
            </w:pPr>
            <w:r>
              <w:rPr>
                <w:rFonts w:ascii="Times New Roman" w:cs="Times New Roman" w:eastAsia="Times New Roman" w:hAnsi="Times New Roman"/>
                <w:sz w:val="15"/>
                <w:szCs w:val="15"/>
                <w:color w:val="auto"/>
              </w:rPr>
              <w:t>Other intangible assets, net</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42,825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49,331</w:t>
            </w:r>
          </w:p>
        </w:tc>
        <w:tc>
          <w:tcPr>
            <w:tcW w:w="0" w:type="dxa"/>
            <w:vAlign w:val="bottom"/>
          </w:tcPr>
          <w:p>
            <w:pPr>
              <w:spacing w:after="0"/>
              <w:rPr>
                <w:sz w:val="1"/>
                <w:szCs w:val="1"/>
                <w:color w:val="auto"/>
              </w:rPr>
            </w:pPr>
          </w:p>
        </w:tc>
      </w:tr>
      <w:tr>
        <w:trPr>
          <w:trHeight w:val="195"/>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Long-term investments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13,972</w:t>
            </w:r>
          </w:p>
        </w:tc>
        <w:tc>
          <w:tcPr>
            <w:tcW w:w="0" w:type="dxa"/>
            <w:vAlign w:val="bottom"/>
          </w:tcPr>
          <w:p>
            <w:pPr>
              <w:spacing w:after="0"/>
              <w:rPr>
                <w:sz w:val="1"/>
                <w:szCs w:val="1"/>
                <w:color w:val="auto"/>
              </w:rPr>
            </w:pPr>
          </w:p>
        </w:tc>
      </w:tr>
      <w:tr>
        <w:trPr>
          <w:trHeight w:val="192"/>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5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64,991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56,085</w:t>
            </w:r>
          </w:p>
        </w:tc>
        <w:tc>
          <w:tcPr>
            <w:tcW w:w="0" w:type="dxa"/>
            <w:vAlign w:val="bottom"/>
          </w:tcPr>
          <w:p>
            <w:pPr>
              <w:spacing w:after="0"/>
              <w:rPr>
                <w:sz w:val="1"/>
                <w:szCs w:val="1"/>
                <w:color w:val="auto"/>
              </w:rPr>
            </w:pPr>
          </w:p>
        </w:tc>
      </w:tr>
      <w:tr>
        <w:trPr>
          <w:trHeight w:val="212"/>
        </w:trPr>
        <w:tc>
          <w:tcPr>
            <w:tcW w:w="7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1,708,503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1,618,403</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74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Accounts payable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5,971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5,884</w:t>
            </w:r>
          </w:p>
        </w:tc>
        <w:tc>
          <w:tcPr>
            <w:tcW w:w="0" w:type="dxa"/>
            <w:vAlign w:val="bottom"/>
          </w:tcPr>
          <w:p>
            <w:pPr>
              <w:spacing w:after="0"/>
              <w:rPr>
                <w:sz w:val="1"/>
                <w:szCs w:val="1"/>
                <w:color w:val="auto"/>
              </w:rPr>
            </w:pPr>
          </w:p>
        </w:tc>
      </w:tr>
      <w:tr>
        <w:trPr>
          <w:trHeight w:val="195"/>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Current portion of long-term borrowings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4,886</w:t>
            </w:r>
          </w:p>
        </w:tc>
        <w:tc>
          <w:tcPr>
            <w:tcW w:w="0" w:type="dxa"/>
            <w:vAlign w:val="bottom"/>
          </w:tcPr>
          <w:p>
            <w:pPr>
              <w:spacing w:after="0"/>
              <w:rPr>
                <w:sz w:val="1"/>
                <w:szCs w:val="1"/>
                <w:color w:val="auto"/>
              </w:rPr>
            </w:pPr>
          </w:p>
        </w:tc>
      </w:tr>
      <w:tr>
        <w:trPr>
          <w:trHeight w:val="192"/>
        </w:trPr>
        <w:tc>
          <w:tcPr>
            <w:tcW w:w="7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Deferred revenue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19,264</w:t>
            </w:r>
          </w:p>
        </w:tc>
        <w:tc>
          <w:tcPr>
            <w:tcW w:w="0" w:type="dxa"/>
            <w:vAlign w:val="bottom"/>
          </w:tcPr>
          <w:p>
            <w:pPr>
              <w:spacing w:after="0"/>
              <w:rPr>
                <w:sz w:val="1"/>
                <w:szCs w:val="1"/>
                <w:color w:val="auto"/>
              </w:rPr>
            </w:pPr>
          </w:p>
        </w:tc>
      </w:tr>
      <w:tr>
        <w:trPr>
          <w:trHeight w:val="195"/>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Accrued employee costs</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99,535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129,994</w:t>
            </w:r>
          </w:p>
        </w:tc>
        <w:tc>
          <w:tcPr>
            <w:tcW w:w="0" w:type="dxa"/>
            <w:vAlign w:val="bottom"/>
          </w:tcPr>
          <w:p>
            <w:pPr>
              <w:spacing w:after="0"/>
              <w:rPr>
                <w:sz w:val="1"/>
                <w:szCs w:val="1"/>
                <w:color w:val="auto"/>
              </w:rPr>
            </w:pPr>
          </w:p>
        </w:tc>
      </w:tr>
      <w:tr>
        <w:trPr>
          <w:trHeight w:val="192"/>
        </w:trPr>
        <w:tc>
          <w:tcPr>
            <w:tcW w:w="7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121,548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113,597</w:t>
            </w:r>
          </w:p>
        </w:tc>
        <w:tc>
          <w:tcPr>
            <w:tcW w:w="0" w:type="dxa"/>
            <w:vAlign w:val="bottom"/>
          </w:tcPr>
          <w:p>
            <w:pPr>
              <w:spacing w:after="0"/>
              <w:rPr>
                <w:sz w:val="1"/>
                <w:szCs w:val="1"/>
                <w:color w:val="auto"/>
              </w:rPr>
            </w:pPr>
          </w:p>
        </w:tc>
      </w:tr>
      <w:tr>
        <w:trPr>
          <w:trHeight w:val="195"/>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18,374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16,491</w:t>
            </w:r>
          </w:p>
        </w:tc>
        <w:tc>
          <w:tcPr>
            <w:tcW w:w="0" w:type="dxa"/>
            <w:vAlign w:val="bottom"/>
          </w:tcPr>
          <w:p>
            <w:pPr>
              <w:spacing w:after="0"/>
              <w:rPr>
                <w:sz w:val="1"/>
                <w:szCs w:val="1"/>
                <w:color w:val="auto"/>
              </w:rPr>
            </w:pPr>
          </w:p>
        </w:tc>
      </w:tr>
      <w:tr>
        <w:trPr>
          <w:trHeight w:val="186"/>
        </w:trPr>
        <w:tc>
          <w:tcPr>
            <w:tcW w:w="74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272,303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290,116</w:t>
            </w:r>
          </w:p>
        </w:tc>
        <w:tc>
          <w:tcPr>
            <w:tcW w:w="0" w:type="dxa"/>
            <w:vAlign w:val="bottom"/>
          </w:tcPr>
          <w:p>
            <w:pPr>
              <w:spacing w:after="0"/>
              <w:rPr>
                <w:sz w:val="1"/>
                <w:szCs w:val="1"/>
                <w:color w:val="auto"/>
              </w:rPr>
            </w:pPr>
          </w:p>
        </w:tc>
      </w:tr>
      <w:tr>
        <w:trPr>
          <w:trHeight w:val="194"/>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Long-term borrowings, less current portion</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255,155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283,598</w:t>
            </w:r>
          </w:p>
        </w:tc>
        <w:tc>
          <w:tcPr>
            <w:tcW w:w="0" w:type="dxa"/>
            <w:vAlign w:val="bottom"/>
          </w:tcPr>
          <w:p>
            <w:pPr>
              <w:spacing w:after="0"/>
              <w:rPr>
                <w:sz w:val="1"/>
                <w:szCs w:val="1"/>
                <w:color w:val="auto"/>
              </w:rPr>
            </w:pPr>
          </w:p>
        </w:tc>
      </w:tr>
      <w:tr>
        <w:trPr>
          <w:trHeight w:val="192"/>
        </w:trPr>
        <w:tc>
          <w:tcPr>
            <w:tcW w:w="748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liabilities, less current portion</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62,402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59,851</w:t>
            </w:r>
          </w:p>
        </w:tc>
        <w:tc>
          <w:tcPr>
            <w:tcW w:w="0" w:type="dxa"/>
            <w:vAlign w:val="bottom"/>
          </w:tcPr>
          <w:p>
            <w:pPr>
              <w:spacing w:after="0"/>
              <w:rPr>
                <w:sz w:val="1"/>
                <w:szCs w:val="1"/>
                <w:color w:val="auto"/>
              </w:rPr>
            </w:pPr>
          </w:p>
        </w:tc>
      </w:tr>
      <w:tr>
        <w:trPr>
          <w:trHeight w:val="195"/>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tax liabilities, net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1,403</w:t>
            </w:r>
          </w:p>
        </w:tc>
        <w:tc>
          <w:tcPr>
            <w:tcW w:w="0" w:type="dxa"/>
            <w:vAlign w:val="bottom"/>
          </w:tcPr>
          <w:p>
            <w:pPr>
              <w:spacing w:after="0"/>
              <w:rPr>
                <w:sz w:val="1"/>
                <w:szCs w:val="1"/>
                <w:color w:val="auto"/>
              </w:rPr>
            </w:pPr>
          </w:p>
        </w:tc>
      </w:tr>
      <w:tr>
        <w:trPr>
          <w:trHeight w:val="192"/>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5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55,477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53,573</w:t>
            </w:r>
          </w:p>
        </w:tc>
        <w:tc>
          <w:tcPr>
            <w:tcW w:w="0" w:type="dxa"/>
            <w:vAlign w:val="bottom"/>
          </w:tcPr>
          <w:p>
            <w:pPr>
              <w:spacing w:after="0"/>
              <w:rPr>
                <w:sz w:val="1"/>
                <w:szCs w:val="1"/>
                <w:color w:val="auto"/>
              </w:rPr>
            </w:pPr>
          </w:p>
        </w:tc>
      </w:tr>
      <w:tr>
        <w:trPr>
          <w:trHeight w:val="188"/>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647,553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688,541</w:t>
            </w:r>
          </w:p>
        </w:tc>
        <w:tc>
          <w:tcPr>
            <w:tcW w:w="0" w:type="dxa"/>
            <w:vAlign w:val="bottom"/>
          </w:tcPr>
          <w:p>
            <w:pPr>
              <w:spacing w:after="0"/>
              <w:rPr>
                <w:sz w:val="1"/>
                <w:szCs w:val="1"/>
                <w:color w:val="auto"/>
              </w:rPr>
            </w:pPr>
          </w:p>
        </w:tc>
      </w:tr>
      <w:tr>
        <w:trPr>
          <w:trHeight w:val="172"/>
        </w:trPr>
        <w:tc>
          <w:tcPr>
            <w:tcW w:w="748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Commitments and contingencies</w:t>
            </w:r>
          </w:p>
        </w:tc>
        <w:tc>
          <w:tcPr>
            <w:tcW w:w="50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rPr>
              <w:t>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Stockholders’ equity:</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Preferred stock, $0.001 par value; 15,000,000 shares authorized, none issued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35"/>
        </w:trPr>
        <w:tc>
          <w:tcPr>
            <w:tcW w:w="748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4"/>
                <w:szCs w:val="14"/>
                <w:color w:val="auto"/>
              </w:rPr>
              <w:t>Common stock, $0.001 par value; 400,000,000 shares authorized, 207,810,635 shares issued and 161,829,331 shares outstanding</w:t>
            </w:r>
          </w:p>
        </w:tc>
        <w:tc>
          <w:tcPr>
            <w:tcW w:w="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0" w:type="dxa"/>
            <w:vAlign w:val="bottom"/>
          </w:tcPr>
          <w:p>
            <w:pPr>
              <w:spacing w:after="0"/>
              <w:rPr>
                <w:sz w:val="1"/>
                <w:szCs w:val="1"/>
                <w:color w:val="auto"/>
              </w:rPr>
            </w:pPr>
          </w:p>
        </w:tc>
      </w:tr>
      <w:tr>
        <w:trPr>
          <w:trHeight w:val="188"/>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as of June 30, 2025 and 206,510,587 shares issued and 161,801,212 shares outstanding as of December 31, 2024</w:t>
            </w: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625,984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588,583</w:t>
            </w:r>
          </w:p>
        </w:tc>
        <w:tc>
          <w:tcPr>
            <w:tcW w:w="0" w:type="dxa"/>
            <w:vAlign w:val="bottom"/>
          </w:tcPr>
          <w:p>
            <w:pPr>
              <w:spacing w:after="0"/>
              <w:rPr>
                <w:sz w:val="1"/>
                <w:szCs w:val="1"/>
                <w:color w:val="auto"/>
              </w:rPr>
            </w:pPr>
          </w:p>
        </w:tc>
      </w:tr>
      <w:tr>
        <w:trPr>
          <w:trHeight w:val="195"/>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Retained earnings</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1,414,572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1,281,960</w:t>
            </w:r>
          </w:p>
        </w:tc>
        <w:tc>
          <w:tcPr>
            <w:tcW w:w="0" w:type="dxa"/>
            <w:vAlign w:val="bottom"/>
          </w:tcPr>
          <w:p>
            <w:pPr>
              <w:spacing w:after="0"/>
              <w:rPr>
                <w:sz w:val="1"/>
                <w:szCs w:val="1"/>
                <w:color w:val="auto"/>
              </w:rPr>
            </w:pPr>
          </w:p>
        </w:tc>
      </w:tr>
      <w:tr>
        <w:trPr>
          <w:trHeight w:val="192"/>
        </w:trPr>
        <w:tc>
          <w:tcPr>
            <w:tcW w:w="7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5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(134,434)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(154,722)</w:t>
            </w:r>
          </w:p>
        </w:tc>
        <w:tc>
          <w:tcPr>
            <w:tcW w:w="0" w:type="dxa"/>
            <w:vAlign w:val="bottom"/>
          </w:tcPr>
          <w:p>
            <w:pPr>
              <w:spacing w:after="0"/>
              <w:rPr>
                <w:sz w:val="1"/>
                <w:szCs w:val="1"/>
                <w:color w:val="auto"/>
              </w:rPr>
            </w:pPr>
          </w:p>
        </w:tc>
      </w:tr>
      <w:tr>
        <w:trPr>
          <w:trHeight w:val="188"/>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including shares held in treasury</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1,906,329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1,716,027</w:t>
            </w:r>
          </w:p>
        </w:tc>
        <w:tc>
          <w:tcPr>
            <w:tcW w:w="0" w:type="dxa"/>
            <w:vAlign w:val="bottom"/>
          </w:tcPr>
          <w:p>
            <w:pPr>
              <w:spacing w:after="0"/>
              <w:rPr>
                <w:sz w:val="1"/>
                <w:szCs w:val="1"/>
                <w:color w:val="auto"/>
              </w:rPr>
            </w:pPr>
          </w:p>
        </w:tc>
      </w:tr>
      <w:tr>
        <w:trPr>
          <w:trHeight w:val="185"/>
        </w:trPr>
        <w:tc>
          <w:tcPr>
            <w:tcW w:w="7480" w:type="dxa"/>
            <w:vAlign w:val="bottom"/>
            <w:tcBorders>
              <w:bottom w:val="single" w:sz="8" w:color="CCEEFF"/>
            </w:tcBorders>
          </w:tcPr>
          <w:p>
            <w:pPr>
              <w:spacing w:after="0" w:line="159" w:lineRule="exact"/>
              <w:rPr>
                <w:sz w:val="20"/>
                <w:szCs w:val="20"/>
                <w:color w:val="auto"/>
              </w:rPr>
            </w:pPr>
            <w:r>
              <w:rPr>
                <w:rFonts w:ascii="Times New Roman" w:cs="Times New Roman" w:eastAsia="Times New Roman" w:hAnsi="Times New Roman"/>
                <w:sz w:val="14"/>
                <w:szCs w:val="14"/>
                <w:color w:val="auto"/>
              </w:rPr>
              <w:t>Less: 45,981,304 shares as of June 30, 2025 and 44,709,375 shares as of December 31, 2024, held in treasury, at cost</w:t>
            </w:r>
          </w:p>
        </w:tc>
        <w:tc>
          <w:tcPr>
            <w:tcW w:w="5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(845,379)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(786,165)</w:t>
            </w:r>
          </w:p>
        </w:tc>
        <w:tc>
          <w:tcPr>
            <w:tcW w:w="0" w:type="dxa"/>
            <w:vAlign w:val="bottom"/>
          </w:tcPr>
          <w:p>
            <w:pPr>
              <w:spacing w:after="0"/>
              <w:rPr>
                <w:sz w:val="1"/>
                <w:szCs w:val="1"/>
                <w:color w:val="auto"/>
              </w:rPr>
            </w:pPr>
          </w:p>
        </w:tc>
      </w:tr>
      <w:tr>
        <w:trPr>
          <w:trHeight w:val="188"/>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stockholders’ equity</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1,060,950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929,862</w:t>
            </w:r>
          </w:p>
        </w:tc>
        <w:tc>
          <w:tcPr>
            <w:tcW w:w="0" w:type="dxa"/>
            <w:vAlign w:val="bottom"/>
          </w:tcPr>
          <w:p>
            <w:pPr>
              <w:spacing w:after="0"/>
              <w:rPr>
                <w:sz w:val="1"/>
                <w:szCs w:val="1"/>
                <w:color w:val="auto"/>
              </w:rPr>
            </w:pPr>
          </w:p>
        </w:tc>
      </w:tr>
      <w:tr>
        <w:trPr>
          <w:trHeight w:val="186"/>
        </w:trPr>
        <w:tc>
          <w:tcPr>
            <w:tcW w:w="74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liabilities and stockholders’ equity</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1,708,503</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1,618,403</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351" w:right="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0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11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CONSOLIDATED STATEMENTS OF INCOME (UNAUDITED)</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57" w:lineRule="exact"/>
        <w:rPr>
          <w:sz w:val="20"/>
          <w:szCs w:val="20"/>
          <w:color w:val="auto"/>
        </w:rPr>
      </w:pPr>
    </w:p>
    <w:tbl>
      <w:tblPr>
        <w:tblLayout w:type="fixed"/>
        <w:tblInd w:w="60" w:type="dxa"/>
        <w:tblCellMar>
          <w:top w:w="0" w:type="dxa"/>
          <w:left w:w="0" w:type="dxa"/>
          <w:bottom w:w="0" w:type="dxa"/>
          <w:right w:w="0" w:type="dxa"/>
        </w:tblCellMar>
      </w:tblPr>
      <w:tr>
        <w:trPr>
          <w:trHeight w:val="182"/>
        </w:trPr>
        <w:tc>
          <w:tcPr>
            <w:tcW w:w="4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5"/>
                <w:szCs w:val="15"/>
                <w:color w:val="auto"/>
              </w:rPr>
            </w:pPr>
          </w:p>
        </w:tc>
        <w:tc>
          <w:tcPr>
            <w:tcW w:w="258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2"/>
        </w:trPr>
        <w:tc>
          <w:tcPr>
            <w:tcW w:w="46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64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8"/>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net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3, 4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514,460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448,366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1,015,479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884,873</w:t>
            </w:r>
          </w:p>
        </w:tc>
        <w:tc>
          <w:tcPr>
            <w:tcW w:w="0" w:type="dxa"/>
            <w:vAlign w:val="bottom"/>
          </w:tcPr>
          <w:p>
            <w:pPr>
              <w:spacing w:after="0"/>
              <w:rPr>
                <w:sz w:val="1"/>
                <w:szCs w:val="1"/>
                <w:color w:val="auto"/>
              </w:rPr>
            </w:pPr>
          </w:p>
        </w:tc>
      </w:tr>
      <w:tr>
        <w:trPr>
          <w:trHeight w:val="219"/>
        </w:trPr>
        <w:tc>
          <w:tcPr>
            <w:tcW w:w="464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Cost of revenues </w:t>
            </w:r>
            <w:r>
              <w:rPr>
                <w:rFonts w:ascii="Times New Roman" w:cs="Times New Roman" w:eastAsia="Times New Roman" w:hAnsi="Times New Roman"/>
                <w:sz w:val="22"/>
                <w:szCs w:val="22"/>
                <w:color w:val="auto"/>
                <w:vertAlign w:val="superscript"/>
              </w:rPr>
              <w:t>(1)</w:t>
            </w: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320,272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282,106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627,977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555,530</w:t>
            </w: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b w:val="1"/>
                <w:bCs w:val="1"/>
                <w:color w:val="auto"/>
              </w:rPr>
              <w:t xml:space="preserve">Gross profit </w:t>
            </w:r>
            <w:r>
              <w:rPr>
                <w:rFonts w:ascii="Times New Roman" w:cs="Times New Roman" w:eastAsia="Times New Roman" w:hAnsi="Times New Roman"/>
                <w:sz w:val="22"/>
                <w:szCs w:val="22"/>
                <w:b w:val="1"/>
                <w:bCs w:val="1"/>
                <w:color w:val="auto"/>
                <w:vertAlign w:val="superscript"/>
              </w:rPr>
              <w:t>(1)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194,188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166,260</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387,502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329,343</w:t>
            </w:r>
          </w:p>
        </w:tc>
        <w:tc>
          <w:tcPr>
            <w:tcW w:w="0" w:type="dxa"/>
            <w:vAlign w:val="bottom"/>
          </w:tcPr>
          <w:p>
            <w:pPr>
              <w:spacing w:after="0"/>
              <w:rPr>
                <w:sz w:val="1"/>
                <w:szCs w:val="1"/>
                <w:color w:val="auto"/>
              </w:rPr>
            </w:pPr>
          </w:p>
        </w:tc>
      </w:tr>
      <w:tr>
        <w:trPr>
          <w:trHeight w:val="199"/>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56,457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109,700</w:t>
            </w:r>
          </w:p>
        </w:tc>
        <w:tc>
          <w:tcPr>
            <w:tcW w:w="0" w:type="dxa"/>
            <w:vAlign w:val="bottom"/>
          </w:tcPr>
          <w:p>
            <w:pPr>
              <w:spacing w:after="0"/>
              <w:rPr>
                <w:sz w:val="1"/>
                <w:szCs w:val="1"/>
                <w:color w:val="auto"/>
              </w:rPr>
            </w:pPr>
          </w:p>
        </w:tc>
      </w:tr>
      <w:tr>
        <w:trPr>
          <w:trHeight w:val="219"/>
        </w:trPr>
        <w:tc>
          <w:tcPr>
            <w:tcW w:w="4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35,444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71,414</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9, 10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25,256</w:t>
            </w:r>
          </w:p>
        </w:tc>
        <w:tc>
          <w:tcPr>
            <w:tcW w:w="0" w:type="dxa"/>
            <w:vAlign w:val="bottom"/>
          </w:tcPr>
          <w:p>
            <w:pPr>
              <w:spacing w:after="0"/>
              <w:rPr>
                <w:sz w:val="1"/>
                <w:szCs w:val="1"/>
                <w:color w:val="auto"/>
              </w:rPr>
            </w:pPr>
          </w:p>
        </w:tc>
      </w:tr>
      <w:tr>
        <w:trPr>
          <w:trHeight w:val="212"/>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113,050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104,811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227,949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206,370</w:t>
            </w: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81,138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61,449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159,553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122,973</w:t>
            </w:r>
          </w:p>
        </w:tc>
        <w:tc>
          <w:tcPr>
            <w:tcW w:w="0" w:type="dxa"/>
            <w:vAlign w:val="bottom"/>
          </w:tcPr>
          <w:p>
            <w:pPr>
              <w:spacing w:after="0"/>
              <w:rPr>
                <w:sz w:val="1"/>
                <w:szCs w:val="1"/>
                <w:color w:val="auto"/>
              </w:rPr>
            </w:pPr>
          </w:p>
        </w:tc>
      </w:tr>
      <w:tr>
        <w:trPr>
          <w:trHeight w:val="219"/>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exchange gain, net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(8,619)</w:t>
            </w:r>
          </w:p>
        </w:tc>
        <w:tc>
          <w:tcPr>
            <w:tcW w:w="0" w:type="dxa"/>
            <w:vAlign w:val="bottom"/>
          </w:tcPr>
          <w:p>
            <w:pPr>
              <w:spacing w:after="0"/>
              <w:rPr>
                <w:sz w:val="1"/>
                <w:szCs w:val="1"/>
                <w:color w:val="auto"/>
              </w:rPr>
            </w:pPr>
          </w:p>
        </w:tc>
      </w:tr>
      <w:tr>
        <w:trPr>
          <w:trHeight w:val="219"/>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6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7,502</w:t>
            </w:r>
          </w:p>
        </w:tc>
        <w:tc>
          <w:tcPr>
            <w:tcW w:w="0" w:type="dxa"/>
            <w:vAlign w:val="bottom"/>
          </w:tcPr>
          <w:p>
            <w:pPr>
              <w:spacing w:after="0"/>
              <w:rPr>
                <w:sz w:val="1"/>
                <w:szCs w:val="1"/>
                <w:color w:val="auto"/>
              </w:rPr>
            </w:pPr>
          </w:p>
        </w:tc>
      </w:tr>
      <w:tr>
        <w:trPr>
          <w:trHeight w:val="148"/>
        </w:trPr>
        <w:tc>
          <w:tcPr>
            <w:tcW w:w="464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b w:val="1"/>
                <w:bCs w:val="1"/>
                <w:color w:val="auto"/>
              </w:rPr>
              <w:t>Income before income tax expense and earnings from equity</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84,738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59,707</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164,904</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122,251</w:t>
            </w:r>
          </w:p>
        </w:tc>
        <w:tc>
          <w:tcPr>
            <w:tcW w:w="0" w:type="dxa"/>
            <w:vAlign w:val="bottom"/>
          </w:tcPr>
          <w:p>
            <w:pPr>
              <w:spacing w:after="0"/>
              <w:rPr>
                <w:sz w:val="1"/>
                <w:szCs w:val="1"/>
                <w:color w:val="auto"/>
              </w:rPr>
            </w:pPr>
          </w:p>
        </w:tc>
      </w:tr>
      <w:tr>
        <w:trPr>
          <w:trHeight w:val="23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affiliates</w:t>
            </w: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6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13,873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27,626</w:t>
            </w: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earnings from equity affiliates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66,192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45,834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132,862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94,625</w:t>
            </w:r>
          </w:p>
        </w:tc>
        <w:tc>
          <w:tcPr>
            <w:tcW w:w="0" w:type="dxa"/>
            <w:vAlign w:val="bottom"/>
          </w:tcPr>
          <w:p>
            <w:pPr>
              <w:spacing w:after="0"/>
              <w:rPr>
                <w:sz w:val="1"/>
                <w:szCs w:val="1"/>
                <w:color w:val="auto"/>
              </w:rPr>
            </w:pPr>
          </w:p>
        </w:tc>
      </w:tr>
      <w:tr>
        <w:trPr>
          <w:trHeight w:val="219"/>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Loss from equity-method investment</w:t>
            </w: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37"/>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66,051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45,825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132,612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94,588</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Earnings per share:</w:t>
            </w:r>
          </w:p>
        </w:tc>
        <w:tc>
          <w:tcPr>
            <w:tcW w:w="64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6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0.58</w:t>
            </w:r>
          </w:p>
        </w:tc>
        <w:tc>
          <w:tcPr>
            <w:tcW w:w="0" w:type="dxa"/>
            <w:vAlign w:val="bottom"/>
          </w:tcPr>
          <w:p>
            <w:pPr>
              <w:spacing w:after="0"/>
              <w:rPr>
                <w:sz w:val="1"/>
                <w:szCs w:val="1"/>
                <w:color w:val="auto"/>
              </w:rPr>
            </w:pPr>
          </w:p>
        </w:tc>
      </w:tr>
      <w:tr>
        <w:trPr>
          <w:trHeight w:val="219"/>
        </w:trPr>
        <w:tc>
          <w:tcPr>
            <w:tcW w:w="4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0.40</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8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0.81</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0.57</w:t>
            </w:r>
          </w:p>
        </w:tc>
        <w:tc>
          <w:tcPr>
            <w:tcW w:w="0" w:type="dxa"/>
            <w:vAlign w:val="bottom"/>
          </w:tcPr>
          <w:p>
            <w:pPr>
              <w:spacing w:after="0"/>
              <w:rPr>
                <w:sz w:val="1"/>
                <w:szCs w:val="1"/>
                <w:color w:val="auto"/>
              </w:rPr>
            </w:pPr>
          </w:p>
        </w:tc>
      </w:tr>
      <w:tr>
        <w:trPr>
          <w:trHeight w:val="168"/>
        </w:trPr>
        <w:tc>
          <w:tcPr>
            <w:tcW w:w="464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Weighted average number of shares used in computing earnings</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 share: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162,925,484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162,794,138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162,709,034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163,938,263</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164,193,258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163,961,754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164,376,498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165,344,304</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(1) Exclusive of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39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FF"/>
              </w:rPr>
              <w:t>Table of Contents</w:t>
            </w: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561"/>
        </w:trPr>
        <w:tc>
          <w:tcPr>
            <w:tcW w:w="20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2620" w:type="dxa"/>
            <w:vAlign w:val="bottom"/>
          </w:tcPr>
          <w:p>
            <w:pPr>
              <w:spacing w:after="0"/>
              <w:rPr>
                <w:sz w:val="24"/>
                <w:szCs w:val="24"/>
                <w:color w:val="auto"/>
              </w:rPr>
            </w:pPr>
          </w:p>
        </w:tc>
        <w:tc>
          <w:tcPr>
            <w:tcW w:w="3140" w:type="dxa"/>
            <w:vAlign w:val="bottom"/>
            <w:gridSpan w:val="7"/>
          </w:tcPr>
          <w:p>
            <w:pPr>
              <w:jc w:val="center"/>
              <w:ind w:left="174"/>
              <w:spacing w:after="0"/>
              <w:rPr>
                <w:sz w:val="20"/>
                <w:szCs w:val="20"/>
                <w:color w:val="auto"/>
              </w:rPr>
            </w:pPr>
            <w:r>
              <w:rPr>
                <w:rFonts w:ascii="Times New Roman" w:cs="Times New Roman" w:eastAsia="Times New Roman" w:hAnsi="Times New Roman"/>
                <w:sz w:val="17"/>
                <w:szCs w:val="17"/>
                <w:b w:val="1"/>
                <w:bCs w:val="1"/>
                <w:color w:val="auto"/>
              </w:rPr>
              <w:t>EXLSERVICE HOLDINGS, INC.</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9"/>
        </w:trPr>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360" w:type="dxa"/>
            <w:vAlign w:val="bottom"/>
            <w:gridSpan w:val="13"/>
          </w:tcPr>
          <w:p>
            <w:pPr>
              <w:jc w:val="center"/>
              <w:ind w:left="194"/>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 (UNAUDITED)</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7"/>
        </w:trPr>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40" w:type="dxa"/>
            <w:vAlign w:val="bottom"/>
            <w:gridSpan w:val="4"/>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35"/>
        </w:trPr>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5"/>
          </w:tcPr>
          <w:p>
            <w:pPr>
              <w:ind w:left="12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280" w:type="dxa"/>
            <w:vAlign w:val="bottom"/>
          </w:tcPr>
          <w:p>
            <w:pPr>
              <w:spacing w:after="0"/>
              <w:rPr>
                <w:sz w:val="24"/>
                <w:szCs w:val="24"/>
                <w:color w:val="auto"/>
              </w:rPr>
            </w:pPr>
          </w:p>
        </w:tc>
        <w:tc>
          <w:tcPr>
            <w:tcW w:w="2600" w:type="dxa"/>
            <w:vAlign w:val="bottom"/>
            <w:gridSpan w:val="4"/>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12"/>
        </w:trPr>
        <w:tc>
          <w:tcPr>
            <w:tcW w:w="200" w:type="dxa"/>
            <w:vAlign w:val="bottom"/>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26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Notes</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200" w:type="dxa"/>
            <w:vAlign w:val="bottom"/>
          </w:tcPr>
          <w:p>
            <w:pPr>
              <w:spacing w:after="0"/>
              <w:rPr>
                <w:sz w:val="18"/>
                <w:szCs w:val="18"/>
                <w:color w:val="auto"/>
              </w:rPr>
            </w:pP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132,612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94,588</w:t>
            </w:r>
          </w:p>
        </w:tc>
      </w:tr>
      <w:tr>
        <w:trPr>
          <w:trHeight w:val="219"/>
        </w:trPr>
        <w:tc>
          <w:tcPr>
            <w:tcW w:w="200" w:type="dxa"/>
            <w:vAlign w:val="bottom"/>
          </w:tcPr>
          <w:p>
            <w:pPr>
              <w:spacing w:after="0"/>
              <w:rPr>
                <w:sz w:val="19"/>
                <w:szCs w:val="19"/>
                <w:color w:val="auto"/>
              </w:rPr>
            </w:pPr>
          </w:p>
        </w:tc>
        <w:tc>
          <w:tcPr>
            <w:tcW w:w="37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Other comprehensive income/(loss):</w:t>
            </w: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9"/>
        </w:trPr>
        <w:tc>
          <w:tcPr>
            <w:tcW w:w="200" w:type="dxa"/>
            <w:vAlign w:val="bottom"/>
          </w:tcPr>
          <w:p>
            <w:pPr>
              <w:spacing w:after="0"/>
              <w:rPr>
                <w:sz w:val="19"/>
                <w:szCs w:val="19"/>
                <w:color w:val="auto"/>
              </w:rPr>
            </w:pPr>
          </w:p>
        </w:tc>
        <w:tc>
          <w:tcPr>
            <w:tcW w:w="3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gain/(loss) on cash flow hedges</w:t>
            </w:r>
          </w:p>
        </w:tc>
        <w:tc>
          <w:tcPr>
            <w:tcW w:w="1140" w:type="dxa"/>
            <w:vAlign w:val="bottom"/>
            <w:gridSpan w:val="2"/>
            <w:shd w:val="clear" w:color="auto" w:fill="CCEEFF"/>
          </w:tcPr>
          <w:p>
            <w:pPr>
              <w:jc w:val="center"/>
              <w:ind w:left="414"/>
              <w:spacing w:after="0"/>
              <w:rPr>
                <w:sz w:val="20"/>
                <w:szCs w:val="20"/>
                <w:color w:val="auto"/>
              </w:rPr>
            </w:pPr>
            <w:r>
              <w:rPr>
                <w:rFonts w:ascii="Times New Roman" w:cs="Times New Roman" w:eastAsia="Times New Roman" w:hAnsi="Times New Roman"/>
                <w:sz w:val="17"/>
                <w:szCs w:val="17"/>
                <w:color w:val="auto"/>
                <w:w w:val="93"/>
              </w:rPr>
              <w:t>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(2,840)</w:t>
            </w:r>
          </w:p>
        </w:tc>
      </w:tr>
      <w:tr>
        <w:trPr>
          <w:trHeight w:val="219"/>
        </w:trPr>
        <w:tc>
          <w:tcPr>
            <w:tcW w:w="200" w:type="dxa"/>
            <w:vAlign w:val="bottom"/>
          </w:tcPr>
          <w:p>
            <w:pPr>
              <w:spacing w:after="0"/>
              <w:rPr>
                <w:sz w:val="19"/>
                <w:szCs w:val="19"/>
                <w:color w:val="auto"/>
              </w:rPr>
            </w:pPr>
          </w:p>
        </w:tc>
        <w:tc>
          <w:tcPr>
            <w:tcW w:w="37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Currency translation adjustments</w:t>
            </w: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(6,253)</w:t>
            </w:r>
          </w:p>
        </w:tc>
      </w:tr>
      <w:tr>
        <w:trPr>
          <w:trHeight w:val="219"/>
        </w:trPr>
        <w:tc>
          <w:tcPr>
            <w:tcW w:w="200" w:type="dxa"/>
            <w:vAlign w:val="bottom"/>
          </w:tcPr>
          <w:p>
            <w:pPr>
              <w:spacing w:after="0"/>
              <w:rPr>
                <w:sz w:val="19"/>
                <w:szCs w:val="19"/>
                <w:color w:val="auto"/>
              </w:rPr>
            </w:pPr>
          </w:p>
        </w:tc>
        <w:tc>
          <w:tcPr>
            <w:tcW w:w="3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Reclassification adjustments:</w:t>
            </w: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200" w:type="dxa"/>
            <w:vAlign w:val="bottom"/>
          </w:tcPr>
          <w:p>
            <w:pPr>
              <w:spacing w:after="0"/>
              <w:rPr>
                <w:sz w:val="19"/>
                <w:szCs w:val="19"/>
                <w:color w:val="auto"/>
              </w:rPr>
            </w:pPr>
          </w:p>
        </w:tc>
        <w:tc>
          <w:tcPr>
            <w:tcW w:w="3720" w:type="dxa"/>
            <w:vAlign w:val="bottom"/>
            <w:gridSpan w:val="2"/>
          </w:tcPr>
          <w:p>
            <w:pPr>
              <w:ind w:left="320"/>
              <w:spacing w:after="0" w:line="219" w:lineRule="exact"/>
              <w:rPr>
                <w:sz w:val="20"/>
                <w:szCs w:val="20"/>
                <w:color w:val="auto"/>
              </w:rPr>
            </w:pPr>
            <w:r>
              <w:rPr>
                <w:rFonts w:ascii="Times New Roman" w:cs="Times New Roman" w:eastAsia="Times New Roman" w:hAnsi="Times New Roman"/>
                <w:sz w:val="17"/>
                <w:szCs w:val="17"/>
                <w:color w:val="auto"/>
              </w:rPr>
              <w:t xml:space="preserve">(Gain)/loss on cash flow hedges </w:t>
            </w:r>
            <w:r>
              <w:rPr>
                <w:rFonts w:ascii="Times New Roman" w:cs="Times New Roman" w:eastAsia="Times New Roman" w:hAnsi="Times New Roman"/>
                <w:sz w:val="22"/>
                <w:szCs w:val="22"/>
                <w:color w:val="auto"/>
                <w:vertAlign w:val="superscript"/>
              </w:rPr>
              <w:t>(1)</w:t>
            </w:r>
          </w:p>
        </w:tc>
        <w:tc>
          <w:tcPr>
            <w:tcW w:w="1140" w:type="dxa"/>
            <w:vAlign w:val="bottom"/>
            <w:gridSpan w:val="2"/>
          </w:tcPr>
          <w:p>
            <w:pPr>
              <w:jc w:val="center"/>
              <w:ind w:left="414"/>
              <w:spacing w:after="0"/>
              <w:rPr>
                <w:sz w:val="20"/>
                <w:szCs w:val="20"/>
                <w:color w:val="auto"/>
              </w:rPr>
            </w:pPr>
            <w:r>
              <w:rPr>
                <w:rFonts w:ascii="Times New Roman" w:cs="Times New Roman" w:eastAsia="Times New Roman" w:hAnsi="Times New Roman"/>
                <w:sz w:val="17"/>
                <w:szCs w:val="17"/>
                <w:color w:val="auto"/>
                <w:w w:val="93"/>
              </w:rPr>
              <w:t>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9"/>
        </w:trPr>
        <w:tc>
          <w:tcPr>
            <w:tcW w:w="200" w:type="dxa"/>
            <w:vAlign w:val="bottom"/>
          </w:tcPr>
          <w:p>
            <w:pPr>
              <w:spacing w:after="0"/>
              <w:rPr>
                <w:sz w:val="19"/>
                <w:szCs w:val="19"/>
                <w:color w:val="auto"/>
              </w:rPr>
            </w:pPr>
          </w:p>
        </w:tc>
        <w:tc>
          <w:tcPr>
            <w:tcW w:w="3720" w:type="dxa"/>
            <w:vAlign w:val="bottom"/>
            <w:gridSpan w:val="2"/>
            <w:shd w:val="clear" w:color="auto" w:fill="CCEEFF"/>
          </w:tcPr>
          <w:p>
            <w:pPr>
              <w:ind w:left="320"/>
              <w:spacing w:after="0" w:line="219" w:lineRule="exact"/>
              <w:rPr>
                <w:sz w:val="20"/>
                <w:szCs w:val="20"/>
                <w:color w:val="auto"/>
              </w:rPr>
            </w:pPr>
            <w:r>
              <w:rPr>
                <w:rFonts w:ascii="Times New Roman" w:cs="Times New Roman" w:eastAsia="Times New Roman" w:hAnsi="Times New Roman"/>
                <w:sz w:val="17"/>
                <w:szCs w:val="17"/>
                <w:color w:val="auto"/>
              </w:rPr>
              <w:t xml:space="preserve">Retirement benefits </w:t>
            </w:r>
            <w:r>
              <w:rPr>
                <w:rFonts w:ascii="Times New Roman" w:cs="Times New Roman" w:eastAsia="Times New Roman" w:hAnsi="Times New Roman"/>
                <w:sz w:val="22"/>
                <w:szCs w:val="22"/>
                <w:color w:val="auto"/>
                <w:vertAlign w:val="superscript"/>
              </w:rPr>
              <w:t>(2)</w:t>
            </w:r>
          </w:p>
        </w:tc>
        <w:tc>
          <w:tcPr>
            <w:tcW w:w="1140" w:type="dxa"/>
            <w:vAlign w:val="bottom"/>
            <w:gridSpan w:val="2"/>
            <w:shd w:val="clear" w:color="auto" w:fill="CCEEFF"/>
          </w:tcPr>
          <w:p>
            <w:pPr>
              <w:jc w:val="center"/>
              <w:ind w:left="414"/>
              <w:spacing w:after="0"/>
              <w:rPr>
                <w:sz w:val="20"/>
                <w:szCs w:val="20"/>
                <w:color w:val="auto"/>
              </w:rPr>
            </w:pPr>
            <w:r>
              <w:rPr>
                <w:rFonts w:ascii="Times New Roman" w:cs="Times New Roman" w:eastAsia="Times New Roman" w:hAnsi="Times New Roman"/>
                <w:sz w:val="17"/>
                <w:szCs w:val="17"/>
                <w:color w:val="auto"/>
                <w:w w:val="93"/>
              </w:rPr>
              <w:t>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w:t>
            </w:r>
          </w:p>
        </w:tc>
      </w:tr>
      <w:tr>
        <w:trPr>
          <w:trHeight w:val="219"/>
        </w:trPr>
        <w:tc>
          <w:tcPr>
            <w:tcW w:w="200" w:type="dxa"/>
            <w:vAlign w:val="bottom"/>
          </w:tcPr>
          <w:p>
            <w:pPr>
              <w:spacing w:after="0"/>
              <w:rPr>
                <w:sz w:val="19"/>
                <w:szCs w:val="19"/>
                <w:color w:val="auto"/>
              </w:rPr>
            </w:pPr>
          </w:p>
        </w:tc>
        <w:tc>
          <w:tcPr>
            <w:tcW w:w="3720" w:type="dxa"/>
            <w:vAlign w:val="bottom"/>
            <w:tcBorders>
              <w:bottom w:val="single" w:sz="8" w:color="CCEEFF"/>
            </w:tcBorders>
            <w:gridSpan w:val="2"/>
          </w:tcPr>
          <w:p>
            <w:pPr>
              <w:ind w:left="120"/>
              <w:spacing w:after="0" w:line="219" w:lineRule="exact"/>
              <w:rPr>
                <w:sz w:val="20"/>
                <w:szCs w:val="20"/>
                <w:color w:val="auto"/>
              </w:rPr>
            </w:pPr>
            <w:r>
              <w:rPr>
                <w:rFonts w:ascii="Times New Roman" w:cs="Times New Roman" w:eastAsia="Times New Roman" w:hAnsi="Times New Roman"/>
                <w:sz w:val="17"/>
                <w:szCs w:val="17"/>
                <w:b w:val="1"/>
                <w:bCs w:val="1"/>
                <w:color w:val="auto"/>
              </w:rPr>
              <w:t xml:space="preserve">Income tax effects relating to above </w:t>
            </w:r>
            <w:r>
              <w:rPr>
                <w:rFonts w:ascii="Times New Roman" w:cs="Times New Roman" w:eastAsia="Times New Roman" w:hAnsi="Times New Roman"/>
                <w:sz w:val="22"/>
                <w:szCs w:val="22"/>
                <w:b w:val="1"/>
                <w:bCs w:val="1"/>
                <w:color w:val="auto"/>
                <w:vertAlign w:val="superscript"/>
              </w:rPr>
              <w:t>(3)</w:t>
            </w:r>
          </w:p>
        </w:tc>
        <w:tc>
          <w:tcPr>
            <w:tcW w:w="1140" w:type="dxa"/>
            <w:vAlign w:val="bottom"/>
            <w:tcBorders>
              <w:bottom w:val="single" w:sz="8" w:color="CCEEFF"/>
            </w:tcBorders>
            <w:gridSpan w:val="2"/>
          </w:tcPr>
          <w:p>
            <w:pPr>
              <w:jc w:val="center"/>
              <w:ind w:left="414"/>
              <w:spacing w:after="0"/>
              <w:rPr>
                <w:sz w:val="20"/>
                <w:szCs w:val="20"/>
                <w:color w:val="auto"/>
              </w:rPr>
            </w:pPr>
            <w:r>
              <w:rPr>
                <w:rFonts w:ascii="Times New Roman" w:cs="Times New Roman" w:eastAsia="Times New Roman" w:hAnsi="Times New Roman"/>
                <w:sz w:val="17"/>
                <w:szCs w:val="17"/>
                <w:color w:val="auto"/>
                <w:w w:val="93"/>
              </w:rPr>
              <w:t>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w:t>
            </w:r>
          </w:p>
        </w:tc>
      </w:tr>
      <w:tr>
        <w:trPr>
          <w:trHeight w:val="212"/>
        </w:trPr>
        <w:tc>
          <w:tcPr>
            <w:tcW w:w="200" w:type="dxa"/>
            <w:vAlign w:val="bottom"/>
          </w:tcPr>
          <w:p>
            <w:pPr>
              <w:spacing w:after="0"/>
              <w:rPr>
                <w:sz w:val="18"/>
                <w:szCs w:val="18"/>
                <w:color w:val="auto"/>
              </w:rPr>
            </w:pPr>
          </w:p>
        </w:tc>
        <w:tc>
          <w:tcPr>
            <w:tcW w:w="3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Total other comprehensive income/(loss)</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8,353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(5,672)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20,288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(9,068)</w:t>
            </w:r>
          </w:p>
        </w:tc>
      </w:tr>
      <w:tr>
        <w:trPr>
          <w:trHeight w:val="212"/>
        </w:trPr>
        <w:tc>
          <w:tcPr>
            <w:tcW w:w="200" w:type="dxa"/>
            <w:vAlign w:val="bottom"/>
          </w:tcPr>
          <w:p>
            <w:pPr>
              <w:spacing w:after="0"/>
              <w:rPr>
                <w:sz w:val="18"/>
                <w:szCs w:val="18"/>
                <w:color w:val="auto"/>
              </w:rPr>
            </w:pP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 comprehensive income</w:t>
            </w: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74,404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40,153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152,900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85,520</w:t>
            </w:r>
          </w:p>
        </w:tc>
      </w:tr>
      <w:tr>
        <w:trPr>
          <w:trHeight w:val="20"/>
        </w:trPr>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540" w:hanging="382"/>
        <w:spacing w:after="0" w:line="294" w:lineRule="auto"/>
        <w:tabs>
          <w:tab w:leader="none" w:pos="533"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5"/>
          <w:szCs w:val="15"/>
          <w:i w:val="1"/>
          <w:iCs w:val="1"/>
          <w:color w:val="auto"/>
        </w:rPr>
        <w:t>These are reclassified to net income and are included in revenues, cost of revenues, operating expenses and interest expense, as applicable in the unaudited consolidated statements of income.</w:t>
      </w:r>
    </w:p>
    <w:p>
      <w:pPr>
        <w:spacing w:after="0" w:line="170" w:lineRule="exact"/>
        <w:rPr>
          <w:rFonts w:ascii="Times New Roman" w:cs="Times New Roman" w:eastAsia="Times New Roman" w:hAnsi="Times New Roman"/>
          <w:sz w:val="14"/>
          <w:szCs w:val="14"/>
          <w:i w:val="1"/>
          <w:iCs w:val="1"/>
          <w:color w:val="auto"/>
        </w:rPr>
      </w:pPr>
    </w:p>
    <w:p>
      <w:pPr>
        <w:ind w:left="540" w:hanging="382"/>
        <w:spacing w:after="0"/>
        <w:tabs>
          <w:tab w:leader="none" w:pos="54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5"/>
          <w:szCs w:val="15"/>
          <w:i w:val="1"/>
          <w:iCs w:val="1"/>
          <w:color w:val="auto"/>
        </w:rPr>
        <w:t>These are reclassified to net income and are included in other income, net in the unaudited consolidated statements of income.</w:t>
      </w:r>
    </w:p>
    <w:p>
      <w:pPr>
        <w:spacing w:after="0" w:line="240" w:lineRule="exact"/>
        <w:rPr>
          <w:rFonts w:ascii="Times New Roman" w:cs="Times New Roman" w:eastAsia="Times New Roman" w:hAnsi="Times New Roman"/>
          <w:sz w:val="14"/>
          <w:szCs w:val="14"/>
          <w:i w:val="1"/>
          <w:iCs w:val="1"/>
          <w:color w:val="auto"/>
        </w:rPr>
      </w:pPr>
    </w:p>
    <w:p>
      <w:pPr>
        <w:ind w:left="540" w:hanging="382"/>
        <w:spacing w:after="0"/>
        <w:tabs>
          <w:tab w:leader="none" w:pos="54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5"/>
          <w:szCs w:val="15"/>
          <w:i w:val="1"/>
          <w:iCs w:val="1"/>
          <w:color w:val="auto"/>
        </w:rPr>
        <w:t>These are income tax effects recognized on cash flow hedges, retirement benefits and currency translation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0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3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 (UNAUDITED)</w:t>
      </w:r>
    </w:p>
    <w:p>
      <w:pPr>
        <w:jc w:val="center"/>
        <w:spacing w:after="0"/>
        <w:rPr>
          <w:sz w:val="20"/>
          <w:szCs w:val="20"/>
          <w:color w:val="auto"/>
        </w:rPr>
      </w:pPr>
      <w:r>
        <w:rPr>
          <w:rFonts w:ascii="Times New Roman" w:cs="Times New Roman" w:eastAsia="Times New Roman" w:hAnsi="Times New Roman"/>
          <w:sz w:val="17"/>
          <w:szCs w:val="17"/>
          <w:b w:val="1"/>
          <w:bCs w:val="1"/>
          <w:color w:val="auto"/>
        </w:rPr>
        <w:t>For the three months ended June 30, 2025 and 2024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count)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Accumulated Other</w:t>
            </w:r>
          </w:p>
        </w:tc>
        <w:tc>
          <w:tcPr>
            <w:tcW w:w="204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restart"/>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9"/>
                <w:szCs w:val="9"/>
                <w:color w:val="auto"/>
              </w:rPr>
            </w:pPr>
          </w:p>
        </w:tc>
        <w:tc>
          <w:tcPr>
            <w:tcW w:w="860" w:type="dxa"/>
            <w:vAlign w:val="bottom"/>
            <w:gridSpan w:val="2"/>
            <w:vMerge w:val="restart"/>
          </w:tcPr>
          <w:p>
            <w:pPr>
              <w:ind w:left="60"/>
              <w:spacing w:after="0" w:line="121"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9"/>
                <w:szCs w:val="9"/>
                <w:color w:val="auto"/>
              </w:rPr>
            </w:pPr>
          </w:p>
        </w:tc>
        <w:tc>
          <w:tcPr>
            <w:tcW w:w="1260" w:type="dxa"/>
            <w:vAlign w:val="bottom"/>
            <w:gridSpan w:val="2"/>
            <w:vMerge w:val="restart"/>
          </w:tcPr>
          <w:p>
            <w:pPr>
              <w:jc w:val="center"/>
              <w:ind w:right="260"/>
              <w:spacing w:after="0" w:line="121"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04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1"/>
        </w:trPr>
        <w:tc>
          <w:tcPr>
            <w:tcW w:w="24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2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Income/(loss)</w:t>
            </w: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207,758,497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609,592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1,348,521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(142,787)</w:t>
            </w:r>
          </w:p>
        </w:tc>
        <w:tc>
          <w:tcPr>
            <w:tcW w:w="1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(45,075,154)</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(803,656)</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1,011,877</w:t>
            </w:r>
          </w:p>
        </w:tc>
        <w:tc>
          <w:tcPr>
            <w:tcW w:w="0" w:type="dxa"/>
            <w:vAlign w:val="bottom"/>
          </w:tcPr>
          <w:p>
            <w:pPr>
              <w:spacing w:after="0"/>
              <w:rPr>
                <w:sz w:val="1"/>
                <w:szCs w:val="1"/>
                <w:color w:val="auto"/>
              </w:rPr>
            </w:pPr>
          </w:p>
        </w:tc>
      </w:tr>
      <w:tr>
        <w:trPr>
          <w:trHeight w:val="134"/>
        </w:trPr>
        <w:tc>
          <w:tcPr>
            <w:tcW w:w="24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52,138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plans</w:t>
            </w: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16,392</w:t>
            </w:r>
          </w:p>
        </w:tc>
        <w:tc>
          <w:tcPr>
            <w:tcW w:w="0" w:type="dxa"/>
            <w:vAlign w:val="bottom"/>
          </w:tcPr>
          <w:p>
            <w:pPr>
              <w:spacing w:after="0"/>
              <w:rPr>
                <w:sz w:val="1"/>
                <w:szCs w:val="1"/>
                <w:color w:val="auto"/>
              </w:rPr>
            </w:pPr>
          </w:p>
        </w:tc>
      </w:tr>
      <w:tr>
        <w:trPr>
          <w:trHeight w:val="186"/>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(906,150)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(41,752)</w:t>
            </w:r>
          </w:p>
        </w:tc>
        <w:tc>
          <w:tcPr>
            <w:tcW w:w="0" w:type="dxa"/>
            <w:vAlign w:val="bottom"/>
          </w:tcPr>
          <w:p>
            <w:pPr>
              <w:spacing w:after="0"/>
              <w:rPr>
                <w:sz w:val="1"/>
                <w:szCs w:val="1"/>
                <w:color w:val="auto"/>
              </w:rPr>
            </w:pPr>
          </w:p>
        </w:tc>
      </w:tr>
      <w:tr>
        <w:trPr>
          <w:trHeight w:val="142"/>
        </w:trPr>
        <w:tc>
          <w:tcPr>
            <w:tcW w:w="24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Excise tax on repurchase of common</w:t>
            </w:r>
          </w:p>
        </w:tc>
        <w:tc>
          <w:tcPr>
            <w:tcW w:w="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8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88"/>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net of stock issuances</w:t>
            </w: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8,353</w:t>
            </w:r>
          </w:p>
        </w:tc>
        <w:tc>
          <w:tcPr>
            <w:tcW w:w="14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8,353</w:t>
            </w: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66,051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66,051</w:t>
            </w:r>
          </w:p>
        </w:tc>
        <w:tc>
          <w:tcPr>
            <w:tcW w:w="0" w:type="dxa"/>
            <w:vAlign w:val="bottom"/>
          </w:tcPr>
          <w:p>
            <w:pPr>
              <w:spacing w:after="0"/>
              <w:rPr>
                <w:sz w:val="1"/>
                <w:szCs w:val="1"/>
                <w:color w:val="auto"/>
              </w:rPr>
            </w:pPr>
          </w:p>
        </w:tc>
      </w:tr>
      <w:tr>
        <w:trPr>
          <w:trHeight w:val="193"/>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207,810,635</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207</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625,984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1,414,572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(134,434)</w:t>
            </w:r>
          </w:p>
        </w:tc>
        <w:tc>
          <w:tcPr>
            <w:tcW w:w="14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(45,981,304)</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(845,379)</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1,060,950</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Accumulated Other</w:t>
            </w:r>
          </w:p>
        </w:tc>
        <w:tc>
          <w:tcPr>
            <w:tcW w:w="2200" w:type="dxa"/>
            <w:vAlign w:val="bottom"/>
            <w:gridSpan w:val="5"/>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restart"/>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9"/>
                <w:szCs w:val="9"/>
                <w:color w:val="auto"/>
              </w:rPr>
            </w:pPr>
          </w:p>
        </w:tc>
        <w:tc>
          <w:tcPr>
            <w:tcW w:w="840" w:type="dxa"/>
            <w:vAlign w:val="bottom"/>
            <w:gridSpan w:val="2"/>
            <w:vMerge w:val="restart"/>
          </w:tcPr>
          <w:p>
            <w:pPr>
              <w:ind w:left="40"/>
              <w:spacing w:after="0" w:line="121"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9"/>
                <w:szCs w:val="9"/>
                <w:color w:val="auto"/>
              </w:rPr>
            </w:pPr>
          </w:p>
        </w:tc>
        <w:tc>
          <w:tcPr>
            <w:tcW w:w="1220" w:type="dxa"/>
            <w:vAlign w:val="bottom"/>
            <w:gridSpan w:val="2"/>
            <w:vMerge w:val="restart"/>
          </w:tcPr>
          <w:p>
            <w:pPr>
              <w:jc w:val="center"/>
              <w:ind w:right="200"/>
              <w:spacing w:after="0" w:line="121"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20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1"/>
        </w:trPr>
        <w:tc>
          <w:tcPr>
            <w:tcW w:w="24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Income/(loss)</w:t>
            </w: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204,734,988</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502,827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1,132,426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(130,436)</w:t>
            </w: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(42,309,378)</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(701,766)</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803,255</w:t>
            </w:r>
          </w:p>
        </w:tc>
        <w:tc>
          <w:tcPr>
            <w:tcW w:w="0" w:type="dxa"/>
            <w:vAlign w:val="bottom"/>
          </w:tcPr>
          <w:p>
            <w:pPr>
              <w:spacing w:after="0"/>
              <w:rPr>
                <w:sz w:val="1"/>
                <w:szCs w:val="1"/>
                <w:color w:val="auto"/>
              </w:rPr>
            </w:pPr>
          </w:p>
        </w:tc>
      </w:tr>
      <w:tr>
        <w:trPr>
          <w:trHeight w:val="134"/>
        </w:trPr>
        <w:tc>
          <w:tcPr>
            <w:tcW w:w="24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48,125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2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plans</w:t>
            </w: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18,095</w:t>
            </w:r>
          </w:p>
        </w:tc>
        <w:tc>
          <w:tcPr>
            <w:tcW w:w="0" w:type="dxa"/>
            <w:vAlign w:val="bottom"/>
          </w:tcPr>
          <w:p>
            <w:pPr>
              <w:spacing w:after="0"/>
              <w:rPr>
                <w:sz w:val="1"/>
                <w:szCs w:val="1"/>
                <w:color w:val="auto"/>
              </w:rPr>
            </w:pPr>
          </w:p>
        </w:tc>
      </w:tr>
      <w:tr>
        <w:trPr>
          <w:trHeight w:val="186"/>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(297,353)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(8,823)</w:t>
            </w:r>
          </w:p>
        </w:tc>
        <w:tc>
          <w:tcPr>
            <w:tcW w:w="0" w:type="dxa"/>
            <w:vAlign w:val="bottom"/>
          </w:tcPr>
          <w:p>
            <w:pPr>
              <w:spacing w:after="0"/>
              <w:rPr>
                <w:sz w:val="1"/>
                <w:szCs w:val="1"/>
                <w:color w:val="auto"/>
              </w:rPr>
            </w:pPr>
          </w:p>
        </w:tc>
      </w:tr>
      <w:tr>
        <w:trPr>
          <w:trHeight w:val="142"/>
        </w:trPr>
        <w:tc>
          <w:tcPr>
            <w:tcW w:w="24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Excise tax on repurchase of common</w:t>
            </w:r>
          </w:p>
        </w:tc>
        <w:tc>
          <w:tcPr>
            <w:tcW w:w="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88"/>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net of stock issuances</w:t>
            </w: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(5,672)</w:t>
            </w:r>
          </w:p>
        </w:tc>
        <w:tc>
          <w:tcPr>
            <w:tcW w:w="8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(5,672)</w:t>
            </w: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45,825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45,825</w:t>
            </w:r>
          </w:p>
        </w:tc>
        <w:tc>
          <w:tcPr>
            <w:tcW w:w="0" w:type="dxa"/>
            <w:vAlign w:val="bottom"/>
          </w:tcPr>
          <w:p>
            <w:pPr>
              <w:spacing w:after="0"/>
              <w:rPr>
                <w:sz w:val="1"/>
                <w:szCs w:val="1"/>
                <w:color w:val="auto"/>
              </w:rPr>
            </w:pPr>
          </w:p>
        </w:tc>
      </w:tr>
      <w:tr>
        <w:trPr>
          <w:trHeight w:val="193"/>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204,783,113</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204</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520,922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1,178,251</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(136,108)</w:t>
            </w:r>
          </w:p>
        </w:tc>
        <w:tc>
          <w:tcPr>
            <w:tcW w:w="8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(42,606,731)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(710,663)</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852,606</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3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 (UNAUDITED)</w:t>
      </w:r>
    </w:p>
    <w:p>
      <w:pPr>
        <w:jc w:val="center"/>
        <w:spacing w:after="0"/>
        <w:rPr>
          <w:sz w:val="20"/>
          <w:szCs w:val="20"/>
          <w:color w:val="auto"/>
        </w:rPr>
      </w:pPr>
      <w:r>
        <w:rPr>
          <w:rFonts w:ascii="Times New Roman" w:cs="Times New Roman" w:eastAsia="Times New Roman" w:hAnsi="Times New Roman"/>
          <w:sz w:val="17"/>
          <w:szCs w:val="17"/>
          <w:b w:val="1"/>
          <w:bCs w:val="1"/>
          <w:color w:val="auto"/>
        </w:rPr>
        <w:t>For the six months ended June 30, 2025 and 2024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count)</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12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restart"/>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9"/>
                <w:szCs w:val="9"/>
                <w:color w:val="auto"/>
              </w:rPr>
            </w:pPr>
          </w:p>
        </w:tc>
        <w:tc>
          <w:tcPr>
            <w:tcW w:w="840" w:type="dxa"/>
            <w:vAlign w:val="bottom"/>
            <w:gridSpan w:val="2"/>
            <w:vMerge w:val="restart"/>
          </w:tcPr>
          <w:p>
            <w:pPr>
              <w:ind w:left="40"/>
              <w:spacing w:after="0" w:line="121"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9"/>
                <w:szCs w:val="9"/>
                <w:color w:val="auto"/>
              </w:rPr>
            </w:pPr>
          </w:p>
        </w:tc>
        <w:tc>
          <w:tcPr>
            <w:tcW w:w="1220" w:type="dxa"/>
            <w:vAlign w:val="bottom"/>
            <w:gridSpan w:val="2"/>
            <w:vMerge w:val="restart"/>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12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1"/>
        </w:trPr>
        <w:tc>
          <w:tcPr>
            <w:tcW w:w="24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Income/(loss)</w:t>
            </w: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206,510,587</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588,583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1,281,960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(154,722)</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(44,709,375)</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(786,165)</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929,862</w:t>
            </w:r>
          </w:p>
        </w:tc>
        <w:tc>
          <w:tcPr>
            <w:tcW w:w="0" w:type="dxa"/>
            <w:vAlign w:val="bottom"/>
          </w:tcPr>
          <w:p>
            <w:pPr>
              <w:spacing w:after="0"/>
              <w:rPr>
                <w:sz w:val="1"/>
                <w:szCs w:val="1"/>
                <w:color w:val="auto"/>
              </w:rPr>
            </w:pPr>
          </w:p>
        </w:tc>
      </w:tr>
      <w:tr>
        <w:trPr>
          <w:trHeight w:val="134"/>
        </w:trPr>
        <w:tc>
          <w:tcPr>
            <w:tcW w:w="24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1,300,048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1,822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1,823</w:t>
            </w:r>
          </w:p>
        </w:tc>
        <w:tc>
          <w:tcPr>
            <w:tcW w:w="0" w:type="dxa"/>
            <w:vAlign w:val="bottom"/>
          </w:tcPr>
          <w:p>
            <w:pPr>
              <w:spacing w:after="0"/>
              <w:rPr>
                <w:sz w:val="1"/>
                <w:szCs w:val="1"/>
                <w:color w:val="auto"/>
              </w:rPr>
            </w:pPr>
          </w:p>
        </w:tc>
      </w:tr>
      <w:tr>
        <w:trPr>
          <w:trHeight w:val="183"/>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plans</w:t>
            </w:r>
          </w:p>
        </w:tc>
        <w:tc>
          <w:tcPr>
            <w:tcW w:w="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35,579</w:t>
            </w:r>
          </w:p>
        </w:tc>
        <w:tc>
          <w:tcPr>
            <w:tcW w:w="0" w:type="dxa"/>
            <w:vAlign w:val="bottom"/>
          </w:tcPr>
          <w:p>
            <w:pPr>
              <w:spacing w:after="0"/>
              <w:rPr>
                <w:sz w:val="1"/>
                <w:szCs w:val="1"/>
                <w:color w:val="auto"/>
              </w:rPr>
            </w:pPr>
          </w:p>
        </w:tc>
      </w:tr>
      <w:tr>
        <w:trPr>
          <w:trHeight w:val="186"/>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(1,271,929)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(59,243)</w:t>
            </w:r>
          </w:p>
        </w:tc>
        <w:tc>
          <w:tcPr>
            <w:tcW w:w="0" w:type="dxa"/>
            <w:vAlign w:val="bottom"/>
          </w:tcPr>
          <w:p>
            <w:pPr>
              <w:spacing w:after="0"/>
              <w:rPr>
                <w:sz w:val="1"/>
                <w:szCs w:val="1"/>
                <w:color w:val="auto"/>
              </w:rPr>
            </w:pPr>
          </w:p>
        </w:tc>
      </w:tr>
      <w:tr>
        <w:trPr>
          <w:trHeight w:val="142"/>
        </w:trPr>
        <w:tc>
          <w:tcPr>
            <w:tcW w:w="24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Excise tax on repurchase of common</w:t>
            </w:r>
          </w:p>
        </w:tc>
        <w:tc>
          <w:tcPr>
            <w:tcW w:w="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88"/>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net of stock issuances</w:t>
            </w: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20,288</w:t>
            </w:r>
          </w:p>
        </w:tc>
        <w:tc>
          <w:tcPr>
            <w:tcW w:w="10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20,288</w:t>
            </w: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132,612</w:t>
            </w:r>
          </w:p>
        </w:tc>
        <w:tc>
          <w:tcPr>
            <w:tcW w:w="0" w:type="dxa"/>
            <w:vAlign w:val="bottom"/>
          </w:tcPr>
          <w:p>
            <w:pPr>
              <w:spacing w:after="0"/>
              <w:rPr>
                <w:sz w:val="1"/>
                <w:szCs w:val="1"/>
                <w:color w:val="auto"/>
              </w:rPr>
            </w:pPr>
          </w:p>
        </w:tc>
      </w:tr>
      <w:tr>
        <w:trPr>
          <w:trHeight w:val="193"/>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207,810,635</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625,984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1,414,572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(134,434)</w:t>
            </w:r>
          </w:p>
        </w:tc>
        <w:tc>
          <w:tcPr>
            <w:tcW w:w="10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(45,981,304)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(845,379)</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1,060,950</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Accumulated Other</w:t>
            </w:r>
          </w:p>
        </w:tc>
        <w:tc>
          <w:tcPr>
            <w:tcW w:w="2180" w:type="dxa"/>
            <w:vAlign w:val="bottom"/>
            <w:gridSpan w:val="5"/>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restart"/>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9"/>
                <w:szCs w:val="9"/>
                <w:color w:val="auto"/>
              </w:rPr>
            </w:pPr>
          </w:p>
        </w:tc>
        <w:tc>
          <w:tcPr>
            <w:tcW w:w="860" w:type="dxa"/>
            <w:vAlign w:val="bottom"/>
            <w:gridSpan w:val="2"/>
            <w:vMerge w:val="restart"/>
          </w:tcPr>
          <w:p>
            <w:pPr>
              <w:ind w:left="40"/>
              <w:spacing w:after="0" w:line="121"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9"/>
                <w:szCs w:val="9"/>
                <w:color w:val="auto"/>
              </w:rPr>
            </w:pPr>
          </w:p>
        </w:tc>
        <w:tc>
          <w:tcPr>
            <w:tcW w:w="1240" w:type="dxa"/>
            <w:vAlign w:val="bottom"/>
            <w:gridSpan w:val="2"/>
            <w:vMerge w:val="restart"/>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18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2360" w:type="dxa"/>
            <w:vAlign w:val="bottom"/>
          </w:tcPr>
          <w:p>
            <w:pPr>
              <w:spacing w:after="0" w:line="20" w:lineRule="exact"/>
              <w:rPr>
                <w:sz w:val="1"/>
                <w:szCs w:val="1"/>
                <w:color w:val="auto"/>
              </w:rPr>
            </w:pPr>
          </w:p>
        </w:tc>
        <w:tc>
          <w:tcPr>
            <w:tcW w:w="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1"/>
        </w:trPr>
        <w:tc>
          <w:tcPr>
            <w:tcW w:w="236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Income/(loss)</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203,410,038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508,028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1,083,663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(127,040)</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(38,132,158)</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(575,417)</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889,437</w:t>
            </w:r>
          </w:p>
        </w:tc>
        <w:tc>
          <w:tcPr>
            <w:tcW w:w="0" w:type="dxa"/>
            <w:vAlign w:val="bottom"/>
          </w:tcPr>
          <w:p>
            <w:pPr>
              <w:spacing w:after="0"/>
              <w:rPr>
                <w:sz w:val="1"/>
                <w:szCs w:val="1"/>
                <w:color w:val="auto"/>
              </w:rPr>
            </w:pPr>
          </w:p>
        </w:tc>
      </w:tr>
      <w:tr>
        <w:trPr>
          <w:trHeight w:val="134"/>
        </w:trPr>
        <w:tc>
          <w:tcPr>
            <w:tcW w:w="23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1,373,075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4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9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6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1,948</w:t>
            </w:r>
          </w:p>
        </w:tc>
        <w:tc>
          <w:tcPr>
            <w:tcW w:w="0" w:type="dxa"/>
            <w:vAlign w:val="bottom"/>
          </w:tcPr>
          <w:p>
            <w:pPr>
              <w:spacing w:after="0"/>
              <w:rPr>
                <w:sz w:val="1"/>
                <w:szCs w:val="1"/>
                <w:color w:val="auto"/>
              </w:rPr>
            </w:pPr>
          </w:p>
        </w:tc>
      </w:tr>
      <w:tr>
        <w:trPr>
          <w:trHeight w:val="183"/>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plans</w:t>
            </w: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35,947</w:t>
            </w:r>
          </w:p>
        </w:tc>
        <w:tc>
          <w:tcPr>
            <w:tcW w:w="0" w:type="dxa"/>
            <w:vAlign w:val="bottom"/>
          </w:tcPr>
          <w:p>
            <w:pPr>
              <w:spacing w:after="0"/>
              <w:rPr>
                <w:sz w:val="1"/>
                <w:szCs w:val="1"/>
                <w:color w:val="auto"/>
              </w:rPr>
            </w:pPr>
          </w:p>
        </w:tc>
      </w:tr>
      <w:tr>
        <w:trPr>
          <w:trHeight w:val="186"/>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(4,474,573)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(134,628)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(134,628)</w:t>
            </w: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Excise tax on repurchase of common</w:t>
            </w:r>
          </w:p>
        </w:tc>
        <w:tc>
          <w:tcPr>
            <w:tcW w:w="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8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0" w:type="dxa"/>
            <w:vAlign w:val="bottom"/>
          </w:tcPr>
          <w:p>
            <w:pPr>
              <w:spacing w:after="0"/>
              <w:rPr>
                <w:sz w:val="1"/>
                <w:szCs w:val="1"/>
                <w:color w:val="auto"/>
              </w:rPr>
            </w:pPr>
          </w:p>
        </w:tc>
      </w:tr>
      <w:tr>
        <w:trPr>
          <w:trHeight w:val="188"/>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net of stock issuances</w:t>
            </w: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Accelerated share repurchase</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201"/>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(9,068)</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(9,068)</w:t>
            </w:r>
          </w:p>
        </w:tc>
        <w:tc>
          <w:tcPr>
            <w:tcW w:w="0" w:type="dxa"/>
            <w:vAlign w:val="bottom"/>
          </w:tcPr>
          <w:p>
            <w:pPr>
              <w:spacing w:after="0"/>
              <w:rPr>
                <w:sz w:val="1"/>
                <w:szCs w:val="1"/>
                <w:color w:val="auto"/>
              </w:rPr>
            </w:pPr>
          </w:p>
        </w:tc>
      </w:tr>
      <w:tr>
        <w:trPr>
          <w:trHeight w:val="186"/>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94,588</w:t>
            </w:r>
          </w:p>
        </w:tc>
        <w:tc>
          <w:tcPr>
            <w:tcW w:w="0" w:type="dxa"/>
            <w:vAlign w:val="bottom"/>
          </w:tcPr>
          <w:p>
            <w:pPr>
              <w:spacing w:after="0"/>
              <w:rPr>
                <w:sz w:val="1"/>
                <w:szCs w:val="1"/>
                <w:color w:val="auto"/>
              </w:rPr>
            </w:pPr>
          </w:p>
        </w:tc>
      </w:tr>
      <w:tr>
        <w:trPr>
          <w:trHeight w:val="218"/>
        </w:trPr>
        <w:tc>
          <w:tcPr>
            <w:tcW w:w="2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204,783,113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520,922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1,178,251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(136,108)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(42,606,731)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(710,663)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852,606</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20" w:type="dxa"/>
            <w:vAlign w:val="bottom"/>
          </w:tcPr>
          <w:p>
            <w:pPr>
              <w:spacing w:after="0"/>
              <w:rPr>
                <w:sz w:val="15"/>
                <w:szCs w:val="15"/>
                <w:color w:val="auto"/>
              </w:rPr>
            </w:pPr>
          </w:p>
        </w:tc>
        <w:tc>
          <w:tcPr>
            <w:tcW w:w="288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40" w:type="dxa"/>
            <w:vAlign w:val="bottom"/>
          </w:tcPr>
          <w:p>
            <w:pPr>
              <w:spacing w:after="0"/>
              <w:rPr>
                <w:sz w:val="15"/>
                <w:szCs w:val="15"/>
                <w:color w:val="auto"/>
              </w:rPr>
            </w:pPr>
          </w:p>
        </w:tc>
      </w:tr>
      <w:tr>
        <w:trPr>
          <w:trHeight w:val="22"/>
        </w:trPr>
        <w:tc>
          <w:tcPr>
            <w:tcW w:w="7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81"/>
        </w:trPr>
        <w:tc>
          <w:tcPr>
            <w:tcW w:w="77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5"/>
                <w:szCs w:val="15"/>
                <w:color w:val="auto"/>
              </w:rPr>
            </w:pPr>
          </w:p>
        </w:tc>
      </w:tr>
      <w:tr>
        <w:trPr>
          <w:trHeight w:val="17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8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tcPr>
          <w:p>
            <w:pPr>
              <w:jc w:val="right"/>
              <w:ind w:right="9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132,612</w:t>
            </w:r>
          </w:p>
        </w:tc>
        <w:tc>
          <w:tcPr>
            <w:tcW w:w="120" w:type="dxa"/>
            <w:vAlign w:val="bottom"/>
          </w:tcPr>
          <w:p>
            <w:pPr>
              <w:spacing w:after="0"/>
              <w:rPr>
                <w:sz w:val="16"/>
                <w:szCs w:val="16"/>
                <w:color w:val="auto"/>
              </w:rPr>
            </w:pPr>
          </w:p>
        </w:tc>
        <w:tc>
          <w:tcPr>
            <w:tcW w:w="1060" w:type="dxa"/>
            <w:vAlign w:val="bottom"/>
          </w:tcPr>
          <w:p>
            <w:pPr>
              <w:jc w:val="right"/>
              <w:ind w:right="9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94,588</w:t>
            </w:r>
          </w:p>
        </w:tc>
      </w:tr>
      <w:tr>
        <w:trPr>
          <w:trHeight w:val="20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6"/>
        </w:trPr>
        <w:tc>
          <w:tcPr>
            <w:tcW w:w="7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27,689</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25,230</w:t>
            </w:r>
          </w:p>
        </w:tc>
      </w:tr>
      <w:tr>
        <w:trPr>
          <w:trHeight w:val="201"/>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35,579</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35,947</w:t>
            </w:r>
          </w:p>
        </w:tc>
      </w:tr>
      <w:tr>
        <w:trPr>
          <w:trHeight w:val="186"/>
        </w:trPr>
        <w:tc>
          <w:tcPr>
            <w:tcW w:w="7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Reduction in the carrying amount of operating lease right-of-use assets</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12,489</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10,349</w:t>
            </w:r>
          </w:p>
        </w:tc>
      </w:tr>
      <w:tr>
        <w:trPr>
          <w:trHeight w:val="201"/>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Fair value mark-to-market of investments</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r>
      <w:tr>
        <w:trPr>
          <w:trHeight w:val="186"/>
        </w:trPr>
        <w:tc>
          <w:tcPr>
            <w:tcW w:w="7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Unrealized foreign currency exchange (gain)/loss, net</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(3,314)</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w:t>
            </w:r>
          </w:p>
        </w:tc>
      </w:tr>
      <w:tr>
        <w:trPr>
          <w:trHeight w:val="201"/>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Deferred income tax benefit</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(15,605)</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(17,076)</w:t>
            </w:r>
          </w:p>
        </w:tc>
      </w:tr>
      <w:tr>
        <w:trPr>
          <w:trHeight w:val="186"/>
        </w:trPr>
        <w:tc>
          <w:tcPr>
            <w:tcW w:w="7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Others, net</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20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6"/>
        </w:trPr>
        <w:tc>
          <w:tcPr>
            <w:tcW w:w="7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Accounts receivable</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(38,312)</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(20,008)</w:t>
            </w:r>
          </w:p>
        </w:tc>
      </w:tr>
      <w:tr>
        <w:trPr>
          <w:trHeight w:val="201"/>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(10,434)</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(14,507)</w:t>
            </w:r>
          </w:p>
        </w:tc>
      </w:tr>
      <w:tr>
        <w:trPr>
          <w:trHeight w:val="186"/>
        </w:trPr>
        <w:tc>
          <w:tcPr>
            <w:tcW w:w="7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Income taxes payable, net</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4,202</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(4,922)</w:t>
            </w:r>
          </w:p>
        </w:tc>
      </w:tr>
      <w:tr>
        <w:trPr>
          <w:trHeight w:val="201"/>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Deferred revenue</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3,138</w:t>
            </w:r>
          </w:p>
        </w:tc>
      </w:tr>
      <w:tr>
        <w:trPr>
          <w:trHeight w:val="186"/>
        </w:trPr>
        <w:tc>
          <w:tcPr>
            <w:tcW w:w="7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Accrued employee costs</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(31,278)</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(35,128)</w:t>
            </w:r>
          </w:p>
        </w:tc>
      </w:tr>
      <w:tr>
        <w:trPr>
          <w:trHeight w:val="201"/>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8,539</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r>
      <w:tr>
        <w:trPr>
          <w:trHeight w:val="186"/>
        </w:trPr>
        <w:tc>
          <w:tcPr>
            <w:tcW w:w="7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(12,250)</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(9,645)</w:t>
            </w:r>
          </w:p>
        </w:tc>
      </w:tr>
      <w:tr>
        <w:trPr>
          <w:trHeight w:val="201"/>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Payment of contingent consideration</w:t>
            </w:r>
          </w:p>
        </w:tc>
        <w:tc>
          <w:tcPr>
            <w:tcW w:w="10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w:t>
            </w:r>
          </w:p>
        </w:tc>
      </w:tr>
      <w:tr>
        <w:trPr>
          <w:trHeight w:val="223"/>
        </w:trPr>
        <w:tc>
          <w:tcPr>
            <w:tcW w:w="7720" w:type="dxa"/>
            <w:vAlign w:val="bottom"/>
            <w:tcBorders>
              <w:bottom w:val="single" w:sz="8" w:color="CCEEFF"/>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112,620</w:t>
            </w:r>
          </w:p>
        </w:tc>
        <w:tc>
          <w:tcPr>
            <w:tcW w:w="12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53,037</w:t>
            </w:r>
          </w:p>
        </w:tc>
      </w:tr>
      <w:tr>
        <w:trPr>
          <w:trHeight w:val="186"/>
        </w:trPr>
        <w:tc>
          <w:tcPr>
            <w:tcW w:w="77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06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r>
      <w:tr>
        <w:trPr>
          <w:trHeight w:val="201"/>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(27,366)</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(23,329)</w:t>
            </w:r>
          </w:p>
        </w:tc>
      </w:tr>
      <w:tr>
        <w:trPr>
          <w:trHeight w:val="186"/>
        </w:trPr>
        <w:tc>
          <w:tcPr>
            <w:tcW w:w="7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201"/>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Investment in equity affiliate</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7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Purchases of investments</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(144,935)</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(159,854)</w:t>
            </w:r>
          </w:p>
        </w:tc>
      </w:tr>
      <w:tr>
        <w:trPr>
          <w:trHeight w:val="201"/>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Proceeds from redemption of investments</w:t>
            </w:r>
          </w:p>
        </w:tc>
        <w:tc>
          <w:tcPr>
            <w:tcW w:w="10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136,434</w:t>
            </w:r>
          </w:p>
        </w:tc>
        <w:tc>
          <w:tcPr>
            <w:tcW w:w="12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139,844</w:t>
            </w:r>
          </w:p>
        </w:tc>
      </w:tr>
      <w:tr>
        <w:trPr>
          <w:trHeight w:val="223"/>
        </w:trPr>
        <w:tc>
          <w:tcPr>
            <w:tcW w:w="7720" w:type="dxa"/>
            <w:vAlign w:val="bottom"/>
            <w:tcBorders>
              <w:bottom w:val="single" w:sz="8" w:color="CCEEFF"/>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Net cash used for investing activities</w:t>
            </w:r>
          </w:p>
        </w:tc>
        <w:tc>
          <w:tcPr>
            <w:tcW w:w="10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(36,287)</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(43,249)</w:t>
            </w:r>
          </w:p>
        </w:tc>
      </w:tr>
      <w:tr>
        <w:trPr>
          <w:trHeight w:val="186"/>
        </w:trPr>
        <w:tc>
          <w:tcPr>
            <w:tcW w:w="77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06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r>
      <w:tr>
        <w:trPr>
          <w:trHeight w:val="201"/>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Principal payments of finance lease liabilities</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r>
      <w:tr>
        <w:trPr>
          <w:trHeight w:val="186"/>
        </w:trPr>
        <w:tc>
          <w:tcPr>
            <w:tcW w:w="7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Proceeds from borrowings</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w:t>
            </w:r>
          </w:p>
        </w:tc>
      </w:tr>
      <w:tr>
        <w:trPr>
          <w:trHeight w:val="201"/>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Repayments of borrowings</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(78,500)</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w:t>
            </w:r>
          </w:p>
        </w:tc>
      </w:tr>
      <w:tr>
        <w:trPr>
          <w:trHeight w:val="186"/>
        </w:trPr>
        <w:tc>
          <w:tcPr>
            <w:tcW w:w="7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(59,673)</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(160,647)</w:t>
            </w:r>
          </w:p>
        </w:tc>
      </w:tr>
      <w:tr>
        <w:trPr>
          <w:trHeight w:val="201"/>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Payment of contingent consideration</w:t>
            </w:r>
          </w:p>
        </w:tc>
        <w:tc>
          <w:tcPr>
            <w:tcW w:w="10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r>
      <w:tr>
        <w:trPr>
          <w:trHeight w:val="186"/>
        </w:trPr>
        <w:tc>
          <w:tcPr>
            <w:tcW w:w="77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10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3,868</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2,474</w:t>
            </w:r>
          </w:p>
        </w:tc>
      </w:tr>
      <w:tr>
        <w:trPr>
          <w:trHeight w:val="19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for financing activities</w:t>
            </w:r>
          </w:p>
        </w:tc>
        <w:tc>
          <w:tcPr>
            <w:tcW w:w="10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(84,552)</w:t>
            </w:r>
          </w:p>
        </w:tc>
        <w:tc>
          <w:tcPr>
            <w:tcW w:w="12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(27,305)</w:t>
            </w:r>
          </w:p>
        </w:tc>
      </w:tr>
      <w:tr>
        <w:trPr>
          <w:trHeight w:val="179"/>
        </w:trPr>
        <w:tc>
          <w:tcPr>
            <w:tcW w:w="7720" w:type="dxa"/>
            <w:vAlign w:val="bottom"/>
            <w:tcBorders>
              <w:bottom w:val="single" w:sz="8" w:color="CCEEFF"/>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Effect of exchange rate changes</w:t>
            </w:r>
          </w:p>
        </w:tc>
        <w:tc>
          <w:tcPr>
            <w:tcW w:w="10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7,346</w:t>
            </w: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(1,844)</w:t>
            </w:r>
          </w:p>
        </w:tc>
      </w:tr>
      <w:tr>
        <w:trPr>
          <w:trHeight w:val="19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(19,361)</w:t>
            </w:r>
          </w:p>
        </w:tc>
      </w:tr>
      <w:tr>
        <w:trPr>
          <w:trHeight w:val="186"/>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the beginning of the period</w:t>
            </w:r>
          </w:p>
        </w:tc>
        <w:tc>
          <w:tcPr>
            <w:tcW w:w="10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171,398</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141,015</w:t>
            </w:r>
          </w:p>
        </w:tc>
      </w:tr>
      <w:tr>
        <w:trPr>
          <w:trHeight w:val="211"/>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the end of the period</w:t>
            </w:r>
          </w:p>
        </w:tc>
        <w:tc>
          <w:tcPr>
            <w:tcW w:w="1060" w:type="dxa"/>
            <w:vAlign w:val="bottom"/>
            <w:tcBorders>
              <w:bottom w:val="single" w:sz="8" w:color="auto"/>
            </w:tcBorders>
            <w:shd w:val="clear" w:color="auto" w:fill="CCEEFF"/>
          </w:tcPr>
          <w:p>
            <w:pPr>
              <w:jc w:val="right"/>
              <w:ind w:right="9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170,525</w:t>
            </w: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121,654</w:t>
            </w:r>
          </w:p>
        </w:tc>
      </w:tr>
      <w:tr>
        <w:trPr>
          <w:trHeight w:val="22"/>
        </w:trPr>
        <w:tc>
          <w:tcPr>
            <w:tcW w:w="77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1"/>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Interest</w:t>
            </w:r>
          </w:p>
        </w:tc>
        <w:tc>
          <w:tcPr>
            <w:tcW w:w="1060" w:type="dxa"/>
            <w:vAlign w:val="bottom"/>
            <w:shd w:val="clear" w:color="auto" w:fill="CCEEFF"/>
          </w:tcPr>
          <w:p>
            <w:pPr>
              <w:jc w:val="right"/>
              <w:ind w:right="9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8,216</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8,940</w:t>
            </w:r>
          </w:p>
        </w:tc>
      </w:tr>
      <w:tr>
        <w:trPr>
          <w:trHeight w:val="186"/>
        </w:trPr>
        <w:tc>
          <w:tcPr>
            <w:tcW w:w="7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Income taxes</w:t>
            </w:r>
          </w:p>
        </w:tc>
        <w:tc>
          <w:tcPr>
            <w:tcW w:w="1060" w:type="dxa"/>
            <w:vAlign w:val="bottom"/>
          </w:tcPr>
          <w:p>
            <w:pPr>
              <w:jc w:val="right"/>
              <w:ind w:right="9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42,965</w:t>
            </w:r>
          </w:p>
        </w:tc>
        <w:tc>
          <w:tcPr>
            <w:tcW w:w="120" w:type="dxa"/>
            <w:vAlign w:val="bottom"/>
          </w:tcPr>
          <w:p>
            <w:pPr>
              <w:spacing w:after="0"/>
              <w:rPr>
                <w:sz w:val="16"/>
                <w:szCs w:val="16"/>
                <w:color w:val="auto"/>
              </w:rPr>
            </w:pPr>
          </w:p>
        </w:tc>
        <w:tc>
          <w:tcPr>
            <w:tcW w:w="1060" w:type="dxa"/>
            <w:vAlign w:val="bottom"/>
          </w:tcPr>
          <w:p>
            <w:pPr>
              <w:jc w:val="right"/>
              <w:ind w:right="9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50,161</w:t>
            </w:r>
          </w:p>
        </w:tc>
      </w:tr>
      <w:tr>
        <w:trPr>
          <w:trHeight w:val="20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6"/>
        </w:trPr>
        <w:tc>
          <w:tcPr>
            <w:tcW w:w="7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Additions to property and equipment not yet paid</w:t>
            </w:r>
          </w:p>
        </w:tc>
        <w:tc>
          <w:tcPr>
            <w:tcW w:w="1060" w:type="dxa"/>
            <w:vAlign w:val="bottom"/>
          </w:tcPr>
          <w:p>
            <w:pPr>
              <w:jc w:val="right"/>
              <w:ind w:right="9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6,186</w:t>
            </w:r>
          </w:p>
        </w:tc>
        <w:tc>
          <w:tcPr>
            <w:tcW w:w="120" w:type="dxa"/>
            <w:vAlign w:val="bottom"/>
          </w:tcPr>
          <w:p>
            <w:pPr>
              <w:spacing w:after="0"/>
              <w:rPr>
                <w:sz w:val="16"/>
                <w:szCs w:val="16"/>
                <w:color w:val="auto"/>
              </w:rPr>
            </w:pPr>
          </w:p>
        </w:tc>
        <w:tc>
          <w:tcPr>
            <w:tcW w:w="1060" w:type="dxa"/>
            <w:vAlign w:val="bottom"/>
          </w:tcPr>
          <w:p>
            <w:pPr>
              <w:jc w:val="right"/>
              <w:ind w:right="9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3,140</w:t>
            </w:r>
          </w:p>
        </w:tc>
      </w:tr>
      <w:tr>
        <w:trPr>
          <w:trHeight w:val="201"/>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Assets acquired under finance lease</w:t>
            </w:r>
          </w:p>
        </w:tc>
        <w:tc>
          <w:tcPr>
            <w:tcW w:w="1060" w:type="dxa"/>
            <w:vAlign w:val="bottom"/>
            <w:shd w:val="clear" w:color="auto" w:fill="CCEEFF"/>
          </w:tcPr>
          <w:p>
            <w:pPr>
              <w:jc w:val="right"/>
              <w:ind w:right="9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11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w:t>
      </w:r>
    </w:p>
    <w:p>
      <w:pPr>
        <w:spacing w:after="0" w:line="234" w:lineRule="exact"/>
        <w:rPr>
          <w:sz w:val="20"/>
          <w:szCs w:val="20"/>
          <w:color w:val="auto"/>
        </w:rPr>
      </w:pPr>
    </w:p>
    <w:p>
      <w:pPr>
        <w:jc w:val="both"/>
        <w:ind w:firstLine="387"/>
        <w:spacing w:after="0" w:line="245" w:lineRule="auto"/>
        <w:rPr>
          <w:sz w:val="20"/>
          <w:szCs w:val="20"/>
          <w:color w:val="auto"/>
        </w:rPr>
      </w:pPr>
      <w:r>
        <w:rPr>
          <w:rFonts w:ascii="Times New Roman" w:cs="Times New Roman" w:eastAsia="Times New Roman" w:hAnsi="Times New Roman"/>
          <w:sz w:val="17"/>
          <w:szCs w:val="17"/>
          <w:color w:val="auto"/>
        </w:rPr>
        <w:t>ExlService Holdings, Inc. (“ExlService Holdings”) is organized as a corporation under the laws of the State of Delaware. ExlService Holdings, together with its subsidiaries and affiliates (collectively, the “Company”), is a global data and artificial intelligence (“AI”) company that offers services and solutions to reinvent client business models, drive better outcomes and unlock growth with speed. The Company harnesses the power of data, AI, and deep industry knowledge to transform businesses, including the world’s leading corporations in industries including insurance, healthcare and life sciences, banking and capital markets, retail, communications and media, and energy and infrastructure, among others.</w:t>
      </w: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Company’s clients are located principally in the United States of America and the United Kingdom.</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Basis of Preparation and Principles of Consolidation</w:t>
      </w:r>
    </w:p>
    <w:p>
      <w:pPr>
        <w:spacing w:after="0" w:line="236" w:lineRule="exact"/>
        <w:rPr>
          <w:sz w:val="20"/>
          <w:szCs w:val="20"/>
          <w:color w:val="auto"/>
        </w:rPr>
      </w:pPr>
    </w:p>
    <w:p>
      <w:pPr>
        <w:jc w:val="both"/>
        <w:ind w:firstLine="387"/>
        <w:spacing w:after="0" w:line="243" w:lineRule="auto"/>
        <w:rPr>
          <w:sz w:val="20"/>
          <w:szCs w:val="20"/>
          <w:color w:val="auto"/>
        </w:rPr>
      </w:pPr>
      <w:r>
        <w:rPr>
          <w:rFonts w:ascii="Times New Roman" w:cs="Times New Roman" w:eastAsia="Times New Roman" w:hAnsi="Times New Roman"/>
          <w:sz w:val="17"/>
          <w:szCs w:val="17"/>
          <w:color w:val="auto"/>
        </w:rPr>
        <w:t>The unaudited consolidated financial statements have been prepared in conformity with United States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2024.</w:t>
      </w:r>
    </w:p>
    <w:p>
      <w:pPr>
        <w:spacing w:after="0" w:line="201"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The unaudited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192" w:lineRule="exact"/>
        <w:rPr>
          <w:sz w:val="20"/>
          <w:szCs w:val="20"/>
          <w:color w:val="auto"/>
        </w:rPr>
      </w:pPr>
    </w:p>
    <w:p>
      <w:pPr>
        <w:jc w:val="both"/>
        <w:ind w:firstLine="387"/>
        <w:spacing w:after="0" w:line="248"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include the financial statements of ExlService Holdings and all of its subsidiaries. The standalone financial statements of subsidiaries are fully consolidated on a line-by-line basis. Intra-group balances and transactions, and gains and losses arising from intra-group transactions, are eliminated while preparing consolidated financial statements. The Company’s investments in equity affiliates are recorded using equity method of accounting.</w:t>
      </w:r>
    </w:p>
    <w:p>
      <w:pPr>
        <w:spacing w:after="0" w:line="210" w:lineRule="exact"/>
        <w:rPr>
          <w:sz w:val="20"/>
          <w:szCs w:val="20"/>
          <w:color w:val="auto"/>
        </w:rPr>
      </w:pPr>
    </w:p>
    <w:p>
      <w:pPr>
        <w:jc w:val="both"/>
        <w:ind w:firstLine="387"/>
        <w:spacing w:after="0" w:line="260" w:lineRule="auto"/>
        <w:rPr>
          <w:sz w:val="20"/>
          <w:szCs w:val="20"/>
          <w:color w:val="auto"/>
        </w:rPr>
      </w:pPr>
      <w:r>
        <w:rPr>
          <w:rFonts w:ascii="Times New Roman" w:cs="Times New Roman" w:eastAsia="Times New Roman" w:hAnsi="Times New Roman"/>
          <w:sz w:val="17"/>
          <w:szCs w:val="17"/>
          <w:color w:val="auto"/>
        </w:rPr>
        <w:t>In the first quarter of 2025, the Company implemented operational and structural changes to accelerate the execution of its data and AI strategy. Under the new structure, the Company reports its financial performance based on new segments described in Note 3 - Segment Information to the unaudited consolidated financial statements. In conjunction with the new reporting structure, the Company has recast prior period amounts, wherever applicable, to conform to the way the Company internally manages and monitors segment performance. This change primarily impacted Note 3 - Segment Information and Note 10 - Goodwill and Other Intangible Assets to the unaudited consolidated financial statements. This change in segment presentation does not affect the Company’s unaudited consolidated statements of income, balance sheets or statements of cash flows.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 Use of Estimates</w:t>
      </w:r>
    </w:p>
    <w:p>
      <w:pPr>
        <w:spacing w:after="0" w:line="236" w:lineRule="exact"/>
        <w:rPr>
          <w:sz w:val="20"/>
          <w:szCs w:val="20"/>
          <w:color w:val="auto"/>
        </w:rPr>
      </w:pPr>
    </w:p>
    <w:p>
      <w:pPr>
        <w:jc w:val="both"/>
        <w:ind w:firstLine="387"/>
        <w:spacing w:after="0" w:line="241" w:lineRule="auto"/>
        <w:rPr>
          <w:sz w:val="20"/>
          <w:szCs w:val="20"/>
          <w:color w:val="auto"/>
        </w:rPr>
      </w:pPr>
      <w:r>
        <w:rPr>
          <w:rFonts w:ascii="Times New Roman" w:cs="Times New Roman" w:eastAsia="Times New Roman" w:hAnsi="Times New Roman"/>
          <w:sz w:val="17"/>
          <w:szCs w:val="17"/>
          <w:color w:val="auto"/>
        </w:rPr>
        <w:t>The preparation of the unaudited consolidated financial statements in conformity with U.S. GAAP requires management to make estimates and assumptions that affect the carrying amounts of assets and liabilities and disclosure of contingent assets and liabilities included in the unaudited consolidated financial statements. Although these estimates are based on management’s best assessment of the current business environment, actual results may be different from these estimates. The significant estimates that affect the unaudited consolidated financial statements include, but are not limited to, estimates of the contingent consideration, credit risk of customers, the nature and timing of the satisfaction of performance obligations, the standalone selling price of performance obligations, variable consideration in a customer contract, expected recoverability from customers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34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with contingent fee arrangements, estimated costs to complete fixed price contracts, assets and obligations related to employee benefit plans, deferred tax valuation allowances, income-tax uncertainties and other contingencies, valuation of derivative financial instruments and stock-based awards, and useful life of long-lived assets and other intangible assets. The significant assumptions underneath these estimates include, but are not limited to assumptions to calculate stock-based compensation expense, determine incremental borrowing rate to calculate lease liabilities and right-of-use (“ROU”) assets, determine lease term to calculate single operating lease cost, determine pattern of generation of economic benefits to calculate depreciation and amortization for long-lived assets and other intangible assets, and recoverability of long-lived assets, goodwill and other intangible assets.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 Recent Accounting Pronouncements</w:t>
      </w:r>
    </w:p>
    <w:p>
      <w:pPr>
        <w:spacing w:after="0" w:line="232" w:lineRule="exact"/>
        <w:rPr>
          <w:sz w:val="20"/>
          <w:szCs w:val="20"/>
          <w:color w:val="auto"/>
        </w:rPr>
      </w:pPr>
    </w:p>
    <w:p>
      <w:pPr>
        <w:jc w:val="both"/>
        <w:ind w:firstLine="387"/>
        <w:spacing w:after="0" w:line="243" w:lineRule="auto"/>
        <w:rPr>
          <w:sz w:val="20"/>
          <w:szCs w:val="20"/>
          <w:color w:val="auto"/>
        </w:rPr>
      </w:pPr>
      <w:r>
        <w:rPr>
          <w:rFonts w:ascii="Times New Roman" w:cs="Times New Roman" w:eastAsia="Times New Roman" w:hAnsi="Times New Roman"/>
          <w:sz w:val="17"/>
          <w:szCs w:val="17"/>
          <w:color w:val="auto"/>
        </w:rPr>
        <w:t xml:space="preserve">In December 2023, the Financial Accounting Standards Board (“FASB”) issued Accounting Standards Update (“ASU”) No. 2023-09,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(“Accounting Standards Codification (“ASC”) Topic 740”), Improvements to Income Tax Disclosures. </w:t>
      </w:r>
      <w:r>
        <w:rPr>
          <w:rFonts w:ascii="Times New Roman" w:cs="Times New Roman" w:eastAsia="Times New Roman" w:hAnsi="Times New Roman"/>
          <w:sz w:val="17"/>
          <w:szCs w:val="17"/>
          <w:color w:val="auto"/>
        </w:rPr>
        <w:t>This ASU expands disclosures relating to the entity’s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tax rate reconciliation, income taxes paid and certain other disclosures related to income taxes. The ASU is effective for annual periods beginning after December 15, 2024. The Company is currently evaluating the impact of the new disclosure requirements. This ASU will affect the Company’s annual income tax disclosures but is not expected to impact its consolidated balance sheets or statements of income for the year ending December 31, 2025.</w:t>
      </w:r>
    </w:p>
    <w:p>
      <w:pPr>
        <w:spacing w:after="0" w:line="209" w:lineRule="exact"/>
        <w:rPr>
          <w:sz w:val="20"/>
          <w:szCs w:val="20"/>
          <w:color w:val="auto"/>
        </w:rPr>
      </w:pPr>
    </w:p>
    <w:p>
      <w:pPr>
        <w:jc w:val="both"/>
        <w:ind w:firstLine="387"/>
        <w:spacing w:after="0" w:line="262" w:lineRule="auto"/>
        <w:rPr>
          <w:sz w:val="20"/>
          <w:szCs w:val="20"/>
          <w:color w:val="auto"/>
        </w:rPr>
      </w:pPr>
      <w:r>
        <w:rPr>
          <w:rFonts w:ascii="Times New Roman" w:cs="Times New Roman" w:eastAsia="Times New Roman" w:hAnsi="Times New Roman"/>
          <w:sz w:val="17"/>
          <w:szCs w:val="17"/>
          <w:color w:val="auto"/>
        </w:rPr>
        <w:t xml:space="preserve">In November 2024, FASB issued ASU No. 2024-03, </w:t>
      </w:r>
      <w:r>
        <w:rPr>
          <w:rFonts w:ascii="Times New Roman" w:cs="Times New Roman" w:eastAsia="Times New Roman" w:hAnsi="Times New Roman"/>
          <w:sz w:val="17"/>
          <w:szCs w:val="17"/>
          <w:i w:val="1"/>
          <w:iCs w:val="1"/>
          <w:color w:val="auto"/>
        </w:rPr>
        <w:t>Income Statement - Reporting Comprehensive Income (“ASC Topic 220”): Expense Disaggregation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Disclosures</w:t>
      </w:r>
      <w:r>
        <w:rPr>
          <w:rFonts w:ascii="Times New Roman" w:cs="Times New Roman" w:eastAsia="Times New Roman" w:hAnsi="Times New Roman"/>
          <w:sz w:val="17"/>
          <w:szCs w:val="17"/>
          <w:color w:val="auto"/>
        </w:rPr>
        <w:t>. This ASU improves disclosures relating to the disaggregation of income statement expenses, requires additional disclosures about the nature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expenses in commonly presented financial statement captions on an annual and interim basis for all public business entities. The ASU will be effective for annual reporting periods beginning after December 15, 2026, and interim periods within annual reporting periods beginning after December 15, 2027, with early adoption permitted. The Company is currently evaluating the impact of this ASU on its unaudited consolidated financial statements.</w:t>
      </w:r>
    </w:p>
    <w:p>
      <w:pPr>
        <w:spacing w:after="0" w:line="169" w:lineRule="exact"/>
        <w:rPr>
          <w:sz w:val="20"/>
          <w:szCs w:val="20"/>
          <w:color w:val="auto"/>
        </w:rPr>
      </w:pPr>
    </w:p>
    <w:p>
      <w:pPr>
        <w:ind w:left="220" w:hanging="217"/>
        <w:spacing w:after="0"/>
        <w:tabs>
          <w:tab w:leader="none" w:pos="2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Recently Adopted and Applicable Accounting Pronouncements</w:t>
      </w:r>
    </w:p>
    <w:p>
      <w:pPr>
        <w:spacing w:after="0" w:line="232" w:lineRule="exact"/>
        <w:rPr>
          <w:sz w:val="20"/>
          <w:szCs w:val="20"/>
          <w:color w:val="auto"/>
        </w:rPr>
      </w:pPr>
    </w:p>
    <w:p>
      <w:pPr>
        <w:jc w:val="both"/>
        <w:ind w:firstLine="387"/>
        <w:spacing w:after="0" w:line="247" w:lineRule="auto"/>
        <w:rPr>
          <w:sz w:val="20"/>
          <w:szCs w:val="20"/>
          <w:color w:val="auto"/>
        </w:rPr>
      </w:pPr>
      <w:r>
        <w:rPr>
          <w:rFonts w:ascii="Times New Roman" w:cs="Times New Roman" w:eastAsia="Times New Roman" w:hAnsi="Times New Roman"/>
          <w:sz w:val="17"/>
          <w:szCs w:val="17"/>
          <w:color w:val="auto"/>
        </w:rPr>
        <w:t xml:space="preserve">In March 2024, FASB issued ASU No. 2024-01, </w:t>
      </w:r>
      <w:r>
        <w:rPr>
          <w:rFonts w:ascii="Times New Roman" w:cs="Times New Roman" w:eastAsia="Times New Roman" w:hAnsi="Times New Roman"/>
          <w:sz w:val="17"/>
          <w:szCs w:val="17"/>
          <w:i w:val="1"/>
          <w:iCs w:val="1"/>
          <w:color w:val="auto"/>
        </w:rPr>
        <w:t>Compensation-Stock Compensation (“ASC Topic 718”)</w:t>
      </w:r>
      <w:r>
        <w:rPr>
          <w:rFonts w:ascii="Times New Roman" w:cs="Times New Roman" w:eastAsia="Times New Roman" w:hAnsi="Times New Roman"/>
          <w:sz w:val="17"/>
          <w:szCs w:val="17"/>
          <w:color w:val="auto"/>
        </w:rPr>
        <w:t>. This ASU clarifies how to evaluate whether profits interest and similar awards given to employees and non-employees are within the scope of share-based payment arrangement under ASC Topic 718. The ASU will be effective for annual periods beginning after December 15, 2024, including interim periods within those years, with early adoption permitted. The Company has early adopted this ASU beginning January 1, 2024. The adoption of this ASU did not have a material impact on the Company’s unaudited consolidated financial statements.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Segment Information</w:t>
      </w:r>
    </w:p>
    <w:p>
      <w:pPr>
        <w:spacing w:after="0" w:line="2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Company is a provider of data and AI-led and digital operations services in an integrated manner for clients across industry verticals.</w:t>
      </w:r>
    </w:p>
    <w:p>
      <w:pPr>
        <w:spacing w:after="0" w:line="230" w:lineRule="exact"/>
        <w:rPr>
          <w:sz w:val="20"/>
          <w:szCs w:val="20"/>
          <w:color w:val="auto"/>
        </w:rPr>
      </w:pPr>
    </w:p>
    <w:p>
      <w:pPr>
        <w:jc w:val="both"/>
        <w:ind w:firstLine="387"/>
        <w:spacing w:after="0" w:line="248" w:lineRule="auto"/>
        <w:rPr>
          <w:sz w:val="20"/>
          <w:szCs w:val="20"/>
          <w:color w:val="auto"/>
        </w:rPr>
      </w:pPr>
      <w:r>
        <w:rPr>
          <w:rFonts w:ascii="Times New Roman" w:cs="Times New Roman" w:eastAsia="Times New Roman" w:hAnsi="Times New Roman"/>
          <w:sz w:val="17"/>
          <w:szCs w:val="17"/>
          <w:color w:val="auto"/>
        </w:rPr>
        <w:t>In the first quarter of 2025, the Company implemented operational and structural changes to align with how the Company’s Chief Operating Decision Maker (“CODM”) reviews financial information and makes operating decisions. This new operating model comprises of Industry Market Units (“IMUs”) which focus on delivering higher value to clients by leveraging full suite of capabilities; and Strategic Growth Units which rapidly advance the capabilities specific to various industries and client needs.</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Consequently, the Company realigned its reportable segments to the IMUs as follows:</w:t>
      </w:r>
    </w:p>
    <w:p>
      <w:pPr>
        <w:spacing w:after="0" w:line="28" w:lineRule="exact"/>
        <w:rPr>
          <w:sz w:val="20"/>
          <w:szCs w:val="20"/>
          <w:color w:val="auto"/>
        </w:rPr>
      </w:pPr>
    </w:p>
    <w:p>
      <w:pPr>
        <w:ind w:left="1000" w:hanging="301"/>
        <w:spacing w:after="0"/>
        <w:tabs>
          <w:tab w:leader="none" w:pos="10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w:t>
      </w:r>
    </w:p>
    <w:p>
      <w:pPr>
        <w:spacing w:after="0" w:line="10" w:lineRule="exact"/>
        <w:rPr>
          <w:rFonts w:ascii="Times New Roman" w:cs="Times New Roman" w:eastAsia="Times New Roman" w:hAnsi="Times New Roman"/>
          <w:sz w:val="17"/>
          <w:szCs w:val="17"/>
          <w:color w:val="auto"/>
        </w:rPr>
      </w:pPr>
    </w:p>
    <w:p>
      <w:pPr>
        <w:ind w:left="1000" w:hanging="301"/>
        <w:spacing w:after="0"/>
        <w:tabs>
          <w:tab w:leader="none" w:pos="10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Healthcare and Life Sciences,</w:t>
      </w:r>
    </w:p>
    <w:p>
      <w:pPr>
        <w:spacing w:after="0" w:line="10" w:lineRule="exact"/>
        <w:rPr>
          <w:rFonts w:ascii="Times New Roman" w:cs="Times New Roman" w:eastAsia="Times New Roman" w:hAnsi="Times New Roman"/>
          <w:sz w:val="17"/>
          <w:szCs w:val="17"/>
          <w:color w:val="auto"/>
        </w:rPr>
      </w:pPr>
    </w:p>
    <w:p>
      <w:pPr>
        <w:ind w:left="1000" w:hanging="301"/>
        <w:spacing w:after="0"/>
        <w:tabs>
          <w:tab w:leader="none" w:pos="10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Banking, Capital Markets and Diversified Industries,</w:t>
      </w:r>
    </w:p>
    <w:p>
      <w:pPr>
        <w:spacing w:after="0" w:line="10" w:lineRule="exact"/>
        <w:rPr>
          <w:rFonts w:ascii="Times New Roman" w:cs="Times New Roman" w:eastAsia="Times New Roman" w:hAnsi="Times New Roman"/>
          <w:sz w:val="17"/>
          <w:szCs w:val="17"/>
          <w:color w:val="auto"/>
        </w:rPr>
      </w:pPr>
    </w:p>
    <w:p>
      <w:pPr>
        <w:ind w:left="1000" w:hanging="301"/>
        <w:spacing w:after="0"/>
        <w:tabs>
          <w:tab w:leader="none" w:pos="10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Growth Markets</w:t>
      </w:r>
    </w:p>
    <w:p>
      <w:pPr>
        <w:spacing w:after="0" w:line="226" w:lineRule="exact"/>
        <w:rPr>
          <w:sz w:val="20"/>
          <w:szCs w:val="20"/>
          <w:color w:val="auto"/>
        </w:rPr>
      </w:pPr>
    </w:p>
    <w:p>
      <w:pPr>
        <w:ind w:firstLine="387"/>
        <w:spacing w:after="0" w:line="287" w:lineRule="auto"/>
        <w:rPr>
          <w:sz w:val="20"/>
          <w:szCs w:val="20"/>
          <w:color w:val="auto"/>
        </w:rPr>
      </w:pPr>
      <w:r>
        <w:rPr>
          <w:rFonts w:ascii="Times New Roman" w:cs="Times New Roman" w:eastAsia="Times New Roman" w:hAnsi="Times New Roman"/>
          <w:sz w:val="17"/>
          <w:szCs w:val="17"/>
          <w:color w:val="auto"/>
        </w:rPr>
        <w:t>The primary changes in the new reportable segments reflect 1) the integration of the former Analytics reportable segment as a core capability within each of the IMUs, ensuring alignment with the specialized needs of clients across IMUs, 2) the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36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7"/>
          <w:szCs w:val="17"/>
          <w:color w:val="auto"/>
        </w:rPr>
        <w:t>reorganization of the former Emerging Business reportable segment into a Banking, Capital Markets and Diversified Industries reportable segment, excluding Life Sciences, which is now a part of the new Healthcare and Life Sciences reportable segment, and 3) the formation of International Growth Markets as a separate business unit to represent all service and solutions offerings to clients in the United Kingdom, Europe, Middle East, Asia-Pacific and South Africa geographies across all industry verticals. The International Growth Markets business unit will help the Company to strategically expand its footprint in markets outside of North America and drive focus on offerings and expansion in those markets in new and existing clients.</w:t>
      </w:r>
    </w:p>
    <w:p>
      <w:pPr>
        <w:spacing w:after="0" w:line="200" w:lineRule="exact"/>
        <w:rPr>
          <w:sz w:val="20"/>
          <w:szCs w:val="20"/>
          <w:color w:val="auto"/>
        </w:rPr>
      </w:pPr>
    </w:p>
    <w:p>
      <w:pPr>
        <w:jc w:val="both"/>
        <w:ind w:right="100" w:firstLine="387"/>
        <w:spacing w:after="0" w:line="287" w:lineRule="auto"/>
        <w:rPr>
          <w:sz w:val="20"/>
          <w:szCs w:val="20"/>
          <w:color w:val="auto"/>
        </w:rPr>
      </w:pPr>
      <w:r>
        <w:rPr>
          <w:rFonts w:ascii="Times New Roman" w:cs="Times New Roman" w:eastAsia="Times New Roman" w:hAnsi="Times New Roman"/>
          <w:sz w:val="17"/>
          <w:szCs w:val="17"/>
          <w:color w:val="auto"/>
        </w:rPr>
        <w:t>In addition, revenues by service type are now presented as data and AI-led and digital operations services. Revenues attributable to geographical regions are now presented as North America (including the United States, Canada and Mexico), the United Kingdom &amp; Europe, and the Rest of World.</w:t>
      </w:r>
    </w:p>
    <w:p>
      <w:pPr>
        <w:spacing w:after="0" w:line="177" w:lineRule="exact"/>
        <w:rPr>
          <w:sz w:val="20"/>
          <w:szCs w:val="20"/>
          <w:color w:val="auto"/>
        </w:rPr>
      </w:pPr>
    </w:p>
    <w:p>
      <w:pPr>
        <w:jc w:val="both"/>
        <w:ind w:right="100" w:firstLine="387"/>
        <w:spacing w:after="0" w:line="287" w:lineRule="auto"/>
        <w:rPr>
          <w:sz w:val="20"/>
          <w:szCs w:val="20"/>
          <w:color w:val="auto"/>
        </w:rPr>
      </w:pPr>
      <w:r>
        <w:rPr>
          <w:rFonts w:ascii="Times New Roman" w:cs="Times New Roman" w:eastAsia="Times New Roman" w:hAnsi="Times New Roman"/>
          <w:sz w:val="17"/>
          <w:szCs w:val="17"/>
          <w:color w:val="auto"/>
        </w:rPr>
        <w:t>The Company has recast segment disclosures for the prior periods presented herein to conform to the new segment structure. This change in segment presentation does not affect the Company’s unaudited consolidated statements of income, balance sheet or statements of cash flows.</w:t>
      </w:r>
    </w:p>
    <w:p>
      <w:pPr>
        <w:spacing w:after="0" w:line="177" w:lineRule="exact"/>
        <w:rPr>
          <w:sz w:val="20"/>
          <w:szCs w:val="20"/>
          <w:color w:val="auto"/>
        </w:rPr>
      </w:pPr>
    </w:p>
    <w:p>
      <w:pPr>
        <w:jc w:val="both"/>
        <w:ind w:right="100" w:firstLine="387"/>
        <w:spacing w:after="0" w:line="287" w:lineRule="auto"/>
        <w:rPr>
          <w:sz w:val="20"/>
          <w:szCs w:val="20"/>
          <w:color w:val="auto"/>
        </w:rPr>
      </w:pPr>
      <w:r>
        <w:rPr>
          <w:rFonts w:ascii="Times New Roman" w:cs="Times New Roman" w:eastAsia="Times New Roman" w:hAnsi="Times New Roman"/>
          <w:sz w:val="17"/>
          <w:szCs w:val="17"/>
          <w:color w:val="auto"/>
        </w:rPr>
        <w:t>The Company’s Chief Executive Officer has been identified as the CODM. The CODM generally reviews financial information such as revenues, cost of revenues and gross profit to allocate an overall budget and measure segment performance.</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Revenues and cost of revenues for the three months ended June 30, 2025 and 2024, respectively, for each of the reportable segments, are as follows:</w:t>
      </w:r>
    </w:p>
    <w:p>
      <w:pPr>
        <w:spacing w:after="0" w:line="282"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46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gridSpan w:val="8"/>
          </w:tcPr>
          <w:p>
            <w:pPr>
              <w:ind w:left="660"/>
              <w:spacing w:after="0"/>
              <w:rPr>
                <w:sz w:val="20"/>
                <w:szCs w:val="20"/>
                <w:color w:val="auto"/>
              </w:rPr>
            </w:pPr>
            <w:r>
              <w:rPr>
                <w:rFonts w:ascii="Times New Roman" w:cs="Times New Roman" w:eastAsia="Times New Roman" w:hAnsi="Times New Roman"/>
                <w:sz w:val="15"/>
                <w:szCs w:val="15"/>
                <w:b w:val="1"/>
                <w:bCs w:val="1"/>
                <w:color w:val="auto"/>
              </w:rPr>
              <w:t>Three months ended June 30, 2025</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Healthcare and Life</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Banking, Capital</w:t>
            </w:r>
          </w:p>
        </w:tc>
        <w:tc>
          <w:tcPr>
            <w:tcW w:w="14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6"/>
              </w:rPr>
              <w:t>International</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46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80" w:type="dxa"/>
            <w:vAlign w:val="bottom"/>
            <w:gridSpan w:val="2"/>
            <w:vMerge w:val="restart"/>
            <w:shd w:val="clear" w:color="auto" w:fill="CCEEFF"/>
          </w:tcPr>
          <w:p>
            <w:pPr>
              <w:ind w:left="60"/>
              <w:spacing w:after="0" w:line="155" w:lineRule="exact"/>
              <w:rPr>
                <w:sz w:val="20"/>
                <w:szCs w:val="20"/>
                <w:color w:val="auto"/>
              </w:rPr>
            </w:pPr>
            <w:r>
              <w:rPr>
                <w:rFonts w:ascii="Times New Roman" w:cs="Times New Roman" w:eastAsia="Times New Roman" w:hAnsi="Times New Roman"/>
                <w:sz w:val="15"/>
                <w:szCs w:val="15"/>
                <w:b w:val="1"/>
                <w:bCs w:val="1"/>
                <w:color w:val="auto"/>
              </w:rPr>
              <w:t>Insurance</w:t>
            </w:r>
          </w:p>
        </w:tc>
        <w:tc>
          <w:tcPr>
            <w:tcW w:w="1400" w:type="dxa"/>
            <w:vAlign w:val="bottom"/>
            <w:gridSpan w:val="3"/>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0" w:type="dxa"/>
            <w:vAlign w:val="bottom"/>
            <w:gridSpan w:val="2"/>
            <w:vMerge w:val="restart"/>
            <w:shd w:val="clear" w:color="auto" w:fill="CCEEFF"/>
          </w:tcPr>
          <w:p>
            <w:pPr>
              <w:jc w:val="center"/>
              <w:ind w:right="240"/>
              <w:spacing w:after="0" w:line="155" w:lineRule="exact"/>
              <w:rPr>
                <w:sz w:val="20"/>
                <w:szCs w:val="20"/>
                <w:color w:val="auto"/>
              </w:rPr>
            </w:pPr>
            <w:r>
              <w:rPr>
                <w:rFonts w:ascii="Times New Roman" w:cs="Times New Roman" w:eastAsia="Times New Roman" w:hAnsi="Times New Roman"/>
                <w:sz w:val="15"/>
                <w:szCs w:val="15"/>
                <w:b w:val="1"/>
                <w:bCs w:val="1"/>
                <w:color w:val="auto"/>
                <w:w w:val="97"/>
              </w:rPr>
              <w:t>Markets and</w:t>
            </w:r>
          </w:p>
        </w:tc>
        <w:tc>
          <w:tcPr>
            <w:tcW w:w="14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vMerge w:val="restart"/>
            <w:shd w:val="clear" w:color="auto" w:fill="CCEEFF"/>
          </w:tcPr>
          <w:p>
            <w:pPr>
              <w:jc w:val="right"/>
              <w:ind w:right="175"/>
              <w:spacing w:after="0" w:line="155"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77"/>
        </w:trPr>
        <w:tc>
          <w:tcPr>
            <w:tcW w:w="46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Sciences</w:t>
            </w:r>
          </w:p>
        </w:tc>
        <w:tc>
          <w:tcPr>
            <w:tcW w:w="14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340" w:type="dxa"/>
            <w:vAlign w:val="bottom"/>
            <w:gridSpan w:val="3"/>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8"/>
              </w:rPr>
              <w:t>Growth Markets</w:t>
            </w:r>
          </w:p>
        </w:tc>
        <w:tc>
          <w:tcPr>
            <w:tcW w:w="22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4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40" w:type="dxa"/>
            <w:vAlign w:val="bottom"/>
            <w:gridSpan w:val="2"/>
            <w:vMerge w:val="continue"/>
            <w:shd w:val="clear" w:color="auto" w:fill="CCEEFF"/>
          </w:tcPr>
          <w:p>
            <w:pPr>
              <w:spacing w:after="0"/>
              <w:rPr>
                <w:sz w:val="9"/>
                <w:szCs w:val="9"/>
                <w:color w:val="auto"/>
              </w:rPr>
            </w:pPr>
          </w:p>
        </w:tc>
        <w:tc>
          <w:tcPr>
            <w:tcW w:w="154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Diversified Industries</w:t>
            </w:r>
          </w:p>
        </w:tc>
        <w:tc>
          <w:tcPr>
            <w:tcW w:w="1340" w:type="dxa"/>
            <w:vAlign w:val="bottom"/>
            <w:gridSpan w:val="3"/>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46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gridSpan w:val="3"/>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464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04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30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08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172,174</w:t>
            </w:r>
          </w:p>
        </w:tc>
        <w:tc>
          <w:tcPr>
            <w:tcW w:w="8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129,489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121,089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91,708</w:t>
            </w:r>
          </w:p>
        </w:tc>
        <w:tc>
          <w:tcPr>
            <w:tcW w:w="12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514,460</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Cost of revenues </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 costs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95,370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272,137</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Infrastructure and technology costs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35,108</w:t>
            </w:r>
          </w:p>
        </w:tc>
        <w:tc>
          <w:tcPr>
            <w:tcW w:w="0" w:type="dxa"/>
            <w:vAlign w:val="bottom"/>
          </w:tcPr>
          <w:p>
            <w:pPr>
              <w:spacing w:after="0"/>
              <w:rPr>
                <w:sz w:val="1"/>
                <w:szCs w:val="1"/>
                <w:color w:val="auto"/>
              </w:rPr>
            </w:pPr>
          </w:p>
        </w:tc>
      </w:tr>
      <w:tr>
        <w:trPr>
          <w:trHeight w:val="219"/>
        </w:trPr>
        <w:tc>
          <w:tcPr>
            <w:tcW w:w="4640" w:type="dxa"/>
            <w:vAlign w:val="bottom"/>
            <w:tcBorders>
              <w:bottom w:val="single" w:sz="8" w:color="CCEEFF"/>
            </w:tcBorders>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Other costs </w:t>
            </w:r>
            <w:r>
              <w:rPr>
                <w:rFonts w:ascii="Times New Roman" w:cs="Times New Roman" w:eastAsia="Times New Roman" w:hAnsi="Times New Roman"/>
                <w:sz w:val="21"/>
                <w:szCs w:val="21"/>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13,027</w:t>
            </w:r>
          </w:p>
        </w:tc>
        <w:tc>
          <w:tcPr>
            <w:tcW w:w="0" w:type="dxa"/>
            <w:vAlign w:val="bottom"/>
          </w:tcPr>
          <w:p>
            <w:pPr>
              <w:spacing w:after="0"/>
              <w:rPr>
                <w:sz w:val="1"/>
                <w:szCs w:val="1"/>
                <w:color w:val="auto"/>
              </w:rPr>
            </w:pPr>
          </w:p>
        </w:tc>
      </w:tr>
      <w:tr>
        <w:trPr>
          <w:trHeight w:val="237"/>
        </w:trPr>
        <w:tc>
          <w:tcPr>
            <w:tcW w:w="4640" w:type="dxa"/>
            <w:vAlign w:val="bottom"/>
            <w:tcBorders>
              <w:bottom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Gross profit </w:t>
            </w:r>
            <w:r>
              <w:rPr>
                <w:rFonts w:ascii="Times New Roman" w:cs="Times New Roman" w:eastAsia="Times New Roman" w:hAnsi="Times New Roman"/>
                <w:sz w:val="21"/>
                <w:szCs w:val="21"/>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59,866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56,384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194,188</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113,050</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gain, net, interest expense and other income, net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w:t>
            </w:r>
          </w:p>
        </w:tc>
        <w:tc>
          <w:tcPr>
            <w:tcW w:w="0" w:type="dxa"/>
            <w:vAlign w:val="bottom"/>
          </w:tcPr>
          <w:p>
            <w:pPr>
              <w:spacing w:after="0"/>
              <w:rPr>
                <w:sz w:val="1"/>
                <w:szCs w:val="1"/>
                <w:color w:val="auto"/>
              </w:rPr>
            </w:pPr>
          </w:p>
        </w:tc>
      </w:tr>
      <w:tr>
        <w:trPr>
          <w:trHeight w:val="219"/>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18,546</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equity-method investment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12"/>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66,051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860" w:hanging="238"/>
        <w:spacing w:after="0"/>
        <w:tabs>
          <w:tab w:leader="none" w:pos="8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Exclusive of depreciation and amortization expense.</w:t>
      </w:r>
    </w:p>
    <w:p>
      <w:pPr>
        <w:spacing w:after="0" w:line="242" w:lineRule="exact"/>
        <w:rPr>
          <w:rFonts w:ascii="Times New Roman" w:cs="Times New Roman" w:eastAsia="Times New Roman" w:hAnsi="Times New Roman"/>
          <w:sz w:val="17"/>
          <w:szCs w:val="17"/>
          <w:color w:val="auto"/>
        </w:rPr>
      </w:pPr>
    </w:p>
    <w:p>
      <w:pPr>
        <w:ind w:left="380" w:right="100" w:firstLine="242"/>
        <w:spacing w:after="0" w:line="287" w:lineRule="auto"/>
        <w:tabs>
          <w:tab w:leader="none" w:pos="85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costs primarily include travel and entertainment costs and other direct pass-through expenses related to client contracts for the Company’s direct marketing business.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40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5"/>
          <w:szCs w:val="15"/>
          <w:b w:val="1"/>
          <w:bCs w:val="1"/>
          <w:color w:val="auto"/>
        </w:rPr>
        <w:t>Three months ended June 30, 2024</w:t>
      </w:r>
    </w:p>
    <w:p>
      <w:pPr>
        <w:spacing w:after="0" w:line="31" w:lineRule="exact"/>
        <w:rPr>
          <w:sz w:val="20"/>
          <w:szCs w:val="20"/>
          <w:color w:val="auto"/>
        </w:rPr>
      </w:pPr>
    </w:p>
    <w:tbl>
      <w:tblPr>
        <w:tblLayout w:type="fixed"/>
        <w:tblInd w:w="380" w:type="dxa"/>
        <w:tblCellMar>
          <w:top w:w="0" w:type="dxa"/>
          <w:left w:w="0" w:type="dxa"/>
          <w:bottom w:w="0" w:type="dxa"/>
          <w:right w:w="0" w:type="dxa"/>
        </w:tblCellMar>
      </w:tblPr>
      <w:tr>
        <w:trPr>
          <w:trHeight w:val="140"/>
        </w:trPr>
        <w:tc>
          <w:tcPr>
            <w:tcW w:w="46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7"/>
              </w:rPr>
              <w:t>Healthcare and</w:t>
            </w:r>
          </w:p>
        </w:tc>
        <w:tc>
          <w:tcPr>
            <w:tcW w:w="16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gridSpan w:val="2"/>
            <w:shd w:val="clear" w:color="auto" w:fill="CCEEFF"/>
          </w:tcPr>
          <w:p>
            <w:pPr>
              <w:jc w:val="center"/>
              <w:ind w:right="260"/>
              <w:spacing w:after="0" w:line="141" w:lineRule="exact"/>
              <w:rPr>
                <w:sz w:val="20"/>
                <w:szCs w:val="20"/>
                <w:color w:val="auto"/>
              </w:rPr>
            </w:pPr>
            <w:r>
              <w:rPr>
                <w:rFonts w:ascii="Times New Roman" w:cs="Times New Roman" w:eastAsia="Times New Roman" w:hAnsi="Times New Roman"/>
                <w:sz w:val="15"/>
                <w:szCs w:val="15"/>
                <w:b w:val="1"/>
                <w:bCs w:val="1"/>
                <w:color w:val="auto"/>
                <w:w w:val="98"/>
              </w:rPr>
              <w:t>Banking, Capital</w:t>
            </w:r>
          </w:p>
        </w:tc>
        <w:tc>
          <w:tcPr>
            <w:tcW w:w="14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6"/>
              </w:rPr>
              <w:t>International</w:t>
            </w:r>
          </w:p>
        </w:tc>
        <w:tc>
          <w:tcPr>
            <w:tcW w:w="2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46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80" w:type="dxa"/>
            <w:vAlign w:val="bottom"/>
            <w:gridSpan w:val="2"/>
            <w:vMerge w:val="restart"/>
            <w:shd w:val="clear" w:color="auto" w:fill="CCEEFF"/>
          </w:tcPr>
          <w:p>
            <w:pPr>
              <w:ind w:left="60"/>
              <w:spacing w:after="0" w:line="149" w:lineRule="exact"/>
              <w:rPr>
                <w:sz w:val="20"/>
                <w:szCs w:val="20"/>
                <w:color w:val="auto"/>
              </w:rPr>
            </w:pPr>
            <w:r>
              <w:rPr>
                <w:rFonts w:ascii="Times New Roman" w:cs="Times New Roman" w:eastAsia="Times New Roman" w:hAnsi="Times New Roman"/>
                <w:sz w:val="15"/>
                <w:szCs w:val="15"/>
                <w:b w:val="1"/>
                <w:bCs w:val="1"/>
                <w:color w:val="auto"/>
              </w:rPr>
              <w:t>Insurance</w:t>
            </w:r>
          </w:p>
        </w:tc>
        <w:tc>
          <w:tcPr>
            <w:tcW w:w="120" w:type="dxa"/>
            <w:vAlign w:val="bottom"/>
            <w:shd w:val="clear" w:color="auto" w:fill="CCEEFF"/>
          </w:tcPr>
          <w:p>
            <w:pPr>
              <w:spacing w:after="0"/>
              <w:rPr>
                <w:sz w:val="5"/>
                <w:szCs w:val="5"/>
                <w:color w:val="auto"/>
              </w:rPr>
            </w:pPr>
          </w:p>
        </w:tc>
        <w:tc>
          <w:tcPr>
            <w:tcW w:w="124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20" w:type="dxa"/>
            <w:vAlign w:val="bottom"/>
            <w:gridSpan w:val="2"/>
            <w:vMerge w:val="restart"/>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w w:val="97"/>
              </w:rPr>
              <w:t>Markets and</w:t>
            </w:r>
          </w:p>
        </w:tc>
        <w:tc>
          <w:tcPr>
            <w:tcW w:w="14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700" w:type="dxa"/>
            <w:vAlign w:val="bottom"/>
            <w:vMerge w:val="restart"/>
            <w:shd w:val="clear" w:color="auto" w:fill="CCEEFF"/>
          </w:tcPr>
          <w:p>
            <w:pPr>
              <w:jc w:val="right"/>
              <w:ind w:right="155"/>
              <w:spacing w:after="0" w:line="149"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84"/>
        </w:trPr>
        <w:tc>
          <w:tcPr>
            <w:tcW w:w="46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8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Life Sciences</w:t>
            </w:r>
          </w:p>
        </w:tc>
        <w:tc>
          <w:tcPr>
            <w:tcW w:w="160" w:type="dxa"/>
            <w:vAlign w:val="bottom"/>
            <w:shd w:val="clear" w:color="auto" w:fill="CCEEFF"/>
          </w:tcPr>
          <w:p>
            <w:pPr>
              <w:spacing w:after="0"/>
              <w:rPr>
                <w:sz w:val="7"/>
                <w:szCs w:val="7"/>
                <w:color w:val="auto"/>
              </w:rPr>
            </w:pPr>
          </w:p>
        </w:tc>
        <w:tc>
          <w:tcPr>
            <w:tcW w:w="1420" w:type="dxa"/>
            <w:vAlign w:val="bottom"/>
            <w:gridSpan w:val="2"/>
            <w:vMerge w:val="continue"/>
            <w:shd w:val="clear" w:color="auto" w:fill="CCEEFF"/>
          </w:tcPr>
          <w:p>
            <w:pPr>
              <w:spacing w:after="0"/>
              <w:rPr>
                <w:sz w:val="7"/>
                <w:szCs w:val="7"/>
                <w:color w:val="auto"/>
              </w:rPr>
            </w:pPr>
          </w:p>
        </w:tc>
        <w:tc>
          <w:tcPr>
            <w:tcW w:w="128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Growth Markets</w:t>
            </w:r>
          </w:p>
        </w:tc>
        <w:tc>
          <w:tcPr>
            <w:tcW w:w="26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40" w:type="dxa"/>
            <w:vAlign w:val="bottom"/>
            <w:gridSpan w:val="2"/>
            <w:vMerge w:val="continue"/>
            <w:shd w:val="clear" w:color="auto" w:fill="CCEEFF"/>
          </w:tcPr>
          <w:p>
            <w:pPr>
              <w:spacing w:after="0"/>
              <w:rPr>
                <w:sz w:val="9"/>
                <w:szCs w:val="9"/>
                <w:color w:val="auto"/>
              </w:rPr>
            </w:pPr>
          </w:p>
        </w:tc>
        <w:tc>
          <w:tcPr>
            <w:tcW w:w="158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Diversified Industries</w:t>
            </w:r>
          </w:p>
        </w:tc>
        <w:tc>
          <w:tcPr>
            <w:tcW w:w="1280" w:type="dxa"/>
            <w:vAlign w:val="bottom"/>
            <w:gridSpan w:val="3"/>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46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580" w:type="dxa"/>
            <w:vAlign w:val="bottom"/>
            <w:gridSpan w:val="3"/>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 net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158,459</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106,117</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104,573</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79,217</w:t>
            </w: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448,36</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Cost of revenues </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 costs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43,353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233,63</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Infrastructure and technology costs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30,58</w:t>
            </w:r>
          </w:p>
        </w:tc>
        <w:tc>
          <w:tcPr>
            <w:tcW w:w="0" w:type="dxa"/>
            <w:vAlign w:val="bottom"/>
          </w:tcPr>
          <w:p>
            <w:pPr>
              <w:spacing w:after="0"/>
              <w:rPr>
                <w:sz w:val="1"/>
                <w:szCs w:val="1"/>
                <w:color w:val="auto"/>
              </w:rPr>
            </w:pPr>
          </w:p>
        </w:tc>
      </w:tr>
      <w:tr>
        <w:trPr>
          <w:trHeight w:val="219"/>
        </w:trPr>
        <w:tc>
          <w:tcPr>
            <w:tcW w:w="4640" w:type="dxa"/>
            <w:vAlign w:val="bottom"/>
            <w:tcBorders>
              <w:bottom w:val="single" w:sz="8" w:color="CCEEFF"/>
            </w:tcBorders>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Other costs </w:t>
            </w:r>
            <w:r>
              <w:rPr>
                <w:rFonts w:ascii="Times New Roman" w:cs="Times New Roman" w:eastAsia="Times New Roman" w:hAnsi="Times New Roman"/>
                <w:sz w:val="21"/>
                <w:szCs w:val="21"/>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9,140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17,88</w:t>
            </w:r>
          </w:p>
        </w:tc>
        <w:tc>
          <w:tcPr>
            <w:tcW w:w="0" w:type="dxa"/>
            <w:vAlign w:val="bottom"/>
          </w:tcPr>
          <w:p>
            <w:pPr>
              <w:spacing w:after="0"/>
              <w:rPr>
                <w:sz w:val="1"/>
                <w:szCs w:val="1"/>
                <w:color w:val="auto"/>
              </w:rPr>
            </w:pPr>
          </w:p>
        </w:tc>
      </w:tr>
      <w:tr>
        <w:trPr>
          <w:trHeight w:val="237"/>
        </w:trPr>
        <w:tc>
          <w:tcPr>
            <w:tcW w:w="4640" w:type="dxa"/>
            <w:vAlign w:val="bottom"/>
            <w:tcBorders>
              <w:bottom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Gross profit </w:t>
            </w:r>
            <w:r>
              <w:rPr>
                <w:rFonts w:ascii="Times New Roman" w:cs="Times New Roman" w:eastAsia="Times New Roman" w:hAnsi="Times New Roman"/>
                <w:sz w:val="21"/>
                <w:szCs w:val="21"/>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53,939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26,980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166,26</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104,81</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gain, net, interest expense and other income, net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0" w:type="dxa"/>
            <w:vAlign w:val="bottom"/>
          </w:tcPr>
          <w:p>
            <w:pPr>
              <w:spacing w:after="0"/>
              <w:rPr>
                <w:sz w:val="1"/>
                <w:szCs w:val="1"/>
                <w:color w:val="auto"/>
              </w:rPr>
            </w:pPr>
          </w:p>
        </w:tc>
      </w:tr>
      <w:tr>
        <w:trPr>
          <w:trHeight w:val="219"/>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13,87</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equity-method investment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45,82</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860" w:hanging="238"/>
        <w:spacing w:after="0"/>
        <w:tabs>
          <w:tab w:leader="none" w:pos="8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Exclusive of depreciation and amortization expense.</w:t>
      </w:r>
    </w:p>
    <w:p>
      <w:pPr>
        <w:spacing w:after="0" w:line="242" w:lineRule="exact"/>
        <w:rPr>
          <w:rFonts w:ascii="Times New Roman" w:cs="Times New Roman" w:eastAsia="Times New Roman" w:hAnsi="Times New Roman"/>
          <w:sz w:val="17"/>
          <w:szCs w:val="17"/>
          <w:color w:val="auto"/>
        </w:rPr>
      </w:pPr>
    </w:p>
    <w:p>
      <w:pPr>
        <w:ind w:left="380" w:right="100" w:firstLine="242"/>
        <w:spacing w:after="0" w:line="287" w:lineRule="auto"/>
        <w:tabs>
          <w:tab w:leader="none" w:pos="85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costs primarily include travel and entertainment costs and other direct pass-through expenses related to client contracts for the Company’s direct marketing business.</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Revenues and cost of revenues for the six months ended June 30, 2025 and 2024, respectively, for each of the reportable segments, are as follows:</w:t>
      </w:r>
    </w:p>
    <w:p>
      <w:pPr>
        <w:spacing w:after="0" w:line="282"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5"/>
          <w:szCs w:val="15"/>
          <w:b w:val="1"/>
          <w:bCs w:val="1"/>
          <w:color w:val="auto"/>
        </w:rPr>
        <w:t>Six months ended June 30, 2025</w:t>
      </w:r>
    </w:p>
    <w:p>
      <w:pPr>
        <w:spacing w:after="0" w:line="31" w:lineRule="exact"/>
        <w:rPr>
          <w:sz w:val="20"/>
          <w:szCs w:val="20"/>
          <w:color w:val="auto"/>
        </w:rPr>
      </w:pPr>
    </w:p>
    <w:tbl>
      <w:tblPr>
        <w:tblLayout w:type="fixed"/>
        <w:tblInd w:w="380" w:type="dxa"/>
        <w:tblCellMar>
          <w:top w:w="0" w:type="dxa"/>
          <w:left w:w="0" w:type="dxa"/>
          <w:bottom w:w="0" w:type="dxa"/>
          <w:right w:w="0" w:type="dxa"/>
        </w:tblCellMar>
      </w:tblPr>
      <w:tr>
        <w:trPr>
          <w:trHeight w:val="140"/>
        </w:trPr>
        <w:tc>
          <w:tcPr>
            <w:tcW w:w="46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7"/>
              </w:rPr>
              <w:t>Healthcare and</w:t>
            </w:r>
          </w:p>
        </w:tc>
        <w:tc>
          <w:tcPr>
            <w:tcW w:w="16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gridSpan w:val="2"/>
            <w:shd w:val="clear" w:color="auto" w:fill="CCEEFF"/>
          </w:tcPr>
          <w:p>
            <w:pPr>
              <w:jc w:val="center"/>
              <w:ind w:right="260"/>
              <w:spacing w:after="0" w:line="141" w:lineRule="exact"/>
              <w:rPr>
                <w:sz w:val="20"/>
                <w:szCs w:val="20"/>
                <w:color w:val="auto"/>
              </w:rPr>
            </w:pPr>
            <w:r>
              <w:rPr>
                <w:rFonts w:ascii="Times New Roman" w:cs="Times New Roman" w:eastAsia="Times New Roman" w:hAnsi="Times New Roman"/>
                <w:sz w:val="15"/>
                <w:szCs w:val="15"/>
                <w:b w:val="1"/>
                <w:bCs w:val="1"/>
                <w:color w:val="auto"/>
                <w:w w:val="98"/>
              </w:rPr>
              <w:t>Banking, Capital</w:t>
            </w:r>
          </w:p>
        </w:tc>
        <w:tc>
          <w:tcPr>
            <w:tcW w:w="14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6"/>
              </w:rPr>
              <w:t>International</w:t>
            </w:r>
          </w:p>
        </w:tc>
        <w:tc>
          <w:tcPr>
            <w:tcW w:w="2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46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80" w:type="dxa"/>
            <w:vAlign w:val="bottom"/>
            <w:gridSpan w:val="2"/>
            <w:vMerge w:val="restart"/>
            <w:shd w:val="clear" w:color="auto" w:fill="CCEEFF"/>
          </w:tcPr>
          <w:p>
            <w:pPr>
              <w:ind w:left="60"/>
              <w:spacing w:after="0" w:line="142" w:lineRule="exact"/>
              <w:rPr>
                <w:sz w:val="20"/>
                <w:szCs w:val="20"/>
                <w:color w:val="auto"/>
              </w:rPr>
            </w:pPr>
            <w:r>
              <w:rPr>
                <w:rFonts w:ascii="Times New Roman" w:cs="Times New Roman" w:eastAsia="Times New Roman" w:hAnsi="Times New Roman"/>
                <w:sz w:val="15"/>
                <w:szCs w:val="15"/>
                <w:b w:val="1"/>
                <w:bCs w:val="1"/>
                <w:color w:val="auto"/>
              </w:rPr>
              <w:t>Insurance</w:t>
            </w:r>
          </w:p>
        </w:tc>
        <w:tc>
          <w:tcPr>
            <w:tcW w:w="120" w:type="dxa"/>
            <w:vAlign w:val="bottom"/>
            <w:shd w:val="clear" w:color="auto" w:fill="CCEEFF"/>
          </w:tcPr>
          <w:p>
            <w:pPr>
              <w:spacing w:after="0"/>
              <w:rPr>
                <w:sz w:val="5"/>
                <w:szCs w:val="5"/>
                <w:color w:val="auto"/>
              </w:rPr>
            </w:pPr>
          </w:p>
        </w:tc>
        <w:tc>
          <w:tcPr>
            <w:tcW w:w="124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20" w:type="dxa"/>
            <w:vAlign w:val="bottom"/>
            <w:gridSpan w:val="2"/>
            <w:vMerge w:val="restart"/>
            <w:shd w:val="clear" w:color="auto" w:fill="CCEEFF"/>
          </w:tcPr>
          <w:p>
            <w:pPr>
              <w:jc w:val="center"/>
              <w:ind w:right="260"/>
              <w:spacing w:after="0" w:line="142" w:lineRule="exact"/>
              <w:rPr>
                <w:sz w:val="20"/>
                <w:szCs w:val="20"/>
                <w:color w:val="auto"/>
              </w:rPr>
            </w:pPr>
            <w:r>
              <w:rPr>
                <w:rFonts w:ascii="Times New Roman" w:cs="Times New Roman" w:eastAsia="Times New Roman" w:hAnsi="Times New Roman"/>
                <w:sz w:val="15"/>
                <w:szCs w:val="15"/>
                <w:b w:val="1"/>
                <w:bCs w:val="1"/>
                <w:color w:val="auto"/>
                <w:w w:val="97"/>
              </w:rPr>
              <w:t>Markets and</w:t>
            </w:r>
          </w:p>
        </w:tc>
        <w:tc>
          <w:tcPr>
            <w:tcW w:w="14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20" w:type="dxa"/>
            <w:vAlign w:val="bottom"/>
            <w:vMerge w:val="restart"/>
            <w:shd w:val="clear" w:color="auto" w:fill="CCEEFF"/>
          </w:tcPr>
          <w:p>
            <w:pPr>
              <w:jc w:val="right"/>
              <w:ind w:right="155"/>
              <w:spacing w:after="0" w:line="142"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77"/>
        </w:trPr>
        <w:tc>
          <w:tcPr>
            <w:tcW w:w="46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Life Sciences</w:t>
            </w:r>
          </w:p>
        </w:tc>
        <w:tc>
          <w:tcPr>
            <w:tcW w:w="160" w:type="dxa"/>
            <w:vAlign w:val="bottom"/>
            <w:shd w:val="clear" w:color="auto" w:fill="CCEEFF"/>
          </w:tcPr>
          <w:p>
            <w:pPr>
              <w:spacing w:after="0"/>
              <w:rPr>
                <w:sz w:val="6"/>
                <w:szCs w:val="6"/>
                <w:color w:val="auto"/>
              </w:rPr>
            </w:pPr>
          </w:p>
        </w:tc>
        <w:tc>
          <w:tcPr>
            <w:tcW w:w="1420" w:type="dxa"/>
            <w:vAlign w:val="bottom"/>
            <w:gridSpan w:val="2"/>
            <w:vMerge w:val="continue"/>
            <w:shd w:val="clear" w:color="auto" w:fill="CCEEFF"/>
          </w:tcPr>
          <w:p>
            <w:pPr>
              <w:spacing w:after="0"/>
              <w:rPr>
                <w:sz w:val="6"/>
                <w:szCs w:val="6"/>
                <w:color w:val="auto"/>
              </w:rPr>
            </w:pPr>
          </w:p>
        </w:tc>
        <w:tc>
          <w:tcPr>
            <w:tcW w:w="128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Growth Markets</w:t>
            </w:r>
          </w:p>
        </w:tc>
        <w:tc>
          <w:tcPr>
            <w:tcW w:w="24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4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40" w:type="dxa"/>
            <w:vAlign w:val="bottom"/>
            <w:gridSpan w:val="2"/>
            <w:vMerge w:val="continue"/>
            <w:shd w:val="clear" w:color="auto" w:fill="CCEEFF"/>
          </w:tcPr>
          <w:p>
            <w:pPr>
              <w:spacing w:after="0"/>
              <w:rPr>
                <w:sz w:val="9"/>
                <w:szCs w:val="9"/>
                <w:color w:val="auto"/>
              </w:rPr>
            </w:pPr>
          </w:p>
        </w:tc>
        <w:tc>
          <w:tcPr>
            <w:tcW w:w="158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Diversified Industries</w:t>
            </w:r>
          </w:p>
        </w:tc>
        <w:tc>
          <w:tcPr>
            <w:tcW w:w="1280" w:type="dxa"/>
            <w:vAlign w:val="bottom"/>
            <w:gridSpan w:val="3"/>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46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580" w:type="dxa"/>
            <w:vAlign w:val="bottom"/>
            <w:gridSpan w:val="3"/>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 net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344,230</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255,081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238,791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177,377</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1,015,47</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Cost of revenues </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 costs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185,919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119,896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130,452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94,457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530,72</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Infrastructure and technology costs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69,42</w:t>
            </w:r>
          </w:p>
        </w:tc>
        <w:tc>
          <w:tcPr>
            <w:tcW w:w="0" w:type="dxa"/>
            <w:vAlign w:val="bottom"/>
          </w:tcPr>
          <w:p>
            <w:pPr>
              <w:spacing w:after="0"/>
              <w:rPr>
                <w:sz w:val="1"/>
                <w:szCs w:val="1"/>
                <w:color w:val="auto"/>
              </w:rPr>
            </w:pPr>
          </w:p>
        </w:tc>
      </w:tr>
      <w:tr>
        <w:trPr>
          <w:trHeight w:val="219"/>
        </w:trPr>
        <w:tc>
          <w:tcPr>
            <w:tcW w:w="4640" w:type="dxa"/>
            <w:vAlign w:val="bottom"/>
            <w:tcBorders>
              <w:bottom w:val="single" w:sz="8" w:color="CCEEFF"/>
            </w:tcBorders>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Other costs </w:t>
            </w:r>
            <w:r>
              <w:rPr>
                <w:rFonts w:ascii="Times New Roman" w:cs="Times New Roman" w:eastAsia="Times New Roman" w:hAnsi="Times New Roman"/>
                <w:sz w:val="21"/>
                <w:szCs w:val="21"/>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8,930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27,83</w:t>
            </w:r>
          </w:p>
        </w:tc>
        <w:tc>
          <w:tcPr>
            <w:tcW w:w="0" w:type="dxa"/>
            <w:vAlign w:val="bottom"/>
          </w:tcPr>
          <w:p>
            <w:pPr>
              <w:spacing w:after="0"/>
              <w:rPr>
                <w:sz w:val="1"/>
                <w:szCs w:val="1"/>
                <w:color w:val="auto"/>
              </w:rPr>
            </w:pPr>
          </w:p>
        </w:tc>
      </w:tr>
      <w:tr>
        <w:trPr>
          <w:trHeight w:val="237"/>
        </w:trPr>
        <w:tc>
          <w:tcPr>
            <w:tcW w:w="4640" w:type="dxa"/>
            <w:vAlign w:val="bottom"/>
            <w:tcBorders>
              <w:bottom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Gross profit </w:t>
            </w:r>
            <w:r>
              <w:rPr>
                <w:rFonts w:ascii="Times New Roman" w:cs="Times New Roman" w:eastAsia="Times New Roman" w:hAnsi="Times New Roman"/>
                <w:sz w:val="21"/>
                <w:szCs w:val="21"/>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122,755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111,464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89,672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63,611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387,50</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227,94</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gain, net, interest expense and other income, net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0" w:type="dxa"/>
            <w:vAlign w:val="bottom"/>
          </w:tcPr>
          <w:p>
            <w:pPr>
              <w:spacing w:after="0"/>
              <w:rPr>
                <w:sz w:val="1"/>
                <w:szCs w:val="1"/>
                <w:color w:val="auto"/>
              </w:rPr>
            </w:pPr>
          </w:p>
        </w:tc>
      </w:tr>
      <w:tr>
        <w:trPr>
          <w:trHeight w:val="219"/>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32,04</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equity-method investment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12"/>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132,61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left="860" w:hanging="238"/>
        <w:spacing w:after="0"/>
        <w:tabs>
          <w:tab w:leader="none" w:pos="8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Exclusive of depreciation and amortization expense.</w:t>
      </w:r>
    </w:p>
    <w:p>
      <w:pPr>
        <w:spacing w:after="0" w:line="242" w:lineRule="exact"/>
        <w:rPr>
          <w:rFonts w:ascii="Times New Roman" w:cs="Times New Roman" w:eastAsia="Times New Roman" w:hAnsi="Times New Roman"/>
          <w:sz w:val="17"/>
          <w:szCs w:val="17"/>
          <w:color w:val="auto"/>
        </w:rPr>
      </w:pPr>
    </w:p>
    <w:p>
      <w:pPr>
        <w:ind w:left="380" w:right="100" w:firstLine="242"/>
        <w:spacing w:after="0" w:line="287" w:lineRule="auto"/>
        <w:tabs>
          <w:tab w:leader="none" w:pos="85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costs primarily include travel and entertainment costs and other direct pass-through expenses related to client contracts for the Company’s direct marketing business.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40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5"/>
          <w:szCs w:val="15"/>
          <w:b w:val="1"/>
          <w:bCs w:val="1"/>
          <w:color w:val="auto"/>
        </w:rPr>
        <w:t>Six months ended June 30, 2024</w:t>
      </w:r>
    </w:p>
    <w:p>
      <w:pPr>
        <w:spacing w:after="0" w:line="31" w:lineRule="exact"/>
        <w:rPr>
          <w:sz w:val="20"/>
          <w:szCs w:val="20"/>
          <w:color w:val="auto"/>
        </w:rPr>
      </w:pPr>
    </w:p>
    <w:tbl>
      <w:tblPr>
        <w:tblLayout w:type="fixed"/>
        <w:tblInd w:w="380" w:type="dxa"/>
        <w:tblCellMar>
          <w:top w:w="0" w:type="dxa"/>
          <w:left w:w="0" w:type="dxa"/>
          <w:bottom w:w="0" w:type="dxa"/>
          <w:right w:w="0" w:type="dxa"/>
        </w:tblCellMar>
      </w:tblPr>
      <w:tr>
        <w:trPr>
          <w:trHeight w:val="140"/>
        </w:trPr>
        <w:tc>
          <w:tcPr>
            <w:tcW w:w="46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7"/>
              </w:rPr>
              <w:t>Healthcare and</w:t>
            </w:r>
          </w:p>
        </w:tc>
        <w:tc>
          <w:tcPr>
            <w:tcW w:w="16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gridSpan w:val="2"/>
            <w:shd w:val="clear" w:color="auto" w:fill="CCEEFF"/>
          </w:tcPr>
          <w:p>
            <w:pPr>
              <w:jc w:val="center"/>
              <w:ind w:right="260"/>
              <w:spacing w:after="0" w:line="141" w:lineRule="exact"/>
              <w:rPr>
                <w:sz w:val="20"/>
                <w:szCs w:val="20"/>
                <w:color w:val="auto"/>
              </w:rPr>
            </w:pPr>
            <w:r>
              <w:rPr>
                <w:rFonts w:ascii="Times New Roman" w:cs="Times New Roman" w:eastAsia="Times New Roman" w:hAnsi="Times New Roman"/>
                <w:sz w:val="15"/>
                <w:szCs w:val="15"/>
                <w:b w:val="1"/>
                <w:bCs w:val="1"/>
                <w:color w:val="auto"/>
                <w:w w:val="98"/>
              </w:rPr>
              <w:t>Banking, Capital</w:t>
            </w:r>
          </w:p>
        </w:tc>
        <w:tc>
          <w:tcPr>
            <w:tcW w:w="14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6"/>
              </w:rPr>
              <w:t>International</w:t>
            </w:r>
          </w:p>
        </w:tc>
        <w:tc>
          <w:tcPr>
            <w:tcW w:w="2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46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80" w:type="dxa"/>
            <w:vAlign w:val="bottom"/>
            <w:gridSpan w:val="2"/>
            <w:vMerge w:val="restart"/>
            <w:shd w:val="clear" w:color="auto" w:fill="CCEEFF"/>
          </w:tcPr>
          <w:p>
            <w:pPr>
              <w:ind w:left="60"/>
              <w:spacing w:after="0" w:line="149" w:lineRule="exact"/>
              <w:rPr>
                <w:sz w:val="20"/>
                <w:szCs w:val="20"/>
                <w:color w:val="auto"/>
              </w:rPr>
            </w:pPr>
            <w:r>
              <w:rPr>
                <w:rFonts w:ascii="Times New Roman" w:cs="Times New Roman" w:eastAsia="Times New Roman" w:hAnsi="Times New Roman"/>
                <w:sz w:val="15"/>
                <w:szCs w:val="15"/>
                <w:b w:val="1"/>
                <w:bCs w:val="1"/>
                <w:color w:val="auto"/>
              </w:rPr>
              <w:t>Insurance</w:t>
            </w:r>
          </w:p>
        </w:tc>
        <w:tc>
          <w:tcPr>
            <w:tcW w:w="120" w:type="dxa"/>
            <w:vAlign w:val="bottom"/>
            <w:shd w:val="clear" w:color="auto" w:fill="CCEEFF"/>
          </w:tcPr>
          <w:p>
            <w:pPr>
              <w:spacing w:after="0"/>
              <w:rPr>
                <w:sz w:val="5"/>
                <w:szCs w:val="5"/>
                <w:color w:val="auto"/>
              </w:rPr>
            </w:pPr>
          </w:p>
        </w:tc>
        <w:tc>
          <w:tcPr>
            <w:tcW w:w="124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20" w:type="dxa"/>
            <w:vAlign w:val="bottom"/>
            <w:gridSpan w:val="2"/>
            <w:vMerge w:val="restart"/>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w w:val="97"/>
              </w:rPr>
              <w:t>Markets and</w:t>
            </w:r>
          </w:p>
        </w:tc>
        <w:tc>
          <w:tcPr>
            <w:tcW w:w="14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700" w:type="dxa"/>
            <w:vAlign w:val="bottom"/>
            <w:vMerge w:val="restart"/>
            <w:shd w:val="clear" w:color="auto" w:fill="CCEEFF"/>
          </w:tcPr>
          <w:p>
            <w:pPr>
              <w:jc w:val="right"/>
              <w:ind w:right="155"/>
              <w:spacing w:after="0" w:line="149"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84"/>
        </w:trPr>
        <w:tc>
          <w:tcPr>
            <w:tcW w:w="46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8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Life Sciences</w:t>
            </w:r>
          </w:p>
        </w:tc>
        <w:tc>
          <w:tcPr>
            <w:tcW w:w="160" w:type="dxa"/>
            <w:vAlign w:val="bottom"/>
            <w:shd w:val="clear" w:color="auto" w:fill="CCEEFF"/>
          </w:tcPr>
          <w:p>
            <w:pPr>
              <w:spacing w:after="0"/>
              <w:rPr>
                <w:sz w:val="7"/>
                <w:szCs w:val="7"/>
                <w:color w:val="auto"/>
              </w:rPr>
            </w:pPr>
          </w:p>
        </w:tc>
        <w:tc>
          <w:tcPr>
            <w:tcW w:w="1420" w:type="dxa"/>
            <w:vAlign w:val="bottom"/>
            <w:gridSpan w:val="2"/>
            <w:vMerge w:val="continue"/>
            <w:shd w:val="clear" w:color="auto" w:fill="CCEEFF"/>
          </w:tcPr>
          <w:p>
            <w:pPr>
              <w:spacing w:after="0"/>
              <w:rPr>
                <w:sz w:val="7"/>
                <w:szCs w:val="7"/>
                <w:color w:val="auto"/>
              </w:rPr>
            </w:pPr>
          </w:p>
        </w:tc>
        <w:tc>
          <w:tcPr>
            <w:tcW w:w="128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Growth Markets</w:t>
            </w:r>
          </w:p>
        </w:tc>
        <w:tc>
          <w:tcPr>
            <w:tcW w:w="26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40" w:type="dxa"/>
            <w:vAlign w:val="bottom"/>
            <w:gridSpan w:val="2"/>
            <w:vMerge w:val="continue"/>
            <w:shd w:val="clear" w:color="auto" w:fill="CCEEFF"/>
          </w:tcPr>
          <w:p>
            <w:pPr>
              <w:spacing w:after="0"/>
              <w:rPr>
                <w:sz w:val="9"/>
                <w:szCs w:val="9"/>
                <w:color w:val="auto"/>
              </w:rPr>
            </w:pPr>
          </w:p>
        </w:tc>
        <w:tc>
          <w:tcPr>
            <w:tcW w:w="158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Diversified Industries</w:t>
            </w:r>
          </w:p>
        </w:tc>
        <w:tc>
          <w:tcPr>
            <w:tcW w:w="1280" w:type="dxa"/>
            <w:vAlign w:val="bottom"/>
            <w:gridSpan w:val="3"/>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46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580" w:type="dxa"/>
            <w:vAlign w:val="bottom"/>
            <w:gridSpan w:val="3"/>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 net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316,726</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206,773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207,826</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153,548</w:t>
            </w: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884,87</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Cost of revenues </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 costs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164,772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116,598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83,076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459,22</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Infrastructure and technology costs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14,367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59,74</w:t>
            </w:r>
          </w:p>
        </w:tc>
        <w:tc>
          <w:tcPr>
            <w:tcW w:w="0" w:type="dxa"/>
            <w:vAlign w:val="bottom"/>
          </w:tcPr>
          <w:p>
            <w:pPr>
              <w:spacing w:after="0"/>
              <w:rPr>
                <w:sz w:val="1"/>
                <w:szCs w:val="1"/>
                <w:color w:val="auto"/>
              </w:rPr>
            </w:pPr>
          </w:p>
        </w:tc>
      </w:tr>
      <w:tr>
        <w:trPr>
          <w:trHeight w:val="219"/>
        </w:trPr>
        <w:tc>
          <w:tcPr>
            <w:tcW w:w="4640" w:type="dxa"/>
            <w:vAlign w:val="bottom"/>
            <w:tcBorders>
              <w:bottom w:val="single" w:sz="8" w:color="CCEEFF"/>
            </w:tcBorders>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Other costs </w:t>
            </w:r>
            <w:r>
              <w:rPr>
                <w:rFonts w:ascii="Times New Roman" w:cs="Times New Roman" w:eastAsia="Times New Roman" w:hAnsi="Times New Roman"/>
                <w:sz w:val="21"/>
                <w:szCs w:val="21"/>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20,536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36,56</w:t>
            </w:r>
          </w:p>
        </w:tc>
        <w:tc>
          <w:tcPr>
            <w:tcW w:w="0" w:type="dxa"/>
            <w:vAlign w:val="bottom"/>
          </w:tcPr>
          <w:p>
            <w:pPr>
              <w:spacing w:after="0"/>
              <w:rPr>
                <w:sz w:val="1"/>
                <w:szCs w:val="1"/>
                <w:color w:val="auto"/>
              </w:rPr>
            </w:pPr>
          </w:p>
        </w:tc>
      </w:tr>
      <w:tr>
        <w:trPr>
          <w:trHeight w:val="237"/>
        </w:trPr>
        <w:tc>
          <w:tcPr>
            <w:tcW w:w="4640" w:type="dxa"/>
            <w:vAlign w:val="bottom"/>
            <w:tcBorders>
              <w:bottom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Gross profit </w:t>
            </w:r>
            <w:r>
              <w:rPr>
                <w:rFonts w:ascii="Times New Roman" w:cs="Times New Roman" w:eastAsia="Times New Roman" w:hAnsi="Times New Roman"/>
                <w:sz w:val="21"/>
                <w:szCs w:val="21"/>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107,485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53,634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329,34</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206,37</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gain, net, interest expense and other income, net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19"/>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27,62</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equity-method investment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2"/>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94,58</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860" w:hanging="238"/>
        <w:spacing w:after="0"/>
        <w:tabs>
          <w:tab w:leader="none" w:pos="8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Exclusive of depreciation and amortization expense.</w:t>
      </w:r>
    </w:p>
    <w:p>
      <w:pPr>
        <w:spacing w:after="0" w:line="242" w:lineRule="exact"/>
        <w:rPr>
          <w:rFonts w:ascii="Times New Roman" w:cs="Times New Roman" w:eastAsia="Times New Roman" w:hAnsi="Times New Roman"/>
          <w:sz w:val="17"/>
          <w:szCs w:val="17"/>
          <w:color w:val="auto"/>
        </w:rPr>
      </w:pPr>
    </w:p>
    <w:p>
      <w:pPr>
        <w:ind w:left="380" w:right="100" w:firstLine="242"/>
        <w:spacing w:after="0" w:line="287" w:lineRule="auto"/>
        <w:tabs>
          <w:tab w:leader="none" w:pos="85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costs primarily include travel and entertainment costs and other direct pass-through expenses related to client contracts for the Company’s direct marketing business.</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Revenues, net by service type, were as follows:</w:t>
      </w:r>
    </w:p>
    <w:p>
      <w:pPr>
        <w:spacing w:after="0" w:line="41" w:lineRule="exact"/>
        <w:rPr>
          <w:sz w:val="20"/>
          <w:szCs w:val="20"/>
          <w:color w:val="auto"/>
        </w:rPr>
      </w:pPr>
    </w:p>
    <w:tbl>
      <w:tblPr>
        <w:tblLayout w:type="fixed"/>
        <w:tblInd w:w="380" w:type="dxa"/>
        <w:tblCellMar>
          <w:top w:w="0" w:type="dxa"/>
          <w:left w:w="0" w:type="dxa"/>
          <w:bottom w:w="0" w:type="dxa"/>
          <w:right w:w="0" w:type="dxa"/>
        </w:tblCellMar>
      </w:tblPr>
      <w:tr>
        <w:trPr>
          <w:trHeight w:val="182"/>
        </w:trPr>
        <w:tc>
          <w:tcPr>
            <w:tcW w:w="4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5"/>
                <w:szCs w:val="15"/>
                <w:color w:val="auto"/>
              </w:rPr>
            </w:pPr>
          </w:p>
        </w:tc>
        <w:tc>
          <w:tcPr>
            <w:tcW w:w="2560" w:type="dxa"/>
            <w:vAlign w:val="bottom"/>
            <w:gridSpan w:val="4"/>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
        </w:trPr>
        <w:tc>
          <w:tcPr>
            <w:tcW w:w="4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49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494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Data and AI-led </w:t>
            </w:r>
            <w:r>
              <w:rPr>
                <w:rFonts w:ascii="Times New Roman" w:cs="Times New Roman" w:eastAsia="Times New Roman" w:hAnsi="Times New Roman"/>
                <w:sz w:val="22"/>
                <w:szCs w:val="22"/>
                <w:color w:val="auto"/>
                <w:vertAlign w:val="superscript"/>
              </w:rPr>
              <w:t>(1)</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278,770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237,403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546,699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469,127</w:t>
            </w:r>
          </w:p>
        </w:tc>
      </w:tr>
      <w:tr>
        <w:trPr>
          <w:trHeight w:val="219"/>
        </w:trPr>
        <w:tc>
          <w:tcPr>
            <w:tcW w:w="494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Digital operations </w:t>
            </w:r>
            <w:r>
              <w:rPr>
                <w:rFonts w:ascii="Times New Roman" w:cs="Times New Roman" w:eastAsia="Times New Roman" w:hAnsi="Times New Roman"/>
                <w:sz w:val="22"/>
                <w:szCs w:val="22"/>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235,690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210,963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468,780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415,746</w:t>
            </w:r>
          </w:p>
        </w:tc>
      </w:tr>
      <w:tr>
        <w:trPr>
          <w:trHeight w:val="237"/>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net</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514,460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448,366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1,015,479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884,873</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70" w:lineRule="exact"/>
        <w:rPr>
          <w:sz w:val="20"/>
          <w:szCs w:val="20"/>
          <w:color w:val="auto"/>
        </w:rPr>
      </w:pPr>
    </w:p>
    <w:p>
      <w:pPr>
        <w:jc w:val="both"/>
        <w:ind w:right="100" w:firstLine="622"/>
        <w:spacing w:after="0" w:line="248" w:lineRule="auto"/>
        <w:tabs>
          <w:tab w:leader="none" w:pos="8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and AI-led revenue comes from AI-powered solutions and services in which the Company embeds data and AI into client workflows. Leveraging the Company’s depth of domain knowledge, analytics, data management and digital engineering expertise, the Company’s industry-specific offerings are designed to help clients accelerate growth, improve customer experience, enhance efficiency, and deliver lasting competitive advantages. As clients evolve from digital operations to data and AI-powered operations and outcomes, these capabilities represent the next stage of enterprise transformation.</w:t>
      </w:r>
    </w:p>
    <w:p>
      <w:pPr>
        <w:spacing w:after="0" w:line="197" w:lineRule="exact"/>
        <w:rPr>
          <w:rFonts w:ascii="Times New Roman" w:cs="Times New Roman" w:eastAsia="Times New Roman" w:hAnsi="Times New Roman"/>
          <w:sz w:val="17"/>
          <w:szCs w:val="17"/>
          <w:color w:val="auto"/>
        </w:rPr>
      </w:pPr>
    </w:p>
    <w:p>
      <w:pPr>
        <w:jc w:val="both"/>
        <w:ind w:right="100" w:firstLine="622"/>
        <w:spacing w:after="0" w:line="243" w:lineRule="auto"/>
        <w:tabs>
          <w:tab w:leader="none" w:pos="871"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Digital operations revenue comes from the Company’s industry-specific solutions and services that help clients run essential business functions with greater speed, accuracy, and efficiency. The Company applies deep industry expertise and tailored technology—whether its proprietary technology or client technology—to solve complex challenges and drive measurable outcomes. These digital operations deployments form the foundation for future client transformation opportunities to infuse AI into client workflows and unlock even greater value.</w:t>
      </w: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All four reportable segments of the Company include revenues from both data and AI-led and digital operations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3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Company attributes revenues based on geographical markets where the customer operations being served by it are located.</w:t>
      </w:r>
    </w:p>
    <w:p>
      <w:pPr>
        <w:spacing w:after="0" w:line="41" w:lineRule="exact"/>
        <w:rPr>
          <w:sz w:val="20"/>
          <w:szCs w:val="20"/>
          <w:color w:val="auto"/>
        </w:rPr>
      </w:pPr>
    </w:p>
    <w:tbl>
      <w:tblPr>
        <w:tblLayout w:type="fixed"/>
        <w:tblInd w:w="380" w:type="dxa"/>
        <w:tblCellMar>
          <w:top w:w="0" w:type="dxa"/>
          <w:left w:w="0" w:type="dxa"/>
          <w:bottom w:w="0" w:type="dxa"/>
          <w:right w:w="0" w:type="dxa"/>
        </w:tblCellMar>
      </w:tblPr>
      <w:tr>
        <w:trPr>
          <w:trHeight w:val="182"/>
        </w:trPr>
        <w:tc>
          <w:tcPr>
            <w:tcW w:w="4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5"/>
                <w:szCs w:val="15"/>
                <w:color w:val="auto"/>
              </w:rPr>
            </w:pPr>
          </w:p>
        </w:tc>
        <w:tc>
          <w:tcPr>
            <w:tcW w:w="2420" w:type="dxa"/>
            <w:vAlign w:val="bottom"/>
            <w:gridSpan w:val="4"/>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2"/>
        </w:trPr>
        <w:tc>
          <w:tcPr>
            <w:tcW w:w="4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8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5"/>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 net</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North America</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422,822</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369,148</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838,171</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731,324</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Kingdom &amp; Europe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66,494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129,812</w:t>
            </w:r>
          </w:p>
        </w:tc>
        <w:tc>
          <w:tcPr>
            <w:tcW w:w="0" w:type="dxa"/>
            <w:vAlign w:val="bottom"/>
          </w:tcPr>
          <w:p>
            <w:pPr>
              <w:spacing w:after="0"/>
              <w:rPr>
                <w:sz w:val="1"/>
                <w:szCs w:val="1"/>
                <w:color w:val="auto"/>
              </w:rPr>
            </w:pPr>
          </w:p>
        </w:tc>
      </w:tr>
      <w:tr>
        <w:trPr>
          <w:trHeight w:val="219"/>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Rest of World</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14,003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12,724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23,737</w:t>
            </w:r>
          </w:p>
        </w:tc>
        <w:tc>
          <w:tcPr>
            <w:tcW w:w="0" w:type="dxa"/>
            <w:vAlign w:val="bottom"/>
          </w:tcPr>
          <w:p>
            <w:pPr>
              <w:spacing w:after="0"/>
              <w:rPr>
                <w:sz w:val="1"/>
                <w:szCs w:val="1"/>
                <w:color w:val="auto"/>
              </w:rPr>
            </w:pPr>
          </w:p>
        </w:tc>
      </w:tr>
      <w:tr>
        <w:trPr>
          <w:trHeight w:val="237"/>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net</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514,460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448,366</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1,015,479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884,873</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Revenues, net by industry verticals, were as follows: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7"/>
                <w:szCs w:val="17"/>
                <w:color w:val="auto"/>
              </w:rPr>
            </w:pPr>
          </w:p>
        </w:tc>
        <w:tc>
          <w:tcPr>
            <w:tcW w:w="2420" w:type="dxa"/>
            <w:vAlign w:val="bottom"/>
            <w:gridSpan w:val="4"/>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2"/>
        </w:trPr>
        <w:tc>
          <w:tcPr>
            <w:tcW w:w="4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8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8"/>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Insurance</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203,222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185,660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403,583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368,719</w:t>
            </w:r>
          </w:p>
        </w:tc>
        <w:tc>
          <w:tcPr>
            <w:tcW w:w="0" w:type="dxa"/>
            <w:vAlign w:val="bottom"/>
          </w:tcPr>
          <w:p>
            <w:pPr>
              <w:spacing w:after="0"/>
              <w:rPr>
                <w:sz w:val="1"/>
                <w:szCs w:val="1"/>
                <w:color w:val="auto"/>
              </w:rPr>
            </w:pPr>
          </w:p>
        </w:tc>
      </w:tr>
      <w:tr>
        <w:trPr>
          <w:trHeight w:val="219"/>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Healthcare and Life Sciences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129,737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106,438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255,563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207,338</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Banking, Capital Markets and Diversified Industries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181,501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156,268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356,333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308,816</w:t>
            </w:r>
          </w:p>
        </w:tc>
        <w:tc>
          <w:tcPr>
            <w:tcW w:w="0" w:type="dxa"/>
            <w:vAlign w:val="bottom"/>
          </w:tcPr>
          <w:p>
            <w:pPr>
              <w:spacing w:after="0"/>
              <w:rPr>
                <w:sz w:val="1"/>
                <w:szCs w:val="1"/>
                <w:color w:val="auto"/>
              </w:rPr>
            </w:pPr>
          </w:p>
        </w:tc>
      </w:tr>
      <w:tr>
        <w:trPr>
          <w:trHeight w:val="212"/>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 net</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514,460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448,366</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1,015,479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884,873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Long-lived assets by geographic area, which consist of property and equipment, net and operating lease ROU assets were as follows:</w:t>
      </w:r>
    </w:p>
    <w:p>
      <w:pPr>
        <w:spacing w:after="0" w:line="41" w:lineRule="exact"/>
        <w:rPr>
          <w:sz w:val="20"/>
          <w:szCs w:val="20"/>
          <w:color w:val="auto"/>
        </w:rPr>
      </w:pPr>
    </w:p>
    <w:tbl>
      <w:tblPr>
        <w:tblLayout w:type="fixed"/>
        <w:tblInd w:w="380" w:type="dxa"/>
        <w:tblCellMar>
          <w:top w:w="0" w:type="dxa"/>
          <w:left w:w="0" w:type="dxa"/>
          <w:bottom w:w="0" w:type="dxa"/>
          <w:right w:w="0" w:type="dxa"/>
        </w:tblCellMar>
      </w:tblPr>
      <w:tr>
        <w:trPr>
          <w:trHeight w:val="182"/>
        </w:trPr>
        <w:tc>
          <w:tcPr>
            <w:tcW w:w="6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0" w:type="dxa"/>
            <w:vAlign w:val="bottom"/>
          </w:tcPr>
          <w:p>
            <w:pPr>
              <w:spacing w:after="0"/>
              <w:rPr>
                <w:sz w:val="15"/>
                <w:szCs w:val="15"/>
                <w:color w:val="auto"/>
              </w:rPr>
            </w:pPr>
          </w:p>
        </w:tc>
      </w:tr>
      <w:tr>
        <w:trPr>
          <w:trHeight w:val="22"/>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81"/>
        </w:trPr>
        <w:tc>
          <w:tcPr>
            <w:tcW w:w="6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5"/>
                <w:szCs w:val="15"/>
                <w:color w:val="auto"/>
              </w:rPr>
            </w:pPr>
          </w:p>
        </w:tc>
        <w:tc>
          <w:tcPr>
            <w:tcW w:w="16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5"/>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Long-lived assets</w:t>
            </w:r>
          </w:p>
        </w:tc>
        <w:tc>
          <w:tcPr>
            <w:tcW w:w="32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India</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66,861</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63,040</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North America</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52,510</w:t>
            </w: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Philippines</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25,881</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South Africa</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23,828</w:t>
            </w:r>
          </w:p>
        </w:tc>
      </w:tr>
      <w:tr>
        <w:trPr>
          <w:trHeight w:val="21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Rest of World</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5,362</w:t>
            </w:r>
          </w:p>
        </w:tc>
      </w:tr>
      <w:tr>
        <w:trPr>
          <w:trHeight w:val="237"/>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Long-lived assets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187,186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170,621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Revenues, net and Accounts Receivable, net</w:t>
      </w:r>
    </w:p>
    <w:p>
      <w:pPr>
        <w:spacing w:after="0" w:line="234" w:lineRule="exact"/>
        <w:rPr>
          <w:sz w:val="20"/>
          <w:szCs w:val="20"/>
          <w:color w:val="auto"/>
        </w:rPr>
      </w:pPr>
    </w:p>
    <w:p>
      <w:pPr>
        <w:ind w:right="220" w:firstLine="387"/>
        <w:spacing w:after="0" w:line="271" w:lineRule="auto"/>
        <w:rPr>
          <w:sz w:val="20"/>
          <w:szCs w:val="20"/>
          <w:color w:val="auto"/>
        </w:rPr>
      </w:pPr>
      <w:r>
        <w:rPr>
          <w:rFonts w:ascii="Times New Roman" w:cs="Times New Roman" w:eastAsia="Times New Roman" w:hAnsi="Times New Roman"/>
          <w:sz w:val="17"/>
          <w:szCs w:val="17"/>
          <w:color w:val="auto"/>
        </w:rPr>
        <w:t>Refer to Note 3 - Segment Information to the unaudited consolidated financial statements for revenues disaggregated by reportable segments, service type, geography and industry verticals.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Contract balances</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provides information about accounts receivable, contract assets and contract liabilities from contracts with customers: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r>
      <w:tr>
        <w:trPr>
          <w:trHeight w:val="201"/>
        </w:trPr>
        <w:tc>
          <w:tcPr>
            <w:tcW w:w="38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180" w:type="dxa"/>
            <w:vAlign w:val="bottom"/>
          </w:tcPr>
          <w:p>
            <w:pPr>
              <w:spacing w:after="0"/>
              <w:rPr>
                <w:sz w:val="17"/>
                <w:szCs w:val="17"/>
                <w:color w:val="auto"/>
              </w:rPr>
            </w:pPr>
          </w:p>
        </w:tc>
        <w:tc>
          <w:tcPr>
            <w:tcW w:w="1600" w:type="dxa"/>
            <w:vAlign w:val="bottom"/>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460" w:type="dxa"/>
            <w:vAlign w:val="bottom"/>
          </w:tcPr>
          <w:p>
            <w:pPr>
              <w:spacing w:after="0"/>
              <w:rPr>
                <w:sz w:val="17"/>
                <w:szCs w:val="17"/>
                <w:color w:val="auto"/>
              </w:rPr>
            </w:pPr>
          </w:p>
        </w:tc>
      </w:tr>
      <w:tr>
        <w:trPr>
          <w:trHeight w:val="213"/>
        </w:trPr>
        <w:tc>
          <w:tcPr>
            <w:tcW w:w="38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345,470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304,322</w:t>
            </w:r>
          </w:p>
        </w:tc>
        <w:tc>
          <w:tcPr>
            <w:tcW w:w="460" w:type="dxa"/>
            <w:vAlign w:val="bottom"/>
          </w:tcPr>
          <w:p>
            <w:pPr>
              <w:spacing w:after="0"/>
              <w:rPr>
                <w:sz w:val="18"/>
                <w:szCs w:val="18"/>
                <w:color w:val="auto"/>
              </w:rPr>
            </w:pPr>
          </w:p>
        </w:tc>
      </w:tr>
      <w:tr>
        <w:trPr>
          <w:trHeight w:val="219"/>
        </w:trPr>
        <w:tc>
          <w:tcPr>
            <w:tcW w:w="38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Contract assets</w:t>
            </w:r>
          </w:p>
        </w:tc>
        <w:tc>
          <w:tcPr>
            <w:tcW w:w="242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34,472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39,700</w:t>
            </w:r>
          </w:p>
        </w:tc>
        <w:tc>
          <w:tcPr>
            <w:tcW w:w="460" w:type="dxa"/>
            <w:vAlign w:val="bottom"/>
          </w:tcPr>
          <w:p>
            <w:pPr>
              <w:spacing w:after="0"/>
              <w:rPr>
                <w:sz w:val="19"/>
                <w:szCs w:val="19"/>
                <w:color w:val="auto"/>
              </w:rPr>
            </w:pPr>
          </w:p>
        </w:tc>
      </w:tr>
      <w:tr>
        <w:trPr>
          <w:trHeight w:val="219"/>
        </w:trPr>
        <w:tc>
          <w:tcPr>
            <w:tcW w:w="380" w:type="dxa"/>
            <w:vAlign w:val="bottom"/>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liabilities:</w:t>
            </w:r>
          </w:p>
        </w:tc>
        <w:tc>
          <w:tcPr>
            <w:tcW w:w="2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460" w:type="dxa"/>
            <w:vAlign w:val="bottom"/>
          </w:tcPr>
          <w:p>
            <w:pPr>
              <w:spacing w:after="0"/>
              <w:rPr>
                <w:sz w:val="19"/>
                <w:szCs w:val="19"/>
                <w:color w:val="auto"/>
              </w:rPr>
            </w:pPr>
          </w:p>
        </w:tc>
      </w:tr>
      <w:tr>
        <w:trPr>
          <w:trHeight w:val="219"/>
        </w:trPr>
        <w:tc>
          <w:tcPr>
            <w:tcW w:w="380" w:type="dxa"/>
            <w:vAlign w:val="bottom"/>
          </w:tcPr>
          <w:p>
            <w:pPr>
              <w:spacing w:after="0"/>
              <w:rPr>
                <w:sz w:val="19"/>
                <w:szCs w:val="19"/>
                <w:color w:val="auto"/>
              </w:rPr>
            </w:pPr>
          </w:p>
        </w:tc>
        <w:tc>
          <w:tcPr>
            <w:tcW w:w="4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revenue (consideration received in advance)</w:t>
            </w:r>
          </w:p>
        </w:tc>
        <w:tc>
          <w:tcPr>
            <w:tcW w:w="242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15,484</w:t>
            </w:r>
          </w:p>
        </w:tc>
        <w:tc>
          <w:tcPr>
            <w:tcW w:w="460" w:type="dxa"/>
            <w:vAlign w:val="bottom"/>
          </w:tcPr>
          <w:p>
            <w:pPr>
              <w:spacing w:after="0"/>
              <w:rPr>
                <w:sz w:val="19"/>
                <w:szCs w:val="19"/>
                <w:color w:val="auto"/>
              </w:rPr>
            </w:pPr>
          </w:p>
        </w:tc>
      </w:tr>
      <w:tr>
        <w:trPr>
          <w:trHeight w:val="219"/>
        </w:trPr>
        <w:tc>
          <w:tcPr>
            <w:tcW w:w="380" w:type="dxa"/>
            <w:vAlign w:val="bottom"/>
          </w:tcPr>
          <w:p>
            <w:pPr>
              <w:spacing w:after="0"/>
              <w:rPr>
                <w:sz w:val="19"/>
                <w:szCs w:val="19"/>
                <w:color w:val="auto"/>
              </w:rPr>
            </w:pP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Consideration received for process transition activities</w:t>
            </w:r>
          </w:p>
        </w:tc>
        <w:tc>
          <w:tcPr>
            <w:tcW w:w="242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21,993</w:t>
            </w:r>
          </w:p>
        </w:tc>
        <w:tc>
          <w:tcPr>
            <w:tcW w:w="460" w:type="dxa"/>
            <w:vAlign w:val="bottom"/>
          </w:tcPr>
          <w:p>
            <w:pPr>
              <w:spacing w:after="0"/>
              <w:rPr>
                <w:sz w:val="19"/>
                <w:szCs w:val="19"/>
                <w:color w:val="auto"/>
              </w:rPr>
            </w:pPr>
          </w:p>
        </w:tc>
      </w:tr>
      <w:tr>
        <w:trPr>
          <w:trHeight w:val="851"/>
        </w:trPr>
        <w:tc>
          <w:tcPr>
            <w:tcW w:w="3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120" w:type="dxa"/>
            <w:vAlign w:val="bottom"/>
          </w:tcPr>
          <w:p>
            <w:pPr>
              <w:jc w:val="right"/>
              <w:ind w:right="1274"/>
              <w:spacing w:after="0"/>
              <w:rPr>
                <w:sz w:val="20"/>
                <w:szCs w:val="20"/>
                <w:color w:val="auto"/>
              </w:rPr>
            </w:pPr>
            <w:r>
              <w:rPr>
                <w:rFonts w:ascii="Times New Roman" w:cs="Times New Roman" w:eastAsia="Times New Roman" w:hAnsi="Times New Roman"/>
                <w:sz w:val="17"/>
                <w:szCs w:val="17"/>
                <w:color w:val="auto"/>
              </w:rPr>
              <w:t>14</w:t>
            </w: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08"/>
        </w:trPr>
        <w:tc>
          <w:tcPr>
            <w:tcW w:w="380" w:type="dxa"/>
            <w:vAlign w:val="bottom"/>
            <w:tcBorders>
              <w:bottom w:val="single" w:sz="8" w:color="9A9A9A"/>
            </w:tcBorders>
          </w:tcPr>
          <w:p>
            <w:pPr>
              <w:spacing w:after="0"/>
              <w:rPr>
                <w:sz w:val="9"/>
                <w:szCs w:val="9"/>
                <w:color w:val="auto"/>
              </w:rPr>
            </w:pPr>
          </w:p>
        </w:tc>
        <w:tc>
          <w:tcPr>
            <w:tcW w:w="456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firstLine="387"/>
        <w:spacing w:after="0" w:line="248" w:lineRule="auto"/>
        <w:rPr>
          <w:sz w:val="20"/>
          <w:szCs w:val="20"/>
          <w:color w:val="auto"/>
        </w:rPr>
      </w:pPr>
      <w:r>
        <w:rPr>
          <w:rFonts w:ascii="Times New Roman" w:cs="Times New Roman" w:eastAsia="Times New Roman" w:hAnsi="Times New Roman"/>
          <w:sz w:val="17"/>
          <w:szCs w:val="17"/>
          <w:color w:val="auto"/>
        </w:rPr>
        <w:t>Accounts receivable includes $145,546 and $121,817 as of June 30, 2025 and December 31, 2024, respectively, representing unbilled receivables. The Company has accrued the unbilled receivables for work performed in accordance with the terms of contracts with customers and considers no performance risk associated with its unbilled receivables. Contract assets as of June 30, 2025 and December 31, 2024, includes receivables of $28,576 and $33,472, respectively, from our payment integrity services. There are no performance risks associated with these contract assets.</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There were no significant cumulative catch-up impact or impairment related to contract assets as of June 30, 2025 and December 31, 2024.</w:t>
      </w:r>
    </w:p>
    <w:p>
      <w:pPr>
        <w:spacing w:after="0" w:line="230"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Revenue recognized during the three and six months ended June 30, 2025 and 2024, which was included in the contract liabilities balance at the beginning of the respective periods:</w:t>
      </w:r>
    </w:p>
    <w:p>
      <w:pPr>
        <w:spacing w:after="0" w:line="1"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4880" w:type="dxa"/>
            <w:vAlign w:val="bottom"/>
          </w:tcPr>
          <w:p>
            <w:pPr>
              <w:spacing w:after="0"/>
              <w:rPr>
                <w:sz w:val="17"/>
                <w:szCs w:val="17"/>
                <w:color w:val="auto"/>
              </w:rPr>
            </w:pPr>
          </w:p>
        </w:tc>
        <w:tc>
          <w:tcPr>
            <w:tcW w:w="2900" w:type="dxa"/>
            <w:vAlign w:val="bottom"/>
            <w:gridSpan w:val="6"/>
          </w:tcPr>
          <w:p>
            <w:pPr>
              <w:ind w:left="42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280" w:type="dxa"/>
            <w:vAlign w:val="bottom"/>
          </w:tcPr>
          <w:p>
            <w:pPr>
              <w:spacing w:after="0"/>
              <w:rPr>
                <w:sz w:val="17"/>
                <w:szCs w:val="17"/>
                <w:color w:val="auto"/>
              </w:rPr>
            </w:pPr>
          </w:p>
        </w:tc>
        <w:tc>
          <w:tcPr>
            <w:tcW w:w="2300" w:type="dxa"/>
            <w:vAlign w:val="bottom"/>
            <w:gridSpan w:val="4"/>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184"/>
        </w:trPr>
        <w:tc>
          <w:tcPr>
            <w:tcW w:w="488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 (consideration received in advance)</w:t>
            </w: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8,292</w:t>
            </w: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Consideration received for process transition activities</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1,279</w:t>
            </w:r>
          </w:p>
        </w:tc>
        <w:tc>
          <w:tcPr>
            <w:tcW w:w="12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647</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2,656</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1,279</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Contract acquisition and fulfillment costs</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provides details of the Company’s contract acquisition and fulfillment costs:</w:t>
      </w:r>
    </w:p>
    <w:p>
      <w:pPr>
        <w:spacing w:after="0" w:line="329" w:lineRule="exact"/>
        <w:rPr>
          <w:sz w:val="20"/>
          <w:szCs w:val="20"/>
          <w:color w:val="auto"/>
        </w:rPr>
      </w:pPr>
    </w:p>
    <w:tbl>
      <w:tblPr>
        <w:tblLayout w:type="fixed"/>
        <w:tblInd w:w="440" w:type="dxa"/>
        <w:tblCellMar>
          <w:top w:w="0" w:type="dxa"/>
          <w:left w:w="0" w:type="dxa"/>
          <w:bottom w:w="0" w:type="dxa"/>
          <w:right w:w="0" w:type="dxa"/>
        </w:tblCellMar>
      </w:tblPr>
      <w:tr>
        <w:trPr>
          <w:trHeight w:val="227"/>
        </w:trPr>
        <w:tc>
          <w:tcPr>
            <w:tcW w:w="44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7"/>
                <w:szCs w:val="17"/>
                <w:b w:val="1"/>
                <w:bCs w:val="1"/>
                <w:color w:val="auto"/>
              </w:rPr>
              <w:t>Contract Acquisition Costs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12"/>
        </w:trPr>
        <w:tc>
          <w:tcPr>
            <w:tcW w:w="4400" w:type="dxa"/>
            <w:vAlign w:val="bottom"/>
          </w:tcPr>
          <w:p>
            <w:pPr>
              <w:spacing w:after="0"/>
              <w:rPr>
                <w:sz w:val="18"/>
                <w:szCs w:val="18"/>
                <w:color w:val="auto"/>
              </w:rPr>
            </w:pPr>
          </w:p>
        </w:tc>
        <w:tc>
          <w:tcPr>
            <w:tcW w:w="3020" w:type="dxa"/>
            <w:vAlign w:val="bottom"/>
            <w:gridSpan w:val="6"/>
          </w:tcPr>
          <w:p>
            <w:pPr>
              <w:ind w:left="38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300" w:type="dxa"/>
            <w:vAlign w:val="bottom"/>
          </w:tcPr>
          <w:p>
            <w:pPr>
              <w:spacing w:after="0"/>
              <w:rPr>
                <w:sz w:val="18"/>
                <w:szCs w:val="18"/>
                <w:color w:val="auto"/>
              </w:rPr>
            </w:pPr>
          </w:p>
        </w:tc>
        <w:tc>
          <w:tcPr>
            <w:tcW w:w="2660" w:type="dxa"/>
            <w:vAlign w:val="bottom"/>
            <w:gridSpan w:val="4"/>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12"/>
        </w:trPr>
        <w:tc>
          <w:tcPr>
            <w:tcW w:w="44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Opening balance</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2,122</w:t>
            </w:r>
          </w:p>
        </w:tc>
      </w:tr>
      <w:tr>
        <w:trPr>
          <w:trHeight w:val="219"/>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w:t>
            </w: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w:t>
            </w:r>
          </w:p>
        </w:tc>
      </w:tr>
      <w:tr>
        <w:trPr>
          <w:trHeight w:val="212"/>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Closing balance</w:t>
            </w:r>
          </w:p>
        </w:tc>
        <w:tc>
          <w:tcPr>
            <w:tcW w:w="9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1,990</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2,192</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1,990</w:t>
            </w:r>
          </w:p>
        </w:tc>
      </w:tr>
      <w:tr>
        <w:trPr>
          <w:trHeight w:val="20"/>
        </w:trPr>
        <w:tc>
          <w:tcPr>
            <w:tcW w:w="4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tbl>
      <w:tblPr>
        <w:tblLayout w:type="fixed"/>
        <w:tblInd w:w="600" w:type="dxa"/>
        <w:tblCellMar>
          <w:top w:w="0" w:type="dxa"/>
          <w:left w:w="0" w:type="dxa"/>
          <w:bottom w:w="0" w:type="dxa"/>
          <w:right w:w="0" w:type="dxa"/>
        </w:tblCellMar>
      </w:tblPr>
      <w:tr>
        <w:trPr>
          <w:trHeight w:val="227"/>
        </w:trPr>
        <w:tc>
          <w:tcPr>
            <w:tcW w:w="43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7"/>
                <w:szCs w:val="17"/>
                <w:b w:val="1"/>
                <w:bCs w:val="1"/>
                <w:color w:val="auto"/>
              </w:rPr>
              <w:t>Contract Fulfillment Costs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12"/>
        </w:trPr>
        <w:tc>
          <w:tcPr>
            <w:tcW w:w="4360" w:type="dxa"/>
            <w:vAlign w:val="bottom"/>
          </w:tcPr>
          <w:p>
            <w:pPr>
              <w:spacing w:after="0"/>
              <w:rPr>
                <w:sz w:val="18"/>
                <w:szCs w:val="18"/>
                <w:color w:val="auto"/>
              </w:rPr>
            </w:pPr>
          </w:p>
        </w:tc>
        <w:tc>
          <w:tcPr>
            <w:tcW w:w="3040" w:type="dxa"/>
            <w:vAlign w:val="bottom"/>
            <w:gridSpan w:val="6"/>
          </w:tcPr>
          <w:p>
            <w:pPr>
              <w:ind w:left="40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320" w:type="dxa"/>
            <w:vAlign w:val="bottom"/>
          </w:tcPr>
          <w:p>
            <w:pPr>
              <w:spacing w:after="0"/>
              <w:rPr>
                <w:sz w:val="18"/>
                <w:szCs w:val="18"/>
                <w:color w:val="auto"/>
              </w:rPr>
            </w:pPr>
          </w:p>
        </w:tc>
        <w:tc>
          <w:tcPr>
            <w:tcW w:w="2640" w:type="dxa"/>
            <w:vAlign w:val="bottom"/>
            <w:gridSpan w:val="4"/>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12"/>
        </w:trPr>
        <w:tc>
          <w:tcPr>
            <w:tcW w:w="43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Opening balance</w:t>
            </w: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38,080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24,673</w:t>
            </w:r>
          </w:p>
        </w:tc>
      </w:tr>
      <w:tr>
        <w:trPr>
          <w:trHeight w:val="219"/>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7,284</w:t>
            </w: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w:t>
            </w:r>
          </w:p>
        </w:tc>
      </w:tr>
      <w:tr>
        <w:trPr>
          <w:trHeight w:val="212"/>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Closing balance</w:t>
            </w:r>
          </w:p>
        </w:tc>
        <w:tc>
          <w:tcPr>
            <w:tcW w:w="9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4"/>
              </w:rPr>
              <w:t>38,938</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30,404</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38,938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30,404</w:t>
            </w:r>
          </w:p>
        </w:tc>
      </w:tr>
      <w:tr>
        <w:trPr>
          <w:trHeight w:val="20"/>
        </w:trPr>
        <w:tc>
          <w:tcPr>
            <w:tcW w:w="4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There was no significant impairment for contract acquisition and contract fulfillment costs as of June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Allowance for expected credit losses</w:t>
      </w:r>
    </w:p>
    <w:p>
      <w:pPr>
        <w:spacing w:after="0" w:line="2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provides information about accounts receivable, net of allowance for expected credit losses:</w:t>
      </w:r>
    </w:p>
    <w:p>
      <w:pPr>
        <w:spacing w:after="0" w:line="50"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6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740" w:type="dxa"/>
            <w:vAlign w:val="bottom"/>
            <w:tcBorders>
              <w:bottom w:val="single" w:sz="8" w:color="auto"/>
            </w:tcBorders>
          </w:tcPr>
          <w:p>
            <w:pPr>
              <w:spacing w:after="0"/>
              <w:rPr>
                <w:sz w:val="17"/>
                <w:szCs w:val="17"/>
                <w:color w:val="auto"/>
              </w:rPr>
            </w:pPr>
          </w:p>
        </w:tc>
      </w:tr>
      <w:tr>
        <w:trPr>
          <w:trHeight w:val="201"/>
        </w:trPr>
        <w:tc>
          <w:tcPr>
            <w:tcW w:w="6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240" w:type="dxa"/>
            <w:vAlign w:val="bottom"/>
          </w:tcPr>
          <w:p>
            <w:pPr>
              <w:spacing w:after="0"/>
              <w:rPr>
                <w:sz w:val="17"/>
                <w:szCs w:val="17"/>
                <w:color w:val="auto"/>
              </w:rPr>
            </w:pP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213"/>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 including unbilled receivables</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350,197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307,850</w:t>
            </w:r>
          </w:p>
        </w:tc>
      </w:tr>
      <w:tr>
        <w:trPr>
          <w:trHeight w:val="219"/>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Allowance for expected credit losses</w:t>
            </w: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(4,727)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(3,528)</w:t>
            </w: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 net</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345,470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304,322</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movement in “Allowance for expected credit losses” was as follows:</w:t>
      </w:r>
    </w:p>
    <w:p>
      <w:pPr>
        <w:spacing w:after="0" w:line="50"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2940" w:type="dxa"/>
            <w:vAlign w:val="bottom"/>
            <w:gridSpan w:val="6"/>
          </w:tcPr>
          <w:p>
            <w:pPr>
              <w:ind w:left="46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320" w:type="dxa"/>
            <w:vAlign w:val="bottom"/>
          </w:tcPr>
          <w:p>
            <w:pPr>
              <w:spacing w:after="0"/>
              <w:rPr>
                <w:sz w:val="17"/>
                <w:szCs w:val="17"/>
                <w:color w:val="auto"/>
              </w:rPr>
            </w:pPr>
          </w:p>
        </w:tc>
        <w:tc>
          <w:tcPr>
            <w:tcW w:w="2540" w:type="dxa"/>
            <w:vAlign w:val="bottom"/>
            <w:gridSpan w:val="4"/>
          </w:tcPr>
          <w:p>
            <w:pPr>
              <w:jc w:val="right"/>
              <w:ind w:right="476"/>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201"/>
        </w:trPr>
        <w:tc>
          <w:tcPr>
            <w:tcW w:w="446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5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1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Opening balance</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3,703</w:t>
            </w:r>
          </w:p>
        </w:tc>
      </w:tr>
      <w:tr>
        <w:trPr>
          <w:trHeight w:val="219"/>
        </w:trPr>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 (reductions)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1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Reductions due to write-off of accounts receivable</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19"/>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Currency translation adjustments</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7"/>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Closing balance</w:t>
            </w:r>
          </w:p>
        </w:tc>
        <w:tc>
          <w:tcPr>
            <w:tcW w:w="880" w:type="dxa"/>
            <w:vAlign w:val="bottom"/>
            <w:tcBorders>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4,727</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3,560</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 and credit risk concentration</w:t>
      </w:r>
    </w:p>
    <w:p>
      <w:pPr>
        <w:spacing w:after="0" w:line="234" w:lineRule="exact"/>
        <w:rPr>
          <w:sz w:val="20"/>
          <w:szCs w:val="20"/>
          <w:color w:val="auto"/>
        </w:rPr>
      </w:pPr>
    </w:p>
    <w:p>
      <w:pPr>
        <w:ind w:firstLine="387"/>
        <w:spacing w:after="0" w:line="271" w:lineRule="auto"/>
        <w:rPr>
          <w:sz w:val="20"/>
          <w:szCs w:val="20"/>
          <w:color w:val="auto"/>
        </w:rPr>
      </w:pPr>
      <w:r>
        <w:rPr>
          <w:rFonts w:ascii="Times New Roman" w:cs="Times New Roman" w:eastAsia="Times New Roman" w:hAnsi="Times New Roman"/>
          <w:sz w:val="17"/>
          <w:szCs w:val="17"/>
          <w:color w:val="auto"/>
        </w:rPr>
        <w:t>No single customer accounted for more than 10% of the Company's revenues, net during the three and six months ended June 30, 2025 and 2024. The Company’s management believes that the loss of any of its top ten clients could have a material adverse effect on its financial performance.</w:t>
      </w:r>
    </w:p>
    <w:p>
      <w:pPr>
        <w:spacing w:after="0" w:line="177" w:lineRule="exact"/>
        <w:rPr>
          <w:sz w:val="20"/>
          <w:szCs w:val="20"/>
          <w:color w:val="auto"/>
        </w:rPr>
      </w:pPr>
    </w:p>
    <w:p>
      <w:pPr>
        <w:ind w:firstLine="387"/>
        <w:spacing w:after="0" w:line="271" w:lineRule="auto"/>
        <w:rPr>
          <w:sz w:val="20"/>
          <w:szCs w:val="20"/>
          <w:color w:val="auto"/>
        </w:rPr>
      </w:pPr>
      <w:r>
        <w:rPr>
          <w:rFonts w:ascii="Times New Roman" w:cs="Times New Roman" w:eastAsia="Times New Roman" w:hAnsi="Times New Roman"/>
          <w:sz w:val="17"/>
          <w:szCs w:val="17"/>
          <w:color w:val="auto"/>
        </w:rPr>
        <w:t>To reduce credit risk, the Company conducts ongoing credit evaluations of its customers. No customer accounted for more than 10% of accounts receivable, net, as of June 30, 2025 and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Earnings Per Share</w:t>
      </w:r>
    </w:p>
    <w:p>
      <w:pPr>
        <w:spacing w:after="0" w:line="2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sets forth the computation of basic and diluted earnings per share:</w:t>
      </w:r>
    </w:p>
    <w:p>
      <w:pPr>
        <w:spacing w:after="0" w:line="299" w:lineRule="exact"/>
        <w:rPr>
          <w:sz w:val="20"/>
          <w:szCs w:val="20"/>
          <w:color w:val="auto"/>
        </w:rPr>
      </w:pPr>
    </w:p>
    <w:tbl>
      <w:tblPr>
        <w:tblLayout w:type="fixed"/>
        <w:tblInd w:w="380" w:type="dxa"/>
        <w:tblCellMar>
          <w:top w:w="0" w:type="dxa"/>
          <w:left w:w="0" w:type="dxa"/>
          <w:bottom w:w="0" w:type="dxa"/>
          <w:right w:w="0" w:type="dxa"/>
        </w:tblCellMar>
      </w:tblPr>
      <w:tr>
        <w:trPr>
          <w:trHeight w:val="182"/>
        </w:trPr>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5"/>
                <w:szCs w:val="15"/>
                <w:color w:val="auto"/>
              </w:rPr>
            </w:pPr>
          </w:p>
        </w:tc>
        <w:tc>
          <w:tcPr>
            <w:tcW w:w="2400" w:type="dxa"/>
            <w:vAlign w:val="bottom"/>
            <w:gridSpan w:val="4"/>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7"/>
        </w:trPr>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
        </w:trPr>
        <w:tc>
          <w:tcPr>
            <w:tcW w:w="5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9"/>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66,051</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45,825</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132,612</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94,588</w:t>
            </w: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5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 weighted average common shares outstanding</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162,925,484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162,794,138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162,709,034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163,938,263</w:t>
            </w:r>
          </w:p>
        </w:tc>
      </w:tr>
      <w:tr>
        <w:trPr>
          <w:trHeight w:val="219"/>
        </w:trPr>
        <w:tc>
          <w:tcPr>
            <w:tcW w:w="5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Dilutive effect of stock-based awards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1,267,774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1,167,616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1,667,464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1,406,041</w:t>
            </w:r>
          </w:p>
        </w:tc>
      </w:tr>
      <w:tr>
        <w:trPr>
          <w:trHeight w:val="212"/>
        </w:trPr>
        <w:tc>
          <w:tcPr>
            <w:tcW w:w="5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Diluted weighted average common shares outstanding</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164,193,258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163,961,754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164,376,498</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165,344,304</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5"/>
        </w:trPr>
        <w:tc>
          <w:tcPr>
            <w:tcW w:w="502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Earnings per share:</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9"/>
        </w:trPr>
        <w:tc>
          <w:tcPr>
            <w:tcW w:w="50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0.82</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0.58</w:t>
            </w:r>
          </w:p>
        </w:tc>
      </w:tr>
      <w:tr>
        <w:trPr>
          <w:trHeight w:val="219"/>
        </w:trPr>
        <w:tc>
          <w:tcPr>
            <w:tcW w:w="5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0.57</w:t>
            </w:r>
          </w:p>
        </w:tc>
      </w:tr>
      <w:tr>
        <w:trPr>
          <w:trHeight w:val="168"/>
        </w:trPr>
        <w:tc>
          <w:tcPr>
            <w:tcW w:w="50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Weighted average potentially dilutive shares considered anti-dilutive</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2"/>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and not included in computing diluted earnings per share</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728,203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3,314,536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523,472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3,247,920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Other Income, net</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Other income, net consists of the following:</w:t>
      </w:r>
    </w:p>
    <w:p>
      <w:pPr>
        <w:spacing w:after="0" w:line="145" w:lineRule="exact"/>
        <w:rPr>
          <w:sz w:val="20"/>
          <w:szCs w:val="20"/>
          <w:color w:val="auto"/>
        </w:rPr>
      </w:pPr>
    </w:p>
    <w:tbl>
      <w:tblPr>
        <w:tblLayout w:type="fixed"/>
        <w:tblInd w:w="380" w:type="dxa"/>
        <w:tblCellMar>
          <w:top w:w="0" w:type="dxa"/>
          <w:left w:w="0" w:type="dxa"/>
          <w:bottom w:w="0" w:type="dxa"/>
          <w:right w:w="0" w:type="dxa"/>
        </w:tblCellMar>
      </w:tblPr>
      <w:tr>
        <w:trPr>
          <w:trHeight w:val="182"/>
        </w:trPr>
        <w:tc>
          <w:tcPr>
            <w:tcW w:w="5080" w:type="dxa"/>
            <w:vAlign w:val="bottom"/>
          </w:tcPr>
          <w:p>
            <w:pPr>
              <w:spacing w:after="0"/>
              <w:rPr>
                <w:sz w:val="15"/>
                <w:szCs w:val="15"/>
                <w:color w:val="auto"/>
              </w:rPr>
            </w:pP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gridSpan w:val="4"/>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
        </w:trPr>
        <w:tc>
          <w:tcPr>
            <w:tcW w:w="50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1"/>
        </w:trPr>
        <w:tc>
          <w:tcPr>
            <w:tcW w:w="50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sale and fair value mark-to-market on investments</w:t>
            </w:r>
          </w:p>
        </w:tc>
        <w:tc>
          <w:tcPr>
            <w:tcW w:w="840" w:type="dxa"/>
            <w:vAlign w:val="bottom"/>
            <w:shd w:val="clear" w:color="auto" w:fill="CCEEFF"/>
          </w:tcPr>
          <w:p>
            <w:pPr>
              <w:jc w:val="right"/>
              <w:ind w:right="66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1,162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2,178</w:t>
            </w:r>
          </w:p>
        </w:tc>
      </w:tr>
      <w:tr>
        <w:trPr>
          <w:trHeight w:val="219"/>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and dividend income</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2,375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4,659</w:t>
            </w:r>
          </w:p>
        </w:tc>
      </w:tr>
      <w:tr>
        <w:trPr>
          <w:trHeight w:val="219"/>
        </w:trPr>
        <w:tc>
          <w:tcPr>
            <w:tcW w:w="50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Fair value changes of contingent consideration </w:t>
            </w:r>
            <w:r>
              <w:rPr>
                <w:rFonts w:ascii="Times New Roman" w:cs="Times New Roman" w:eastAsia="Times New Roman" w:hAnsi="Times New Roman"/>
                <w:sz w:val="22"/>
                <w:szCs w:val="22"/>
                <w:color w:val="auto"/>
                <w:vertAlign w:val="superscript"/>
              </w:rPr>
              <w:t>(1)</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w:t>
            </w:r>
          </w:p>
        </w:tc>
      </w:tr>
      <w:tr>
        <w:trPr>
          <w:trHeight w:val="219"/>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Others, net</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730</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37"/>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840" w:type="dxa"/>
            <w:vAlign w:val="bottom"/>
            <w:tcBorders>
              <w:bottom w:val="single" w:sz="8" w:color="auto"/>
            </w:tcBorders>
            <w:shd w:val="clear" w:color="auto" w:fill="CCEEFF"/>
          </w:tcPr>
          <w:p>
            <w:pPr>
              <w:jc w:val="right"/>
              <w:ind w:right="66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5,671</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3,550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10,374</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7,502</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860" w:hanging="238"/>
        <w:spacing w:after="0"/>
        <w:tabs>
          <w:tab w:leader="none" w:pos="86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 to Note 16 - Fair Value Measurements to the unaudited consolidated financial statements for further details.</w:t>
      </w:r>
    </w:p>
    <w:p>
      <w:pPr>
        <w:spacing w:after="0" w:line="316" w:lineRule="exact"/>
        <w:rPr>
          <w:rFonts w:ascii="Times New Roman" w:cs="Times New Roman" w:eastAsia="Times New Roman" w:hAnsi="Times New Roman"/>
          <w:sz w:val="17"/>
          <w:szCs w:val="17"/>
          <w:color w:val="auto"/>
        </w:rPr>
      </w:pPr>
    </w:p>
    <w:p>
      <w:pPr>
        <w:ind w:left="180" w:hanging="177"/>
        <w:spacing w:after="0"/>
        <w:tabs>
          <w:tab w:leader="none" w:pos="18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Cash, Cash Equivalents and Restricted Cash</w:t>
      </w:r>
    </w:p>
    <w:p>
      <w:pPr>
        <w:spacing w:after="0" w:line="2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For the purposes of unaudited consolidated statements of cash flows, cash, cash equivalents and restricted cash consist of the following:</w:t>
      </w:r>
    </w:p>
    <w:p>
      <w:pPr>
        <w:spacing w:after="0" w:line="67" w:lineRule="exact"/>
        <w:rPr>
          <w:sz w:val="20"/>
          <w:szCs w:val="20"/>
          <w:color w:val="auto"/>
        </w:rPr>
      </w:pPr>
    </w:p>
    <w:tbl>
      <w:tblPr>
        <w:tblLayout w:type="fixed"/>
        <w:tblInd w:w="380" w:type="dxa"/>
        <w:tblCellMar>
          <w:top w:w="0" w:type="dxa"/>
          <w:left w:w="0" w:type="dxa"/>
          <w:bottom w:w="0" w:type="dxa"/>
          <w:right w:w="0" w:type="dxa"/>
        </w:tblCellMar>
      </w:tblPr>
      <w:tr>
        <w:trPr>
          <w:trHeight w:val="182"/>
        </w:trPr>
        <w:tc>
          <w:tcPr>
            <w:tcW w:w="5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2"/>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7"/>
        </w:trPr>
        <w:tc>
          <w:tcPr>
            <w:tcW w:w="5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Pr>
          <w:p>
            <w:pPr>
              <w:spacing w:after="0"/>
              <w:rPr>
                <w:sz w:val="15"/>
                <w:szCs w:val="15"/>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5"/>
                <w:szCs w:val="15"/>
                <w:color w:val="auto"/>
              </w:rPr>
            </w:pPr>
          </w:p>
        </w:tc>
        <w:tc>
          <w:tcPr>
            <w:tcW w:w="138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
        </w:trPr>
        <w:tc>
          <w:tcPr>
            <w:tcW w:w="5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149,134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153,355</w:t>
            </w:r>
          </w:p>
        </w:tc>
      </w:tr>
      <w:tr>
        <w:trPr>
          <w:trHeight w:val="219"/>
        </w:trPr>
        <w:tc>
          <w:tcPr>
            <w:tcW w:w="538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Restricted cash (current) </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9,972</w:t>
            </w:r>
          </w:p>
        </w:tc>
      </w:tr>
      <w:tr>
        <w:trPr>
          <w:trHeight w:val="219"/>
        </w:trPr>
        <w:tc>
          <w:tcPr>
            <w:tcW w:w="53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Restricted cash (non-current) </w:t>
            </w:r>
            <w:r>
              <w:rPr>
                <w:rFonts w:ascii="Times New Roman" w:cs="Times New Roman" w:eastAsia="Times New Roman" w:hAnsi="Times New Roman"/>
                <w:sz w:val="22"/>
                <w:szCs w:val="22"/>
                <w:color w:val="auto"/>
                <w:vertAlign w:val="superscript"/>
              </w:rPr>
              <w:t>(2)</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9,888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8,071</w:t>
            </w:r>
          </w:p>
        </w:tc>
      </w:tr>
      <w:tr>
        <w:trPr>
          <w:trHeight w:val="212"/>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170,525</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121,654</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171,398</w:t>
            </w: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22"/>
        <w:spacing w:after="0" w:line="270" w:lineRule="auto"/>
        <w:tabs>
          <w:tab w:leader="none" w:pos="87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cash (current) primarily represents funds held on behalf of customers in dedicated bank accounts. The corresponding liability against the same is included under “Accrued Expenses and other current liabilities.” Restricted cash also includes funds held as collateral in a dedicated bank account for irrevocable letters of credit issued in favor of third parties for facility leases.</w:t>
      </w:r>
    </w:p>
    <w:p>
      <w:pPr>
        <w:spacing w:after="0" w:line="191" w:lineRule="exact"/>
        <w:rPr>
          <w:rFonts w:ascii="Times New Roman" w:cs="Times New Roman" w:eastAsia="Times New Roman" w:hAnsi="Times New Roman"/>
          <w:sz w:val="17"/>
          <w:szCs w:val="17"/>
          <w:color w:val="auto"/>
        </w:rPr>
      </w:pPr>
    </w:p>
    <w:p>
      <w:pPr>
        <w:jc w:val="both"/>
        <w:ind w:firstLine="622"/>
        <w:spacing w:after="0" w:line="270" w:lineRule="auto"/>
        <w:tabs>
          <w:tab w:leader="none" w:pos="86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cash (non-current) represents deposits with banks against bank guarantees issued through banks in favor of relevant statutory authorities for equipment imports, deposits for obtaining indirect tax registrations and for demands against pending income tax and value added tax (“VAT”) assessments. These deposits with banks will mature one year after the balance sheet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Investments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Investments consist of the following:</w:t>
      </w:r>
    </w:p>
    <w:p>
      <w:pPr>
        <w:spacing w:after="0" w:line="299" w:lineRule="exact"/>
        <w:rPr>
          <w:sz w:val="20"/>
          <w:szCs w:val="20"/>
          <w:color w:val="auto"/>
        </w:rPr>
      </w:pPr>
    </w:p>
    <w:tbl>
      <w:tblPr>
        <w:tblLayout w:type="fixed"/>
        <w:tblInd w:w="380" w:type="dxa"/>
        <w:tblCellMar>
          <w:top w:w="0" w:type="dxa"/>
          <w:left w:w="0" w:type="dxa"/>
          <w:bottom w:w="0" w:type="dxa"/>
          <w:right w:w="0" w:type="dxa"/>
        </w:tblCellMar>
      </w:tblPr>
      <w:tr>
        <w:trPr>
          <w:trHeight w:val="182"/>
        </w:trPr>
        <w:tc>
          <w:tcPr>
            <w:tcW w:w="5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00" w:type="dxa"/>
            <w:vAlign w:val="bottom"/>
          </w:tcPr>
          <w:p>
            <w:pPr>
              <w:spacing w:after="0"/>
              <w:rPr>
                <w:sz w:val="15"/>
                <w:szCs w:val="15"/>
                <w:color w:val="auto"/>
              </w:rPr>
            </w:pPr>
          </w:p>
        </w:tc>
      </w:tr>
      <w:tr>
        <w:trPr>
          <w:trHeight w:val="22"/>
        </w:trPr>
        <w:tc>
          <w:tcPr>
            <w:tcW w:w="5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77"/>
        </w:trPr>
        <w:tc>
          <w:tcPr>
            <w:tcW w:w="5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5"/>
                <w:szCs w:val="15"/>
                <w:color w:val="auto"/>
              </w:rPr>
            </w:pPr>
          </w:p>
        </w:tc>
        <w:tc>
          <w:tcPr>
            <w:tcW w:w="15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
        </w:trPr>
        <w:tc>
          <w:tcPr>
            <w:tcW w:w="5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Short-term investments</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19"/>
        </w:trPr>
        <w:tc>
          <w:tcPr>
            <w:tcW w:w="5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Mutual funds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120,809</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108,251</w:t>
            </w:r>
          </w:p>
        </w:tc>
      </w:tr>
      <w:tr>
        <w:trPr>
          <w:trHeight w:val="219"/>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Term deposits</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83,351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78,972</w:t>
            </w:r>
          </w:p>
        </w:tc>
      </w:tr>
      <w:tr>
        <w:trPr>
          <w:trHeight w:val="212"/>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204,160</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187,223</w:t>
            </w:r>
          </w:p>
        </w:tc>
      </w:tr>
      <w:tr>
        <w:trPr>
          <w:trHeight w:val="20"/>
        </w:trPr>
        <w:tc>
          <w:tcPr>
            <w:tcW w:w="5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56"/>
        </w:trPr>
        <w:tc>
          <w:tcPr>
            <w:tcW w:w="5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investments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9"/>
        </w:trPr>
        <w:tc>
          <w:tcPr>
            <w:tcW w:w="5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Term deposits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2,489</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9,295</w:t>
            </w:r>
          </w:p>
        </w:tc>
      </w:tr>
      <w:tr>
        <w:trPr>
          <w:trHeight w:val="219"/>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Investment in equity affiliate</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4,677</w:t>
            </w:r>
          </w:p>
        </w:tc>
      </w:tr>
      <w:tr>
        <w:trPr>
          <w:trHeight w:val="212"/>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investments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7,516</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13,972</w:t>
            </w:r>
          </w:p>
        </w:tc>
      </w:tr>
      <w:tr>
        <w:trPr>
          <w:trHeight w:val="20"/>
        </w:trPr>
        <w:tc>
          <w:tcPr>
            <w:tcW w:w="5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Refer to Note 16 - Fair Value Measurements to the unaudited consolidated financial statements for further details.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Property and Equipment, net</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Property and equipment consists of the following:</w:t>
      </w:r>
    </w:p>
    <w:p>
      <w:pPr>
        <w:spacing w:after="0" w:line="41" w:lineRule="exact"/>
        <w:rPr>
          <w:sz w:val="20"/>
          <w:szCs w:val="20"/>
          <w:color w:val="auto"/>
        </w:rPr>
      </w:pPr>
    </w:p>
    <w:tbl>
      <w:tblPr>
        <w:tblLayout w:type="fixed"/>
        <w:tblInd w:w="380" w:type="dxa"/>
        <w:tblCellMar>
          <w:top w:w="0" w:type="dxa"/>
          <w:left w:w="0" w:type="dxa"/>
          <w:bottom w:w="0" w:type="dxa"/>
          <w:right w:w="0" w:type="dxa"/>
        </w:tblCellMar>
      </w:tblPr>
      <w:tr>
        <w:trPr>
          <w:trHeight w:val="182"/>
        </w:trPr>
        <w:tc>
          <w:tcPr>
            <w:tcW w:w="5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20" w:type="dxa"/>
            <w:vAlign w:val="bottom"/>
          </w:tcPr>
          <w:p>
            <w:pPr>
              <w:spacing w:after="0"/>
              <w:rPr>
                <w:sz w:val="15"/>
                <w:szCs w:val="15"/>
                <w:color w:val="auto"/>
              </w:rPr>
            </w:pPr>
          </w:p>
        </w:tc>
      </w:tr>
      <w:tr>
        <w:trPr>
          <w:trHeight w:val="22"/>
        </w:trPr>
        <w:tc>
          <w:tcPr>
            <w:tcW w:w="5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1"/>
        </w:trPr>
        <w:tc>
          <w:tcPr>
            <w:tcW w:w="5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5"/>
                <w:szCs w:val="15"/>
                <w:color w:val="auto"/>
              </w:rPr>
            </w:pPr>
          </w:p>
        </w:tc>
        <w:tc>
          <w:tcPr>
            <w:tcW w:w="15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8"/>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gross</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center"/>
              <w:ind w:left="661"/>
              <w:spacing w:after="0"/>
              <w:rPr>
                <w:sz w:val="20"/>
                <w:szCs w:val="20"/>
                <w:color w:val="auto"/>
              </w:rPr>
            </w:pPr>
            <w:r>
              <w:rPr>
                <w:rFonts w:ascii="Times New Roman" w:cs="Times New Roman" w:eastAsia="Times New Roman" w:hAnsi="Times New Roman"/>
                <w:sz w:val="17"/>
                <w:szCs w:val="17"/>
                <w:color w:val="auto"/>
              </w:rPr>
              <w:t>387,987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shd w:val="clear" w:color="auto" w:fill="CCEEFF"/>
          </w:tcPr>
          <w:p>
            <w:pPr>
              <w:jc w:val="center"/>
              <w:ind w:left="758"/>
              <w:spacing w:after="0"/>
              <w:rPr>
                <w:sz w:val="20"/>
                <w:szCs w:val="20"/>
                <w:color w:val="auto"/>
              </w:rPr>
            </w:pPr>
            <w:r>
              <w:rPr>
                <w:rFonts w:ascii="Times New Roman" w:cs="Times New Roman" w:eastAsia="Times New Roman" w:hAnsi="Times New Roman"/>
                <w:sz w:val="17"/>
                <w:szCs w:val="17"/>
                <w:color w:val="auto"/>
              </w:rPr>
              <w:t>356,060</w:t>
            </w:r>
          </w:p>
        </w:tc>
      </w:tr>
      <w:tr>
        <w:trPr>
          <w:trHeight w:val="21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left="661"/>
              <w:spacing w:after="0"/>
              <w:rPr>
                <w:sz w:val="20"/>
                <w:szCs w:val="20"/>
                <w:color w:val="auto"/>
              </w:rPr>
            </w:pPr>
            <w:r>
              <w:rPr>
                <w:rFonts w:ascii="Times New Roman" w:cs="Times New Roman" w:eastAsia="Times New Roman" w:hAnsi="Times New Roman"/>
                <w:sz w:val="17"/>
                <w:szCs w:val="17"/>
                <w:color w:val="auto"/>
              </w:rPr>
              <w:t>(273,884)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718"/>
              <w:spacing w:after="0"/>
              <w:rPr>
                <w:sz w:val="20"/>
                <w:szCs w:val="20"/>
                <w:color w:val="auto"/>
              </w:rPr>
            </w:pPr>
            <w:r>
              <w:rPr>
                <w:rFonts w:ascii="Times New Roman" w:cs="Times New Roman" w:eastAsia="Times New Roman" w:hAnsi="Times New Roman"/>
                <w:sz w:val="17"/>
                <w:szCs w:val="17"/>
                <w:color w:val="auto"/>
              </w:rPr>
              <w:t>(254,223)</w:t>
            </w:r>
          </w:p>
        </w:tc>
      </w:tr>
      <w:tr>
        <w:trPr>
          <w:trHeight w:val="237"/>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center"/>
              <w:ind w:left="681"/>
              <w:spacing w:after="0"/>
              <w:rPr>
                <w:sz w:val="20"/>
                <w:szCs w:val="20"/>
                <w:color w:val="auto"/>
              </w:rPr>
            </w:pPr>
            <w:r>
              <w:rPr>
                <w:rFonts w:ascii="Times New Roman" w:cs="Times New Roman" w:eastAsia="Times New Roman" w:hAnsi="Times New Roman"/>
                <w:sz w:val="17"/>
                <w:szCs w:val="17"/>
                <w:color w:val="auto"/>
                <w:w w:val="97"/>
              </w:rPr>
              <w:t>114,103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center"/>
              <w:ind w:left="758"/>
              <w:spacing w:after="0"/>
              <w:rPr>
                <w:sz w:val="20"/>
                <w:szCs w:val="20"/>
                <w:color w:val="auto"/>
              </w:rPr>
            </w:pPr>
            <w:r>
              <w:rPr>
                <w:rFonts w:ascii="Times New Roman" w:cs="Times New Roman" w:eastAsia="Times New Roman" w:hAnsi="Times New Roman"/>
                <w:sz w:val="17"/>
                <w:szCs w:val="17"/>
                <w:color w:val="auto"/>
              </w:rPr>
              <w:t>101,837</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firstLine="387"/>
        <w:spacing w:after="0" w:line="271" w:lineRule="auto"/>
        <w:rPr>
          <w:sz w:val="20"/>
          <w:szCs w:val="20"/>
          <w:color w:val="auto"/>
        </w:rPr>
      </w:pPr>
      <w:r>
        <w:rPr>
          <w:rFonts w:ascii="Times New Roman" w:cs="Times New Roman" w:eastAsia="Times New Roman" w:hAnsi="Times New Roman"/>
          <w:sz w:val="17"/>
          <w:szCs w:val="17"/>
          <w:color w:val="auto"/>
        </w:rPr>
        <w:t>During the three and six months ended June 30, 2025, there were no material changes in estimated useful lives of property and equipment during the ordinary course of operations.</w:t>
      </w:r>
    </w:p>
    <w:p>
      <w:pPr>
        <w:spacing w:after="0" w:line="164" w:lineRule="exact"/>
        <w:rPr>
          <w:sz w:val="20"/>
          <w:szCs w:val="20"/>
          <w:color w:val="auto"/>
        </w:rPr>
      </w:pPr>
    </w:p>
    <w:p>
      <w:pPr>
        <w:ind w:firstLine="387"/>
        <w:spacing w:after="0" w:line="264" w:lineRule="auto"/>
        <w:rPr>
          <w:sz w:val="20"/>
          <w:szCs w:val="20"/>
          <w:color w:val="auto"/>
        </w:rPr>
      </w:pPr>
      <w:r>
        <w:rPr>
          <w:rFonts w:ascii="Times New Roman" w:cs="Times New Roman" w:eastAsia="Times New Roman" w:hAnsi="Times New Roman"/>
          <w:sz w:val="17"/>
          <w:szCs w:val="17"/>
          <w:color w:val="auto"/>
        </w:rPr>
        <w:t>The depreciation and amortization expense, excluding amortization of acquisition-related intangibles, recognized in the unaudited consolidated statements of income was as follows:</w:t>
      </w:r>
    </w:p>
    <w:tbl>
      <w:tblPr>
        <w:tblLayout w:type="fixed"/>
        <w:tblInd w:w="380" w:type="dxa"/>
        <w:tblCellMar>
          <w:top w:w="0" w:type="dxa"/>
          <w:left w:w="0" w:type="dxa"/>
          <w:bottom w:w="0" w:type="dxa"/>
          <w:right w:w="0" w:type="dxa"/>
        </w:tblCellMar>
      </w:tblPr>
      <w:tr>
        <w:trPr>
          <w:trHeight w:val="182"/>
        </w:trPr>
        <w:tc>
          <w:tcPr>
            <w:tcW w:w="3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4"/>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
        </w:trPr>
        <w:tc>
          <w:tcPr>
            <w:tcW w:w="3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1"/>
        </w:trPr>
        <w:tc>
          <w:tcPr>
            <w:tcW w:w="37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10,778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9,833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19,099</w:t>
            </w:r>
          </w:p>
        </w:tc>
      </w:tr>
    </w:tbl>
    <w:p>
      <w:pPr>
        <w:spacing w:after="0" w:line="3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Internally developed software costs, included in property and equipment was as follows:</w:t>
      </w:r>
    </w:p>
    <w:p>
      <w:pPr>
        <w:spacing w:after="0" w:line="41" w:lineRule="exact"/>
        <w:rPr>
          <w:sz w:val="20"/>
          <w:szCs w:val="20"/>
          <w:color w:val="auto"/>
        </w:rPr>
      </w:pPr>
    </w:p>
    <w:tbl>
      <w:tblPr>
        <w:tblLayout w:type="fixed"/>
        <w:tblInd w:w="380" w:type="dxa"/>
        <w:tblCellMar>
          <w:top w:w="0" w:type="dxa"/>
          <w:left w:w="0" w:type="dxa"/>
          <w:bottom w:w="0" w:type="dxa"/>
          <w:right w:w="0" w:type="dxa"/>
        </w:tblCellMar>
      </w:tblPr>
      <w:tr>
        <w:trPr>
          <w:trHeight w:val="182"/>
        </w:trPr>
        <w:tc>
          <w:tcPr>
            <w:tcW w:w="5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6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w w:val="90"/>
              </w:rPr>
              <w:t>As of</w:t>
            </w:r>
          </w:p>
        </w:tc>
        <w:tc>
          <w:tcPr>
            <w:tcW w:w="1720" w:type="dxa"/>
            <w:vAlign w:val="bottom"/>
          </w:tcPr>
          <w:p>
            <w:pPr>
              <w:spacing w:after="0"/>
              <w:rPr>
                <w:sz w:val="15"/>
                <w:szCs w:val="15"/>
                <w:color w:val="auto"/>
              </w:rPr>
            </w:pPr>
          </w:p>
        </w:tc>
      </w:tr>
      <w:tr>
        <w:trPr>
          <w:trHeight w:val="22"/>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81"/>
        </w:trPr>
        <w:tc>
          <w:tcPr>
            <w:tcW w:w="50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center"/>
              <w:ind w:left="898"/>
              <w:spacing w:after="0"/>
              <w:rPr>
                <w:sz w:val="20"/>
                <w:szCs w:val="20"/>
                <w:color w:val="auto"/>
              </w:rPr>
            </w:pPr>
            <w:r>
              <w:rPr>
                <w:rFonts w:ascii="Times New Roman" w:cs="Times New Roman" w:eastAsia="Times New Roman" w:hAnsi="Times New Roman"/>
                <w:sz w:val="17"/>
                <w:szCs w:val="17"/>
                <w:color w:val="auto"/>
              </w:rPr>
              <w:t>63,194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shd w:val="clear" w:color="auto" w:fill="CCEEFF"/>
          </w:tcPr>
          <w:p>
            <w:pPr>
              <w:jc w:val="center"/>
              <w:ind w:left="1038"/>
              <w:spacing w:after="0"/>
              <w:rPr>
                <w:sz w:val="20"/>
                <w:szCs w:val="20"/>
                <w:color w:val="auto"/>
              </w:rPr>
            </w:pPr>
            <w:r>
              <w:rPr>
                <w:rFonts w:ascii="Times New Roman" w:cs="Times New Roman" w:eastAsia="Times New Roman" w:hAnsi="Times New Roman"/>
                <w:sz w:val="17"/>
                <w:szCs w:val="17"/>
                <w:color w:val="auto"/>
              </w:rPr>
              <w:t>60,447</w:t>
            </w:r>
          </w:p>
        </w:tc>
      </w:tr>
      <w:tr>
        <w:trPr>
          <w:trHeight w:val="21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 Accumulated amortization</w:t>
            </w: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left="858"/>
              <w:spacing w:after="0"/>
              <w:rPr>
                <w:sz w:val="20"/>
                <w:szCs w:val="20"/>
                <w:color w:val="auto"/>
              </w:rPr>
            </w:pPr>
            <w:r>
              <w:rPr>
                <w:rFonts w:ascii="Times New Roman" w:cs="Times New Roman" w:eastAsia="Times New Roman" w:hAnsi="Times New Roman"/>
                <w:sz w:val="17"/>
                <w:szCs w:val="17"/>
                <w:color w:val="auto"/>
              </w:rPr>
              <w:t>(43,726)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left="1018"/>
              <w:spacing w:after="0"/>
              <w:rPr>
                <w:sz w:val="20"/>
                <w:szCs w:val="20"/>
                <w:color w:val="auto"/>
              </w:rPr>
            </w:pPr>
            <w:r>
              <w:rPr>
                <w:rFonts w:ascii="Times New Roman" w:cs="Times New Roman" w:eastAsia="Times New Roman" w:hAnsi="Times New Roman"/>
                <w:sz w:val="17"/>
                <w:szCs w:val="17"/>
                <w:color w:val="auto"/>
                <w:w w:val="99"/>
              </w:rPr>
              <w:t>(38,243)</w:t>
            </w:r>
          </w:p>
        </w:tc>
      </w:tr>
      <w:tr>
        <w:trPr>
          <w:trHeight w:val="237"/>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Internally developed software, net</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center"/>
              <w:ind w:left="898"/>
              <w:spacing w:after="0"/>
              <w:rPr>
                <w:sz w:val="20"/>
                <w:szCs w:val="20"/>
                <w:color w:val="auto"/>
              </w:rPr>
            </w:pPr>
            <w:r>
              <w:rPr>
                <w:rFonts w:ascii="Times New Roman" w:cs="Times New Roman" w:eastAsia="Times New Roman" w:hAnsi="Times New Roman"/>
                <w:sz w:val="17"/>
                <w:szCs w:val="17"/>
                <w:color w:val="auto"/>
              </w:rPr>
              <w:t>19,468</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shd w:val="clear" w:color="auto" w:fill="CCEEFF"/>
          </w:tcPr>
          <w:p>
            <w:pPr>
              <w:jc w:val="center"/>
              <w:ind w:left="1038"/>
              <w:spacing w:after="0"/>
              <w:rPr>
                <w:sz w:val="20"/>
                <w:szCs w:val="20"/>
                <w:color w:val="auto"/>
              </w:rPr>
            </w:pPr>
            <w:r>
              <w:rPr>
                <w:rFonts w:ascii="Times New Roman" w:cs="Times New Roman" w:eastAsia="Times New Roman" w:hAnsi="Times New Roman"/>
                <w:sz w:val="17"/>
                <w:szCs w:val="17"/>
                <w:color w:val="auto"/>
              </w:rPr>
              <w:t>22,204</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amortization expense on internally developed software recognized in the unaudited consolidated statements of income was as follows:</w:t>
      </w:r>
    </w:p>
    <w:p>
      <w:pPr>
        <w:spacing w:after="0" w:line="41" w:lineRule="exact"/>
        <w:rPr>
          <w:sz w:val="20"/>
          <w:szCs w:val="20"/>
          <w:color w:val="auto"/>
        </w:rPr>
      </w:pPr>
    </w:p>
    <w:tbl>
      <w:tblPr>
        <w:tblLayout w:type="fixed"/>
        <w:tblInd w:w="380" w:type="dxa"/>
        <w:tblCellMar>
          <w:top w:w="0" w:type="dxa"/>
          <w:left w:w="0" w:type="dxa"/>
          <w:bottom w:w="0" w:type="dxa"/>
          <w:right w:w="0" w:type="dxa"/>
        </w:tblCellMar>
      </w:tblPr>
      <w:tr>
        <w:trPr>
          <w:trHeight w:val="182"/>
        </w:trPr>
        <w:tc>
          <w:tcPr>
            <w:tcW w:w="3340" w:type="dxa"/>
            <w:vAlign w:val="bottom"/>
          </w:tcPr>
          <w:p>
            <w:pPr>
              <w:spacing w:after="0"/>
              <w:rPr>
                <w:sz w:val="15"/>
                <w:szCs w:val="15"/>
                <w:color w:val="auto"/>
              </w:rPr>
            </w:pPr>
          </w:p>
        </w:tc>
        <w:tc>
          <w:tcPr>
            <w:tcW w:w="23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4"/>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Pr>
          <w:p>
            <w:pPr>
              <w:spacing w:after="0"/>
              <w:rPr>
                <w:sz w:val="15"/>
                <w:szCs w:val="15"/>
                <w:color w:val="auto"/>
              </w:rPr>
            </w:pPr>
          </w:p>
        </w:tc>
      </w:tr>
      <w:tr>
        <w:trPr>
          <w:trHeight w:val="22"/>
        </w:trPr>
        <w:tc>
          <w:tcPr>
            <w:tcW w:w="3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81"/>
        </w:trPr>
        <w:tc>
          <w:tcPr>
            <w:tcW w:w="33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r>
      <w:tr>
        <w:trPr>
          <w:trHeight w:val="218"/>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expense</w:t>
            </w:r>
          </w:p>
        </w:tc>
        <w:tc>
          <w:tcPr>
            <w:tcW w:w="86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2,743</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6"/>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5,447</w:t>
            </w: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During the three and six months ended June 30, 2025 and 2024, there were no indicators of impairment related to capitalized software.</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Goodwill and Other Intangible Assets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34" w:lineRule="exact"/>
        <w:rPr>
          <w:sz w:val="20"/>
          <w:szCs w:val="20"/>
          <w:color w:val="auto"/>
        </w:rPr>
      </w:pPr>
    </w:p>
    <w:p>
      <w:pPr>
        <w:jc w:val="both"/>
        <w:ind w:firstLine="387"/>
        <w:spacing w:after="0" w:line="266" w:lineRule="auto"/>
        <w:rPr>
          <w:sz w:val="20"/>
          <w:szCs w:val="20"/>
          <w:color w:val="auto"/>
        </w:rPr>
      </w:pPr>
      <w:r>
        <w:rPr>
          <w:rFonts w:ascii="Times New Roman" w:cs="Times New Roman" w:eastAsia="Times New Roman" w:hAnsi="Times New Roman"/>
          <w:sz w:val="17"/>
          <w:szCs w:val="17"/>
          <w:color w:val="auto"/>
        </w:rPr>
        <w:t>In the first quarter of 2025, the Company implemented operational and structural changes which resulted in the realignment of its reporting segments. Refer to Note 3- Segment Information for further details. Goodwill has been re-allocated to reporting units based on the relative fair value approach.</w:t>
      </w:r>
    </w:p>
    <w:p>
      <w:pPr>
        <w:spacing w:after="0" w:line="194"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 xml:space="preserve">The Company tested goodwill for impairment prior to the segment realignment and immediately thereafter, for events and conditions identified in accordance with the guidance in ASC Topic 350, </w:t>
      </w:r>
      <w:r>
        <w:rPr>
          <w:rFonts w:ascii="Times New Roman" w:cs="Times New Roman" w:eastAsia="Times New Roman" w:hAnsi="Times New Roman"/>
          <w:sz w:val="17"/>
          <w:szCs w:val="17"/>
          <w:i w:val="1"/>
          <w:iCs w:val="1"/>
          <w:color w:val="auto"/>
        </w:rPr>
        <w:t>Intangibles- Goodwill and Other</w:t>
      </w:r>
      <w:r>
        <w:rPr>
          <w:rFonts w:ascii="Times New Roman" w:cs="Times New Roman" w:eastAsia="Times New Roman" w:hAnsi="Times New Roman"/>
          <w:sz w:val="17"/>
          <w:szCs w:val="17"/>
          <w:color w:val="auto"/>
        </w:rPr>
        <w:t>. The fair value of the reporting units was calculated using a discounted cash flow model using estimated future cash flows. The results of the evaluation demonstrated that the fair value of each reporting unit exceeded its book value as of the date of the segment realignment.</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sets forth details of changes in goodwill by reportable segment of the Company:</w:t>
      </w:r>
    </w:p>
    <w:p>
      <w:pPr>
        <w:spacing w:after="0" w:line="22" w:lineRule="exact"/>
        <w:rPr>
          <w:sz w:val="20"/>
          <w:szCs w:val="20"/>
          <w:color w:val="auto"/>
        </w:rPr>
      </w:pPr>
    </w:p>
    <w:tbl>
      <w:tblPr>
        <w:tblLayout w:type="fixed"/>
        <w:tblInd w:w="380" w:type="dxa"/>
        <w:tblCellMar>
          <w:top w:w="0" w:type="dxa"/>
          <w:left w:w="0" w:type="dxa"/>
          <w:bottom w:w="0" w:type="dxa"/>
          <w:right w:w="0" w:type="dxa"/>
        </w:tblCellMar>
      </w:tblPr>
      <w:tr>
        <w:trPr>
          <w:trHeight w:val="172"/>
        </w:trPr>
        <w:tc>
          <w:tcPr>
            <w:tcW w:w="3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Healthcare and Life</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Banking, Capital Markets</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6"/>
              </w:rPr>
              <w:t>International Growth</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2"/>
        </w:trPr>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Insurance</w:t>
            </w:r>
          </w:p>
        </w:tc>
        <w:tc>
          <w:tcPr>
            <w:tcW w:w="24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Sciences</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and Diversified Industries</w:t>
            </w:r>
          </w:p>
        </w:tc>
        <w:tc>
          <w:tcPr>
            <w:tcW w:w="280" w:type="dxa"/>
            <w:vAlign w:val="bottom"/>
          </w:tcPr>
          <w:p>
            <w:pPr>
              <w:spacing w:after="0"/>
              <w:rPr>
                <w:sz w:val="17"/>
                <w:szCs w:val="17"/>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w w:val="95"/>
              </w:rPr>
              <w:t>Markets</w:t>
            </w:r>
          </w:p>
        </w:tc>
        <w:tc>
          <w:tcPr>
            <w:tcW w:w="220" w:type="dxa"/>
            <w:vAlign w:val="bottom"/>
          </w:tcPr>
          <w:p>
            <w:pPr>
              <w:spacing w:after="0"/>
              <w:rPr>
                <w:sz w:val="17"/>
                <w:szCs w:val="17"/>
                <w:color w:val="auto"/>
              </w:rPr>
            </w:pPr>
          </w:p>
        </w:tc>
        <w:tc>
          <w:tcPr>
            <w:tcW w:w="800" w:type="dxa"/>
            <w:vAlign w:val="bottom"/>
          </w:tcPr>
          <w:p>
            <w:pPr>
              <w:jc w:val="right"/>
              <w:ind w:right="277"/>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16"/>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77,099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189,621</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61"/>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100,639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53,028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420,387</w:t>
            </w:r>
          </w:p>
        </w:tc>
      </w:tr>
      <w:tr>
        <w:trPr>
          <w:trHeight w:val="219"/>
        </w:trPr>
        <w:tc>
          <w:tcPr>
            <w:tcW w:w="3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Currency translation adjustments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w:t>
            </w:r>
          </w:p>
        </w:tc>
      </w:tr>
      <w:tr>
        <w:trPr>
          <w:trHeight w:val="237"/>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June 30,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189,620</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61"/>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100,622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420,573</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auto"/>
        </w:rPr>
        <w:t>During the three and six months ended June 30, 2025 and 2024, the Company performed an assessment to determine whether events or circumstances exist that may lead to a determination that it is more likely than not that the fair value of a reporting unit is less than its carrying amount. Based on such assessment, the Company concluded that there was no impairment on goodwill during the three and six months ended June 30, 2025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Intangible Assets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Information regarding the Company’s intangible assets is set forth below:</w:t>
      </w:r>
    </w:p>
    <w:p>
      <w:pPr>
        <w:spacing w:after="0" w:line="149" w:lineRule="exact"/>
        <w:rPr>
          <w:sz w:val="20"/>
          <w:szCs w:val="20"/>
          <w:color w:val="auto"/>
        </w:rPr>
      </w:pPr>
    </w:p>
    <w:tbl>
      <w:tblPr>
        <w:tblLayout w:type="fixed"/>
        <w:tblInd w:w="380" w:type="dxa"/>
        <w:tblCellMar>
          <w:top w:w="0" w:type="dxa"/>
          <w:left w:w="0" w:type="dxa"/>
          <w:bottom w:w="0" w:type="dxa"/>
          <w:right w:w="0" w:type="dxa"/>
        </w:tblCellMar>
      </w:tblPr>
      <w:tr>
        <w:trPr>
          <w:trHeight w:val="227"/>
        </w:trPr>
        <w:tc>
          <w:tcPr>
            <w:tcW w:w="2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5"/>
          </w:tcPr>
          <w:p>
            <w:pPr>
              <w:ind w:left="1020"/>
              <w:spacing w:after="0"/>
              <w:rPr>
                <w:sz w:val="20"/>
                <w:szCs w:val="20"/>
                <w:color w:val="auto"/>
              </w:rPr>
            </w:pPr>
            <w:r>
              <w:rPr>
                <w:rFonts w:ascii="Times New Roman" w:cs="Times New Roman" w:eastAsia="Times New Roman" w:hAnsi="Times New Roman"/>
                <w:sz w:val="17"/>
                <w:szCs w:val="17"/>
                <w:b w:val="1"/>
                <w:bCs w:val="1"/>
                <w:color w:val="auto"/>
              </w:rPr>
              <w:t>As of June 30, 2025</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As of December 31, 2024</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300"/>
              <w:spacing w:after="0" w:line="161"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14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40" w:type="dxa"/>
            <w:vAlign w:val="bottom"/>
          </w:tcPr>
          <w:p>
            <w:pPr>
              <w:spacing w:after="0"/>
              <w:rPr>
                <w:sz w:val="13"/>
                <w:szCs w:val="13"/>
                <w:color w:val="auto"/>
              </w:rPr>
            </w:pPr>
          </w:p>
        </w:tc>
        <w:tc>
          <w:tcPr>
            <w:tcW w:w="860" w:type="dxa"/>
            <w:vAlign w:val="bottom"/>
          </w:tcPr>
          <w:p>
            <w:pPr>
              <w:jc w:val="center"/>
              <w:ind w:right="114"/>
              <w:spacing w:after="0" w:line="161" w:lineRule="exact"/>
              <w:rPr>
                <w:sz w:val="20"/>
                <w:szCs w:val="20"/>
                <w:color w:val="auto"/>
              </w:rPr>
            </w:pPr>
            <w:r>
              <w:rPr>
                <w:rFonts w:ascii="Times New Roman" w:cs="Times New Roman" w:eastAsia="Times New Roman" w:hAnsi="Times New Roman"/>
                <w:sz w:val="17"/>
                <w:szCs w:val="17"/>
                <w:b w:val="1"/>
                <w:bCs w:val="1"/>
                <w:color w:val="auto"/>
              </w:rPr>
              <w:t>Net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7"/>
                <w:szCs w:val="17"/>
                <w:b w:val="1"/>
                <w:bCs w:val="1"/>
                <w:color w:val="auto"/>
              </w:rPr>
              <w:t>Gross</w:t>
            </w:r>
          </w:p>
        </w:tc>
        <w:tc>
          <w:tcPr>
            <w:tcW w:w="140" w:type="dxa"/>
            <w:vAlign w:val="bottom"/>
          </w:tcPr>
          <w:p>
            <w:pPr>
              <w:spacing w:after="0"/>
              <w:rPr>
                <w:sz w:val="13"/>
                <w:szCs w:val="13"/>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40" w:type="dxa"/>
            <w:vAlign w:val="bottom"/>
          </w:tcPr>
          <w:p>
            <w:pPr>
              <w:spacing w:after="0"/>
              <w:rPr>
                <w:sz w:val="13"/>
                <w:szCs w:val="13"/>
                <w:color w:val="auto"/>
              </w:rPr>
            </w:pPr>
          </w:p>
        </w:tc>
        <w:tc>
          <w:tcPr>
            <w:tcW w:w="860" w:type="dxa"/>
            <w:vAlign w:val="bottom"/>
          </w:tcPr>
          <w:p>
            <w:pPr>
              <w:jc w:val="center"/>
              <w:ind w:right="94"/>
              <w:spacing w:after="0" w:line="161" w:lineRule="exact"/>
              <w:rPr>
                <w:sz w:val="20"/>
                <w:szCs w:val="20"/>
                <w:color w:val="auto"/>
              </w:rPr>
            </w:pPr>
            <w:r>
              <w:rPr>
                <w:rFonts w:ascii="Times New Roman" w:cs="Times New Roman" w:eastAsia="Times New Roman" w:hAnsi="Times New Roman"/>
                <w:sz w:val="17"/>
                <w:szCs w:val="17"/>
                <w:b w:val="1"/>
                <w:bCs w:val="1"/>
                <w:color w:val="auto"/>
                <w:w w:val="93"/>
              </w:rPr>
              <w:t>Net</w:t>
            </w:r>
          </w:p>
        </w:tc>
        <w:tc>
          <w:tcPr>
            <w:tcW w:w="0" w:type="dxa"/>
            <w:vAlign w:val="bottom"/>
          </w:tcPr>
          <w:p>
            <w:pPr>
              <w:spacing w:after="0"/>
              <w:rPr>
                <w:sz w:val="1"/>
                <w:szCs w:val="1"/>
                <w:color w:val="auto"/>
              </w:rPr>
            </w:pPr>
          </w:p>
        </w:tc>
      </w:tr>
      <w:tr>
        <w:trPr>
          <w:trHeight w:val="168"/>
        </w:trPr>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40"/>
              <w:spacing w:after="0" w:line="167" w:lineRule="exact"/>
              <w:rPr>
                <w:sz w:val="20"/>
                <w:szCs w:val="20"/>
                <w:color w:val="auto"/>
              </w:rPr>
            </w:pPr>
            <w:r>
              <w:rPr>
                <w:rFonts w:ascii="Times New Roman" w:cs="Times New Roman" w:eastAsia="Times New Roman" w:hAnsi="Times New Roman"/>
                <w:sz w:val="17"/>
                <w:szCs w:val="17"/>
                <w:b w:val="1"/>
                <w:bCs w:val="1"/>
                <w:color w:val="auto"/>
                <w:w w:val="98"/>
              </w:rPr>
              <w:t>Carrying</w:t>
            </w: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40"/>
              <w:spacing w:after="0" w:line="167" w:lineRule="exact"/>
              <w:rPr>
                <w:sz w:val="20"/>
                <w:szCs w:val="20"/>
                <w:color w:val="auto"/>
              </w:rPr>
            </w:pPr>
            <w:r>
              <w:rPr>
                <w:rFonts w:ascii="Times New Roman" w:cs="Times New Roman" w:eastAsia="Times New Roman" w:hAnsi="Times New Roman"/>
                <w:sz w:val="17"/>
                <w:szCs w:val="17"/>
                <w:b w:val="1"/>
                <w:bCs w:val="1"/>
                <w:color w:val="auto"/>
              </w:rPr>
              <w:t>Carrying</w:t>
            </w:r>
          </w:p>
        </w:tc>
        <w:tc>
          <w:tcPr>
            <w:tcW w:w="120" w:type="dxa"/>
            <w:vAlign w:val="bottom"/>
          </w:tcPr>
          <w:p>
            <w:pPr>
              <w:spacing w:after="0"/>
              <w:rPr>
                <w:sz w:val="14"/>
                <w:szCs w:val="14"/>
                <w:color w:val="auto"/>
              </w:rPr>
            </w:pPr>
          </w:p>
        </w:tc>
        <w:tc>
          <w:tcPr>
            <w:tcW w:w="1020" w:type="dxa"/>
            <w:vAlign w:val="bottom"/>
            <w:gridSpan w:val="2"/>
          </w:tcPr>
          <w:p>
            <w:pPr>
              <w:jc w:val="center"/>
              <w:ind w:right="260"/>
              <w:spacing w:after="0" w:line="167" w:lineRule="exact"/>
              <w:rPr>
                <w:sz w:val="20"/>
                <w:szCs w:val="20"/>
                <w:color w:val="auto"/>
              </w:rPr>
            </w:pPr>
            <w:r>
              <w:rPr>
                <w:rFonts w:ascii="Times New Roman" w:cs="Times New Roman" w:eastAsia="Times New Roman" w:hAnsi="Times New Roman"/>
                <w:sz w:val="17"/>
                <w:szCs w:val="17"/>
                <w:b w:val="1"/>
                <w:bCs w:val="1"/>
                <w:color w:val="auto"/>
              </w:rPr>
              <w:t>Carrying</w:t>
            </w: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54"/>
              <w:spacing w:after="0" w:line="167" w:lineRule="exact"/>
              <w:rPr>
                <w:sz w:val="20"/>
                <w:szCs w:val="20"/>
                <w:color w:val="auto"/>
              </w:rPr>
            </w:pPr>
            <w:r>
              <w:rPr>
                <w:rFonts w:ascii="Times New Roman" w:cs="Times New Roman" w:eastAsia="Times New Roman" w:hAnsi="Times New Roman"/>
                <w:sz w:val="17"/>
                <w:szCs w:val="17"/>
                <w:b w:val="1"/>
                <w:bCs w:val="1"/>
                <w:color w:val="auto"/>
              </w:rPr>
              <w:t>Carrying</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40" w:type="dxa"/>
            <w:vAlign w:val="bottom"/>
          </w:tcPr>
          <w:p>
            <w:pPr>
              <w:spacing w:after="0"/>
              <w:rPr>
                <w:sz w:val="19"/>
                <w:szCs w:val="19"/>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40" w:type="dxa"/>
            <w:vAlign w:val="bottom"/>
          </w:tcPr>
          <w:p>
            <w:pPr>
              <w:spacing w:after="0"/>
              <w:rPr>
                <w:sz w:val="19"/>
                <w:szCs w:val="19"/>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40" w:type="dxa"/>
            <w:vAlign w:val="bottom"/>
          </w:tcPr>
          <w:p>
            <w:pPr>
              <w:spacing w:after="0"/>
              <w:rPr>
                <w:sz w:val="19"/>
                <w:szCs w:val="19"/>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40" w:type="dxa"/>
            <w:vAlign w:val="bottom"/>
          </w:tcPr>
          <w:p>
            <w:pPr>
              <w:spacing w:after="0"/>
              <w:rPr>
                <w:sz w:val="19"/>
                <w:szCs w:val="19"/>
                <w:color w:val="auto"/>
              </w:rPr>
            </w:pPr>
          </w:p>
        </w:tc>
        <w:tc>
          <w:tcPr>
            <w:tcW w:w="86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0" w:type="dxa"/>
            <w:vAlign w:val="bottom"/>
          </w:tcPr>
          <w:p>
            <w:pPr>
              <w:spacing w:after="0"/>
              <w:rPr>
                <w:sz w:val="1"/>
                <w:szCs w:val="1"/>
                <w:color w:val="auto"/>
              </w:rPr>
            </w:pPr>
          </w:p>
        </w:tc>
      </w:tr>
      <w:tr>
        <w:trPr>
          <w:trHeight w:val="202"/>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Finite-lived intangible assets:</w:t>
            </w: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108,550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41,522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108,550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(60,667)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47,883</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0" w:type="dxa"/>
            <w:vAlign w:val="bottom"/>
          </w:tcPr>
          <w:p>
            <w:pPr>
              <w:spacing w:after="0"/>
              <w:rPr>
                <w:sz w:val="1"/>
                <w:szCs w:val="1"/>
                <w:color w:val="auto"/>
              </w:rPr>
            </w:pPr>
          </w:p>
        </w:tc>
      </w:tr>
      <w:tr>
        <w:trPr>
          <w:trHeight w:val="219"/>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 names and trademarks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Non-compete agreements</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12"/>
        </w:trPr>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114,215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114,079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48,431</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Indefinite-lived intangible assets: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 names and trademarks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0" w:type="dxa"/>
            <w:vAlign w:val="bottom"/>
          </w:tcPr>
          <w:p>
            <w:pPr>
              <w:spacing w:after="0"/>
              <w:rPr>
                <w:sz w:val="1"/>
                <w:szCs w:val="1"/>
                <w:color w:val="auto"/>
              </w:rPr>
            </w:pPr>
          </w:p>
        </w:tc>
      </w:tr>
      <w:tr>
        <w:trPr>
          <w:trHeight w:val="237"/>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intangible assets</w:t>
            </w: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49,331</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amortization expense recognized in the unaudited consolidated statements of income was as follows:</w:t>
      </w:r>
    </w:p>
    <w:p>
      <w:pPr>
        <w:spacing w:after="0" w:line="41" w:lineRule="exact"/>
        <w:rPr>
          <w:sz w:val="20"/>
          <w:szCs w:val="20"/>
          <w:color w:val="auto"/>
        </w:rPr>
      </w:pPr>
    </w:p>
    <w:tbl>
      <w:tblPr>
        <w:tblLayout w:type="fixed"/>
        <w:tblInd w:w="380" w:type="dxa"/>
        <w:tblCellMar>
          <w:top w:w="0" w:type="dxa"/>
          <w:left w:w="0" w:type="dxa"/>
          <w:bottom w:w="0" w:type="dxa"/>
          <w:right w:w="0" w:type="dxa"/>
        </w:tblCellMar>
      </w:tblPr>
      <w:tr>
        <w:trPr>
          <w:trHeight w:val="182"/>
        </w:trPr>
        <w:tc>
          <w:tcPr>
            <w:tcW w:w="3940" w:type="dxa"/>
            <w:vAlign w:val="bottom"/>
          </w:tcPr>
          <w:p>
            <w:pPr>
              <w:spacing w:after="0"/>
              <w:rPr>
                <w:sz w:val="15"/>
                <w:szCs w:val="15"/>
                <w:color w:val="auto"/>
              </w:rPr>
            </w:pPr>
          </w:p>
        </w:tc>
        <w:tc>
          <w:tcPr>
            <w:tcW w:w="2660" w:type="dxa"/>
            <w:vAlign w:val="bottom"/>
            <w:gridSpan w:val="4"/>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20" w:type="dxa"/>
            <w:vAlign w:val="bottom"/>
            <w:gridSpan w:val="4"/>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15"/>
                <w:szCs w:val="15"/>
                <w:color w:val="auto"/>
              </w:rPr>
            </w:pPr>
          </w:p>
        </w:tc>
      </w:tr>
      <w:tr>
        <w:trPr>
          <w:trHeight w:val="22"/>
        </w:trPr>
        <w:tc>
          <w:tcPr>
            <w:tcW w:w="39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81"/>
        </w:trPr>
        <w:tc>
          <w:tcPr>
            <w:tcW w:w="39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5"/>
                <w:szCs w:val="15"/>
                <w:color w:val="auto"/>
              </w:rPr>
            </w:pPr>
          </w:p>
        </w:tc>
      </w:tr>
      <w:tr>
        <w:trPr>
          <w:trHeight w:val="218"/>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expense</w:t>
            </w:r>
          </w:p>
        </w:tc>
        <w:tc>
          <w:tcPr>
            <w:tcW w:w="1020" w:type="dxa"/>
            <w:vAlign w:val="bottom"/>
            <w:shd w:val="clear" w:color="auto" w:fill="CCEEFF"/>
          </w:tcPr>
          <w:p>
            <w:pPr>
              <w:jc w:val="right"/>
              <w:ind w:right="84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3,077</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06"/>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6,157</w:t>
            </w:r>
          </w:p>
        </w:tc>
      </w:tr>
    </w:tbl>
    <w:p>
      <w:pPr>
        <w:spacing w:after="0" w:line="2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During the three and six months ended June 30, 2025 and 2024, there were no indicators of impairment related to intangible assets.</w:t>
      </w:r>
    </w:p>
    <w:p>
      <w:pPr>
        <w:spacing w:after="0" w:line="2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Estimated future amortization expense related to finite-lived intangible assets as of June 30, 2025 was as follows:</w:t>
      </w:r>
    </w:p>
    <w:p>
      <w:pPr>
        <w:spacing w:after="0" w:line="285" w:lineRule="exact"/>
        <w:rPr>
          <w:sz w:val="20"/>
          <w:szCs w:val="20"/>
          <w:color w:val="auto"/>
        </w:rPr>
      </w:pPr>
    </w:p>
    <w:tbl>
      <w:tblPr>
        <w:tblLayout w:type="fixed"/>
        <w:tblInd w:w="1000" w:type="dxa"/>
        <w:tblCellMar>
          <w:top w:w="0" w:type="dxa"/>
          <w:left w:w="0" w:type="dxa"/>
          <w:bottom w:w="0" w:type="dxa"/>
          <w:right w:w="0" w:type="dxa"/>
        </w:tblCellMar>
      </w:tblP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 (July 1 - December 31)</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6,613</w:t>
            </w:r>
          </w:p>
        </w:tc>
      </w:tr>
      <w:tr>
        <w:trPr>
          <w:trHeight w:val="219"/>
        </w:trPr>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12,789</w:t>
            </w: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11,844</w:t>
            </w:r>
          </w:p>
        </w:tc>
      </w:tr>
      <w:tr>
        <w:trPr>
          <w:trHeight w:val="219"/>
        </w:trPr>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9,227</w:t>
            </w: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1,452</w:t>
            </w:r>
          </w:p>
        </w:tc>
      </w:tr>
      <w:tr>
        <w:trPr>
          <w:trHeight w:val="212"/>
        </w:trPr>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41,925</w:t>
            </w:r>
          </w:p>
        </w:tc>
      </w:tr>
      <w:tr>
        <w:trPr>
          <w:trHeight w:val="20"/>
        </w:trPr>
        <w:tc>
          <w:tcPr>
            <w:tcW w:w="5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Other Current Assets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Other current assets consist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3900" w:type="dxa"/>
            <w:vAlign w:val="bottom"/>
            <w:tcBorders>
              <w:bottom w:val="single" w:sz="8" w:color="CCEEFF"/>
            </w:tcBorders>
          </w:tcPr>
          <w:p>
            <w:pPr>
              <w:spacing w:after="0"/>
              <w:rPr>
                <w:sz w:val="15"/>
                <w:szCs w:val="15"/>
                <w:color w:val="auto"/>
              </w:rPr>
            </w:pPr>
          </w:p>
        </w:tc>
        <w:tc>
          <w:tcPr>
            <w:tcW w:w="28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 income tax, net</w:t>
            </w: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49,377</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Contract assets</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31,241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36,072</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0" w:type="dxa"/>
            <w:vAlign w:val="bottom"/>
          </w:tcPr>
          <w:p>
            <w:pPr>
              <w:spacing w:after="0"/>
              <w:rPr>
                <w:sz w:val="19"/>
                <w:szCs w:val="19"/>
                <w:color w:val="auto"/>
              </w:rPr>
            </w:pP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expenses</w:t>
            </w:r>
          </w:p>
        </w:tc>
        <w:tc>
          <w:tcPr>
            <w:tcW w:w="2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30,926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21,061</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Receivables from statutory authorities</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20,052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19,407</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0" w:type="dxa"/>
            <w:vAlign w:val="bottom"/>
          </w:tcPr>
          <w:p>
            <w:pPr>
              <w:spacing w:after="0"/>
              <w:rPr>
                <w:sz w:val="19"/>
                <w:szCs w:val="19"/>
                <w:color w:val="auto"/>
              </w:rPr>
            </w:pP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instruments</w:t>
            </w:r>
          </w:p>
        </w:tc>
        <w:tc>
          <w:tcPr>
            <w:tcW w:w="2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1,973</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contract fulfillment costs</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4,281</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0" w:type="dxa"/>
            <w:vAlign w:val="bottom"/>
          </w:tcPr>
          <w:p>
            <w:pPr>
              <w:spacing w:after="0"/>
              <w:rPr>
                <w:sz w:val="19"/>
                <w:szCs w:val="19"/>
                <w:color w:val="auto"/>
              </w:rPr>
            </w:pP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Others</w:t>
            </w:r>
          </w:p>
        </w:tc>
        <w:tc>
          <w:tcPr>
            <w:tcW w:w="28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8,146</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28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148,049</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140,317</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12. Other Assets</w:t>
            </w:r>
          </w:p>
        </w:tc>
        <w:tc>
          <w:tcPr>
            <w:tcW w:w="2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8"/>
        </w:trPr>
        <w:tc>
          <w:tcPr>
            <w:tcW w:w="4280" w:type="dxa"/>
            <w:vAlign w:val="bottom"/>
            <w:gridSpan w:val="2"/>
            <w:vMerge w:val="continue"/>
          </w:tcPr>
          <w:p>
            <w:pPr>
              <w:spacing w:after="0"/>
              <w:rPr>
                <w:sz w:val="24"/>
                <w:szCs w:val="24"/>
                <w:color w:val="auto"/>
              </w:rPr>
            </w:pPr>
          </w:p>
        </w:tc>
        <w:tc>
          <w:tcPr>
            <w:tcW w:w="2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2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Other assets consist of the following:</w:t>
            </w:r>
          </w:p>
        </w:tc>
        <w:tc>
          <w:tcPr>
            <w:tcW w:w="2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3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3900" w:type="dxa"/>
            <w:vAlign w:val="bottom"/>
            <w:tcBorders>
              <w:bottom w:val="single" w:sz="8" w:color="CCEEFF"/>
            </w:tcBorders>
          </w:tcPr>
          <w:p>
            <w:pPr>
              <w:spacing w:after="0"/>
              <w:rPr>
                <w:sz w:val="15"/>
                <w:szCs w:val="15"/>
                <w:color w:val="auto"/>
              </w:rPr>
            </w:pPr>
          </w:p>
        </w:tc>
        <w:tc>
          <w:tcPr>
            <w:tcW w:w="28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contract fulfillment costs</w:t>
            </w: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31,741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Deposits with statutory authorities</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7,312</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0" w:type="dxa"/>
            <w:vAlign w:val="bottom"/>
          </w:tcPr>
          <w:p>
            <w:pPr>
              <w:spacing w:after="0"/>
              <w:rPr>
                <w:sz w:val="19"/>
                <w:szCs w:val="19"/>
                <w:color w:val="auto"/>
              </w:rPr>
            </w:pP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deposits</w:t>
            </w:r>
          </w:p>
        </w:tc>
        <w:tc>
          <w:tcPr>
            <w:tcW w:w="2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6,495</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expenses</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2,775</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0" w:type="dxa"/>
            <w:vAlign w:val="bottom"/>
          </w:tcPr>
          <w:p>
            <w:pPr>
              <w:spacing w:after="0"/>
              <w:rPr>
                <w:sz w:val="19"/>
                <w:szCs w:val="19"/>
                <w:color w:val="auto"/>
              </w:rPr>
            </w:pP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instruments</w:t>
            </w:r>
          </w:p>
        </w:tc>
        <w:tc>
          <w:tcPr>
            <w:tcW w:w="2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Contract assets</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3,628</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0" w:type="dxa"/>
            <w:vAlign w:val="bottom"/>
          </w:tcPr>
          <w:p>
            <w:pPr>
              <w:spacing w:after="0"/>
              <w:rPr>
                <w:sz w:val="19"/>
                <w:szCs w:val="19"/>
                <w:color w:val="auto"/>
              </w:rPr>
            </w:pP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Others</w:t>
            </w:r>
          </w:p>
        </w:tc>
        <w:tc>
          <w:tcPr>
            <w:tcW w:w="28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3,282</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8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64,991</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56,085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820" w:type="dxa"/>
            <w:vAlign w:val="bottom"/>
            <w:vMerge w:val="restart"/>
          </w:tcPr>
          <w:p>
            <w:pPr>
              <w:jc w:val="right"/>
              <w:ind w:right="1314"/>
              <w:spacing w:after="0"/>
              <w:rPr>
                <w:sz w:val="20"/>
                <w:szCs w:val="20"/>
                <w:color w:val="auto"/>
              </w:rPr>
            </w:pPr>
            <w:r>
              <w:rPr>
                <w:rFonts w:ascii="Times New Roman" w:cs="Times New Roman" w:eastAsia="Times New Roman" w:hAnsi="Times New Roman"/>
                <w:sz w:val="17"/>
                <w:szCs w:val="17"/>
                <w:color w:val="auto"/>
              </w:rPr>
              <w:t>20</w:t>
            </w: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3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80" w:type="dxa"/>
            <w:vAlign w:val="bottom"/>
            <w:tcBorders>
              <w:bottom w:val="single" w:sz="8" w:color="9A9A9A"/>
            </w:tcBorders>
          </w:tcPr>
          <w:p>
            <w:pPr>
              <w:spacing w:after="0"/>
              <w:rPr>
                <w:sz w:val="9"/>
                <w:szCs w:val="9"/>
                <w:color w:val="auto"/>
              </w:rPr>
            </w:pPr>
          </w:p>
        </w:tc>
        <w:tc>
          <w:tcPr>
            <w:tcW w:w="3900" w:type="dxa"/>
            <w:vAlign w:val="bottom"/>
            <w:tcBorders>
              <w:bottom w:val="single" w:sz="8" w:color="9A9A9A"/>
            </w:tcBorders>
          </w:tcPr>
          <w:p>
            <w:pPr>
              <w:spacing w:after="0"/>
              <w:rPr>
                <w:sz w:val="9"/>
                <w:szCs w:val="9"/>
                <w:color w:val="auto"/>
              </w:rPr>
            </w:pPr>
          </w:p>
        </w:tc>
        <w:tc>
          <w:tcPr>
            <w:tcW w:w="28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Accrued Expenses and Other Current Liabilities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Accrued expenses and other current liabilities consist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20" w:type="dxa"/>
            <w:vAlign w:val="bottom"/>
          </w:tcPr>
          <w:p>
            <w:pPr>
              <w:spacing w:after="0"/>
              <w:rPr>
                <w:sz w:val="15"/>
                <w:szCs w:val="15"/>
                <w:color w:val="auto"/>
              </w:rPr>
            </w:pPr>
          </w:p>
        </w:tc>
        <w:tc>
          <w:tcPr>
            <w:tcW w:w="666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w w:val="98"/>
              </w:rPr>
              <w:t>June 30, 2025</w:t>
            </w:r>
          </w:p>
        </w:tc>
        <w:tc>
          <w:tcPr>
            <w:tcW w:w="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520" w:type="dxa"/>
            <w:vAlign w:val="bottom"/>
            <w:tcBorders>
              <w:top w:val="single" w:sz="8" w:color="auto"/>
              <w:bottom w:val="single" w:sz="8" w:color="auto"/>
            </w:tcBorders>
            <w:gridSpan w:val="2"/>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20" w:type="dxa"/>
            <w:vAlign w:val="bottom"/>
            <w:tcBorders>
              <w:right w:val="single" w:sz="8" w:color="CCEEFF"/>
            </w:tcBorders>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expenses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67,339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7"/>
                <w:szCs w:val="17"/>
                <w:color w:val="auto"/>
              </w:rPr>
              <w:t>Payable to statutory authorities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21,937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22,935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0" w:type="dxa"/>
            <w:vAlign w:val="bottom"/>
            <w:tcBorders>
              <w:right w:val="single" w:sz="8" w:color="CCEEFF"/>
            </w:tcBorders>
          </w:tcPr>
          <w:p>
            <w:pPr>
              <w:spacing w:after="0"/>
              <w:rPr>
                <w:sz w:val="19"/>
                <w:szCs w:val="19"/>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Client liabilities</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13,258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7"/>
                <w:szCs w:val="17"/>
                <w:color w:val="auto"/>
              </w:rPr>
              <w:t>Accrued capital expenditures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0" w:type="dxa"/>
            <w:vAlign w:val="bottom"/>
            <w:tcBorders>
              <w:right w:val="single" w:sz="8" w:color="CCEEFF"/>
            </w:tcBorders>
          </w:tcPr>
          <w:p>
            <w:pPr>
              <w:spacing w:after="0"/>
              <w:rPr>
                <w:sz w:val="19"/>
                <w:szCs w:val="19"/>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 instruments</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7"/>
                <w:szCs w:val="17"/>
                <w:color w:val="auto"/>
              </w:rPr>
              <w:t>Income taxes payable</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0" w:type="dxa"/>
            <w:vAlign w:val="bottom"/>
            <w:tcBorders>
              <w:right w:val="single" w:sz="8" w:color="CCEEFF"/>
            </w:tcBorders>
          </w:tcPr>
          <w:p>
            <w:pPr>
              <w:spacing w:after="0"/>
              <w:rPr>
                <w:sz w:val="19"/>
                <w:szCs w:val="19"/>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Contingent consideration</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0" w:type="dxa"/>
            <w:vAlign w:val="bottom"/>
          </w:tcPr>
          <w:p>
            <w:pPr>
              <w:spacing w:after="0"/>
              <w:rPr>
                <w:sz w:val="19"/>
                <w:szCs w:val="19"/>
                <w:color w:val="auto"/>
              </w:rPr>
            </w:pPr>
          </w:p>
        </w:tc>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Others</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8,463</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6,326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20" w:type="dxa"/>
            <w:vAlign w:val="bottom"/>
            <w:tcBorders>
              <w:right w:val="single" w:sz="8" w:color="CCEEFF"/>
            </w:tcBorders>
          </w:tcPr>
          <w:p>
            <w:pPr>
              <w:spacing w:after="0"/>
              <w:rPr>
                <w:sz w:val="18"/>
                <w:szCs w:val="18"/>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121,548</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113,597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CCEEFF"/>
            </w:tcBorders>
          </w:tcPr>
          <w:p>
            <w:pPr>
              <w:spacing w:after="0" w:line="20" w:lineRule="exact"/>
              <w:rPr>
                <w:sz w:val="1"/>
                <w:szCs w:val="1"/>
                <w:color w:val="auto"/>
              </w:rPr>
            </w:pPr>
          </w:p>
        </w:tc>
        <w:tc>
          <w:tcPr>
            <w:tcW w:w="66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14. Other Non-Current Liabilities</w:t>
            </w: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70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20" w:type="dxa"/>
            <w:vAlign w:val="bottom"/>
          </w:tcPr>
          <w:p>
            <w:pPr>
              <w:spacing w:after="0"/>
              <w:rPr>
                <w:sz w:val="24"/>
                <w:szCs w:val="24"/>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7"/>
                <w:szCs w:val="17"/>
                <w:color w:val="auto"/>
              </w:rPr>
              <w:t>Other non-current liabilities consist of the following:</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4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20" w:type="dxa"/>
            <w:vAlign w:val="bottom"/>
          </w:tcPr>
          <w:p>
            <w:pPr>
              <w:spacing w:after="0"/>
              <w:rPr>
                <w:sz w:val="15"/>
                <w:szCs w:val="15"/>
                <w:color w:val="auto"/>
              </w:rPr>
            </w:pPr>
          </w:p>
        </w:tc>
        <w:tc>
          <w:tcPr>
            <w:tcW w:w="66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8"/>
        </w:trPr>
        <w:tc>
          <w:tcPr>
            <w:tcW w:w="420" w:type="dxa"/>
            <w:vAlign w:val="bottom"/>
          </w:tcPr>
          <w:p>
            <w:pPr>
              <w:spacing w:after="0"/>
              <w:rPr>
                <w:sz w:val="18"/>
                <w:szCs w:val="18"/>
                <w:color w:val="auto"/>
              </w:rPr>
            </w:pPr>
          </w:p>
        </w:tc>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Retirement benefits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24,795</w:t>
            </w:r>
          </w:p>
        </w:tc>
        <w:tc>
          <w:tcPr>
            <w:tcW w:w="0" w:type="dxa"/>
            <w:vAlign w:val="bottom"/>
          </w:tcPr>
          <w:p>
            <w:pPr>
              <w:spacing w:after="0"/>
              <w:rPr>
                <w:sz w:val="1"/>
                <w:szCs w:val="1"/>
                <w:color w:val="auto"/>
              </w:rPr>
            </w:pPr>
          </w:p>
        </w:tc>
      </w:tr>
      <w:tr>
        <w:trPr>
          <w:trHeight w:val="219"/>
        </w:trPr>
        <w:tc>
          <w:tcPr>
            <w:tcW w:w="42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transition revenue</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22,762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18,213</w:t>
            </w:r>
          </w:p>
        </w:tc>
        <w:tc>
          <w:tcPr>
            <w:tcW w:w="0" w:type="dxa"/>
            <w:vAlign w:val="bottom"/>
          </w:tcPr>
          <w:p>
            <w:pPr>
              <w:spacing w:after="0"/>
              <w:rPr>
                <w:sz w:val="1"/>
                <w:szCs w:val="1"/>
                <w:color w:val="auto"/>
              </w:rPr>
            </w:pPr>
          </w:p>
        </w:tc>
      </w:tr>
      <w:tr>
        <w:trPr>
          <w:trHeight w:val="219"/>
        </w:trPr>
        <w:tc>
          <w:tcPr>
            <w:tcW w:w="420" w:type="dxa"/>
            <w:vAlign w:val="bottom"/>
          </w:tcPr>
          <w:p>
            <w:pPr>
              <w:spacing w:after="0"/>
              <w:rPr>
                <w:sz w:val="19"/>
                <w:szCs w:val="19"/>
                <w:color w:val="auto"/>
              </w:rPr>
            </w:pPr>
          </w:p>
        </w:tc>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1,420</w:t>
            </w:r>
          </w:p>
        </w:tc>
        <w:tc>
          <w:tcPr>
            <w:tcW w:w="0" w:type="dxa"/>
            <w:vAlign w:val="bottom"/>
          </w:tcPr>
          <w:p>
            <w:pPr>
              <w:spacing w:after="0"/>
              <w:rPr>
                <w:sz w:val="1"/>
                <w:szCs w:val="1"/>
                <w:color w:val="auto"/>
              </w:rPr>
            </w:pPr>
          </w:p>
        </w:tc>
      </w:tr>
      <w:tr>
        <w:trPr>
          <w:trHeight w:val="219"/>
        </w:trPr>
        <w:tc>
          <w:tcPr>
            <w:tcW w:w="42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Unrecognized tax benefits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2,215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1,966</w:t>
            </w:r>
          </w:p>
        </w:tc>
        <w:tc>
          <w:tcPr>
            <w:tcW w:w="0" w:type="dxa"/>
            <w:vAlign w:val="bottom"/>
          </w:tcPr>
          <w:p>
            <w:pPr>
              <w:spacing w:after="0"/>
              <w:rPr>
                <w:sz w:val="1"/>
                <w:szCs w:val="1"/>
                <w:color w:val="auto"/>
              </w:rPr>
            </w:pPr>
          </w:p>
        </w:tc>
      </w:tr>
      <w:tr>
        <w:trPr>
          <w:trHeight w:val="219"/>
        </w:trPr>
        <w:tc>
          <w:tcPr>
            <w:tcW w:w="420" w:type="dxa"/>
            <w:vAlign w:val="bottom"/>
          </w:tcPr>
          <w:p>
            <w:pPr>
              <w:spacing w:after="0"/>
              <w:rPr>
                <w:sz w:val="19"/>
                <w:szCs w:val="19"/>
                <w:color w:val="auto"/>
              </w:rPr>
            </w:pPr>
          </w:p>
        </w:tc>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instruments</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772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4,363</w:t>
            </w:r>
          </w:p>
        </w:tc>
        <w:tc>
          <w:tcPr>
            <w:tcW w:w="0" w:type="dxa"/>
            <w:vAlign w:val="bottom"/>
          </w:tcPr>
          <w:p>
            <w:pPr>
              <w:spacing w:after="0"/>
              <w:rPr>
                <w:sz w:val="1"/>
                <w:szCs w:val="1"/>
                <w:color w:val="auto"/>
              </w:rPr>
            </w:pPr>
          </w:p>
        </w:tc>
      </w:tr>
      <w:tr>
        <w:trPr>
          <w:trHeight w:val="219"/>
        </w:trPr>
        <w:tc>
          <w:tcPr>
            <w:tcW w:w="420" w:type="dxa"/>
            <w:vAlign w:val="bottom"/>
          </w:tcPr>
          <w:p>
            <w:pPr>
              <w:spacing w:after="0"/>
              <w:rPr>
                <w:sz w:val="19"/>
                <w:szCs w:val="19"/>
                <w:color w:val="auto"/>
              </w:rPr>
            </w:pPr>
          </w:p>
        </w:tc>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Others</w:t>
            </w: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1,994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2,816</w:t>
            </w: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53,573</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Accumulated Other Comprehensive Income/(Loss)</w:t>
      </w:r>
    </w:p>
    <w:p>
      <w:pPr>
        <w:spacing w:after="0" w:line="234" w:lineRule="exact"/>
        <w:rPr>
          <w:sz w:val="20"/>
          <w:szCs w:val="20"/>
          <w:color w:val="auto"/>
        </w:rPr>
      </w:pPr>
    </w:p>
    <w:p>
      <w:pPr>
        <w:jc w:val="both"/>
        <w:ind w:firstLine="387"/>
        <w:spacing w:after="0" w:line="244" w:lineRule="auto"/>
        <w:rPr>
          <w:sz w:val="20"/>
          <w:szCs w:val="20"/>
          <w:color w:val="auto"/>
        </w:rPr>
      </w:pPr>
      <w:r>
        <w:rPr>
          <w:rFonts w:ascii="Times New Roman" w:cs="Times New Roman" w:eastAsia="Times New Roman" w:hAnsi="Times New Roman"/>
          <w:sz w:val="17"/>
          <w:szCs w:val="17"/>
          <w:color w:val="auto"/>
        </w:rPr>
        <w:t xml:space="preserve">Accumulated other comprehensive income/(loss) (“AOCI”) consists of actuarial gain/(loss) on retirement benefits and foreign currency translation adjustments. In addition, the Company enters into foreign currency forward contracts and interest rate swaps, which are designated as cash flow hedges, as applicable, in accordance with ASC Topic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Cumulative changes in the fair values of cash flow hedges are recognized in AOCI on the Company’s consolidated balance sheets. The fair value changes are reclassified from AOCI to unaudited consolidated statements of income upon settlement of foreign currency forward contracts designated as cash flow hedges of a forecast transaction, whereas such changes for interest rate swaps are reclassified over the term of the contract. The following table sets forth the changes in AOCI during the six months ended June 30, 2025 and 2024:</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3" w:lineRule="exact"/>
        <w:rPr>
          <w:sz w:val="20"/>
          <w:szCs w:val="20"/>
          <w:color w:val="auto"/>
        </w:rPr>
      </w:pPr>
    </w:p>
    <w:p>
      <w:pPr>
        <w:jc w:val="right"/>
        <w:ind w:right="1219"/>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400"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5"/>
          <w:szCs w:val="15"/>
          <w:b w:val="1"/>
          <w:bCs w:val="1"/>
          <w:color w:val="auto"/>
        </w:rPr>
        <w:t>Accumulated Other Comprehensive Income/(Loss)</w:t>
      </w:r>
    </w:p>
    <w:p>
      <w:pPr>
        <w:spacing w:after="0" w:line="31" w:lineRule="exact"/>
        <w:rPr>
          <w:sz w:val="20"/>
          <w:szCs w:val="20"/>
          <w:color w:val="auto"/>
        </w:rPr>
      </w:pPr>
    </w:p>
    <w:tbl>
      <w:tblPr>
        <w:tblLayout w:type="fixed"/>
        <w:tblInd w:w="5980" w:type="dxa"/>
        <w:tblCellMar>
          <w:top w:w="0" w:type="dxa"/>
          <w:left w:w="0" w:type="dxa"/>
          <w:bottom w:w="0" w:type="dxa"/>
          <w:right w:w="0" w:type="dxa"/>
        </w:tblCellMar>
      </w:tblPr>
      <w:tr>
        <w:trPr>
          <w:trHeight w:val="129"/>
        </w:trPr>
        <w:tc>
          <w:tcPr>
            <w:tcW w:w="11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Currency</w:t>
            </w:r>
          </w:p>
        </w:tc>
        <w:tc>
          <w:tcPr>
            <w:tcW w:w="15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180" w:type="dxa"/>
            <w:vAlign w:val="bottom"/>
            <w:tcBorders>
              <w:top w:val="single" w:sz="8" w:color="auto"/>
            </w:tcBorders>
            <w:vMerge w:val="restart"/>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7"/>
              </w:rPr>
              <w:t>Retirement</w:t>
            </w:r>
          </w:p>
        </w:tc>
        <w:tc>
          <w:tcPr>
            <w:tcW w:w="1000" w:type="dxa"/>
            <w:vAlign w:val="bottom"/>
            <w:tcBorders>
              <w:top w:val="single" w:sz="8" w:color="auto"/>
            </w:tcBorders>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4"/>
        </w:trPr>
        <w:tc>
          <w:tcPr>
            <w:tcW w:w="11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translation</w:t>
            </w:r>
          </w:p>
        </w:tc>
        <w:tc>
          <w:tcPr>
            <w:tcW w:w="150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gain/(loss) on cash</w:t>
            </w:r>
          </w:p>
        </w:tc>
        <w:tc>
          <w:tcPr>
            <w:tcW w:w="11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114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1180" w:type="dxa"/>
            <w:vAlign w:val="bottom"/>
            <w:vMerge w:val="restart"/>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8"/>
              </w:rPr>
              <w:t>benefits</w:t>
            </w: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adjustments</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flow hedges</w:t>
            </w:r>
          </w:p>
        </w:tc>
        <w:tc>
          <w:tcPr>
            <w:tcW w:w="118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14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December 31, 2024</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(146,998)</w:t>
            </w:r>
          </w:p>
        </w:tc>
        <w:tc>
          <w:tcPr>
            <w:tcW w:w="1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(7,548)</w:t>
            </w:r>
          </w:p>
        </w:tc>
        <w:tc>
          <w:tcPr>
            <w:tcW w:w="1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(154,722)</w:t>
            </w:r>
          </w:p>
        </w:tc>
      </w:tr>
      <w:tr>
        <w:trPr>
          <w:trHeight w:val="219"/>
        </w:trPr>
        <w:tc>
          <w:tcPr>
            <w:tcW w:w="5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recognized during the period</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23,357</w:t>
            </w:r>
          </w:p>
        </w:tc>
      </w:tr>
      <w:tr>
        <w:trPr>
          <w:trHeight w:val="219"/>
        </w:trPr>
        <w:tc>
          <w:tcPr>
            <w:tcW w:w="55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5"/>
                <w:szCs w:val="15"/>
                <w:color w:val="auto"/>
              </w:rPr>
              <w:t xml:space="preserve">Reclassification to net income </w:t>
            </w:r>
            <w:r>
              <w:rPr>
                <w:rFonts w:ascii="Times New Roman" w:cs="Times New Roman" w:eastAsia="Times New Roman" w:hAnsi="Times New Roman"/>
                <w:sz w:val="20"/>
                <w:szCs w:val="20"/>
                <w:color w:val="auto"/>
                <w:vertAlign w:val="superscript"/>
              </w:rPr>
              <w:t>(1)</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w:t>
            </w:r>
          </w:p>
        </w:tc>
      </w:tr>
      <w:tr>
        <w:trPr>
          <w:trHeight w:val="219"/>
        </w:trPr>
        <w:tc>
          <w:tcPr>
            <w:tcW w:w="554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5"/>
                <w:szCs w:val="15"/>
                <w:color w:val="auto"/>
              </w:rPr>
              <w:t xml:space="preserve">Income tax effects </w:t>
            </w:r>
            <w:r>
              <w:rPr>
                <w:rFonts w:ascii="Times New Roman" w:cs="Times New Roman" w:eastAsia="Times New Roman" w:hAnsi="Times New Roman"/>
                <w:sz w:val="20"/>
                <w:szCs w:val="20"/>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(2,847)</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(3,885)</w:t>
            </w:r>
          </w:p>
        </w:tc>
      </w:tr>
      <w:tr>
        <w:trPr>
          <w:trHeight w:val="237"/>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Accumulated other comprehensive income/(loss) as of June 30, 2025</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(140,077)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6,073</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(134,434)</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5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21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December 31, 2023</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(132,643)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(127,040)</w:t>
            </w:r>
          </w:p>
        </w:tc>
      </w:tr>
      <w:tr>
        <w:trPr>
          <w:trHeight w:val="219"/>
        </w:trPr>
        <w:tc>
          <w:tcPr>
            <w:tcW w:w="5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recognized during the period</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(9,093)</w:t>
            </w:r>
          </w:p>
        </w:tc>
      </w:tr>
      <w:tr>
        <w:trPr>
          <w:trHeight w:val="219"/>
        </w:trPr>
        <w:tc>
          <w:tcPr>
            <w:tcW w:w="55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5"/>
                <w:szCs w:val="15"/>
                <w:color w:val="auto"/>
              </w:rPr>
              <w:t xml:space="preserve">Reclassification to net income </w:t>
            </w:r>
            <w:r>
              <w:rPr>
                <w:rFonts w:ascii="Times New Roman" w:cs="Times New Roman" w:eastAsia="Times New Roman" w:hAnsi="Times New Roman"/>
                <w:sz w:val="20"/>
                <w:szCs w:val="20"/>
                <w:color w:val="auto"/>
                <w:vertAlign w:val="superscript"/>
              </w:rPr>
              <w:t>(1)</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r>
      <w:tr>
        <w:trPr>
          <w:trHeight w:val="219"/>
        </w:trPr>
        <w:tc>
          <w:tcPr>
            <w:tcW w:w="554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5"/>
                <w:szCs w:val="15"/>
                <w:color w:val="auto"/>
              </w:rPr>
              <w:t xml:space="preserve">Income tax effects </w:t>
            </w:r>
            <w:r>
              <w:rPr>
                <w:rFonts w:ascii="Times New Roman" w:cs="Times New Roman" w:eastAsia="Times New Roman" w:hAnsi="Times New Roman"/>
                <w:sz w:val="20"/>
                <w:szCs w:val="20"/>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(930)</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w:t>
            </w:r>
          </w:p>
        </w:tc>
      </w:tr>
      <w:tr>
        <w:trPr>
          <w:trHeight w:val="237"/>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Accumulated other comprehensive income/(loss) as of June 30, 2024</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(137,669)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(136,108)</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firstLine="390"/>
        <w:spacing w:after="0" w:line="271" w:lineRule="auto"/>
        <w:tabs>
          <w:tab w:leader="none" w:pos="651"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 to Note 17 - Derivatives and Hedge Accounting and Note 20 - Employee Benefit Plans to the unaudited consolidated financial statements for reclassification to net income.</w:t>
      </w:r>
    </w:p>
    <w:p>
      <w:pPr>
        <w:spacing w:after="0" w:line="177" w:lineRule="exact"/>
        <w:rPr>
          <w:rFonts w:ascii="Times New Roman" w:cs="Times New Roman" w:eastAsia="Times New Roman" w:hAnsi="Times New Roman"/>
          <w:sz w:val="17"/>
          <w:szCs w:val="17"/>
          <w:color w:val="auto"/>
        </w:rPr>
      </w:pPr>
    </w:p>
    <w:p>
      <w:pPr>
        <w:ind w:firstLine="390"/>
        <w:spacing w:after="0" w:line="287" w:lineRule="auto"/>
        <w:tabs>
          <w:tab w:leader="none" w:pos="6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are income tax effects recognized on cash flow hedges, retirement benefits and currency translation adjustments. Refer to Note 22 - Income Taxes to the unaudited consolidated financial statements.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Fair Value Measurements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Assets and Liabilities Measured at Fair Value</w:t>
      </w:r>
    </w:p>
    <w:p>
      <w:pPr>
        <w:spacing w:after="0" w:line="2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table sets forth the Company’s assets and liabilities that were recognized at fair value: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200" w:type="dxa"/>
            <w:vAlign w:val="bottom"/>
          </w:tcPr>
          <w:p>
            <w:pPr>
              <w:spacing w:after="0"/>
              <w:rPr>
                <w:sz w:val="13"/>
                <w:szCs w:val="13"/>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200" w:type="dxa"/>
            <w:vAlign w:val="bottom"/>
          </w:tcPr>
          <w:p>
            <w:pPr>
              <w:spacing w:after="0"/>
              <w:rPr>
                <w:sz w:val="13"/>
                <w:szCs w:val="13"/>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200" w:type="dxa"/>
            <w:vAlign w:val="bottom"/>
          </w:tcPr>
          <w:p>
            <w:pPr>
              <w:spacing w:after="0"/>
              <w:rPr>
                <w:sz w:val="11"/>
                <w:szCs w:val="11"/>
                <w:color w:val="auto"/>
              </w:rPr>
            </w:pPr>
          </w:p>
        </w:tc>
        <w:tc>
          <w:tcPr>
            <w:tcW w:w="15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w w:val="96"/>
              </w:rPr>
              <w:t>Observable</w:t>
            </w:r>
          </w:p>
        </w:tc>
        <w:tc>
          <w:tcPr>
            <w:tcW w:w="200" w:type="dxa"/>
            <w:vAlign w:val="bottom"/>
          </w:tcPr>
          <w:p>
            <w:pPr>
              <w:spacing w:after="0"/>
              <w:rPr>
                <w:sz w:val="11"/>
                <w:szCs w:val="11"/>
                <w:color w:val="auto"/>
              </w:rPr>
            </w:pPr>
          </w:p>
        </w:tc>
        <w:tc>
          <w:tcPr>
            <w:tcW w:w="15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w w:val="96"/>
              </w:rPr>
              <w:t>Unobservable</w:t>
            </w:r>
          </w:p>
        </w:tc>
        <w:tc>
          <w:tcPr>
            <w:tcW w:w="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200" w:type="dxa"/>
            <w:vAlign w:val="bottom"/>
          </w:tcPr>
          <w:p>
            <w:pPr>
              <w:spacing w:after="0"/>
              <w:rPr>
                <w:sz w:val="15"/>
                <w:szCs w:val="15"/>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200" w:type="dxa"/>
            <w:vAlign w:val="bottom"/>
          </w:tcPr>
          <w:p>
            <w:pPr>
              <w:spacing w:after="0"/>
              <w:rPr>
                <w:sz w:val="15"/>
                <w:szCs w:val="15"/>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60" w:type="dxa"/>
            <w:vAlign w:val="bottom"/>
          </w:tcPr>
          <w:p>
            <w:pPr>
              <w:spacing w:after="0" w:line="20" w:lineRule="exact"/>
              <w:rPr>
                <w:sz w:val="1"/>
                <w:szCs w:val="1"/>
                <w:color w:val="auto"/>
              </w:rPr>
            </w:pPr>
          </w:p>
        </w:tc>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As of June 30, 2025</w:t>
            </w:r>
          </w:p>
        </w:tc>
        <w:tc>
          <w:tcPr>
            <w:tcW w:w="1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3880" w:type="dxa"/>
            <w:vAlign w:val="bottom"/>
            <w:tcBorders>
              <w:bottom w:val="single" w:sz="8" w:color="CCEEFF"/>
            </w:tcBorders>
            <w:vMerge w:val="continue"/>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00" w:type="dxa"/>
            <w:vAlign w:val="bottom"/>
            <w:tcBorders>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60" w:type="dxa"/>
            <w:vAlign w:val="bottom"/>
          </w:tcPr>
          <w:p>
            <w:pPr>
              <w:spacing w:after="0"/>
              <w:rPr>
                <w:sz w:val="21"/>
                <w:szCs w:val="21"/>
                <w:color w:val="auto"/>
              </w:rPr>
            </w:pPr>
          </w:p>
        </w:tc>
        <w:tc>
          <w:tcPr>
            <w:tcW w:w="3880" w:type="dxa"/>
            <w:vAlign w:val="bottom"/>
          </w:tcPr>
          <w:p>
            <w:pPr>
              <w:ind w:left="20"/>
              <w:spacing w:after="0" w:line="245" w:lineRule="exact"/>
              <w:rPr>
                <w:sz w:val="20"/>
                <w:szCs w:val="20"/>
                <w:color w:val="auto"/>
              </w:rPr>
            </w:pPr>
            <w:r>
              <w:rPr>
                <w:rFonts w:ascii="Times New Roman" w:cs="Times New Roman" w:eastAsia="Times New Roman" w:hAnsi="Times New Roman"/>
                <w:sz w:val="17"/>
                <w:szCs w:val="17"/>
                <w:color w:val="auto"/>
              </w:rPr>
              <w:t xml:space="preserve">Cash equivalents - Money market funds </w:t>
            </w:r>
            <w:r>
              <w:rPr>
                <w:rFonts w:ascii="Times New Roman" w:cs="Times New Roman" w:eastAsia="Times New Roman" w:hAnsi="Times New Roman"/>
                <w:sz w:val="22"/>
                <w:szCs w:val="22"/>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50,830</w:t>
            </w:r>
          </w:p>
        </w:tc>
        <w:tc>
          <w:tcPr>
            <w:tcW w:w="100" w:type="dxa"/>
            <w:vAlign w:val="bottom"/>
          </w:tcPr>
          <w:p>
            <w:pPr>
              <w:spacing w:after="0"/>
              <w:rPr>
                <w:sz w:val="21"/>
                <w:szCs w:val="21"/>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60" w:type="dxa"/>
            <w:vAlign w:val="bottom"/>
          </w:tcPr>
          <w:p>
            <w:pPr>
              <w:spacing w:after="0"/>
              <w:rPr>
                <w:sz w:val="19"/>
                <w:szCs w:val="19"/>
                <w:color w:val="auto"/>
              </w:rPr>
            </w:pPr>
          </w:p>
        </w:tc>
        <w:tc>
          <w:tcPr>
            <w:tcW w:w="38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Mutual funds </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171,639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183,449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60" w:type="dxa"/>
            <w:vAlign w:val="bottom"/>
          </w:tcPr>
          <w:p>
            <w:pPr>
              <w:spacing w:after="0"/>
              <w:rPr>
                <w:sz w:val="14"/>
                <w:szCs w:val="14"/>
                <w:color w:val="auto"/>
              </w:rPr>
            </w:pPr>
          </w:p>
        </w:tc>
        <w:tc>
          <w:tcPr>
            <w:tcW w:w="3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60" w:type="dxa"/>
            <w:vAlign w:val="bottom"/>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60" w:type="dxa"/>
            <w:vAlign w:val="bottom"/>
          </w:tcPr>
          <w:p>
            <w:pPr>
              <w:spacing w:after="0"/>
              <w:rPr>
                <w:sz w:val="21"/>
                <w:szCs w:val="21"/>
                <w:color w:val="auto"/>
              </w:rPr>
            </w:pPr>
          </w:p>
        </w:tc>
        <w:tc>
          <w:tcPr>
            <w:tcW w:w="3880" w:type="dxa"/>
            <w:vAlign w:val="bottom"/>
          </w:tcPr>
          <w:p>
            <w:pPr>
              <w:ind w:left="20"/>
              <w:spacing w:after="0" w:line="245" w:lineRule="exact"/>
              <w:rPr>
                <w:sz w:val="20"/>
                <w:szCs w:val="20"/>
                <w:color w:val="auto"/>
              </w:rPr>
            </w:pPr>
            <w:r>
              <w:rPr>
                <w:rFonts w:ascii="Times New Roman" w:cs="Times New Roman" w:eastAsia="Times New Roman" w:hAnsi="Times New Roman"/>
                <w:sz w:val="17"/>
                <w:szCs w:val="17"/>
                <w:color w:val="auto"/>
              </w:rPr>
              <w:t xml:space="preserve">Contingent consideration </w:t>
            </w:r>
            <w:r>
              <w:rPr>
                <w:rFonts w:ascii="Times New Roman" w:cs="Times New Roman" w:eastAsia="Times New Roman" w:hAnsi="Times New Roman"/>
                <w:sz w:val="22"/>
                <w:szCs w:val="22"/>
                <w:color w:val="auto"/>
                <w:vertAlign w:val="superscript"/>
              </w:rPr>
              <w:t>(3)</w:t>
            </w:r>
          </w:p>
        </w:tc>
        <w:tc>
          <w:tcPr>
            <w:tcW w:w="18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3"/>
        </w:trPr>
        <w:tc>
          <w:tcPr>
            <w:tcW w:w="4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ind w:right="200"/>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2752725</wp:posOffset>
            </wp:positionH>
            <wp:positionV relativeFrom="paragraph">
              <wp:posOffset>506095</wp:posOffset>
            </wp:positionV>
            <wp:extent cx="4363085"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63085"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200" w:type="dxa"/>
            <w:vAlign w:val="bottom"/>
          </w:tcPr>
          <w:p>
            <w:pPr>
              <w:spacing w:after="0"/>
              <w:rPr>
                <w:sz w:val="13"/>
                <w:szCs w:val="13"/>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200" w:type="dxa"/>
            <w:vAlign w:val="bottom"/>
          </w:tcPr>
          <w:p>
            <w:pPr>
              <w:spacing w:after="0"/>
              <w:rPr>
                <w:sz w:val="13"/>
                <w:szCs w:val="13"/>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200" w:type="dxa"/>
            <w:vAlign w:val="bottom"/>
          </w:tcPr>
          <w:p>
            <w:pPr>
              <w:spacing w:after="0"/>
              <w:rPr>
                <w:sz w:val="11"/>
                <w:szCs w:val="11"/>
                <w:color w:val="auto"/>
              </w:rPr>
            </w:pPr>
          </w:p>
        </w:tc>
        <w:tc>
          <w:tcPr>
            <w:tcW w:w="15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w w:val="96"/>
              </w:rPr>
              <w:t>Observable</w:t>
            </w:r>
          </w:p>
        </w:tc>
        <w:tc>
          <w:tcPr>
            <w:tcW w:w="200" w:type="dxa"/>
            <w:vAlign w:val="bottom"/>
          </w:tcPr>
          <w:p>
            <w:pPr>
              <w:spacing w:after="0"/>
              <w:rPr>
                <w:sz w:val="11"/>
                <w:szCs w:val="11"/>
                <w:color w:val="auto"/>
              </w:rPr>
            </w:pPr>
          </w:p>
        </w:tc>
        <w:tc>
          <w:tcPr>
            <w:tcW w:w="15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w w:val="96"/>
              </w:rPr>
              <w:t>Unobservable</w:t>
            </w:r>
          </w:p>
        </w:tc>
        <w:tc>
          <w:tcPr>
            <w:tcW w:w="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200" w:type="dxa"/>
            <w:vAlign w:val="bottom"/>
          </w:tcPr>
          <w:p>
            <w:pPr>
              <w:spacing w:after="0"/>
              <w:rPr>
                <w:sz w:val="15"/>
                <w:szCs w:val="15"/>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200" w:type="dxa"/>
            <w:vAlign w:val="bottom"/>
          </w:tcPr>
          <w:p>
            <w:pPr>
              <w:spacing w:after="0"/>
              <w:rPr>
                <w:sz w:val="15"/>
                <w:szCs w:val="15"/>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2024</w:t>
            </w:r>
          </w:p>
        </w:tc>
        <w:tc>
          <w:tcPr>
            <w:tcW w:w="1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880" w:type="dxa"/>
            <w:vAlign w:val="bottom"/>
            <w:tcBorders>
              <w:bottom w:val="single" w:sz="8" w:color="CCEEFF"/>
            </w:tcBorders>
            <w:vMerge w:val="continue"/>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00" w:type="dxa"/>
            <w:vAlign w:val="bottom"/>
            <w:tcBorders>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880" w:type="dxa"/>
            <w:vAlign w:val="bottom"/>
          </w:tcPr>
          <w:p>
            <w:pPr>
              <w:ind w:left="20"/>
              <w:spacing w:after="0" w:line="245" w:lineRule="exact"/>
              <w:rPr>
                <w:sz w:val="20"/>
                <w:szCs w:val="20"/>
                <w:color w:val="auto"/>
              </w:rPr>
            </w:pPr>
            <w:r>
              <w:rPr>
                <w:rFonts w:ascii="Times New Roman" w:cs="Times New Roman" w:eastAsia="Times New Roman" w:hAnsi="Times New Roman"/>
                <w:sz w:val="17"/>
                <w:szCs w:val="17"/>
                <w:color w:val="auto"/>
              </w:rPr>
              <w:t xml:space="preserve">Cash equivalents - Money market funds </w:t>
            </w:r>
            <w:r>
              <w:rPr>
                <w:rFonts w:ascii="Times New Roman" w:cs="Times New Roman" w:eastAsia="Times New Roman" w:hAnsi="Times New Roman"/>
                <w:sz w:val="22"/>
                <w:szCs w:val="22"/>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54,925</w:t>
            </w:r>
          </w:p>
        </w:tc>
        <w:tc>
          <w:tcPr>
            <w:tcW w:w="100" w:type="dxa"/>
            <w:vAlign w:val="bottom"/>
          </w:tcPr>
          <w:p>
            <w:pPr>
              <w:spacing w:after="0"/>
              <w:rPr>
                <w:sz w:val="21"/>
                <w:szCs w:val="21"/>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54,925</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Mutual funds </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108,251</w:t>
            </w:r>
          </w:p>
        </w:tc>
        <w:tc>
          <w:tcPr>
            <w:tcW w:w="0" w:type="dxa"/>
            <w:vAlign w:val="bottom"/>
          </w:tcPr>
          <w:p>
            <w:pPr>
              <w:spacing w:after="0"/>
              <w:rPr>
                <w:sz w:val="1"/>
                <w:szCs w:val="1"/>
                <w:color w:val="auto"/>
              </w:rPr>
            </w:pPr>
          </w:p>
        </w:tc>
      </w:tr>
      <w:tr>
        <w:trPr>
          <w:trHeight w:val="219"/>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2,825</w:t>
            </w:r>
          </w:p>
        </w:tc>
        <w:tc>
          <w:tcPr>
            <w:tcW w:w="0" w:type="dxa"/>
            <w:vAlign w:val="bottom"/>
          </w:tcPr>
          <w:p>
            <w:pPr>
              <w:spacing w:after="0"/>
              <w:rPr>
                <w:sz w:val="1"/>
                <w:szCs w:val="1"/>
                <w:color w:val="auto"/>
              </w:rPr>
            </w:pPr>
          </w:p>
        </w:tc>
      </w:tr>
      <w:tr>
        <w:trPr>
          <w:trHeight w:val="237"/>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163,176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166,001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11,817</w:t>
            </w:r>
          </w:p>
        </w:tc>
        <w:tc>
          <w:tcPr>
            <w:tcW w:w="0" w:type="dxa"/>
            <w:vAlign w:val="bottom"/>
          </w:tcPr>
          <w:p>
            <w:pPr>
              <w:spacing w:after="0"/>
              <w:rPr>
                <w:sz w:val="1"/>
                <w:szCs w:val="1"/>
                <w:color w:val="auto"/>
              </w:rPr>
            </w:pPr>
          </w:p>
        </w:tc>
      </w:tr>
      <w:tr>
        <w:trPr>
          <w:trHeight w:val="245"/>
        </w:trPr>
        <w:tc>
          <w:tcPr>
            <w:tcW w:w="3880" w:type="dxa"/>
            <w:vAlign w:val="bottom"/>
          </w:tcPr>
          <w:p>
            <w:pPr>
              <w:ind w:left="20"/>
              <w:spacing w:after="0" w:line="245" w:lineRule="exact"/>
              <w:rPr>
                <w:sz w:val="20"/>
                <w:szCs w:val="20"/>
                <w:color w:val="auto"/>
              </w:rPr>
            </w:pPr>
            <w:r>
              <w:rPr>
                <w:rFonts w:ascii="Times New Roman" w:cs="Times New Roman" w:eastAsia="Times New Roman" w:hAnsi="Times New Roman"/>
                <w:sz w:val="17"/>
                <w:szCs w:val="17"/>
                <w:color w:val="auto"/>
              </w:rPr>
              <w:t xml:space="preserve">Contingent consideration </w:t>
            </w:r>
            <w:r>
              <w:rPr>
                <w:rFonts w:ascii="Times New Roman" w:cs="Times New Roman" w:eastAsia="Times New Roman" w:hAnsi="Times New Roman"/>
                <w:sz w:val="22"/>
                <w:szCs w:val="22"/>
                <w:color w:val="auto"/>
                <w:vertAlign w:val="superscript"/>
              </w:rPr>
              <w:t>(3)</w:t>
            </w:r>
          </w:p>
        </w:tc>
        <w:tc>
          <w:tcPr>
            <w:tcW w:w="18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2,700</w:t>
            </w:r>
          </w:p>
        </w:tc>
        <w:tc>
          <w:tcPr>
            <w:tcW w:w="0" w:type="dxa"/>
            <w:vAlign w:val="bottom"/>
          </w:tcPr>
          <w:p>
            <w:pPr>
              <w:spacing w:after="0"/>
              <w:rPr>
                <w:sz w:val="1"/>
                <w:szCs w:val="1"/>
                <w:color w:val="auto"/>
              </w:rPr>
            </w:pPr>
          </w:p>
        </w:tc>
      </w:tr>
      <w:tr>
        <w:trPr>
          <w:trHeight w:val="237"/>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14,517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ind w:left="860" w:hanging="238"/>
        <w:spacing w:after="0"/>
        <w:tabs>
          <w:tab w:leader="none" w:pos="8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money market funds which are carried at the fair value option under ASC Topic 825 “Financial Instruments”.</w:t>
      </w:r>
    </w:p>
    <w:p>
      <w:pPr>
        <w:spacing w:after="0" w:line="229"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those short-term investments which are carried at the fair value option under ASC Topic 825 “Financial Instruments”.</w:t>
      </w:r>
    </w:p>
    <w:p>
      <w:pPr>
        <w:spacing w:after="0" w:line="242" w:lineRule="exact"/>
        <w:rPr>
          <w:rFonts w:ascii="Times New Roman" w:cs="Times New Roman" w:eastAsia="Times New Roman" w:hAnsi="Times New Roman"/>
          <w:sz w:val="17"/>
          <w:szCs w:val="17"/>
          <w:color w:val="auto"/>
        </w:rPr>
      </w:pPr>
    </w:p>
    <w:p>
      <w:pPr>
        <w:ind w:firstLine="622"/>
        <w:spacing w:after="0" w:line="287" w:lineRule="auto"/>
        <w:tabs>
          <w:tab w:leader="none" w:pos="86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Contingent consideration is presented under “Accrued Expenses and Other Current Liabilities” and “Other Non-Current Liabilities,” as applicable, in the consolidated balance sheets.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of Derivative Financial Instruments:</w:t>
      </w:r>
    </w:p>
    <w:p>
      <w:pPr>
        <w:spacing w:after="0" w:line="234" w:lineRule="exact"/>
        <w:rPr>
          <w:sz w:val="20"/>
          <w:szCs w:val="20"/>
          <w:color w:val="auto"/>
        </w:rPr>
      </w:pPr>
    </w:p>
    <w:p>
      <w:pPr>
        <w:jc w:val="both"/>
        <w:ind w:firstLine="387"/>
        <w:spacing w:after="0" w:line="246" w:lineRule="auto"/>
        <w:rPr>
          <w:sz w:val="20"/>
          <w:szCs w:val="20"/>
          <w:color w:val="auto"/>
        </w:rPr>
      </w:pPr>
      <w:r>
        <w:rPr>
          <w:rFonts w:ascii="Times New Roman" w:cs="Times New Roman" w:eastAsia="Times New Roman" w:hAnsi="Times New Roman"/>
          <w:sz w:val="17"/>
          <w:szCs w:val="17"/>
          <w:color w:val="auto"/>
        </w:rPr>
        <w:t>The Company’s derivative financial instruments consist of foreign currency forward contracts and interest rate swaps. Fair values for derivative financial instruments are based on independent sources including highly rated financial institutions and are classified as Level 2. Refer to Note 17 - Derivatives and Hedge Accounting to the unaudited consolidated financial statements for further details.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of Contingent Consideration:</w:t>
      </w:r>
    </w:p>
    <w:p>
      <w:pPr>
        <w:spacing w:after="0" w:line="247"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auto"/>
        </w:rPr>
        <w:t>The fair value measurement of contingent consideration is determined using Level 3 inputs. The Company’s contingent consideration represents a component of the total purchase consideration for business acquisitions. The measurement is calculated using unobservable inputs based on the Company’s own assessment of achievement of certain performance goals. The Company estimated the fair value of the contingent consideration based on the Monte Carlo simulation model.</w:t>
      </w:r>
    </w:p>
    <w:p>
      <w:pPr>
        <w:spacing w:after="0" w:line="1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summarizes the changes in the fair value of contingent consideration:</w:t>
      </w:r>
    </w:p>
    <w:p>
      <w:pPr>
        <w:spacing w:after="0" w:line="50"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3120" w:type="dxa"/>
            <w:vAlign w:val="bottom"/>
            <w:tcBorders>
              <w:bottom w:val="single" w:sz="8" w:color="auto"/>
            </w:tcBorders>
            <w:gridSpan w:val="4"/>
          </w:tcPr>
          <w:p>
            <w:pPr>
              <w:jc w:val="right"/>
              <w:ind w:right="257"/>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tcBorders>
              <w:bottom w:val="single" w:sz="8" w:color="auto"/>
            </w:tcBorders>
            <w:gridSpan w:val="4"/>
          </w:tcPr>
          <w:p>
            <w:pPr>
              <w:jc w:val="right"/>
              <w:ind w:right="177"/>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660" w:type="dxa"/>
            <w:vAlign w:val="bottom"/>
            <w:tcBorders>
              <w:bottom w:val="single" w:sz="8" w:color="auto"/>
            </w:tcBorders>
          </w:tcPr>
          <w:p>
            <w:pPr>
              <w:spacing w:after="0"/>
              <w:rPr>
                <w:sz w:val="17"/>
                <w:szCs w:val="17"/>
                <w:color w:val="auto"/>
              </w:rPr>
            </w:pPr>
          </w:p>
        </w:tc>
      </w:tr>
      <w:tr>
        <w:trPr>
          <w:trHeight w:val="201"/>
        </w:trPr>
        <w:tc>
          <w:tcPr>
            <w:tcW w:w="34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5"/>
                <w:szCs w:val="15"/>
                <w:b w:val="1"/>
                <w:bCs w:val="1"/>
                <w:color w:val="auto"/>
              </w:rPr>
              <w:t>2025</w:t>
            </w: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5"/>
                <w:szCs w:val="15"/>
                <w:b w:val="1"/>
                <w:bCs w:val="1"/>
                <w:color w:val="auto"/>
              </w:rPr>
              <w:t>2024</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5"/>
                <w:szCs w:val="15"/>
                <w:b w:val="1"/>
                <w:bCs w:val="1"/>
                <w:color w:val="auto"/>
              </w:rPr>
              <w:t>2025</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660" w:type="dxa"/>
            <w:vAlign w:val="bottom"/>
            <w:tcBorders>
              <w:bottom w:val="single" w:sz="8" w:color="auto"/>
            </w:tcBorders>
          </w:tcPr>
          <w:p>
            <w:pPr>
              <w:spacing w:after="0"/>
              <w:rPr>
                <w:sz w:val="17"/>
                <w:szCs w:val="17"/>
                <w:color w:val="auto"/>
              </w:rPr>
            </w:pPr>
          </w:p>
        </w:tc>
      </w:tr>
      <w:tr>
        <w:trPr>
          <w:trHeight w:val="21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Opening balance</w:t>
            </w:r>
          </w:p>
        </w:tc>
        <w:tc>
          <w:tcPr>
            <w:tcW w:w="1160" w:type="dxa"/>
            <w:vAlign w:val="bottom"/>
            <w:shd w:val="clear" w:color="auto" w:fill="CCEEFF"/>
          </w:tcPr>
          <w:p>
            <w:pPr>
              <w:jc w:val="right"/>
              <w:ind w:right="978"/>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2,700</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77"/>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8"/>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15,589</w:t>
            </w:r>
          </w:p>
        </w:tc>
      </w:tr>
      <w:tr>
        <w:trPr>
          <w:trHeight w:val="219"/>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changes</w:t>
            </w:r>
          </w:p>
        </w:tc>
        <w:tc>
          <w:tcPr>
            <w:tcW w:w="11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spacing w:after="0"/>
              <w:rPr>
                <w:sz w:val="19"/>
                <w:szCs w:val="19"/>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w:t>
            </w:r>
          </w:p>
        </w:tc>
      </w:tr>
      <w:tr>
        <w:trPr>
          <w:trHeight w:val="21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w:t>
            </w:r>
          </w:p>
        </w:tc>
        <w:tc>
          <w:tcPr>
            <w:tcW w:w="1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r>
      <w:tr>
        <w:trPr>
          <w:trHeight w:val="212"/>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Closing balance</w:t>
            </w:r>
          </w:p>
        </w:tc>
        <w:tc>
          <w:tcPr>
            <w:tcW w:w="1160" w:type="dxa"/>
            <w:vAlign w:val="bottom"/>
            <w:tcBorders>
              <w:top w:val="single" w:sz="8" w:color="auto"/>
              <w:bottom w:val="single" w:sz="8" w:color="auto"/>
            </w:tcBorders>
          </w:tcPr>
          <w:p>
            <w:pPr>
              <w:jc w:val="right"/>
              <w:ind w:right="978"/>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2,700</w:t>
            </w:r>
          </w:p>
        </w:tc>
        <w:tc>
          <w:tcPr>
            <w:tcW w:w="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077"/>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978"/>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2,700</w:t>
            </w: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89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4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During the three and six months ended June 30, 2025 and 2024, there were no transfers among Level 1, Level 2 and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Instruments Not Carried at Fair Value</w:t>
      </w:r>
      <w:r>
        <w:rPr>
          <w:rFonts w:ascii="Times New Roman" w:cs="Times New Roman" w:eastAsia="Times New Roman" w:hAnsi="Times New Roman"/>
          <w:sz w:val="17"/>
          <w:szCs w:val="17"/>
          <w:color w:val="auto"/>
        </w:rPr>
        <w:t>:</w:t>
      </w:r>
    </w:p>
    <w:p>
      <w:pPr>
        <w:spacing w:after="0" w:line="234" w:lineRule="exact"/>
        <w:rPr>
          <w:sz w:val="20"/>
          <w:szCs w:val="20"/>
          <w:color w:val="auto"/>
        </w:rPr>
      </w:pPr>
    </w:p>
    <w:p>
      <w:pPr>
        <w:jc w:val="both"/>
        <w:ind w:firstLine="387"/>
        <w:spacing w:after="0" w:line="245" w:lineRule="auto"/>
        <w:rPr>
          <w:sz w:val="20"/>
          <w:szCs w:val="20"/>
          <w:color w:val="auto"/>
        </w:rPr>
      </w:pPr>
      <w:r>
        <w:rPr>
          <w:rFonts w:ascii="Times New Roman" w:cs="Times New Roman" w:eastAsia="Times New Roman" w:hAnsi="Times New Roman"/>
          <w:sz w:val="17"/>
          <w:szCs w:val="17"/>
          <w:color w:val="auto"/>
        </w:rPr>
        <w:t>The Company’s other financial instruments not carried at fair value consist primarily of cash and cash equivalents (except investments in money market funds, as disclosed above), short-term investments (except investments in mutual funds, as disclosed above), restricted cash, accounts receivable, net, long-term investments, accrued capital expenditures, accrued expenses, client liabilities and interest payable on borrowings for which fair values approximate their carrying amounts. The carrying value of the Company’s outstanding revolving credit facility approximates its fair value because the Company’s interest rate yield is near current market rates for comparable debt instruments.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Derivatives and Hedge Accounting</w:t>
      </w:r>
    </w:p>
    <w:p>
      <w:pPr>
        <w:spacing w:after="0" w:line="234" w:lineRule="exact"/>
        <w:rPr>
          <w:sz w:val="20"/>
          <w:szCs w:val="20"/>
          <w:color w:val="auto"/>
        </w:rPr>
      </w:pPr>
    </w:p>
    <w:p>
      <w:pPr>
        <w:jc w:val="both"/>
        <w:ind w:firstLine="387"/>
        <w:spacing w:after="0" w:line="243" w:lineRule="auto"/>
        <w:rPr>
          <w:sz w:val="20"/>
          <w:szCs w:val="20"/>
          <w:color w:val="auto"/>
        </w:rPr>
      </w:pPr>
      <w:r>
        <w:rPr>
          <w:rFonts w:ascii="Times New Roman" w:cs="Times New Roman" w:eastAsia="Times New Roman" w:hAnsi="Times New Roman"/>
          <w:sz w:val="17"/>
          <w:szCs w:val="17"/>
          <w:color w:val="auto"/>
        </w:rPr>
        <w:t xml:space="preserve">The Company uses derivative instruments to mitigate cash flow volatility from risk of fluctuations in foreign currency exchange rates and interest rates. The Company enters into foreign currency forward contracts to hedge cash flow risks from forecasted revenues and other transactions denominated in certain foreign currencies. These contracts qualify as cash flow hedges under ASC Topic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and are with counterparties that are highly rated financial institutions.</w:t>
      </w: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table sets forth the aggregate notional amount of derivatives in cash flow hedging relationship:</w:t>
      </w:r>
    </w:p>
    <w:p>
      <w:pPr>
        <w:spacing w:after="0" w:line="50"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6340" w:type="dxa"/>
            <w:vAlign w:val="bottom"/>
          </w:tcPr>
          <w:p>
            <w:pPr>
              <w:spacing w:after="0"/>
              <w:rPr>
                <w:sz w:val="17"/>
                <w:szCs w:val="17"/>
                <w:color w:val="auto"/>
              </w:rPr>
            </w:pPr>
          </w:p>
        </w:tc>
        <w:tc>
          <w:tcPr>
            <w:tcW w:w="2500" w:type="dxa"/>
            <w:vAlign w:val="bottom"/>
            <w:tcBorders>
              <w:bottom w:val="single" w:sz="8" w:color="auto"/>
            </w:tcBorders>
            <w:gridSpan w:val="3"/>
          </w:tcPr>
          <w:p>
            <w:pPr>
              <w:ind w:left="200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860" w:type="dxa"/>
            <w:vAlign w:val="bottom"/>
            <w:tcBorders>
              <w:bottom w:val="single" w:sz="8" w:color="auto"/>
            </w:tcBorders>
          </w:tcPr>
          <w:p>
            <w:pPr>
              <w:spacing w:after="0"/>
              <w:rPr>
                <w:sz w:val="17"/>
                <w:szCs w:val="17"/>
                <w:color w:val="auto"/>
              </w:rPr>
            </w:pPr>
          </w:p>
        </w:tc>
      </w:tr>
      <w:tr>
        <w:trPr>
          <w:trHeight w:val="201"/>
        </w:trPr>
        <w:tc>
          <w:tcPr>
            <w:tcW w:w="6340" w:type="dxa"/>
            <w:vAlign w:val="bottom"/>
          </w:tcPr>
          <w:p>
            <w:pPr>
              <w:spacing w:after="0"/>
              <w:rPr>
                <w:sz w:val="17"/>
                <w:szCs w:val="17"/>
                <w:color w:val="auto"/>
              </w:rPr>
            </w:pPr>
          </w:p>
        </w:tc>
        <w:tc>
          <w:tcPr>
            <w:tcW w:w="2500" w:type="dxa"/>
            <w:vAlign w:val="bottom"/>
            <w:gridSpan w:val="3"/>
          </w:tcPr>
          <w:p>
            <w:pPr>
              <w:ind w:left="620"/>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1860" w:type="dxa"/>
            <w:vAlign w:val="bottom"/>
          </w:tcPr>
          <w:p>
            <w:pPr>
              <w:jc w:val="right"/>
              <w:ind w:right="357"/>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200"/>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Foreign currency forward contracts denominated in:</w:t>
            </w:r>
          </w:p>
        </w:tc>
        <w:tc>
          <w:tcPr>
            <w:tcW w:w="2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r>
      <w:tr>
        <w:trPr>
          <w:trHeight w:val="219"/>
        </w:trPr>
        <w:tc>
          <w:tcPr>
            <w:tcW w:w="63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Sell U.S. dollar (USD)</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952,100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984,300</w:t>
            </w:r>
          </w:p>
        </w:tc>
      </w:tr>
      <w:tr>
        <w:trPr>
          <w:trHeight w:val="219"/>
        </w:trPr>
        <w:tc>
          <w:tcPr>
            <w:tcW w:w="6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Buy U.S. dollar (USD)</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332"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The Company estimates that approximately $4,421 of derivative gains, net, excluding tax effects, included in AOCI, representing changes in the value of cash flow hedges based on exchange rates prevailing as of June 30, 2025, could be reclassified into earnings within the next twelve months. As of June 30, 2025, the maximum outstanding term of the cash flow hedges was approximately 45 months.</w:t>
      </w:r>
    </w:p>
    <w:p>
      <w:pPr>
        <w:spacing w:after="0" w:line="192" w:lineRule="exact"/>
        <w:rPr>
          <w:sz w:val="20"/>
          <w:szCs w:val="20"/>
          <w:color w:val="auto"/>
        </w:rPr>
      </w:pPr>
    </w:p>
    <w:p>
      <w:pPr>
        <w:jc w:val="both"/>
        <w:ind w:firstLine="387"/>
        <w:spacing w:after="0" w:line="245" w:lineRule="auto"/>
        <w:rPr>
          <w:sz w:val="20"/>
          <w:szCs w:val="20"/>
          <w:color w:val="auto"/>
        </w:rPr>
      </w:pPr>
      <w:r>
        <w:rPr>
          <w:rFonts w:ascii="Times New Roman" w:cs="Times New Roman" w:eastAsia="Times New Roman" w:hAnsi="Times New Roman"/>
          <w:sz w:val="17"/>
          <w:szCs w:val="17"/>
          <w:color w:val="auto"/>
        </w:rPr>
        <w:t xml:space="preserve">The Company also enters into foreign currency forward contracts to hedge its intercompany balances and other monetary assets and liabilities denominated in currencies other than functional currencies, against the risk of fluctuations in foreign currency exchange rates associated with remeasurement of such assets and liabilities to functional currency. These foreign currency forward contracts do not qualify as fair value hedges under ASC Topic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Changes in the fair value of these financial instruments are recognized in the unaudited consolidated statements of income and are included in the foreign exchange gain/(loss) line item.</w:t>
      </w:r>
    </w:p>
    <w:p>
      <w:pPr>
        <w:spacing w:after="0" w:line="201" w:lineRule="exact"/>
        <w:rPr>
          <w:sz w:val="20"/>
          <w:szCs w:val="20"/>
          <w:color w:val="auto"/>
        </w:rPr>
      </w:pPr>
    </w:p>
    <w:p>
      <w:pPr>
        <w:jc w:val="both"/>
        <w:ind w:firstLine="387"/>
        <w:spacing w:after="0" w:line="256" w:lineRule="auto"/>
        <w:rPr>
          <w:sz w:val="20"/>
          <w:szCs w:val="20"/>
          <w:color w:val="auto"/>
        </w:rPr>
      </w:pPr>
      <w:r>
        <w:rPr>
          <w:rFonts w:ascii="Times New Roman" w:cs="Times New Roman" w:eastAsia="Times New Roman" w:hAnsi="Times New Roman"/>
          <w:sz w:val="17"/>
          <w:szCs w:val="17"/>
          <w:color w:val="auto"/>
        </w:rPr>
        <w:t>The following table sets forth the aggregate notional principal amounts of outstanding foreign currency forward contracts for derivatives not designated as hedging instruments:</w:t>
      </w:r>
    </w:p>
    <w:tbl>
      <w:tblPr>
        <w:tblLayout w:type="fixed"/>
        <w:tblInd w:w="0" w:type="dxa"/>
        <w:tblCellMar>
          <w:top w:w="0" w:type="dxa"/>
          <w:left w:w="0" w:type="dxa"/>
          <w:bottom w:w="0" w:type="dxa"/>
          <w:right w:w="0" w:type="dxa"/>
        </w:tblCellMar>
      </w:tblPr>
      <w:tr>
        <w:trPr>
          <w:trHeight w:val="182"/>
        </w:trPr>
        <w:tc>
          <w:tcPr>
            <w:tcW w:w="6780" w:type="dxa"/>
            <w:vAlign w:val="bottom"/>
          </w:tcPr>
          <w:p>
            <w:pPr>
              <w:spacing w:after="0"/>
              <w:rPr>
                <w:sz w:val="15"/>
                <w:szCs w:val="15"/>
                <w:color w:val="auto"/>
              </w:rPr>
            </w:pPr>
          </w:p>
        </w:tc>
        <w:tc>
          <w:tcPr>
            <w:tcW w:w="2540" w:type="dxa"/>
            <w:vAlign w:val="bottom"/>
            <w:gridSpan w:val="3"/>
          </w:tcPr>
          <w:p>
            <w:pPr>
              <w:ind w:left="20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78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Foreign currency forward contracts denominated in:</w:t>
            </w:r>
          </w:p>
        </w:tc>
        <w:tc>
          <w:tcPr>
            <w:tcW w:w="2540" w:type="dxa"/>
            <w:vAlign w:val="bottom"/>
            <w:tcBorders>
              <w:bottom w:val="single" w:sz="8" w:color="auto"/>
            </w:tcBorders>
            <w:gridSpan w:val="3"/>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780" w:type="dxa"/>
            <w:vAlign w:val="bottom"/>
            <w:vMerge w:val="continue"/>
          </w:tcPr>
          <w:p>
            <w:pPr>
              <w:spacing w:after="0"/>
              <w:rPr>
                <w:sz w:val="15"/>
                <w:szCs w:val="15"/>
                <w:color w:val="auto"/>
              </w:rPr>
            </w:pPr>
          </w:p>
        </w:tc>
        <w:tc>
          <w:tcPr>
            <w:tcW w:w="254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4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5"/>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 USD</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229,522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179,491</w:t>
            </w:r>
          </w:p>
        </w:tc>
        <w:tc>
          <w:tcPr>
            <w:tcW w:w="0" w:type="dxa"/>
            <w:vAlign w:val="bottom"/>
          </w:tcPr>
          <w:p>
            <w:pPr>
              <w:spacing w:after="0"/>
              <w:rPr>
                <w:sz w:val="1"/>
                <w:szCs w:val="1"/>
                <w:color w:val="auto"/>
              </w:rPr>
            </w:pPr>
          </w:p>
        </w:tc>
      </w:tr>
      <w:tr>
        <w:trPr>
          <w:trHeight w:val="219"/>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 GBP</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20,956</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 EUR</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9,008</w:t>
            </w:r>
          </w:p>
        </w:tc>
        <w:tc>
          <w:tcPr>
            <w:tcW w:w="0" w:type="dxa"/>
            <w:vAlign w:val="bottom"/>
          </w:tcPr>
          <w:p>
            <w:pPr>
              <w:spacing w:after="0"/>
              <w:rPr>
                <w:sz w:val="1"/>
                <w:szCs w:val="1"/>
                <w:color w:val="auto"/>
              </w:rPr>
            </w:pPr>
          </w:p>
        </w:tc>
      </w:tr>
      <w:tr>
        <w:trPr>
          <w:trHeight w:val="219"/>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 AUD</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4,770</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Buy USD </w:t>
            </w:r>
            <w:r>
              <w:rPr>
                <w:rFonts w:ascii="Times New Roman" w:cs="Times New Roman" w:eastAsia="Times New Roman" w:hAnsi="Times New Roman"/>
                <w:sz w:val="22"/>
                <w:szCs w:val="22"/>
                <w:color w:val="auto"/>
                <w:vertAlign w:val="superscript"/>
              </w:rPr>
              <w:t>(1)</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10,594</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firstLine="390"/>
        <w:spacing w:after="0" w:line="271" w:lineRule="auto"/>
        <w:tabs>
          <w:tab w:leader="none" w:pos="63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includes $10,147 and $10,006 related to USD purchases against sale of ZAR 181,501 and ZAR 188,373 as of June 30, 2025 and December 31, 2024, respectively.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3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sets forth the fair value of the foreign currency forward contracts and their location on the consolidated balance sheets: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0" w:type="dxa"/>
            <w:vAlign w:val="bottom"/>
            <w:gridSpan w:val="5"/>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Derivatives in cash flow hedging</w:t>
            </w:r>
          </w:p>
        </w:tc>
        <w:tc>
          <w:tcPr>
            <w:tcW w:w="280" w:type="dxa"/>
            <w:vAlign w:val="bottom"/>
          </w:tcPr>
          <w:p>
            <w:pPr>
              <w:spacing w:after="0"/>
              <w:rPr>
                <w:sz w:val="15"/>
                <w:szCs w:val="15"/>
                <w:color w:val="auto"/>
              </w:rPr>
            </w:pPr>
          </w:p>
        </w:tc>
        <w:tc>
          <w:tcPr>
            <w:tcW w:w="3440" w:type="dxa"/>
            <w:vAlign w:val="bottom"/>
            <w:gridSpan w:val="4"/>
          </w:tcPr>
          <w:p>
            <w:pPr>
              <w:jc w:val="center"/>
              <w:ind w:right="236"/>
              <w:spacing w:after="0"/>
              <w:rPr>
                <w:sz w:val="20"/>
                <w:szCs w:val="20"/>
                <w:color w:val="auto"/>
              </w:rPr>
            </w:pPr>
            <w:r>
              <w:rPr>
                <w:rFonts w:ascii="Times New Roman" w:cs="Times New Roman" w:eastAsia="Times New Roman" w:hAnsi="Times New Roman"/>
                <w:sz w:val="15"/>
                <w:szCs w:val="15"/>
                <w:b w:val="1"/>
                <w:bCs w:val="1"/>
                <w:color w:val="auto"/>
              </w:rPr>
              <w:t>Derivatives not designated as hedging</w:t>
            </w:r>
          </w:p>
        </w:tc>
      </w:tr>
      <w:tr>
        <w:trPr>
          <w:trHeight w:val="205"/>
        </w:trPr>
        <w:tc>
          <w:tcPr>
            <w:tcW w:w="3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5"/>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relationships</w:t>
            </w:r>
          </w:p>
        </w:tc>
        <w:tc>
          <w:tcPr>
            <w:tcW w:w="280" w:type="dxa"/>
            <w:vAlign w:val="bottom"/>
          </w:tcPr>
          <w:p>
            <w:pPr>
              <w:spacing w:after="0"/>
              <w:rPr>
                <w:sz w:val="17"/>
                <w:szCs w:val="17"/>
                <w:color w:val="auto"/>
              </w:rPr>
            </w:pPr>
          </w:p>
        </w:tc>
        <w:tc>
          <w:tcPr>
            <w:tcW w:w="3440" w:type="dxa"/>
            <w:vAlign w:val="bottom"/>
            <w:gridSpan w:val="4"/>
          </w:tcPr>
          <w:p>
            <w:pPr>
              <w:jc w:val="center"/>
              <w:ind w:right="176"/>
              <w:spacing w:after="0"/>
              <w:rPr>
                <w:sz w:val="20"/>
                <w:szCs w:val="20"/>
                <w:color w:val="auto"/>
              </w:rPr>
            </w:pPr>
            <w:r>
              <w:rPr>
                <w:rFonts w:ascii="Times New Roman" w:cs="Times New Roman" w:eastAsia="Times New Roman" w:hAnsi="Times New Roman"/>
                <w:sz w:val="15"/>
                <w:szCs w:val="15"/>
                <w:b w:val="1"/>
                <w:bCs w:val="1"/>
                <w:color w:val="auto"/>
              </w:rPr>
              <w:t>instruments</w:t>
            </w:r>
          </w:p>
        </w:tc>
      </w:tr>
      <w:tr>
        <w:trPr>
          <w:trHeight w:val="199"/>
        </w:trPr>
        <w:tc>
          <w:tcPr>
            <w:tcW w:w="35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760" w:type="dxa"/>
            <w:vAlign w:val="bottom"/>
            <w:tcBorders>
              <w:top w:val="single" w:sz="8" w:color="auto"/>
              <w:bottom w:val="single" w:sz="8" w:color="auto"/>
            </w:tcBorders>
            <w:gridSpan w:val="3"/>
          </w:tcPr>
          <w:p>
            <w:pPr>
              <w:jc w:val="center"/>
              <w:ind w:left="1218"/>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56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840" w:type="dxa"/>
            <w:vAlign w:val="bottom"/>
            <w:tcBorders>
              <w:top w:val="single" w:sz="8" w:color="auto"/>
              <w:bottom w:val="single" w:sz="8" w:color="auto"/>
            </w:tcBorders>
            <w:gridSpan w:val="3"/>
          </w:tcPr>
          <w:p>
            <w:pPr>
              <w:jc w:val="center"/>
              <w:ind w:left="1258"/>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top w:val="single" w:sz="8" w:color="auto"/>
              <w:bottom w:val="single" w:sz="8" w:color="auto"/>
            </w:tcBorders>
          </w:tcPr>
          <w:p>
            <w:pPr>
              <w:spacing w:after="0"/>
              <w:rPr>
                <w:sz w:val="17"/>
                <w:szCs w:val="17"/>
                <w:color w:val="auto"/>
              </w:rPr>
            </w:pPr>
          </w:p>
        </w:tc>
      </w:tr>
      <w:tr>
        <w:trPr>
          <w:trHeight w:val="199"/>
        </w:trPr>
        <w:tc>
          <w:tcPr>
            <w:tcW w:w="3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200" w:type="dxa"/>
            <w:vAlign w:val="bottom"/>
          </w:tcPr>
          <w:p>
            <w:pPr>
              <w:spacing w:after="0"/>
              <w:rPr>
                <w:sz w:val="17"/>
                <w:szCs w:val="17"/>
                <w:color w:val="auto"/>
              </w:rPr>
            </w:pPr>
          </w:p>
        </w:tc>
        <w:tc>
          <w:tcPr>
            <w:tcW w:w="1560" w:type="dxa"/>
            <w:vAlign w:val="bottom"/>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200" w:type="dxa"/>
            <w:vAlign w:val="bottom"/>
          </w:tcPr>
          <w:p>
            <w:pPr>
              <w:spacing w:after="0"/>
              <w:rPr>
                <w:sz w:val="17"/>
                <w:szCs w:val="17"/>
                <w:color w:val="auto"/>
              </w:rPr>
            </w:pPr>
          </w:p>
        </w:tc>
        <w:tc>
          <w:tcPr>
            <w:tcW w:w="1600" w:type="dxa"/>
            <w:vAlign w:val="bottom"/>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200"/>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r>
      <w:tr>
        <w:trPr>
          <w:trHeight w:val="219"/>
        </w:trPr>
        <w:tc>
          <w:tcPr>
            <w:tcW w:w="3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8,021</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1,711</w:t>
            </w:r>
          </w:p>
        </w:tc>
        <w:tc>
          <w:tcPr>
            <w:tcW w:w="8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r>
      <w:tr>
        <w:trPr>
          <w:trHeight w:val="219"/>
        </w:trPr>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assets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3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168"/>
        </w:trPr>
        <w:tc>
          <w:tcPr>
            <w:tcW w:w="3580" w:type="dxa"/>
            <w:vAlign w:val="bottom"/>
            <w:shd w:val="clear" w:color="auto" w:fill="CCEEFF"/>
          </w:tcPr>
          <w:p>
            <w:pPr>
              <w:ind w:left="100"/>
              <w:spacing w:after="0" w:line="167" w:lineRule="exact"/>
              <w:rPr>
                <w:sz w:val="20"/>
                <w:szCs w:val="20"/>
                <w:color w:val="auto"/>
              </w:rPr>
            </w:pPr>
            <w:r>
              <w:rPr>
                <w:rFonts w:ascii="Times New Roman" w:cs="Times New Roman" w:eastAsia="Times New Roman" w:hAnsi="Times New Roman"/>
                <w:sz w:val="17"/>
                <w:szCs w:val="17"/>
                <w:color w:val="auto"/>
              </w:rPr>
              <w:t>Accrued expenses and other</w:t>
            </w:r>
          </w:p>
        </w:tc>
        <w:tc>
          <w:tcPr>
            <w:tcW w:w="240" w:type="dxa"/>
            <w:vAlign w:val="bottom"/>
            <w:shd w:val="clear" w:color="auto" w:fill="CCEEFF"/>
          </w:tcPr>
          <w:p>
            <w:pPr>
              <w:jc w:val="right"/>
              <w:ind w:right="54"/>
              <w:spacing w:after="0" w:line="167" w:lineRule="exact"/>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3,600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4"/>
              <w:spacing w:after="0" w:line="167" w:lineRule="exact"/>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7,404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94"/>
              <w:spacing w:after="0" w:line="167" w:lineRule="exact"/>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533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4"/>
              <w:spacing w:after="0" w:line="167" w:lineRule="exact"/>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50</w:t>
            </w:r>
          </w:p>
        </w:tc>
      </w:tr>
      <w:tr>
        <w:trPr>
          <w:trHeight w:val="232"/>
        </w:trPr>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current liabilities</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23"/>
        </w:trPr>
        <w:tc>
          <w:tcPr>
            <w:tcW w:w="3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4,363</w:t>
            </w:r>
          </w:p>
        </w:tc>
        <w:tc>
          <w:tcPr>
            <w:tcW w:w="8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89" w:lineRule="exact"/>
        <w:rPr>
          <w:sz w:val="20"/>
          <w:szCs w:val="20"/>
          <w:color w:val="auto"/>
        </w:rPr>
      </w:pPr>
    </w:p>
    <w:p>
      <w:pPr>
        <w:ind w:firstLine="387"/>
        <w:spacing w:after="0" w:line="261" w:lineRule="auto"/>
        <w:rPr>
          <w:sz w:val="20"/>
          <w:szCs w:val="20"/>
          <w:color w:val="auto"/>
        </w:rPr>
      </w:pPr>
      <w:r>
        <w:rPr>
          <w:rFonts w:ascii="Times New Roman" w:cs="Times New Roman" w:eastAsia="Times New Roman" w:hAnsi="Times New Roman"/>
          <w:sz w:val="17"/>
          <w:szCs w:val="17"/>
          <w:color w:val="auto"/>
        </w:rPr>
        <w:t>The following table sets forth the effect of foreign currency forward contracts and interest rate swaps on AOCI and the unaudited consolidated statements of income: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gridSpan w:val="5"/>
          </w:tcPr>
          <w:p>
            <w:pPr>
              <w:ind w:left="24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360" w:type="dxa"/>
            <w:vAlign w:val="bottom"/>
          </w:tcPr>
          <w:p>
            <w:pPr>
              <w:spacing w:after="0"/>
              <w:rPr>
                <w:sz w:val="17"/>
                <w:szCs w:val="17"/>
                <w:color w:val="auto"/>
              </w:rPr>
            </w:pPr>
          </w:p>
        </w:tc>
        <w:tc>
          <w:tcPr>
            <w:tcW w:w="3100" w:type="dxa"/>
            <w:vAlign w:val="bottom"/>
            <w:gridSpan w:val="5"/>
          </w:tcPr>
          <w:p>
            <w:pPr>
              <w:ind w:left="340"/>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204"/>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Derivative financial instruments:</w:t>
            </w: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8"/>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5"/>
                <w:szCs w:val="15"/>
                <w:b w:val="1"/>
                <w:bCs w:val="1"/>
                <w:color w:val="auto"/>
              </w:rPr>
              <w:t>2024</w:t>
            </w:r>
          </w:p>
        </w:tc>
        <w:tc>
          <w:tcPr>
            <w:tcW w:w="320" w:type="dxa"/>
            <w:vAlign w:val="bottom"/>
          </w:tcPr>
          <w:p>
            <w:pPr>
              <w:spacing w:after="0"/>
              <w:rPr>
                <w:sz w:val="17"/>
                <w:szCs w:val="17"/>
                <w:color w:val="auto"/>
              </w:rPr>
            </w:pPr>
          </w:p>
        </w:tc>
      </w:tr>
      <w:tr>
        <w:trPr>
          <w:trHeight w:val="136"/>
        </w:trPr>
        <w:tc>
          <w:tcPr>
            <w:tcW w:w="458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5"/>
                <w:szCs w:val="15"/>
                <w:b w:val="1"/>
                <w:bCs w:val="1"/>
                <w:color w:val="auto"/>
              </w:rPr>
              <w:t>Unrealized gain/(loss) recognized in other comprehensive income</w:t>
            </w: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320" w:type="dxa"/>
            <w:vAlign w:val="bottom"/>
          </w:tcPr>
          <w:p>
            <w:pPr>
              <w:spacing w:after="0"/>
              <w:rPr>
                <w:sz w:val="11"/>
                <w:szCs w:val="11"/>
                <w:color w:val="auto"/>
              </w:rPr>
            </w:pPr>
          </w:p>
        </w:tc>
      </w:tr>
      <w:tr>
        <w:trPr>
          <w:trHeight w:val="20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(“OCI”)</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tcPr>
          <w:p>
            <w:pPr>
              <w:spacing w:after="0"/>
              <w:rPr>
                <w:sz w:val="17"/>
                <w:szCs w:val="17"/>
                <w:color w:val="auto"/>
              </w:rPr>
            </w:pPr>
          </w:p>
        </w:tc>
      </w:tr>
      <w:tr>
        <w:trPr>
          <w:trHeight w:val="25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Derivatives in cash flow hedging relationships</w:t>
            </w:r>
          </w:p>
        </w:tc>
        <w:tc>
          <w:tcPr>
            <w:tcW w:w="340" w:type="dxa"/>
            <w:vAlign w:val="bottom"/>
            <w:tcBorders>
              <w:bottom w:val="single" w:sz="8" w:color="CCEEFF"/>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7"/>
                <w:szCs w:val="17"/>
                <w:color w:val="auto"/>
              </w:rPr>
              <w:t>5,955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(2,778)</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7"/>
                <w:szCs w:val="17"/>
                <w:color w:val="auto"/>
              </w:rPr>
              <w:t>15,424</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(2,840)</w:t>
            </w:r>
          </w:p>
        </w:tc>
        <w:tc>
          <w:tcPr>
            <w:tcW w:w="320" w:type="dxa"/>
            <w:vAlign w:val="bottom"/>
          </w:tcPr>
          <w:p>
            <w:pPr>
              <w:spacing w:after="0"/>
              <w:rPr>
                <w:sz w:val="21"/>
                <w:szCs w:val="21"/>
                <w:color w:val="auto"/>
              </w:rPr>
            </w:pPr>
          </w:p>
        </w:tc>
      </w:tr>
      <w:tr>
        <w:trPr>
          <w:trHeight w:val="155"/>
        </w:trPr>
        <w:tc>
          <w:tcPr>
            <w:tcW w:w="4580" w:type="dxa"/>
            <w:vAlign w:val="bottom"/>
          </w:tcPr>
          <w:p>
            <w:pPr>
              <w:ind w:left="20"/>
              <w:spacing w:after="0" w:line="155" w:lineRule="exact"/>
              <w:rPr>
                <w:sz w:val="20"/>
                <w:szCs w:val="20"/>
                <w:color w:val="auto"/>
              </w:rPr>
            </w:pPr>
            <w:r>
              <w:rPr>
                <w:rFonts w:ascii="Times New Roman" w:cs="Times New Roman" w:eastAsia="Times New Roman" w:hAnsi="Times New Roman"/>
                <w:sz w:val="15"/>
                <w:szCs w:val="15"/>
                <w:b w:val="1"/>
                <w:bCs w:val="1"/>
                <w:color w:val="auto"/>
              </w:rPr>
              <w:t>Gain/(loss) recognized in unaudited consolidated statements of</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205"/>
        </w:trPr>
        <w:tc>
          <w:tcPr>
            <w:tcW w:w="45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Derivatives not designated as hedging instruments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(1,766)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(1,286)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(2,073)</w:t>
            </w:r>
          </w:p>
        </w:tc>
        <w:tc>
          <w:tcPr>
            <w:tcW w:w="320" w:type="dxa"/>
            <w:vAlign w:val="bottom"/>
          </w:tcPr>
          <w:p>
            <w:pPr>
              <w:spacing w:after="0"/>
              <w:rPr>
                <w:sz w:val="19"/>
                <w:szCs w:val="19"/>
                <w:color w:val="auto"/>
              </w:rPr>
            </w:pPr>
          </w:p>
        </w:tc>
      </w:tr>
      <w:tr>
        <w:trPr>
          <w:trHeight w:val="864"/>
        </w:trPr>
        <w:tc>
          <w:tcPr>
            <w:tcW w:w="4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08"/>
        </w:trPr>
        <w:tc>
          <w:tcPr>
            <w:tcW w:w="45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387"/>
        <w:spacing w:after="0" w:line="274" w:lineRule="auto"/>
        <w:rPr>
          <w:sz w:val="20"/>
          <w:szCs w:val="20"/>
          <w:color w:val="auto"/>
        </w:rPr>
      </w:pPr>
      <w:r>
        <w:rPr>
          <w:rFonts w:ascii="Times New Roman" w:cs="Times New Roman" w:eastAsia="Times New Roman" w:hAnsi="Times New Roman"/>
          <w:sz w:val="17"/>
          <w:szCs w:val="17"/>
          <w:color w:val="auto"/>
        </w:rPr>
        <w:t>The following table sets forth the location and amount of gain/(loss) recognized in unaudited consolidated statements of income for derivatives in cash flow hedging relationships and derivatives not designated as hedging instruments: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center"/>
              <w:ind w:right="80"/>
              <w:spacing w:after="0" w:line="148" w:lineRule="exact"/>
              <w:rPr>
                <w:sz w:val="20"/>
                <w:szCs w:val="20"/>
                <w:color w:val="auto"/>
              </w:rPr>
            </w:pPr>
            <w:r>
              <w:rPr>
                <w:rFonts w:ascii="Times New Roman" w:cs="Times New Roman" w:eastAsia="Times New Roman" w:hAnsi="Times New Roman"/>
                <w:sz w:val="15"/>
                <w:szCs w:val="15"/>
                <w:b w:val="1"/>
                <w:bCs w:val="1"/>
                <w:color w:val="auto"/>
              </w:rPr>
              <w:t>As per unaudited</w:t>
            </w:r>
          </w:p>
        </w:tc>
        <w:tc>
          <w:tcPr>
            <w:tcW w:w="1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15"/>
                <w:szCs w:val="15"/>
                <w:b w:val="1"/>
                <w:bCs w:val="1"/>
                <w:color w:val="auto"/>
              </w:rPr>
              <w:t>Gain/(loss) on</w:t>
            </w:r>
          </w:p>
        </w:tc>
        <w:tc>
          <w:tcPr>
            <w:tcW w:w="10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center"/>
              <w:ind w:right="80"/>
              <w:spacing w:after="0" w:line="148" w:lineRule="exact"/>
              <w:rPr>
                <w:sz w:val="20"/>
                <w:szCs w:val="20"/>
                <w:color w:val="auto"/>
              </w:rPr>
            </w:pPr>
            <w:r>
              <w:rPr>
                <w:rFonts w:ascii="Times New Roman" w:cs="Times New Roman" w:eastAsia="Times New Roman" w:hAnsi="Times New Roman"/>
                <w:sz w:val="15"/>
                <w:szCs w:val="15"/>
                <w:b w:val="1"/>
                <w:bCs w:val="1"/>
                <w:color w:val="auto"/>
              </w:rPr>
              <w:t>As per unaudited</w:t>
            </w:r>
          </w:p>
        </w:tc>
        <w:tc>
          <w:tcPr>
            <w:tcW w:w="1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116"/>
              <w:spacing w:after="0"/>
              <w:rPr>
                <w:sz w:val="20"/>
                <w:szCs w:val="20"/>
                <w:color w:val="auto"/>
              </w:rPr>
            </w:pPr>
            <w:r>
              <w:rPr>
                <w:rFonts w:ascii="Times New Roman" w:cs="Times New Roman" w:eastAsia="Times New Roman" w:hAnsi="Times New Roman"/>
                <w:sz w:val="15"/>
                <w:szCs w:val="15"/>
                <w:b w:val="1"/>
                <w:bCs w:val="1"/>
                <w:color w:val="auto"/>
              </w:rPr>
              <w:t>Gain/(loss) on</w:t>
            </w:r>
          </w:p>
        </w:tc>
        <w:tc>
          <w:tcPr>
            <w:tcW w:w="0" w:type="dxa"/>
            <w:vAlign w:val="bottom"/>
          </w:tcPr>
          <w:p>
            <w:pPr>
              <w:spacing w:after="0"/>
              <w:rPr>
                <w:sz w:val="1"/>
                <w:szCs w:val="1"/>
                <w:color w:val="auto"/>
              </w:rPr>
            </w:pPr>
          </w:p>
        </w:tc>
      </w:tr>
      <w:tr>
        <w:trPr>
          <w:trHeight w:val="77"/>
        </w:trPr>
        <w:tc>
          <w:tcPr>
            <w:tcW w:w="5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40" w:type="dxa"/>
            <w:vAlign w:val="bottom"/>
            <w:gridSpan w:val="2"/>
            <w:vMerge w:val="restart"/>
            <w:shd w:val="clear" w:color="auto" w:fill="CCEEFF"/>
          </w:tcPr>
          <w:p>
            <w:pPr>
              <w:jc w:val="center"/>
              <w:ind w:right="260"/>
              <w:spacing w:after="0" w:line="155" w:lineRule="exact"/>
              <w:rPr>
                <w:sz w:val="20"/>
                <w:szCs w:val="20"/>
                <w:color w:val="auto"/>
              </w:rPr>
            </w:pPr>
            <w:r>
              <w:rPr>
                <w:rFonts w:ascii="Times New Roman" w:cs="Times New Roman" w:eastAsia="Times New Roman" w:hAnsi="Times New Roman"/>
                <w:sz w:val="15"/>
                <w:szCs w:val="15"/>
                <w:b w:val="1"/>
                <w:bCs w:val="1"/>
                <w:color w:val="auto"/>
              </w:rPr>
              <w:t>consolidated</w:t>
            </w:r>
          </w:p>
        </w:tc>
        <w:tc>
          <w:tcPr>
            <w:tcW w:w="16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60" w:type="dxa"/>
            <w:vAlign w:val="bottom"/>
            <w:gridSpan w:val="2"/>
            <w:vMerge w:val="restart"/>
            <w:shd w:val="clear" w:color="auto" w:fill="CCEEFF"/>
          </w:tcPr>
          <w:p>
            <w:pPr>
              <w:jc w:val="center"/>
              <w:ind w:right="240"/>
              <w:spacing w:after="0" w:line="155" w:lineRule="exact"/>
              <w:rPr>
                <w:sz w:val="20"/>
                <w:szCs w:val="20"/>
                <w:color w:val="auto"/>
              </w:rPr>
            </w:pPr>
            <w:r>
              <w:rPr>
                <w:rFonts w:ascii="Times New Roman" w:cs="Times New Roman" w:eastAsia="Times New Roman" w:hAnsi="Times New Roman"/>
                <w:sz w:val="15"/>
                <w:szCs w:val="15"/>
                <w:b w:val="1"/>
                <w:bCs w:val="1"/>
                <w:color w:val="auto"/>
              </w:rPr>
              <w:t>consolidated</w:t>
            </w:r>
          </w:p>
        </w:tc>
        <w:tc>
          <w:tcPr>
            <w:tcW w:w="16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5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320" w:type="dxa"/>
            <w:vAlign w:val="bottom"/>
            <w:gridSpan w:val="2"/>
            <w:vMerge w:val="restart"/>
            <w:shd w:val="clear" w:color="auto" w:fill="CCEEFF"/>
          </w:tcPr>
          <w:p>
            <w:pPr>
              <w:ind w:left="20"/>
              <w:spacing w:after="0" w:line="155" w:lineRule="exact"/>
              <w:rPr>
                <w:sz w:val="20"/>
                <w:szCs w:val="20"/>
                <w:color w:val="auto"/>
              </w:rPr>
            </w:pPr>
            <w:r>
              <w:rPr>
                <w:rFonts w:ascii="Times New Roman" w:cs="Times New Roman" w:eastAsia="Times New Roman" w:hAnsi="Times New Roman"/>
                <w:sz w:val="15"/>
                <w:szCs w:val="15"/>
                <w:b w:val="1"/>
                <w:bCs w:val="1"/>
                <w:color w:val="auto"/>
              </w:rPr>
              <w:t>derivative financial</w:t>
            </w: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320" w:type="dxa"/>
            <w:vAlign w:val="bottom"/>
            <w:gridSpan w:val="2"/>
            <w:vMerge w:val="restart"/>
            <w:shd w:val="clear" w:color="auto" w:fill="CCEEFF"/>
          </w:tcPr>
          <w:p>
            <w:pPr>
              <w:ind w:left="20"/>
              <w:spacing w:after="0" w:line="155" w:lineRule="exact"/>
              <w:rPr>
                <w:sz w:val="20"/>
                <w:szCs w:val="20"/>
                <w:color w:val="auto"/>
              </w:rPr>
            </w:pPr>
            <w:r>
              <w:rPr>
                <w:rFonts w:ascii="Times New Roman" w:cs="Times New Roman" w:eastAsia="Times New Roman" w:hAnsi="Times New Roman"/>
                <w:sz w:val="15"/>
                <w:szCs w:val="15"/>
                <w:b w:val="1"/>
                <w:bCs w:val="1"/>
                <w:color w:val="auto"/>
              </w:rPr>
              <w:t>derivative financial</w:t>
            </w:r>
          </w:p>
        </w:tc>
        <w:tc>
          <w:tcPr>
            <w:tcW w:w="0" w:type="dxa"/>
            <w:vAlign w:val="bottom"/>
          </w:tcPr>
          <w:p>
            <w:pPr>
              <w:spacing w:after="0"/>
              <w:rPr>
                <w:sz w:val="1"/>
                <w:szCs w:val="1"/>
                <w:color w:val="auto"/>
              </w:rPr>
            </w:pPr>
          </w:p>
        </w:tc>
      </w:tr>
      <w:tr>
        <w:trPr>
          <w:trHeight w:val="77"/>
        </w:trPr>
        <w:tc>
          <w:tcPr>
            <w:tcW w:w="5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40" w:type="dxa"/>
            <w:vAlign w:val="bottom"/>
            <w:gridSpan w:val="2"/>
            <w:vMerge w:val="restart"/>
            <w:shd w:val="clear" w:color="auto" w:fill="CCEEFF"/>
          </w:tcPr>
          <w:p>
            <w:pPr>
              <w:jc w:val="center"/>
              <w:ind w:right="260"/>
              <w:spacing w:after="0" w:line="155" w:lineRule="exact"/>
              <w:rPr>
                <w:sz w:val="20"/>
                <w:szCs w:val="20"/>
                <w:color w:val="auto"/>
              </w:rPr>
            </w:pPr>
            <w:r>
              <w:rPr>
                <w:rFonts w:ascii="Times New Roman" w:cs="Times New Roman" w:eastAsia="Times New Roman" w:hAnsi="Times New Roman"/>
                <w:sz w:val="15"/>
                <w:szCs w:val="15"/>
                <w:b w:val="1"/>
                <w:bCs w:val="1"/>
                <w:color w:val="auto"/>
              </w:rPr>
              <w:t>statements of</w:t>
            </w:r>
          </w:p>
        </w:tc>
        <w:tc>
          <w:tcPr>
            <w:tcW w:w="13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60" w:type="dxa"/>
            <w:vAlign w:val="bottom"/>
            <w:gridSpan w:val="2"/>
            <w:vMerge w:val="restart"/>
            <w:shd w:val="clear" w:color="auto" w:fill="CCEEFF"/>
          </w:tcPr>
          <w:p>
            <w:pPr>
              <w:jc w:val="center"/>
              <w:ind w:right="260"/>
              <w:spacing w:after="0" w:line="155" w:lineRule="exact"/>
              <w:rPr>
                <w:sz w:val="20"/>
                <w:szCs w:val="20"/>
                <w:color w:val="auto"/>
              </w:rPr>
            </w:pPr>
            <w:r>
              <w:rPr>
                <w:rFonts w:ascii="Times New Roman" w:cs="Times New Roman" w:eastAsia="Times New Roman" w:hAnsi="Times New Roman"/>
                <w:sz w:val="15"/>
                <w:szCs w:val="15"/>
                <w:b w:val="1"/>
                <w:bCs w:val="1"/>
                <w:color w:val="auto"/>
              </w:rPr>
              <w:t>statements of</w:t>
            </w:r>
          </w:p>
        </w:tc>
        <w:tc>
          <w:tcPr>
            <w:tcW w:w="132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5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vMerge w:val="restart"/>
            <w:shd w:val="clear" w:color="auto" w:fill="CCEEFF"/>
          </w:tcPr>
          <w:p>
            <w:pPr>
              <w:jc w:val="right"/>
              <w:ind w:right="175"/>
              <w:spacing w:after="0"/>
              <w:rPr>
                <w:sz w:val="20"/>
                <w:szCs w:val="20"/>
                <w:color w:val="auto"/>
              </w:rPr>
            </w:pPr>
            <w:r>
              <w:rPr>
                <w:rFonts w:ascii="Times New Roman" w:cs="Times New Roman" w:eastAsia="Times New Roman" w:hAnsi="Times New Roman"/>
                <w:sz w:val="15"/>
                <w:szCs w:val="15"/>
                <w:b w:val="1"/>
                <w:bCs w:val="1"/>
                <w:color w:val="auto"/>
              </w:rPr>
              <w:t>instruments</w:t>
            </w: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vMerge w:val="restart"/>
            <w:shd w:val="clear" w:color="auto" w:fill="CCEEFF"/>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instruments</w:t>
            </w:r>
          </w:p>
        </w:tc>
        <w:tc>
          <w:tcPr>
            <w:tcW w:w="0" w:type="dxa"/>
            <w:vAlign w:val="bottom"/>
          </w:tcPr>
          <w:p>
            <w:pPr>
              <w:spacing w:after="0"/>
              <w:rPr>
                <w:sz w:val="1"/>
                <w:szCs w:val="1"/>
                <w:color w:val="auto"/>
              </w:rPr>
            </w:pPr>
          </w:p>
        </w:tc>
      </w:tr>
      <w:tr>
        <w:trPr>
          <w:trHeight w:val="126"/>
        </w:trPr>
        <w:tc>
          <w:tcPr>
            <w:tcW w:w="5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160" w:type="dxa"/>
            <w:vAlign w:val="bottom"/>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60" w:type="dxa"/>
            <w:vAlign w:val="bottom"/>
            <w:gridSpan w:val="2"/>
            <w:vMerge w:val="restart"/>
            <w:shd w:val="clear" w:color="auto" w:fill="CCEEFF"/>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160" w:type="dxa"/>
            <w:vAlign w:val="bottom"/>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5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5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Derivatives in cash flow hedging relationships</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28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Location in unaudited consolidated statements of income where</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gain/(loss) was reclassified from AOCI</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Revenues, net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514,460</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448,366</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320,272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282,106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w:t>
            </w:r>
          </w:p>
        </w:tc>
        <w:tc>
          <w:tcPr>
            <w:tcW w:w="0" w:type="dxa"/>
            <w:vAlign w:val="bottom"/>
          </w:tcPr>
          <w:p>
            <w:pPr>
              <w:spacing w:after="0"/>
              <w:rPr>
                <w:sz w:val="1"/>
                <w:szCs w:val="1"/>
                <w:color w:val="auto"/>
              </w:rPr>
            </w:pPr>
          </w:p>
        </w:tc>
      </w:tr>
      <w:tr>
        <w:trPr>
          <w:trHeight w:val="219"/>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1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9"/>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1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0" w:type="dxa"/>
            <w:vAlign w:val="bottom"/>
          </w:tcPr>
          <w:p>
            <w:pPr>
              <w:spacing w:after="0"/>
              <w:rPr>
                <w:sz w:val="1"/>
                <w:szCs w:val="1"/>
                <w:color w:val="auto"/>
              </w:rPr>
            </w:pPr>
          </w:p>
        </w:tc>
      </w:tr>
      <w:tr>
        <w:trPr>
          <w:trHeight w:val="212"/>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 before tax</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0" w:type="dxa"/>
            <w:vAlign w:val="bottom"/>
          </w:tcPr>
          <w:p>
            <w:pPr>
              <w:spacing w:after="0"/>
              <w:rPr>
                <w:sz w:val="1"/>
                <w:szCs w:val="1"/>
                <w:color w:val="auto"/>
              </w:rPr>
            </w:pPr>
          </w:p>
        </w:tc>
      </w:tr>
      <w:tr>
        <w:trPr>
          <w:trHeight w:val="21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effects on above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0" w:type="dxa"/>
            <w:vAlign w:val="bottom"/>
          </w:tcPr>
          <w:p>
            <w:pPr>
              <w:spacing w:after="0"/>
              <w:rPr>
                <w:sz w:val="1"/>
                <w:szCs w:val="1"/>
                <w:color w:val="auto"/>
              </w:rPr>
            </w:pPr>
          </w:p>
        </w:tc>
      </w:tr>
      <w:tr>
        <w:trPr>
          <w:trHeight w:val="212"/>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of tax</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5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Derivatives not designated as hedging instruments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528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Location in unaudited consolidated statements of income where</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gain/(loss) was recognized</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5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gain/(loss),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00"/>
          </w:cols>
          <w:pgMar w:left="320" w:top="119"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40" w:firstLine="387"/>
        <w:spacing w:after="0" w:line="287" w:lineRule="auto"/>
        <w:rPr>
          <w:sz w:val="20"/>
          <w:szCs w:val="20"/>
          <w:color w:val="auto"/>
        </w:rPr>
      </w:pPr>
      <w:r>
        <w:rPr>
          <w:rFonts w:ascii="Times New Roman" w:cs="Times New Roman" w:eastAsia="Times New Roman" w:hAnsi="Times New Roman"/>
          <w:sz w:val="17"/>
          <w:szCs w:val="17"/>
          <w:color w:val="auto"/>
        </w:rPr>
        <w:t>The following table sets forth the location and amount of gain/(loss) recognized in unaudited consolidated statements of income for derivatives in cash flow hedging relationships and derivatives not designated as hedging instruments: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01"/>
        </w:trPr>
        <w:tc>
          <w:tcPr>
            <w:tcW w:w="50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1120" w:type="dxa"/>
            <w:vAlign w:val="bottom"/>
            <w:tcBorders>
              <w:bottom w:val="single" w:sz="8" w:color="auto"/>
            </w:tcBorders>
          </w:tcPr>
          <w:p>
            <w:pPr>
              <w:spacing w:after="0"/>
              <w:rPr>
                <w:sz w:val="17"/>
                <w:szCs w:val="17"/>
                <w:color w:val="auto"/>
              </w:rPr>
            </w:pPr>
          </w:p>
        </w:tc>
      </w:tr>
      <w:tr>
        <w:trPr>
          <w:trHeight w:val="149"/>
        </w:trPr>
        <w:tc>
          <w:tcPr>
            <w:tcW w:w="5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5"/>
                <w:szCs w:val="15"/>
                <w:b w:val="1"/>
                <w:bCs w:val="1"/>
                <w:color w:val="auto"/>
              </w:rPr>
              <w:t>As per unaudited</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ind w:right="37"/>
              <w:spacing w:after="0" w:line="149" w:lineRule="exact"/>
              <w:rPr>
                <w:sz w:val="20"/>
                <w:szCs w:val="20"/>
                <w:color w:val="auto"/>
              </w:rPr>
            </w:pPr>
            <w:r>
              <w:rPr>
                <w:rFonts w:ascii="Times New Roman" w:cs="Times New Roman" w:eastAsia="Times New Roman" w:hAnsi="Times New Roman"/>
                <w:sz w:val="15"/>
                <w:szCs w:val="15"/>
                <w:b w:val="1"/>
                <w:bCs w:val="1"/>
                <w:color w:val="auto"/>
              </w:rPr>
              <w:t>Gain/(loss) on</w:t>
            </w:r>
          </w:p>
        </w:tc>
        <w:tc>
          <w:tcPr>
            <w:tcW w:w="8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5"/>
                <w:szCs w:val="15"/>
                <w:b w:val="1"/>
                <w:bCs w:val="1"/>
                <w:color w:val="auto"/>
              </w:rPr>
              <w:t>As per unaudited</w:t>
            </w: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center"/>
              <w:ind w:right="77"/>
              <w:spacing w:after="0" w:line="149" w:lineRule="exact"/>
              <w:rPr>
                <w:sz w:val="20"/>
                <w:szCs w:val="20"/>
                <w:color w:val="auto"/>
              </w:rPr>
            </w:pPr>
            <w:r>
              <w:rPr>
                <w:rFonts w:ascii="Times New Roman" w:cs="Times New Roman" w:eastAsia="Times New Roman" w:hAnsi="Times New Roman"/>
                <w:sz w:val="15"/>
                <w:szCs w:val="15"/>
                <w:b w:val="1"/>
                <w:bCs w:val="1"/>
                <w:color w:val="auto"/>
              </w:rPr>
              <w:t>Gain/(loss) on</w:t>
            </w:r>
          </w:p>
        </w:tc>
      </w:tr>
      <w:tr>
        <w:trPr>
          <w:trHeight w:val="155"/>
        </w:trPr>
        <w:tc>
          <w:tcPr>
            <w:tcW w:w="5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3"/>
            <w:shd w:val="clear" w:color="auto" w:fill="CCEEFF"/>
          </w:tcPr>
          <w:p>
            <w:pPr>
              <w:jc w:val="center"/>
              <w:ind w:right="220"/>
              <w:spacing w:after="0" w:line="155" w:lineRule="exact"/>
              <w:rPr>
                <w:sz w:val="20"/>
                <w:szCs w:val="20"/>
                <w:color w:val="auto"/>
              </w:rPr>
            </w:pPr>
            <w:r>
              <w:rPr>
                <w:rFonts w:ascii="Times New Roman" w:cs="Times New Roman" w:eastAsia="Times New Roman" w:hAnsi="Times New Roman"/>
                <w:sz w:val="15"/>
                <w:szCs w:val="15"/>
                <w:b w:val="1"/>
                <w:bCs w:val="1"/>
                <w:color w:val="auto"/>
              </w:rPr>
              <w:t>consolidated</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center"/>
              <w:ind w:right="57"/>
              <w:spacing w:after="0" w:line="155" w:lineRule="exact"/>
              <w:rPr>
                <w:sz w:val="20"/>
                <w:szCs w:val="20"/>
                <w:color w:val="auto"/>
              </w:rPr>
            </w:pPr>
            <w:r>
              <w:rPr>
                <w:rFonts w:ascii="Times New Roman" w:cs="Times New Roman" w:eastAsia="Times New Roman" w:hAnsi="Times New Roman"/>
                <w:sz w:val="15"/>
                <w:szCs w:val="15"/>
                <w:b w:val="1"/>
                <w:bCs w:val="1"/>
                <w:color w:val="auto"/>
              </w:rPr>
              <w:t>derivative</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center"/>
              <w:ind w:right="240"/>
              <w:spacing w:after="0" w:line="155" w:lineRule="exact"/>
              <w:rPr>
                <w:sz w:val="20"/>
                <w:szCs w:val="20"/>
                <w:color w:val="auto"/>
              </w:rPr>
            </w:pPr>
            <w:r>
              <w:rPr>
                <w:rFonts w:ascii="Times New Roman" w:cs="Times New Roman" w:eastAsia="Times New Roman" w:hAnsi="Times New Roman"/>
                <w:sz w:val="15"/>
                <w:szCs w:val="15"/>
                <w:b w:val="1"/>
                <w:bCs w:val="1"/>
                <w:color w:val="auto"/>
              </w:rPr>
              <w:t>consolidated</w:t>
            </w: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jc w:val="center"/>
              <w:ind w:right="57"/>
              <w:spacing w:after="0" w:line="155" w:lineRule="exact"/>
              <w:rPr>
                <w:sz w:val="20"/>
                <w:szCs w:val="20"/>
                <w:color w:val="auto"/>
              </w:rPr>
            </w:pPr>
            <w:r>
              <w:rPr>
                <w:rFonts w:ascii="Times New Roman" w:cs="Times New Roman" w:eastAsia="Times New Roman" w:hAnsi="Times New Roman"/>
                <w:sz w:val="15"/>
                <w:szCs w:val="15"/>
                <w:b w:val="1"/>
                <w:bCs w:val="1"/>
                <w:color w:val="auto"/>
              </w:rPr>
              <w:t>derivative</w:t>
            </w:r>
          </w:p>
        </w:tc>
      </w:tr>
      <w:tr>
        <w:trPr>
          <w:trHeight w:val="155"/>
        </w:trPr>
        <w:tc>
          <w:tcPr>
            <w:tcW w:w="5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3"/>
            <w:shd w:val="clear" w:color="auto" w:fill="CCEEFF"/>
          </w:tcPr>
          <w:p>
            <w:pPr>
              <w:jc w:val="center"/>
              <w:ind w:right="220"/>
              <w:spacing w:after="0" w:line="155" w:lineRule="exact"/>
              <w:rPr>
                <w:sz w:val="20"/>
                <w:szCs w:val="20"/>
                <w:color w:val="auto"/>
              </w:rPr>
            </w:pPr>
            <w:r>
              <w:rPr>
                <w:rFonts w:ascii="Times New Roman" w:cs="Times New Roman" w:eastAsia="Times New Roman" w:hAnsi="Times New Roman"/>
                <w:sz w:val="15"/>
                <w:szCs w:val="15"/>
                <w:b w:val="1"/>
                <w:bCs w:val="1"/>
                <w:color w:val="auto"/>
              </w:rPr>
              <w:t>statements of</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center"/>
              <w:ind w:right="37"/>
              <w:spacing w:after="0" w:line="155" w:lineRule="exact"/>
              <w:rPr>
                <w:sz w:val="20"/>
                <w:szCs w:val="20"/>
                <w:color w:val="auto"/>
              </w:rPr>
            </w:pPr>
            <w:r>
              <w:rPr>
                <w:rFonts w:ascii="Times New Roman" w:cs="Times New Roman" w:eastAsia="Times New Roman" w:hAnsi="Times New Roman"/>
                <w:sz w:val="15"/>
                <w:szCs w:val="15"/>
                <w:b w:val="1"/>
                <w:bCs w:val="1"/>
                <w:color w:val="auto"/>
              </w:rPr>
              <w:t>financial</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center"/>
              <w:ind w:right="240"/>
              <w:spacing w:after="0" w:line="155" w:lineRule="exact"/>
              <w:rPr>
                <w:sz w:val="20"/>
                <w:szCs w:val="20"/>
                <w:color w:val="auto"/>
              </w:rPr>
            </w:pPr>
            <w:r>
              <w:rPr>
                <w:rFonts w:ascii="Times New Roman" w:cs="Times New Roman" w:eastAsia="Times New Roman" w:hAnsi="Times New Roman"/>
                <w:sz w:val="15"/>
                <w:szCs w:val="15"/>
                <w:b w:val="1"/>
                <w:bCs w:val="1"/>
                <w:color w:val="auto"/>
              </w:rPr>
              <w:t>statements of</w:t>
            </w: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jc w:val="center"/>
              <w:ind w:right="57"/>
              <w:spacing w:after="0" w:line="155" w:lineRule="exact"/>
              <w:rPr>
                <w:sz w:val="20"/>
                <w:szCs w:val="20"/>
                <w:color w:val="auto"/>
              </w:rPr>
            </w:pPr>
            <w:r>
              <w:rPr>
                <w:rFonts w:ascii="Times New Roman" w:cs="Times New Roman" w:eastAsia="Times New Roman" w:hAnsi="Times New Roman"/>
                <w:sz w:val="15"/>
                <w:szCs w:val="15"/>
                <w:b w:val="1"/>
                <w:bCs w:val="1"/>
                <w:color w:val="auto"/>
              </w:rPr>
              <w:t>financial</w:t>
            </w:r>
          </w:p>
        </w:tc>
      </w:tr>
      <w:tr>
        <w:trPr>
          <w:trHeight w:val="206"/>
        </w:trPr>
        <w:tc>
          <w:tcPr>
            <w:tcW w:w="5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ind w:right="37"/>
              <w:spacing w:after="0"/>
              <w:rPr>
                <w:sz w:val="20"/>
                <w:szCs w:val="20"/>
                <w:color w:val="auto"/>
              </w:rPr>
            </w:pPr>
            <w:r>
              <w:rPr>
                <w:rFonts w:ascii="Times New Roman" w:cs="Times New Roman" w:eastAsia="Times New Roman" w:hAnsi="Times New Roman"/>
                <w:sz w:val="15"/>
                <w:szCs w:val="15"/>
                <w:b w:val="1"/>
                <w:bCs w:val="1"/>
                <w:color w:val="auto"/>
              </w:rPr>
              <w:t>instruments</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57"/>
              <w:spacing w:after="0"/>
              <w:rPr>
                <w:sz w:val="20"/>
                <w:szCs w:val="20"/>
                <w:color w:val="auto"/>
              </w:rPr>
            </w:pPr>
            <w:r>
              <w:rPr>
                <w:rFonts w:ascii="Times New Roman" w:cs="Times New Roman" w:eastAsia="Times New Roman" w:hAnsi="Times New Roman"/>
                <w:sz w:val="15"/>
                <w:szCs w:val="15"/>
                <w:b w:val="1"/>
                <w:bCs w:val="1"/>
                <w:color w:val="auto"/>
              </w:rPr>
              <w:t>instruments</w:t>
            </w:r>
          </w:p>
        </w:tc>
      </w:tr>
      <w:tr>
        <w:trPr>
          <w:trHeight w:val="198"/>
        </w:trPr>
        <w:tc>
          <w:tcPr>
            <w:tcW w:w="5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Derivatives in cash flow hedging relationships</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178"/>
        </w:trPr>
        <w:tc>
          <w:tcPr>
            <w:tcW w:w="508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7"/>
                <w:szCs w:val="17"/>
                <w:color w:val="auto"/>
              </w:rPr>
              <w:t>Location in unaudited consolidated statements of income where</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23"/>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gain/(loss) was reclassified from AOCI</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Revenues,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1,015,479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884,873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627,977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555,530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w:t>
            </w:r>
          </w:p>
        </w:tc>
      </w:tr>
      <w:tr>
        <w:trPr>
          <w:trHeight w:val="219"/>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118,966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19"/>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81,371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9"/>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9"/>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8,426</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w:t>
            </w:r>
          </w:p>
        </w:tc>
      </w:tr>
      <w:tr>
        <w:trPr>
          <w:trHeight w:val="212"/>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 before tax</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9"/>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effects on above</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r>
      <w:tr>
        <w:trPr>
          <w:trHeight w:val="212"/>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Net of tax</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w:t>
            </w:r>
          </w:p>
        </w:tc>
      </w:tr>
      <w:tr>
        <w:trPr>
          <w:trHeight w:val="37"/>
        </w:trPr>
        <w:tc>
          <w:tcPr>
            <w:tcW w:w="50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05"/>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Derivatives not designated as hedging instruments</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78"/>
        </w:trPr>
        <w:tc>
          <w:tcPr>
            <w:tcW w:w="508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7"/>
                <w:szCs w:val="17"/>
                <w:color w:val="auto"/>
              </w:rPr>
              <w:t>Location in unaudited consolidated statements of income where</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23"/>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gain/(loss) was recognized</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52"/>
        </w:trPr>
        <w:tc>
          <w:tcPr>
            <w:tcW w:w="5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19"/>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gain/(loss),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(2,073)</w:t>
            </w:r>
          </w:p>
        </w:tc>
      </w:tr>
    </w:tbl>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Borrowings</w:t>
      </w:r>
    </w:p>
    <w:p>
      <w:pPr>
        <w:spacing w:after="0" w:line="3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tables summarizes the Company’s debt position under its credit agreement with Citibank, N.A:</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56"/>
              <w:spacing w:after="0" w:line="149" w:lineRule="exact"/>
              <w:rPr>
                <w:sz w:val="20"/>
                <w:szCs w:val="20"/>
                <w:color w:val="auto"/>
              </w:rPr>
            </w:pPr>
            <w:r>
              <w:rPr>
                <w:rFonts w:ascii="Times New Roman" w:cs="Times New Roman" w:eastAsia="Times New Roman" w:hAnsi="Times New Roman"/>
                <w:sz w:val="15"/>
                <w:szCs w:val="15"/>
                <w:b w:val="1"/>
                <w:bCs w:val="1"/>
                <w:color w:val="auto"/>
              </w:rPr>
              <w:t>Revolving credit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rPr>
              <w:t>Term loan</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320" w:type="dxa"/>
            <w:vAlign w:val="bottom"/>
            <w:gridSpan w:val="3"/>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Revolving credit</w:t>
            </w: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facility</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3"/>
            <w:vMerge w:val="restart"/>
            <w:shd w:val="clear" w:color="auto" w:fill="CCEEFF"/>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facility</w:t>
            </w:r>
          </w:p>
        </w:tc>
        <w:tc>
          <w:tcPr>
            <w:tcW w:w="18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rPr>
              <w:t>facility</w:t>
            </w:r>
          </w:p>
        </w:tc>
        <w:tc>
          <w:tcPr>
            <w:tcW w:w="1340" w:type="dxa"/>
            <w:vAlign w:val="bottom"/>
            <w:gridSpan w:val="4"/>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Term loan facility</w:t>
            </w:r>
          </w:p>
        </w:tc>
        <w:tc>
          <w:tcPr>
            <w:tcW w:w="3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320" w:type="dxa"/>
            <w:vAlign w:val="bottom"/>
          </w:tcPr>
          <w:p>
            <w:pPr>
              <w:spacing w:after="0"/>
              <w:rPr>
                <w:sz w:val="6"/>
                <w:szCs w:val="6"/>
                <w:color w:val="auto"/>
              </w:rPr>
            </w:pPr>
          </w:p>
        </w:tc>
        <w:tc>
          <w:tcPr>
            <w:tcW w:w="2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340" w:type="dxa"/>
            <w:vAlign w:val="bottom"/>
            <w:gridSpan w:val="4"/>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280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Current portion of long-term</w:t>
            </w: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borrowings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tcPr>
          <w:p>
            <w:pPr>
              <w:spacing w:after="0"/>
              <w:rPr>
                <w:sz w:val="20"/>
                <w:szCs w:val="20"/>
                <w:color w:val="auto"/>
              </w:rPr>
            </w:pPr>
          </w:p>
        </w:tc>
        <w:tc>
          <w:tcPr>
            <w:tcW w:w="380" w:type="dxa"/>
            <w:vAlign w:val="bottom"/>
          </w:tcPr>
          <w:p>
            <w:pPr>
              <w:jc w:val="right"/>
              <w:ind w:right="198"/>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2800" w:type="dxa"/>
            <w:vAlign w:val="bottom"/>
          </w:tcPr>
          <w:p>
            <w:pPr>
              <w:spacing w:after="0" w:line="148" w:lineRule="exact"/>
              <w:rPr>
                <w:sz w:val="20"/>
                <w:szCs w:val="20"/>
                <w:color w:val="auto"/>
              </w:rPr>
            </w:pPr>
            <w:r>
              <w:rPr>
                <w:rFonts w:ascii="Times New Roman" w:cs="Times New Roman" w:eastAsia="Times New Roman" w:hAnsi="Times New Roman"/>
                <w:sz w:val="17"/>
                <w:szCs w:val="17"/>
                <w:b w:val="1"/>
                <w:bCs w:val="1"/>
                <w:color w:val="auto"/>
              </w:rPr>
              <w:t>Total current portion of long-term</w:t>
            </w: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320" w:type="dxa"/>
            <w:vAlign w:val="bottom"/>
          </w:tcPr>
          <w:p>
            <w:pPr>
              <w:spacing w:after="0"/>
              <w:rPr>
                <w:sz w:val="22"/>
                <w:szCs w:val="22"/>
                <w:color w:val="auto"/>
              </w:rPr>
            </w:pPr>
          </w:p>
        </w:tc>
        <w:tc>
          <w:tcPr>
            <w:tcW w:w="2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borrowings</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4,886</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4,886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4,886</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4,886</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Long-term borrowings</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91,250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255,250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283,750</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2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 long-term borrowings</w:t>
            </w: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164,000</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91,155</w:t>
            </w: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255,155</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190,000</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93,598</w:t>
            </w: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283,598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borrowings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164,000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96,041</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260,041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190,000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98,484</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288,484</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3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28</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20" w:type="dxa"/>
            <w:vAlign w:val="bottom"/>
            <w:tcBorders>
              <w:bottom w:val="single" w:sz="8" w:color="9A9A9A"/>
            </w:tcBorders>
          </w:tcPr>
          <w:p>
            <w:pPr>
              <w:spacing w:after="0"/>
              <w:rPr>
                <w:sz w:val="9"/>
                <w:szCs w:val="9"/>
                <w:color w:val="auto"/>
              </w:rPr>
            </w:pPr>
          </w:p>
        </w:tc>
        <w:tc>
          <w:tcPr>
            <w:tcW w:w="2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firstLine="387"/>
        <w:spacing w:after="0" w:line="271" w:lineRule="auto"/>
        <w:rPr>
          <w:sz w:val="20"/>
          <w:szCs w:val="20"/>
          <w:color w:val="auto"/>
        </w:rPr>
      </w:pPr>
      <w:r>
        <w:rPr>
          <w:rFonts w:ascii="Times New Roman" w:cs="Times New Roman" w:eastAsia="Times New Roman" w:hAnsi="Times New Roman"/>
          <w:sz w:val="17"/>
          <w:szCs w:val="17"/>
          <w:color w:val="auto"/>
        </w:rPr>
        <w:t>Unamortized debt issuance costs for the Company’s revolving credit facility of $701 and $895 as of June 30, 2025 and December 31, 2024, respectively, are presented under “Other current assets” and “Other assets,” as applicable in the consolidated balance sheets.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Credit Agreement</w:t>
      </w:r>
    </w:p>
    <w:p>
      <w:pPr>
        <w:spacing w:after="0" w:line="221" w:lineRule="exact"/>
        <w:rPr>
          <w:sz w:val="20"/>
          <w:szCs w:val="20"/>
          <w:color w:val="auto"/>
        </w:rPr>
      </w:pPr>
    </w:p>
    <w:p>
      <w:pPr>
        <w:jc w:val="both"/>
        <w:ind w:firstLine="387"/>
        <w:spacing w:after="0" w:line="245" w:lineRule="auto"/>
        <w:rPr>
          <w:sz w:val="20"/>
          <w:szCs w:val="20"/>
          <w:color w:val="auto"/>
        </w:rPr>
      </w:pPr>
      <w:r>
        <w:rPr>
          <w:rFonts w:ascii="Times New Roman" w:cs="Times New Roman" w:eastAsia="Times New Roman" w:hAnsi="Times New Roman"/>
          <w:sz w:val="17"/>
          <w:szCs w:val="17"/>
          <w:color w:val="auto"/>
        </w:rPr>
        <w:t>The Company held a $300,000 revolving credit facility pursuant to its credit agreement (the “Credit Agreement”), dated as of November 21, 2017 with certain lenders and Citibank N.A. as Administrative Agent. This agreement was amended and restated in April 2022, followed by the First Amendment to Amended and Restated Credit Agreement in August 2024 (the “2024 Credit Agreement”). Among other things, the 2024 Credit Agreement increases revolving credit commitments to $500,000 and provides a new term loan facility of $100,000 with an annual repayment amount of 5%. The increased revolving credit facility and the new term loan facility both mature on April 18, 2027.</w:t>
      </w:r>
    </w:p>
    <w:p>
      <w:pPr>
        <w:spacing w:after="0" w:line="201" w:lineRule="exact"/>
        <w:rPr>
          <w:sz w:val="20"/>
          <w:szCs w:val="20"/>
          <w:color w:val="auto"/>
        </w:rPr>
      </w:pPr>
    </w:p>
    <w:p>
      <w:pPr>
        <w:jc w:val="both"/>
        <w:ind w:firstLine="387"/>
        <w:spacing w:after="0" w:line="238" w:lineRule="auto"/>
        <w:rPr>
          <w:sz w:val="20"/>
          <w:szCs w:val="20"/>
          <w:color w:val="auto"/>
        </w:rPr>
      </w:pPr>
      <w:r>
        <w:rPr>
          <w:rFonts w:ascii="Times New Roman" w:cs="Times New Roman" w:eastAsia="Times New Roman" w:hAnsi="Times New Roman"/>
          <w:sz w:val="17"/>
          <w:szCs w:val="17"/>
          <w:color w:val="auto"/>
        </w:rPr>
        <w:t>Under the 2024 Credit Agreement, obligations bear interest at a rate equal to specified prime rate (alternate base rate) or the adjusted secured overnight financing rate (SOFR) specified therein, plus, in each case, an applicable margin, and are guaranteed by the Company’s wholly-owned material domestic subsidiaries and secured by all or substantially all of the Company’s and its material domestic subsidiaries’ assets. The revolving credit commitments are subject to a commitment fee. The 2024 Credit Agreement includes a letter of credit sub facility and is voluntarily pre-payable from time to time without premium or penalty. Borrowings under the revolving credit facility can be used for working capital and general corporate purposes, including permitted acquisitions.</w:t>
      </w:r>
    </w:p>
    <w:p>
      <w:pPr>
        <w:spacing w:after="0" w:line="2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effective interest rates of the revolving credit facility and the term loan facility are as follows:</w:t>
      </w:r>
    </w:p>
    <w:p>
      <w:pPr>
        <w:spacing w:after="0" w:line="282"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2880" w:type="dxa"/>
            <w:vAlign w:val="bottom"/>
            <w:gridSpan w:val="5"/>
          </w:tcPr>
          <w:p>
            <w:pPr>
              <w:ind w:left="42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2800" w:type="dxa"/>
            <w:vAlign w:val="bottom"/>
            <w:gridSpan w:val="3"/>
          </w:tcPr>
          <w:p>
            <w:pPr>
              <w:jc w:val="right"/>
              <w:ind w:right="437"/>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201"/>
        </w:trPr>
        <w:tc>
          <w:tcPr>
            <w:tcW w:w="498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4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438"/>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1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Revolving credit facility</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5.8 %</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6.5 %</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5.8 %</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6.6 %</w:t>
            </w:r>
          </w:p>
        </w:tc>
      </w:tr>
      <w:tr>
        <w:trPr>
          <w:trHeight w:val="223"/>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Term loan facility</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8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bl>
    <w:p>
      <w:pPr>
        <w:spacing w:after="0" w:line="2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As of June 30, 2025 and December 31, 2024, the Company was in compliance with the financial covenants under the 2024 Credit Agreement.</w:t>
      </w:r>
    </w:p>
    <w:p>
      <w:pPr>
        <w:spacing w:after="0" w:line="2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maturity profile of the Company’s long-term borrowings, excluding debt issuance costs, outstanding as of June 30, 2025 was as follows:</w:t>
      </w:r>
    </w:p>
    <w:p>
      <w:pPr>
        <w:spacing w:after="0" w:line="282"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Revolving credit facility</w:t>
            </w:r>
          </w:p>
        </w:tc>
        <w:tc>
          <w:tcPr>
            <w:tcW w:w="280" w:type="dxa"/>
            <w:vAlign w:val="bottom"/>
          </w:tcPr>
          <w:p>
            <w:pPr>
              <w:spacing w:after="0"/>
              <w:rPr>
                <w:sz w:val="17"/>
                <w:szCs w:val="17"/>
                <w:color w:val="auto"/>
              </w:rPr>
            </w:pPr>
          </w:p>
        </w:tc>
        <w:tc>
          <w:tcPr>
            <w:tcW w:w="1840" w:type="dxa"/>
            <w:vAlign w:val="bottom"/>
          </w:tcPr>
          <w:p>
            <w:pPr>
              <w:jc w:val="right"/>
              <w:ind w:right="396"/>
              <w:spacing w:after="0"/>
              <w:rPr>
                <w:sz w:val="20"/>
                <w:szCs w:val="20"/>
                <w:color w:val="auto"/>
              </w:rPr>
            </w:pPr>
            <w:r>
              <w:rPr>
                <w:rFonts w:ascii="Times New Roman" w:cs="Times New Roman" w:eastAsia="Times New Roman" w:hAnsi="Times New Roman"/>
                <w:sz w:val="15"/>
                <w:szCs w:val="15"/>
                <w:b w:val="1"/>
                <w:bCs w:val="1"/>
                <w:color w:val="auto"/>
              </w:rPr>
              <w:t>Term loan facility</w:t>
            </w:r>
          </w:p>
        </w:tc>
      </w:tr>
      <w:tr>
        <w:trPr>
          <w:trHeight w:val="215"/>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 (July 1 - December 31)</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w:t>
            </w:r>
          </w:p>
        </w:tc>
      </w:tr>
      <w:tr>
        <w:trPr>
          <w:trHeight w:val="219"/>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00" w:type="dxa"/>
            <w:vAlign w:val="bottom"/>
          </w:tcPr>
          <w:p>
            <w:pPr>
              <w:spacing w:after="0"/>
              <w:rPr>
                <w:sz w:val="19"/>
                <w:szCs w:val="19"/>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r>
      <w:tr>
        <w:trPr>
          <w:trHeight w:val="21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0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164,000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88,750</w:t>
            </w:r>
          </w:p>
        </w:tc>
      </w:tr>
      <w:tr>
        <w:trPr>
          <w:trHeight w:val="212"/>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164,000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96,250</w:t>
            </w:r>
          </w:p>
        </w:tc>
      </w:tr>
      <w:tr>
        <w:trPr>
          <w:trHeight w:val="20"/>
        </w:trPr>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Letters of Credit</w:t>
      </w:r>
    </w:p>
    <w:p>
      <w:pPr>
        <w:spacing w:after="0" w:line="234" w:lineRule="exact"/>
        <w:rPr>
          <w:sz w:val="20"/>
          <w:szCs w:val="20"/>
          <w:color w:val="auto"/>
        </w:rPr>
      </w:pPr>
    </w:p>
    <w:p>
      <w:pPr>
        <w:ind w:firstLine="387"/>
        <w:spacing w:after="0" w:line="255" w:lineRule="auto"/>
        <w:rPr>
          <w:sz w:val="20"/>
          <w:szCs w:val="20"/>
          <w:color w:val="auto"/>
        </w:rPr>
      </w:pPr>
      <w:r>
        <w:rPr>
          <w:rFonts w:ascii="Times New Roman" w:cs="Times New Roman" w:eastAsia="Times New Roman" w:hAnsi="Times New Roman"/>
          <w:sz w:val="17"/>
          <w:szCs w:val="17"/>
          <w:color w:val="auto"/>
        </w:rPr>
        <w:t>In the ordinary course of business, the Company provides standby letters of credit to third parties primarily for facility leases. As of June 30, 2025 and December 31, 2024, the Company had outstanding letters of credit of $741 and $761, respectively, that were not recognized in the consolidated balance sheets.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Capital Structure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Company has one class of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Repurchases</w:t>
      </w:r>
    </w:p>
    <w:p>
      <w:pPr>
        <w:spacing w:after="0" w:line="236" w:lineRule="exact"/>
        <w:rPr>
          <w:sz w:val="20"/>
          <w:szCs w:val="20"/>
          <w:color w:val="auto"/>
        </w:rPr>
      </w:pPr>
    </w:p>
    <w:p>
      <w:pPr>
        <w:ind w:firstLine="425"/>
        <w:spacing w:after="0" w:line="271" w:lineRule="auto"/>
        <w:rPr>
          <w:sz w:val="20"/>
          <w:szCs w:val="20"/>
          <w:color w:val="auto"/>
        </w:rPr>
      </w:pPr>
      <w:r>
        <w:rPr>
          <w:rFonts w:ascii="Times New Roman" w:cs="Times New Roman" w:eastAsia="Times New Roman" w:hAnsi="Times New Roman"/>
          <w:sz w:val="17"/>
          <w:szCs w:val="17"/>
          <w:color w:val="auto"/>
        </w:rPr>
        <w:t>The Company purchased shares of its common stock from certain employees in connection with withholding tax payments related to the vesting of restricted stock units and performance-based restricted stock units, as below:</w:t>
      </w:r>
    </w:p>
    <w:p>
      <w:pPr>
        <w:spacing w:after="0" w:line="189" w:lineRule="exact"/>
        <w:rPr>
          <w:sz w:val="20"/>
          <w:szCs w:val="20"/>
          <w:color w:val="auto"/>
        </w:rPr>
      </w:pPr>
    </w:p>
    <w:tbl>
      <w:tblPr>
        <w:tblLayout w:type="fixed"/>
        <w:tblInd w:w="420" w:type="dxa"/>
        <w:tblCellMar>
          <w:top w:w="0" w:type="dxa"/>
          <w:left w:w="0" w:type="dxa"/>
          <w:bottom w:w="0" w:type="dxa"/>
          <w:right w:w="0" w:type="dxa"/>
        </w:tblCellMar>
      </w:tblPr>
      <w:tr>
        <w:trPr>
          <w:trHeight w:val="172"/>
        </w:trPr>
        <w:tc>
          <w:tcPr>
            <w:tcW w:w="5080" w:type="dxa"/>
            <w:vAlign w:val="bottom"/>
          </w:tcPr>
          <w:p>
            <w:pPr>
              <w:spacing w:after="0"/>
              <w:rPr>
                <w:sz w:val="15"/>
                <w:szCs w:val="15"/>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Shares repurchased</w:t>
            </w:r>
          </w:p>
        </w:tc>
        <w:tc>
          <w:tcPr>
            <w:tcW w:w="15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5"/>
                <w:szCs w:val="15"/>
                <w:b w:val="1"/>
                <w:bCs w:val="1"/>
                <w:color w:val="auto"/>
              </w:rPr>
              <w:t>Total consideration</w:t>
            </w:r>
          </w:p>
        </w:tc>
        <w:tc>
          <w:tcPr>
            <w:tcW w:w="120" w:type="dxa"/>
            <w:vAlign w:val="bottom"/>
          </w:tcPr>
          <w:p>
            <w:pPr>
              <w:spacing w:after="0"/>
              <w:rPr>
                <w:sz w:val="15"/>
                <w:szCs w:val="15"/>
                <w:color w:val="auto"/>
              </w:rPr>
            </w:pPr>
          </w:p>
        </w:tc>
        <w:tc>
          <w:tcPr>
            <w:tcW w:w="2360" w:type="dxa"/>
            <w:vAlign w:val="bottom"/>
          </w:tcPr>
          <w:p>
            <w:pPr>
              <w:jc w:val="right"/>
              <w:ind w:right="57"/>
              <w:spacing w:after="0"/>
              <w:rPr>
                <w:sz w:val="20"/>
                <w:szCs w:val="20"/>
                <w:color w:val="auto"/>
              </w:rPr>
            </w:pPr>
            <w:r>
              <w:rPr>
                <w:rFonts w:ascii="Times New Roman" w:cs="Times New Roman" w:eastAsia="Times New Roman" w:hAnsi="Times New Roman"/>
                <w:sz w:val="15"/>
                <w:szCs w:val="15"/>
                <w:b w:val="1"/>
                <w:bCs w:val="1"/>
                <w:color w:val="auto"/>
              </w:rPr>
              <w:t>Weighted average purchase price</w:t>
            </w:r>
          </w:p>
        </w:tc>
        <w:tc>
          <w:tcPr>
            <w:tcW w:w="0" w:type="dxa"/>
            <w:vAlign w:val="bottom"/>
          </w:tcPr>
          <w:p>
            <w:pPr>
              <w:spacing w:after="0"/>
              <w:rPr>
                <w:sz w:val="1"/>
                <w:szCs w:val="1"/>
                <w:color w:val="auto"/>
              </w:rPr>
            </w:pPr>
          </w:p>
        </w:tc>
      </w:tr>
      <w:tr>
        <w:trPr>
          <w:trHeight w:val="206"/>
        </w:trPr>
        <w:tc>
          <w:tcPr>
            <w:tcW w:w="508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5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jc w:val="right"/>
              <w:ind w:right="777"/>
              <w:spacing w:after="0" w:line="207" w:lineRule="exact"/>
              <w:rPr>
                <w:sz w:val="20"/>
                <w:szCs w:val="20"/>
                <w:color w:val="auto"/>
              </w:rPr>
            </w:pPr>
            <w:r>
              <w:rPr>
                <w:rFonts w:ascii="Times New Roman" w:cs="Times New Roman" w:eastAsia="Times New Roman" w:hAnsi="Times New Roman"/>
                <w:sz w:val="15"/>
                <w:szCs w:val="15"/>
                <w:b w:val="1"/>
                <w:bCs w:val="1"/>
                <w:color w:val="auto"/>
              </w:rPr>
              <w:t xml:space="preserve">per share </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212"/>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months ended June 30, 2025</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Three months ended June 30, 2024</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2"/>
        </w:trPr>
        <w:tc>
          <w:tcPr>
            <w:tcW w:w="50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Six months ended June 30, 2025</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190,716</w:t>
            </w:r>
          </w:p>
        </w:tc>
        <w:tc>
          <w:tcPr>
            <w:tcW w:w="80" w:type="dxa"/>
            <w:vAlign w:val="bottom"/>
          </w:tcPr>
          <w:p>
            <w:pPr>
              <w:spacing w:after="0"/>
              <w:rPr>
                <w:sz w:val="19"/>
                <w:szCs w:val="19"/>
                <w:color w:val="auto"/>
              </w:rPr>
            </w:pPr>
          </w:p>
        </w:tc>
        <w:tc>
          <w:tcPr>
            <w:tcW w:w="56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9,432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49.46</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Six months ended June 30,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200,402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31.81</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firstLine="390"/>
        <w:spacing w:after="0" w:line="255" w:lineRule="auto"/>
        <w:tabs>
          <w:tab w:leader="none" w:pos="6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 average purchase price per share is based on the closing price of the Company’s common stock on the Nasdaq Global Select Market on the trading day prior to the applicable vesting date of the restricted stock units.</w:t>
      </w:r>
    </w:p>
    <w:p>
      <w:pPr>
        <w:spacing w:after="0" w:line="191"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On February 26, 2024, the Company’s board of directors authorized a $500,000 (excluding excise tax) common stock repurchase program beginning March 1, 2024 (the “2024 Repurchase Program”), and, on February 29, 2024, terminated the previous repurchase program, which had been effective since the beginning of 2022.</w:t>
      </w:r>
    </w:p>
    <w:p>
      <w:pPr>
        <w:spacing w:after="0" w:line="192" w:lineRule="exact"/>
        <w:rPr>
          <w:sz w:val="20"/>
          <w:szCs w:val="20"/>
          <w:color w:val="auto"/>
        </w:rPr>
      </w:pPr>
    </w:p>
    <w:p>
      <w:pPr>
        <w:jc w:val="both"/>
        <w:ind w:firstLine="387"/>
        <w:spacing w:after="0" w:line="248" w:lineRule="auto"/>
        <w:rPr>
          <w:sz w:val="20"/>
          <w:szCs w:val="20"/>
          <w:color w:val="auto"/>
        </w:rPr>
      </w:pPr>
      <w:r>
        <w:rPr>
          <w:rFonts w:ascii="Times New Roman" w:cs="Times New Roman" w:eastAsia="Times New Roman" w:hAnsi="Times New Roman"/>
          <w:sz w:val="17"/>
          <w:szCs w:val="17"/>
          <w:color w:val="auto"/>
        </w:rPr>
        <w:t>In March 2024, the Company entered into the 2024 Accelerated Share Repurchase (ASR) Agreement with Citibank to repurchase shares of its common stock for an aggregate purchase price of $125,000 under the 2024 Repurchase Program. The Company received an initial delivery of 3,350,084 shares in March 2024, representing 80% of the aggregate purchase price, which was recorded in treasury stock, while a prepayment of $25,000 was recorded in additional paid-in capital to reflect the pending settlement. The Company received an additional 820,433 shares upon final settlement in July 2024.</w:t>
      </w:r>
    </w:p>
    <w:p>
      <w:pPr>
        <w:spacing w:after="0" w:line="210"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auto"/>
        </w:rPr>
        <w:t>Under the Company’s repurchase program, shares may be purchased by the Company from time to time from the open market and through private transactions, or otherwise, as determined by the Company’s management as market conditions warrant. Repurchases may be discontinued at any time by the management.</w:t>
      </w:r>
    </w:p>
    <w:p>
      <w:pPr>
        <w:spacing w:after="0" w:line="178" w:lineRule="exact"/>
        <w:rPr>
          <w:sz w:val="20"/>
          <w:szCs w:val="20"/>
          <w:color w:val="auto"/>
        </w:rPr>
      </w:pPr>
    </w:p>
    <w:p>
      <w:pPr>
        <w:jc w:val="both"/>
        <w:ind w:firstLine="387"/>
        <w:spacing w:after="0" w:line="271" w:lineRule="auto"/>
        <w:rPr>
          <w:sz w:val="20"/>
          <w:szCs w:val="20"/>
          <w:color w:val="auto"/>
        </w:rPr>
      </w:pPr>
      <w:r>
        <w:rPr>
          <w:rFonts w:ascii="Times New Roman" w:cs="Times New Roman" w:eastAsia="Times New Roman" w:hAnsi="Times New Roman"/>
          <w:sz w:val="17"/>
          <w:szCs w:val="17"/>
          <w:color w:val="auto"/>
        </w:rPr>
        <w:t>The Company purchased shares of its common stock, for a total consideration including commissions but excluding excise tax, under its repurchase programs, as below:</w:t>
      </w:r>
    </w:p>
    <w:p>
      <w:pPr>
        <w:spacing w:after="0" w:line="189" w:lineRule="exact"/>
        <w:rPr>
          <w:sz w:val="20"/>
          <w:szCs w:val="20"/>
          <w:color w:val="auto"/>
        </w:rPr>
      </w:pPr>
    </w:p>
    <w:tbl>
      <w:tblPr>
        <w:tblLayout w:type="fixed"/>
        <w:tblInd w:w="420" w:type="dxa"/>
        <w:tblCellMar>
          <w:top w:w="0" w:type="dxa"/>
          <w:left w:w="0" w:type="dxa"/>
          <w:bottom w:w="0" w:type="dxa"/>
          <w:right w:w="0" w:type="dxa"/>
        </w:tblCellMar>
      </w:tblPr>
      <w:tr>
        <w:trPr>
          <w:trHeight w:val="172"/>
        </w:trPr>
        <w:tc>
          <w:tcPr>
            <w:tcW w:w="5080" w:type="dxa"/>
            <w:vAlign w:val="bottom"/>
          </w:tcPr>
          <w:p>
            <w:pPr>
              <w:spacing w:after="0"/>
              <w:rPr>
                <w:sz w:val="15"/>
                <w:szCs w:val="15"/>
                <w:color w:val="auto"/>
              </w:rPr>
            </w:pPr>
          </w:p>
        </w:tc>
        <w:tc>
          <w:tcPr>
            <w:tcW w:w="1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Shares repurchased</w:t>
            </w:r>
          </w:p>
        </w:tc>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Total consideration</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Weighted average purchase price</w:t>
            </w:r>
          </w:p>
        </w:tc>
        <w:tc>
          <w:tcPr>
            <w:tcW w:w="0" w:type="dxa"/>
            <w:vAlign w:val="bottom"/>
          </w:tcPr>
          <w:p>
            <w:pPr>
              <w:spacing w:after="0"/>
              <w:rPr>
                <w:sz w:val="1"/>
                <w:szCs w:val="1"/>
                <w:color w:val="auto"/>
              </w:rPr>
            </w:pPr>
          </w:p>
        </w:tc>
      </w:tr>
      <w:tr>
        <w:trPr>
          <w:trHeight w:val="123"/>
        </w:trPr>
        <w:tc>
          <w:tcPr>
            <w:tcW w:w="508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1820" w:type="dxa"/>
            <w:vAlign w:val="bottom"/>
            <w:vMerge w:val="restart"/>
          </w:tcPr>
          <w:p>
            <w:pPr>
              <w:jc w:val="right"/>
              <w:ind w:right="756"/>
              <w:spacing w:after="0"/>
              <w:rPr>
                <w:sz w:val="20"/>
                <w:szCs w:val="20"/>
                <w:color w:val="auto"/>
              </w:rPr>
            </w:pPr>
            <w:r>
              <w:rPr>
                <w:rFonts w:ascii="Times New Roman" w:cs="Times New Roman" w:eastAsia="Times New Roman" w:hAnsi="Times New Roman"/>
                <w:sz w:val="15"/>
                <w:szCs w:val="15"/>
                <w:b w:val="1"/>
                <w:bCs w:val="1"/>
                <w:color w:val="auto"/>
              </w:rPr>
              <w:t>per share</w:t>
            </w:r>
          </w:p>
        </w:tc>
        <w:tc>
          <w:tcPr>
            <w:tcW w:w="0" w:type="dxa"/>
            <w:vAlign w:val="bottom"/>
          </w:tcPr>
          <w:p>
            <w:pPr>
              <w:spacing w:after="0"/>
              <w:rPr>
                <w:sz w:val="1"/>
                <w:szCs w:val="1"/>
                <w:color w:val="auto"/>
              </w:rPr>
            </w:pPr>
          </w:p>
        </w:tc>
      </w:tr>
      <w:tr>
        <w:trPr>
          <w:trHeight w:val="82"/>
        </w:trPr>
        <w:tc>
          <w:tcPr>
            <w:tcW w:w="5080" w:type="dxa"/>
            <w:vAlign w:val="bottom"/>
            <w:tcBorders>
              <w:bottom w:val="single" w:sz="8" w:color="CCEEFF"/>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months ended June 30, 2025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906,150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41,752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46.08</w:t>
            </w:r>
          </w:p>
        </w:tc>
        <w:tc>
          <w:tcPr>
            <w:tcW w:w="0" w:type="dxa"/>
            <w:vAlign w:val="bottom"/>
          </w:tcPr>
          <w:p>
            <w:pPr>
              <w:spacing w:after="0"/>
              <w:rPr>
                <w:sz w:val="1"/>
                <w:szCs w:val="1"/>
                <w:color w:val="auto"/>
              </w:rPr>
            </w:pPr>
          </w:p>
        </w:tc>
      </w:tr>
      <w:tr>
        <w:trPr>
          <w:trHeight w:val="219"/>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Three months ended June 30, 2024</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297,353</w:t>
            </w:r>
          </w:p>
        </w:tc>
        <w:tc>
          <w:tcPr>
            <w:tcW w:w="100" w:type="dxa"/>
            <w:vAlign w:val="bottom"/>
          </w:tcPr>
          <w:p>
            <w:pPr>
              <w:spacing w:after="0"/>
              <w:rPr>
                <w:sz w:val="19"/>
                <w:szCs w:val="19"/>
                <w:color w:val="auto"/>
              </w:rPr>
            </w:pPr>
          </w:p>
        </w:tc>
        <w:tc>
          <w:tcPr>
            <w:tcW w:w="4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8,823</w:t>
            </w:r>
          </w:p>
        </w:tc>
        <w:tc>
          <w:tcPr>
            <w:tcW w:w="80" w:type="dxa"/>
            <w:vAlign w:val="bottom"/>
          </w:tcPr>
          <w:p>
            <w:pPr>
              <w:spacing w:after="0"/>
              <w:rPr>
                <w:sz w:val="19"/>
                <w:szCs w:val="19"/>
                <w:color w:val="auto"/>
              </w:rPr>
            </w:pP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29.67</w:t>
            </w:r>
          </w:p>
        </w:tc>
        <w:tc>
          <w:tcPr>
            <w:tcW w:w="0" w:type="dxa"/>
            <w:vAlign w:val="bottom"/>
          </w:tcPr>
          <w:p>
            <w:pPr>
              <w:spacing w:after="0"/>
              <w:rPr>
                <w:sz w:val="1"/>
                <w:szCs w:val="1"/>
                <w:color w:val="auto"/>
              </w:rPr>
            </w:pPr>
          </w:p>
        </w:tc>
      </w:tr>
      <w:tr>
        <w:trPr>
          <w:trHeight w:val="155"/>
        </w:trPr>
        <w:tc>
          <w:tcPr>
            <w:tcW w:w="50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Six months ended June 30, 2025</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1,081,213</w:t>
            </w:r>
          </w:p>
        </w:tc>
        <w:tc>
          <w:tcPr>
            <w:tcW w:w="100" w:type="dxa"/>
            <w:vAlign w:val="bottom"/>
          </w:tcPr>
          <w:p>
            <w:pPr>
              <w:spacing w:after="0"/>
              <w:rPr>
                <w:sz w:val="19"/>
                <w:szCs w:val="19"/>
                <w:color w:val="auto"/>
              </w:rPr>
            </w:pPr>
          </w:p>
        </w:tc>
        <w:tc>
          <w:tcPr>
            <w:tcW w:w="4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49,811</w:t>
            </w:r>
          </w:p>
        </w:tc>
        <w:tc>
          <w:tcPr>
            <w:tcW w:w="80" w:type="dxa"/>
            <w:vAlign w:val="bottom"/>
          </w:tcPr>
          <w:p>
            <w:pPr>
              <w:spacing w:after="0"/>
              <w:rPr>
                <w:sz w:val="19"/>
                <w:szCs w:val="19"/>
                <w:color w:val="auto"/>
              </w:rPr>
            </w:pP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46.07</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Six months ended June 30, 2024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4,274,171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128,253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30.01</w:t>
            </w:r>
          </w:p>
        </w:tc>
        <w:tc>
          <w:tcPr>
            <w:tcW w:w="0" w:type="dxa"/>
            <w:vAlign w:val="bottom"/>
          </w:tcPr>
          <w:p>
            <w:pPr>
              <w:spacing w:after="0"/>
              <w:rPr>
                <w:sz w:val="1"/>
                <w:szCs w:val="1"/>
                <w:color w:val="auto"/>
              </w:rPr>
            </w:pPr>
          </w:p>
        </w:tc>
      </w:tr>
    </w:tbl>
    <w:p>
      <w:pPr>
        <w:spacing w:after="0" w:line="254" w:lineRule="exact"/>
        <w:rPr>
          <w:sz w:val="20"/>
          <w:szCs w:val="20"/>
          <w:color w:val="auto"/>
        </w:rPr>
      </w:pPr>
    </w:p>
    <w:p>
      <w:pPr>
        <w:jc w:val="both"/>
        <w:ind w:firstLine="387"/>
        <w:spacing w:after="0" w:line="271" w:lineRule="auto"/>
        <w:rPr>
          <w:sz w:val="20"/>
          <w:szCs w:val="20"/>
          <w:color w:val="auto"/>
        </w:rPr>
      </w:pPr>
      <w:r>
        <w:rPr>
          <w:rFonts w:ascii="Times New Roman" w:cs="Times New Roman" w:eastAsia="Times New Roman" w:hAnsi="Times New Roman"/>
          <w:sz w:val="17"/>
          <w:szCs w:val="17"/>
          <w:color w:val="auto"/>
        </w:rPr>
        <w:t>Repurchased shares have been recorded as treasury shares and will be held until the Company’s board of directors designates that these shares be retired or used for other purposes.</w:t>
      </w:r>
    </w:p>
    <w:p>
      <w:pPr>
        <w:spacing w:after="0" w:line="177"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 xml:space="preserve">Pursuant to the Inflation Reduction Act, the Company is required to pay a 1% excise tax on the fair market value of each share of common stock repurchased, net of stock issuances. The Company recognized excise tax of ($29) and $74, during the three months ended June 30, 2025 and 2024, </w:t>
      </w:r>
      <w:r>
        <w:rPr>
          <w:rFonts w:ascii="Times New Roman" w:cs="Times New Roman" w:eastAsia="Times New Roman" w:hAnsi="Times New Roman"/>
          <w:sz w:val="16"/>
          <w:szCs w:val="16"/>
          <w:color w:val="auto"/>
        </w:rPr>
        <w:t>respectively, and (</w:t>
      </w:r>
      <w:r>
        <w:rPr>
          <w:rFonts w:ascii="Times New Roman" w:cs="Times New Roman" w:eastAsia="Times New Roman" w:hAnsi="Times New Roman"/>
          <w:sz w:val="17"/>
          <w:szCs w:val="17"/>
          <w:color w:val="auto"/>
        </w:rPr>
        <w:t>$29) and $618, during the six months ended June 30, 2025 and 2024, respectively, on repurchase of common stock as a part of the cost of such repurchases.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Employee Benefit Plans</w:t>
      </w:r>
    </w:p>
    <w:p>
      <w:pPr>
        <w:spacing w:after="0" w:line="234" w:lineRule="exact"/>
        <w:rPr>
          <w:sz w:val="20"/>
          <w:szCs w:val="20"/>
          <w:color w:val="auto"/>
        </w:rPr>
      </w:pPr>
    </w:p>
    <w:p>
      <w:pPr>
        <w:jc w:val="both"/>
        <w:ind w:firstLine="387"/>
        <w:spacing w:after="0" w:line="271" w:lineRule="auto"/>
        <w:rPr>
          <w:sz w:val="20"/>
          <w:szCs w:val="20"/>
          <w:color w:val="auto"/>
        </w:rPr>
      </w:pPr>
      <w:r>
        <w:rPr>
          <w:rFonts w:ascii="Times New Roman" w:cs="Times New Roman" w:eastAsia="Times New Roman" w:hAnsi="Times New Roman"/>
          <w:sz w:val="17"/>
          <w:szCs w:val="17"/>
          <w:color w:val="auto"/>
        </w:rPr>
        <w:t>The Company’s Gratuity Plan in India (the “India Plan”) provides for a lump sum payment to vested employees on retirement or upon termination of employment in an amount based on the respective employee’s salary and years of</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3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employment with the Company. 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Liabilities with regard to the India Plan and the Philippines Plan are determined by actuarial valuation using the projected unit credit method. Current service costs for these plans are accrued in the year to which they relate. Actuarial gains or losses or prior service costs, if any, resulting from amendments to the plans are recognized and amortized over the remaining period of service of the employees.</w:t>
      </w:r>
    </w:p>
    <w:p>
      <w:pPr>
        <w:spacing w:after="0" w:line="201" w:lineRule="exact"/>
        <w:rPr>
          <w:sz w:val="20"/>
          <w:szCs w:val="20"/>
          <w:color w:val="auto"/>
        </w:rPr>
      </w:pPr>
    </w:p>
    <w:p>
      <w:pPr>
        <w:jc w:val="both"/>
        <w:ind w:firstLine="387"/>
        <w:spacing w:after="0" w:line="243" w:lineRule="auto"/>
        <w:rPr>
          <w:sz w:val="20"/>
          <w:szCs w:val="20"/>
          <w:color w:val="auto"/>
        </w:rPr>
      </w:pPr>
      <w:r>
        <w:rPr>
          <w:rFonts w:ascii="Times New Roman" w:cs="Times New Roman" w:eastAsia="Times New Roman" w:hAnsi="Times New Roman"/>
          <w:sz w:val="17"/>
          <w:szCs w:val="17"/>
          <w:color w:val="auto"/>
        </w:rPr>
        <w:t>The India Plan is partially funded whereas the Philippines Plan is unfunded. The Company makes annual contributions to the India Plan established with insurance companies. Fund managers manage these funds and calculate the annual contribution required to be made by the Company and manage the India Plan, including any required payouts. These funds are managed on a cash accumulation basis, inclusive of interest which is declared periodically. The Company expects to earn a return of approximately 7.0% per annum on the India Plan for the year ending December 31, 2025.</w:t>
      </w:r>
    </w:p>
    <w:p>
      <w:pPr>
        <w:spacing w:after="0" w:line="339" w:lineRule="exact"/>
        <w:rPr>
          <w:sz w:val="20"/>
          <w:szCs w:val="20"/>
          <w:color w:val="auto"/>
        </w:rPr>
      </w:pPr>
    </w:p>
    <w:tbl>
      <w:tblPr>
        <w:tblLayout w:type="fixed"/>
        <w:tblInd w:w="1020" w:type="dxa"/>
        <w:tblCellMar>
          <w:top w:w="0" w:type="dxa"/>
          <w:left w:w="0" w:type="dxa"/>
          <w:bottom w:w="0" w:type="dxa"/>
          <w:right w:w="0" w:type="dxa"/>
        </w:tblCellMar>
      </w:tblPr>
      <w:tr>
        <w:trPr>
          <w:trHeight w:val="227"/>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Change in Plan Assets</w:t>
            </w: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Plan assets as of December 31, 2024</w:t>
            </w: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19,963</w:t>
            </w:r>
          </w:p>
        </w:tc>
      </w:tr>
      <w:tr>
        <w:trPr>
          <w:trHeight w:val="219"/>
        </w:trPr>
        <w:tc>
          <w:tcPr>
            <w:tcW w:w="7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Actual return</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w:t>
            </w:r>
          </w:p>
        </w:tc>
      </w:tr>
      <w:tr>
        <w:trPr>
          <w:trHeight w:val="219"/>
        </w:trPr>
        <w:tc>
          <w:tcPr>
            <w:tcW w:w="7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Employer contribution</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2,929</w:t>
            </w:r>
          </w:p>
        </w:tc>
      </w:tr>
      <w:tr>
        <w:trPr>
          <w:trHeight w:val="219"/>
        </w:trPr>
        <w:tc>
          <w:tcPr>
            <w:tcW w:w="7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Benefits paid</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(801)</w:t>
            </w:r>
          </w:p>
        </w:tc>
      </w:tr>
      <w:tr>
        <w:trPr>
          <w:trHeight w:val="219"/>
        </w:trPr>
        <w:tc>
          <w:tcPr>
            <w:tcW w:w="7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Currency translation adjustments</w:t>
            </w:r>
          </w:p>
        </w:tc>
        <w:tc>
          <w:tcPr>
            <w:tcW w:w="5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2"/>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Plan assets as of June 30, 2025</w:t>
            </w: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22,756</w:t>
            </w:r>
          </w:p>
        </w:tc>
      </w:tr>
      <w:tr>
        <w:trPr>
          <w:trHeight w:val="20"/>
        </w:trPr>
        <w:tc>
          <w:tcPr>
            <w:tcW w:w="7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40" w:firstLine="387"/>
        <w:spacing w:after="0" w:line="287" w:lineRule="auto"/>
        <w:rPr>
          <w:sz w:val="20"/>
          <w:szCs w:val="20"/>
          <w:color w:val="auto"/>
        </w:rPr>
      </w:pPr>
      <w:r>
        <w:rPr>
          <w:rFonts w:ascii="Times New Roman" w:cs="Times New Roman" w:eastAsia="Times New Roman" w:hAnsi="Times New Roman"/>
          <w:sz w:val="17"/>
          <w:szCs w:val="17"/>
          <w:color w:val="auto"/>
        </w:rPr>
        <w:t>Components of net periodic benefit costs recognized in unaudited consolidated statements of income and actuarial (gain)/loss reclassified from AOCI, were as follows:</w:t>
      </w:r>
    </w:p>
    <w:p>
      <w:pPr>
        <w:spacing w:after="0" w:line="53" w:lineRule="exact"/>
        <w:rPr>
          <w:sz w:val="20"/>
          <w:szCs w:val="20"/>
          <w:color w:val="auto"/>
        </w:rPr>
      </w:pPr>
    </w:p>
    <w:tbl>
      <w:tblPr>
        <w:tblLayout w:type="fixed"/>
        <w:tblInd w:w="360" w:type="dxa"/>
        <w:tblCellMar>
          <w:top w:w="0" w:type="dxa"/>
          <w:left w:w="0" w:type="dxa"/>
          <w:bottom w:w="0" w:type="dxa"/>
          <w:right w:w="0" w:type="dxa"/>
        </w:tblCellMar>
      </w:tblPr>
      <w:tr>
        <w:trPr>
          <w:trHeight w:val="182"/>
        </w:trPr>
        <w:tc>
          <w:tcPr>
            <w:tcW w:w="4860" w:type="dxa"/>
            <w:vAlign w:val="bottom"/>
          </w:tcPr>
          <w:p>
            <w:pPr>
              <w:spacing w:after="0"/>
              <w:rPr>
                <w:sz w:val="15"/>
                <w:szCs w:val="15"/>
                <w:color w:val="auto"/>
              </w:rPr>
            </w:pPr>
          </w:p>
        </w:tc>
        <w:tc>
          <w:tcPr>
            <w:tcW w:w="23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40" w:type="dxa"/>
            <w:vAlign w:val="bottom"/>
            <w:gridSpan w:val="4"/>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
        </w:trPr>
        <w:tc>
          <w:tcPr>
            <w:tcW w:w="4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1"/>
        </w:trPr>
        <w:tc>
          <w:tcPr>
            <w:tcW w:w="48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 cost</w:t>
            </w:r>
          </w:p>
        </w:tc>
        <w:tc>
          <w:tcPr>
            <w:tcW w:w="88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58"/>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2,208</w:t>
            </w:r>
          </w:p>
        </w:tc>
      </w:tr>
      <w:tr>
        <w:trPr>
          <w:trHeight w:val="219"/>
        </w:trPr>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Interest cost</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774</w:t>
            </w:r>
          </w:p>
        </w:tc>
      </w:tr>
      <w:tr>
        <w:trPr>
          <w:trHeight w:val="21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w:t>
            </w:r>
          </w:p>
        </w:tc>
      </w:tr>
      <w:tr>
        <w:trPr>
          <w:trHeight w:val="219"/>
        </w:trPr>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Amortization of actuarial (gain)/loss, gross of tax</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w:t>
            </w:r>
          </w:p>
        </w:tc>
      </w:tr>
      <w:tr>
        <w:trPr>
          <w:trHeight w:val="237"/>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gratuity cost</w:t>
            </w:r>
          </w:p>
        </w:tc>
        <w:tc>
          <w:tcPr>
            <w:tcW w:w="880" w:type="dxa"/>
            <w:vAlign w:val="bottom"/>
            <w:tcBorders>
              <w:bottom w:val="single" w:sz="8" w:color="auto"/>
            </w:tcBorders>
            <w:shd w:val="clear" w:color="auto" w:fill="CCEEFF"/>
          </w:tcPr>
          <w:p>
            <w:pPr>
              <w:jc w:val="right"/>
              <w:ind w:right="72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1,455</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58"/>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2,058</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49"/>
        </w:trPr>
        <w:tc>
          <w:tcPr>
            <w:tcW w:w="4860" w:type="dxa"/>
            <w:vAlign w:val="bottom"/>
          </w:tcPr>
          <w:p>
            <w:pPr>
              <w:spacing w:after="0"/>
              <w:rPr>
                <w:sz w:val="4"/>
                <w:szCs w:val="4"/>
                <w:color w:val="auto"/>
              </w:rPr>
            </w:pPr>
          </w:p>
        </w:tc>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1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of actuarial (gain)/loss, gross of tax</w:t>
            </w:r>
          </w:p>
        </w:tc>
        <w:tc>
          <w:tcPr>
            <w:tcW w:w="88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58"/>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w:t>
            </w:r>
          </w:p>
        </w:tc>
      </w:tr>
      <w:tr>
        <w:trPr>
          <w:trHeight w:val="219"/>
        </w:trPr>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Income tax effects on above</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of actuarial (gain)/loss, net of tax</w:t>
            </w:r>
          </w:p>
        </w:tc>
        <w:tc>
          <w:tcPr>
            <w:tcW w:w="880" w:type="dxa"/>
            <w:vAlign w:val="bottom"/>
            <w:tcBorders>
              <w:bottom w:val="single" w:sz="8" w:color="auto"/>
            </w:tcBorders>
            <w:shd w:val="clear" w:color="auto" w:fill="CCEEFF"/>
          </w:tcPr>
          <w:p>
            <w:pPr>
              <w:jc w:val="right"/>
              <w:ind w:right="72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58"/>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w:t>
            </w:r>
          </w:p>
        </w:tc>
      </w:tr>
    </w:tbl>
    <w:p>
      <w:pPr>
        <w:spacing w:after="0" w:line="61" w:lineRule="exact"/>
        <w:rPr>
          <w:sz w:val="20"/>
          <w:szCs w:val="20"/>
          <w:color w:val="auto"/>
        </w:rPr>
      </w:pPr>
    </w:p>
    <w:p>
      <w:pPr>
        <w:jc w:val="both"/>
        <w:ind w:firstLine="464"/>
        <w:spacing w:after="0" w:line="254" w:lineRule="auto"/>
        <w:rPr>
          <w:sz w:val="20"/>
          <w:szCs w:val="20"/>
          <w:color w:val="auto"/>
        </w:rPr>
      </w:pPr>
      <w:r>
        <w:rPr>
          <w:rFonts w:ascii="Times New Roman" w:cs="Times New Roman" w:eastAsia="Times New Roman" w:hAnsi="Times New Roman"/>
          <w:sz w:val="17"/>
          <w:szCs w:val="17"/>
          <w:color w:val="auto"/>
        </w:rPr>
        <w:t>The Company maintains several 401(k) plans (the “401(k) Plans”) under Section 401(k) of the Internal Revenue Code of 1986, as amended (the “Code”), covering all eligible employees, as defined in the Code as a defined contribution plan. The Company may make discretionary contributions of up to a maximum of 3.0% of employee compensation within certain limits.</w:t>
      </w:r>
    </w:p>
    <w:p>
      <w:pPr>
        <w:spacing w:after="0" w:line="2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Company’s contributions to various defined contribution plans were as follows:</w:t>
      </w:r>
    </w:p>
    <w:p>
      <w:pPr>
        <w:spacing w:after="0" w:line="29" w:lineRule="exact"/>
        <w:rPr>
          <w:sz w:val="20"/>
          <w:szCs w:val="20"/>
          <w:color w:val="auto"/>
        </w:rPr>
      </w:pPr>
    </w:p>
    <w:tbl>
      <w:tblPr>
        <w:tblLayout w:type="fixed"/>
        <w:tblInd w:w="380" w:type="dxa"/>
        <w:tblCellMar>
          <w:top w:w="0" w:type="dxa"/>
          <w:left w:w="0" w:type="dxa"/>
          <w:bottom w:w="0" w:type="dxa"/>
          <w:right w:w="0" w:type="dxa"/>
        </w:tblCellMar>
      </w:tblPr>
      <w:tr>
        <w:trPr>
          <w:trHeight w:val="182"/>
        </w:trPr>
        <w:tc>
          <w:tcPr>
            <w:tcW w:w="5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5"/>
                <w:szCs w:val="15"/>
                <w:color w:val="auto"/>
              </w:rPr>
            </w:pPr>
          </w:p>
        </w:tc>
        <w:tc>
          <w:tcPr>
            <w:tcW w:w="218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
        </w:trPr>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1"/>
        </w:trPr>
        <w:tc>
          <w:tcPr>
            <w:tcW w:w="55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Contribution to the 401(k) Plans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1,376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4,171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3,633</w:t>
            </w:r>
          </w:p>
        </w:tc>
      </w:tr>
      <w:tr>
        <w:trPr>
          <w:trHeight w:val="168"/>
        </w:trPr>
        <w:tc>
          <w:tcPr>
            <w:tcW w:w="550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Contributions to the defined contribution plans in foreign subsidiaries of the</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2"/>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Company</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8,692</w:t>
            </w:r>
          </w:p>
        </w:tc>
        <w:tc>
          <w:tcPr>
            <w:tcW w:w="10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6,891</w:t>
            </w:r>
          </w:p>
        </w:tc>
        <w:tc>
          <w:tcPr>
            <w:tcW w:w="8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16,477</w:t>
            </w:r>
          </w:p>
        </w:tc>
        <w:tc>
          <w:tcPr>
            <w:tcW w:w="10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Leases</w:t>
      </w:r>
    </w:p>
    <w:p>
      <w:pPr>
        <w:spacing w:after="0" w:line="247" w:lineRule="exact"/>
        <w:rPr>
          <w:sz w:val="20"/>
          <w:szCs w:val="20"/>
          <w:color w:val="auto"/>
        </w:rPr>
      </w:pPr>
    </w:p>
    <w:p>
      <w:pPr>
        <w:jc w:val="both"/>
        <w:ind w:firstLine="387"/>
        <w:spacing w:after="0" w:line="262" w:lineRule="auto"/>
        <w:rPr>
          <w:sz w:val="20"/>
          <w:szCs w:val="20"/>
          <w:color w:val="auto"/>
        </w:rPr>
      </w:pPr>
      <w:r>
        <w:rPr>
          <w:rFonts w:ascii="Times New Roman" w:cs="Times New Roman" w:eastAsia="Times New Roman" w:hAnsi="Times New Roman"/>
          <w:sz w:val="17"/>
          <w:szCs w:val="17"/>
          <w:color w:val="auto"/>
        </w:rPr>
        <w:t>The Company conducts its operations using facilities leased under operating lease agreements that expire at various dates. The Company finances its use of certain motor vehicles and other equipment under various lease arrangements provided by financial institutions. The lease agreements do not contain any covenants to impose any restrictions except for market-standard practice for similar lease arrangements.</w:t>
      </w:r>
    </w:p>
    <w:p>
      <w:pPr>
        <w:spacing w:after="0" w:line="168" w:lineRule="exact"/>
        <w:rPr>
          <w:sz w:val="20"/>
          <w:szCs w:val="20"/>
          <w:color w:val="auto"/>
        </w:rPr>
      </w:pPr>
    </w:p>
    <w:p>
      <w:pPr>
        <w:jc w:val="both"/>
        <w:ind w:firstLine="387"/>
        <w:spacing w:after="0" w:line="276" w:lineRule="auto"/>
        <w:rPr>
          <w:sz w:val="20"/>
          <w:szCs w:val="20"/>
          <w:color w:val="auto"/>
        </w:rPr>
      </w:pPr>
      <w:r>
        <w:rPr>
          <w:rFonts w:ascii="Times New Roman" w:cs="Times New Roman" w:eastAsia="Times New Roman" w:hAnsi="Times New Roman"/>
          <w:sz w:val="17"/>
          <w:szCs w:val="17"/>
          <w:color w:val="auto"/>
        </w:rPr>
        <w:t xml:space="preserve">The Company had performed an evaluation of its contracts with suppliers in accordance with ASC Topic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and had determined that, except for leases for office facilities, motor vehicles and other equipment as described above, none of the Company’s contracts contain a lease.</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components of lease cost, which are included in the Company’s unaudited consolidated statements of income, are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80" w:type="dxa"/>
            <w:vAlign w:val="bottom"/>
          </w:tcPr>
          <w:p>
            <w:pPr>
              <w:spacing w:after="0"/>
              <w:rPr>
                <w:sz w:val="19"/>
                <w:szCs w:val="19"/>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564"/>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7"/>
        </w:trPr>
        <w:tc>
          <w:tcPr>
            <w:tcW w:w="40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6"/>
        </w:trPr>
        <w:tc>
          <w:tcPr>
            <w:tcW w:w="40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Depreciation on underlying ROU assets</w:t>
            </w:r>
          </w:p>
        </w:tc>
        <w:tc>
          <w:tcPr>
            <w:tcW w:w="1000" w:type="dxa"/>
            <w:vAlign w:val="bottom"/>
          </w:tcPr>
          <w:p>
            <w:pPr>
              <w:jc w:val="right"/>
              <w:ind w:right="818"/>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8"/>
                <w:szCs w:val="18"/>
                <w:color w:val="auto"/>
              </w:rPr>
            </w:pPr>
          </w:p>
        </w:tc>
        <w:tc>
          <w:tcPr>
            <w:tcW w:w="1040" w:type="dxa"/>
            <w:vAlign w:val="bottom"/>
          </w:tcPr>
          <w:p>
            <w:pPr>
              <w:jc w:val="right"/>
              <w:ind w:right="858"/>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34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80" w:type="dxa"/>
            <w:vAlign w:val="bottom"/>
          </w:tcPr>
          <w:p>
            <w:pPr>
              <w:spacing w:after="0"/>
              <w:rPr>
                <w:sz w:val="18"/>
                <w:szCs w:val="18"/>
                <w:color w:val="auto"/>
              </w:rPr>
            </w:pPr>
          </w:p>
        </w:tc>
        <w:tc>
          <w:tcPr>
            <w:tcW w:w="36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w:t>
            </w:r>
          </w:p>
        </w:tc>
      </w:tr>
      <w:tr>
        <w:trPr>
          <w:trHeight w:val="219"/>
        </w:trPr>
        <w:tc>
          <w:tcPr>
            <w:tcW w:w="4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w:t>
            </w:r>
          </w:p>
        </w:tc>
      </w:tr>
      <w:tr>
        <w:trPr>
          <w:trHeight w:val="212"/>
        </w:trPr>
        <w:tc>
          <w:tcPr>
            <w:tcW w:w="4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w:t>
            </w:r>
          </w:p>
        </w:tc>
      </w:tr>
      <w:tr>
        <w:trPr>
          <w:trHeight w:val="222"/>
        </w:trPr>
        <w:tc>
          <w:tcPr>
            <w:tcW w:w="408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6"/>
                <w:szCs w:val="16"/>
                <w:b w:val="1"/>
                <w:bCs w:val="1"/>
                <w:color w:val="auto"/>
              </w:rPr>
              <w:t xml:space="preserve">Operating lease </w:t>
            </w:r>
            <w:r>
              <w:rPr>
                <w:rFonts w:ascii="Times New Roman" w:cs="Times New Roman" w:eastAsia="Times New Roman" w:hAnsi="Times New Roman"/>
                <w:sz w:val="21"/>
                <w:szCs w:val="21"/>
                <w:b w:val="1"/>
                <w:bCs w:val="1"/>
                <w:color w:val="auto"/>
                <w:vertAlign w:val="superscript"/>
              </w:rPr>
              <w:t>(1)</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11,093</w:t>
            </w:r>
          </w:p>
        </w:tc>
      </w:tr>
      <w:tr>
        <w:trPr>
          <w:trHeight w:val="217"/>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Variable lease costs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2,089</w:t>
            </w:r>
          </w:p>
        </w:tc>
      </w:tr>
      <w:tr>
        <w:trPr>
          <w:trHeight w:val="22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Sublease income</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2"/>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lease cost</w:t>
            </w:r>
          </w:p>
        </w:tc>
        <w:tc>
          <w:tcPr>
            <w:tcW w:w="1000" w:type="dxa"/>
            <w:vAlign w:val="bottom"/>
            <w:tcBorders>
              <w:top w:val="single" w:sz="8" w:color="auto"/>
              <w:bottom w:val="single" w:sz="8" w:color="auto"/>
            </w:tcBorders>
          </w:tcPr>
          <w:p>
            <w:pPr>
              <w:jc w:val="right"/>
              <w:ind w:right="818"/>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7,853</w:t>
            </w:r>
          </w:p>
        </w:tc>
        <w:tc>
          <w:tcPr>
            <w:tcW w:w="1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58"/>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6,976</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15,196</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13,413</w:t>
            </w:r>
          </w:p>
        </w:tc>
      </w:tr>
      <w:tr>
        <w:trPr>
          <w:trHeight w:val="20"/>
        </w:trPr>
        <w:tc>
          <w:tcPr>
            <w:tcW w:w="4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Includes short-term leases, which are immaterial.</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Supplemental cash flow and other information related to leases are as follows:</w:t>
      </w:r>
    </w:p>
    <w:p>
      <w:pPr>
        <w:spacing w:after="0" w:line="138" w:lineRule="exact"/>
        <w:rPr>
          <w:sz w:val="20"/>
          <w:szCs w:val="20"/>
          <w:color w:val="auto"/>
        </w:rPr>
      </w:pPr>
    </w:p>
    <w:tbl>
      <w:tblPr>
        <w:tblLayout w:type="fixed"/>
        <w:tblInd w:w="380" w:type="dxa"/>
        <w:tblCellMar>
          <w:top w:w="0" w:type="dxa"/>
          <w:left w:w="0" w:type="dxa"/>
          <w:bottom w:w="0" w:type="dxa"/>
          <w:right w:w="0" w:type="dxa"/>
        </w:tblCellMar>
      </w:tblPr>
      <w:tr>
        <w:trPr>
          <w:trHeight w:val="182"/>
        </w:trPr>
        <w:tc>
          <w:tcPr>
            <w:tcW w:w="7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760" w:type="dxa"/>
            <w:vAlign w:val="bottom"/>
            <w:gridSpan w:val="4"/>
          </w:tcPr>
          <w:p>
            <w:pPr>
              <w:jc w:val="right"/>
              <w:ind w:right="72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
        </w:trPr>
        <w:tc>
          <w:tcPr>
            <w:tcW w:w="7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70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payments for amounts included in the measurement of lease liabilities :</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3"/>
        </w:trPr>
        <w:tc>
          <w:tcPr>
            <w:tcW w:w="70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Operating cash outflows for operating leases</w:t>
            </w: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12,250</w:t>
            </w:r>
          </w:p>
        </w:tc>
        <w:tc>
          <w:tcPr>
            <w:tcW w:w="12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9,645</w:t>
            </w:r>
          </w:p>
        </w:tc>
      </w:tr>
      <w:tr>
        <w:trPr>
          <w:trHeight w:val="209"/>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Operating cash outflows for finance leases</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77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81</w:t>
            </w:r>
          </w:p>
        </w:tc>
      </w:tr>
      <w:tr>
        <w:trPr>
          <w:trHeight w:val="203"/>
        </w:trPr>
        <w:tc>
          <w:tcPr>
            <w:tcW w:w="70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Financing cash outflows for finance leases</w:t>
            </w: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247</w:t>
            </w:r>
          </w:p>
        </w:tc>
        <w:tc>
          <w:tcPr>
            <w:tcW w:w="12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132</w:t>
            </w:r>
          </w:p>
        </w:tc>
      </w:tr>
      <w:tr>
        <w:trPr>
          <w:trHeight w:val="20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ROU assets obtained in exchange for new operating lease liabilities</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12,332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16,445</w:t>
            </w:r>
          </w:p>
        </w:tc>
      </w:tr>
      <w:tr>
        <w:trPr>
          <w:trHeight w:val="203"/>
        </w:trPr>
        <w:tc>
          <w:tcPr>
            <w:tcW w:w="7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ROU assets obtained in exchange for new finance lease liabilities</w:t>
            </w: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633</w:t>
            </w:r>
          </w:p>
        </w:tc>
        <w:tc>
          <w:tcPr>
            <w:tcW w:w="12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581</w:t>
            </w:r>
          </w:p>
        </w:tc>
      </w:tr>
      <w:tr>
        <w:trPr>
          <w:trHeight w:val="20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 average remaining lease term (in years)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3"/>
        </w:trPr>
        <w:tc>
          <w:tcPr>
            <w:tcW w:w="70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Finance lease</w:t>
            </w:r>
          </w:p>
        </w:tc>
        <w:tc>
          <w:tcPr>
            <w:tcW w:w="380" w:type="dxa"/>
            <w:vAlign w:val="bottom"/>
          </w:tcPr>
          <w:p>
            <w:pPr>
              <w:spacing w:after="0"/>
              <w:rPr>
                <w:sz w:val="17"/>
                <w:szCs w:val="17"/>
                <w:color w:val="auto"/>
              </w:rPr>
            </w:pPr>
          </w:p>
        </w:tc>
        <w:tc>
          <w:tcPr>
            <w:tcW w:w="1320" w:type="dxa"/>
            <w:vAlign w:val="bottom"/>
            <w:gridSpan w:val="2"/>
          </w:tcPr>
          <w:p>
            <w:pPr>
              <w:ind w:left="640"/>
              <w:spacing w:after="0"/>
              <w:rPr>
                <w:sz w:val="20"/>
                <w:szCs w:val="20"/>
                <w:color w:val="auto"/>
              </w:rPr>
            </w:pPr>
            <w:r>
              <w:rPr>
                <w:rFonts w:ascii="Times New Roman" w:cs="Times New Roman" w:eastAsia="Times New Roman" w:hAnsi="Times New Roman"/>
                <w:sz w:val="15"/>
                <w:szCs w:val="15"/>
                <w:color w:val="auto"/>
              </w:rPr>
              <w:t>2.4 years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 years</w:t>
            </w:r>
          </w:p>
        </w:tc>
      </w:tr>
      <w:tr>
        <w:trPr>
          <w:trHeight w:val="209"/>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Operating lease</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4.7 years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 years</w:t>
            </w:r>
          </w:p>
        </w:tc>
      </w:tr>
      <w:tr>
        <w:trPr>
          <w:trHeight w:val="203"/>
        </w:trPr>
        <w:tc>
          <w:tcPr>
            <w:tcW w:w="7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Weighted average discount rate</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Finance lease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15.0 %</w:t>
            </w:r>
          </w:p>
        </w:tc>
      </w:tr>
      <w:tr>
        <w:trPr>
          <w:trHeight w:val="201"/>
        </w:trPr>
        <w:tc>
          <w:tcPr>
            <w:tcW w:w="70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Operating lease</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7.9 %</w:t>
            </w:r>
          </w:p>
        </w:tc>
      </w:tr>
    </w:tbl>
    <w:p>
      <w:pPr>
        <w:spacing w:after="0" w:line="144"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As part of the Company’s efforts to optimize its existing network of operations centers, the Company continued to evaluate its office facilities to determine where it can exit or consolidate its use of office space. The Company modified certain of its operating leases, resulting in an increase of its lease liabilities by $3,107 and $3,377, during the six months ended June 30, 2025 and 2024, respectively, with a corresponding adjustment to ROU assets.</w:t>
      </w:r>
    </w:p>
    <w:p>
      <w:pPr>
        <w:spacing w:after="0" w:line="192" w:lineRule="exact"/>
        <w:rPr>
          <w:sz w:val="20"/>
          <w:szCs w:val="20"/>
          <w:color w:val="auto"/>
        </w:rPr>
      </w:pPr>
    </w:p>
    <w:p>
      <w:pPr>
        <w:jc w:val="both"/>
        <w:ind w:firstLine="387"/>
        <w:spacing w:after="0" w:line="271" w:lineRule="auto"/>
        <w:rPr>
          <w:sz w:val="20"/>
          <w:szCs w:val="20"/>
          <w:color w:val="auto"/>
        </w:rPr>
      </w:pPr>
      <w:r>
        <w:rPr>
          <w:rFonts w:ascii="Times New Roman" w:cs="Times New Roman" w:eastAsia="Times New Roman" w:hAnsi="Times New Roman"/>
          <w:sz w:val="17"/>
          <w:szCs w:val="17"/>
          <w:color w:val="auto"/>
        </w:rPr>
        <w:t>As of June 30, 2025 and December 31, 2024, the Company did not have any significant leases that have not yet commenced but that create significant rights and obligations for the Company.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Maturities of lease liabilities as of June 30, 2025 were as follows:</w:t>
      </w:r>
    </w:p>
    <w:p>
      <w:pPr>
        <w:spacing w:after="0" w:line="157"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Operating Leases</w:t>
            </w:r>
          </w:p>
        </w:tc>
        <w:tc>
          <w:tcPr>
            <w:tcW w:w="220" w:type="dxa"/>
            <w:vAlign w:val="bottom"/>
          </w:tcPr>
          <w:p>
            <w:pPr>
              <w:spacing w:after="0"/>
              <w:rPr>
                <w:sz w:val="17"/>
                <w:szCs w:val="17"/>
                <w:color w:val="auto"/>
              </w:rPr>
            </w:pPr>
          </w:p>
        </w:tc>
        <w:tc>
          <w:tcPr>
            <w:tcW w:w="1520" w:type="dxa"/>
            <w:vAlign w:val="bottom"/>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Finance Leases</w:t>
            </w:r>
          </w:p>
        </w:tc>
      </w:tr>
      <w:tr>
        <w:trPr>
          <w:trHeight w:val="202"/>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2025 (July 1 - December 31)</w:t>
            </w: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5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12,060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845</w:t>
            </w:r>
          </w:p>
        </w:tc>
      </w:tr>
      <w:tr>
        <w:trPr>
          <w:trHeight w:val="203"/>
        </w:trPr>
        <w:tc>
          <w:tcPr>
            <w:tcW w:w="6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180" w:type="dxa"/>
            <w:vAlign w:val="bottom"/>
          </w:tcPr>
          <w:p>
            <w:pPr>
              <w:spacing w:after="0"/>
              <w:rPr>
                <w:sz w:val="17"/>
                <w:szCs w:val="17"/>
                <w:color w:val="auto"/>
              </w:rPr>
            </w:pPr>
          </w:p>
        </w:tc>
        <w:tc>
          <w:tcPr>
            <w:tcW w:w="15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23,430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793</w:t>
            </w:r>
          </w:p>
        </w:tc>
      </w:tr>
      <w:tr>
        <w:trPr>
          <w:trHeight w:val="20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2027</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21,271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627</w:t>
            </w:r>
          </w:p>
        </w:tc>
      </w:tr>
      <w:tr>
        <w:trPr>
          <w:trHeight w:val="203"/>
        </w:trPr>
        <w:tc>
          <w:tcPr>
            <w:tcW w:w="6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2028</w:t>
            </w:r>
          </w:p>
        </w:tc>
        <w:tc>
          <w:tcPr>
            <w:tcW w:w="180" w:type="dxa"/>
            <w:vAlign w:val="bottom"/>
          </w:tcPr>
          <w:p>
            <w:pPr>
              <w:spacing w:after="0"/>
              <w:rPr>
                <w:sz w:val="17"/>
                <w:szCs w:val="17"/>
                <w:color w:val="auto"/>
              </w:rPr>
            </w:pPr>
          </w:p>
        </w:tc>
        <w:tc>
          <w:tcPr>
            <w:tcW w:w="15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18,070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399</w:t>
            </w:r>
          </w:p>
        </w:tc>
      </w:tr>
      <w:tr>
        <w:trPr>
          <w:trHeight w:val="20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2029</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9,903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w:t>
            </w:r>
          </w:p>
        </w:tc>
      </w:tr>
      <w:tr>
        <w:trPr>
          <w:trHeight w:val="20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2030 and thereafter</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13,273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lease payments</w:t>
            </w: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98,007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2,821</w:t>
            </w:r>
          </w:p>
        </w:tc>
      </w:tr>
      <w:tr>
        <w:trPr>
          <w:trHeight w:val="20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Less: Imputed interest</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17,231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658</w:t>
            </w:r>
          </w:p>
        </w:tc>
      </w:tr>
      <w:tr>
        <w:trPr>
          <w:trHeight w:val="224"/>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Present value of lease liabilities</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80,776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 Income Taxes</w:t>
      </w:r>
    </w:p>
    <w:p>
      <w:pPr>
        <w:spacing w:after="0" w:line="234" w:lineRule="exact"/>
        <w:rPr>
          <w:sz w:val="20"/>
          <w:szCs w:val="20"/>
          <w:color w:val="auto"/>
        </w:rPr>
      </w:pPr>
    </w:p>
    <w:p>
      <w:pPr>
        <w:jc w:val="both"/>
        <w:ind w:firstLine="387"/>
        <w:spacing w:after="0" w:line="271" w:lineRule="auto"/>
        <w:rPr>
          <w:sz w:val="20"/>
          <w:szCs w:val="20"/>
          <w:color w:val="auto"/>
        </w:rPr>
      </w:pPr>
      <w:r>
        <w:rPr>
          <w:rFonts w:ascii="Times New Roman" w:cs="Times New Roman" w:eastAsia="Times New Roman" w:hAnsi="Times New Roman"/>
          <w:sz w:val="17"/>
          <w:szCs w:val="17"/>
          <w:color w:val="auto"/>
        </w:rPr>
        <w:t>The Company determines the tax provision for interim periods using an estimate of its annual effective tax rate. Each quarter, the Company updates its estimate of annual effective tax rate, and if its estimated tax rate changes, the Company makes a cumulative adjustment.</w:t>
      </w:r>
    </w:p>
    <w:p>
      <w:pPr>
        <w:spacing w:after="0" w:line="164" w:lineRule="exact"/>
        <w:rPr>
          <w:sz w:val="20"/>
          <w:szCs w:val="20"/>
          <w:color w:val="auto"/>
        </w:rPr>
      </w:pPr>
    </w:p>
    <w:p>
      <w:pPr>
        <w:jc w:val="both"/>
        <w:ind w:firstLine="387"/>
        <w:spacing w:after="0" w:line="248" w:lineRule="auto"/>
        <w:rPr>
          <w:sz w:val="20"/>
          <w:szCs w:val="20"/>
          <w:color w:val="auto"/>
        </w:rPr>
      </w:pPr>
      <w:r>
        <w:rPr>
          <w:rFonts w:ascii="Times New Roman" w:cs="Times New Roman" w:eastAsia="Times New Roman" w:hAnsi="Times New Roman"/>
          <w:sz w:val="17"/>
          <w:szCs w:val="17"/>
          <w:color w:val="auto"/>
        </w:rPr>
        <w:t>The effective tax rate decreased from 23.2% to 21.9%, during the three months ended June 30, 2024 and 2025, respectively. The Company recorded income tax expense of $18,546 and $13,873 during the three months ended June 30, 2025 and 2024, respectively. The increase in income tax expense was primarily driven by higher profit, partially offset by lower state taxes and higher excess tax benefits during the three months ended June 30, 2025, compared to the three months ended June 30, 2024.</w:t>
      </w:r>
    </w:p>
    <w:p>
      <w:pPr>
        <w:spacing w:after="0" w:line="210"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The effective tax rate decreased from 22.6% to 19.5%, during the six months ended June 30, 2024 and 2025, respectively. The Company recorded income tax expense of $32,042 and $27,626 during the six months ended June 30, 2025 and 2024, respectively. The increase in income tax expense was primarily driven by higher profit, and an increase in non-deductible expenses, partially offset by lower state taxes and higher excess tax benefits during the six months ended June 30, 2025, compared to the six months ended June 30, 2024.</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Deferred income taxes recognized in OCI were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2640" w:type="dxa"/>
            <w:vAlign w:val="bottom"/>
            <w:tcBorders>
              <w:bottom w:val="single" w:sz="8" w:color="auto"/>
            </w:tcBorders>
            <w:gridSpan w:val="4"/>
          </w:tcPr>
          <w:p>
            <w:pPr>
              <w:jc w:val="right"/>
              <w:ind w:right="17"/>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716"/>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201"/>
        </w:trPr>
        <w:tc>
          <w:tcPr>
            <w:tcW w:w="46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5"/>
                <w:szCs w:val="15"/>
                <w:b w:val="1"/>
                <w:bCs w:val="1"/>
                <w:color w:val="auto"/>
              </w:rPr>
              <w:t>2024</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0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taxes benefit / (expense) recognized on:</w:t>
            </w: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9"/>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Unrealized gain/(loss) on cash flow hedges</w:t>
            </w:r>
          </w:p>
        </w:tc>
        <w:tc>
          <w:tcPr>
            <w:tcW w:w="960" w:type="dxa"/>
            <w:vAlign w:val="bottom"/>
          </w:tcPr>
          <w:p>
            <w:pPr>
              <w:jc w:val="right"/>
              <w:ind w:right="778"/>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100" w:type="dxa"/>
            <w:vAlign w:val="bottom"/>
          </w:tcPr>
          <w:p>
            <w:pPr>
              <w:spacing w:after="0"/>
              <w:rPr>
                <w:sz w:val="19"/>
                <w:szCs w:val="19"/>
                <w:color w:val="auto"/>
              </w:rPr>
            </w:pPr>
          </w:p>
        </w:tc>
        <w:tc>
          <w:tcPr>
            <w:tcW w:w="1080" w:type="dxa"/>
            <w:vAlign w:val="bottom"/>
          </w:tcPr>
          <w:p>
            <w:pPr>
              <w:jc w:val="right"/>
              <w:ind w:right="89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(2,630)</w:t>
            </w:r>
          </w:p>
        </w:tc>
        <w:tc>
          <w:tcPr>
            <w:tcW w:w="8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w:t>
            </w: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Reclassification adjustment for cash flow hedges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r>
      <w:tr>
        <w:trPr>
          <w:trHeight w:val="219"/>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Reclassification adjustment for retirement benefits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Currency translation adjustments</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w:t>
            </w:r>
          </w:p>
        </w:tc>
      </w:tr>
      <w:tr>
        <w:trPr>
          <w:trHeight w:val="212"/>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6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(937)</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897"/>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(3,885)</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295</w:t>
            </w:r>
          </w:p>
        </w:tc>
      </w:tr>
      <w:tr>
        <w:trPr>
          <w:trHeight w:val="20"/>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23. Stock-Based Compensation</w:t>
      </w:r>
    </w:p>
    <w:p>
      <w:pPr>
        <w:spacing w:after="0" w:line="2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Stock-based compensation expense by function, as below, are included in the unaudited consolidated statements of income:</w:t>
      </w:r>
    </w:p>
    <w:p>
      <w:pPr>
        <w:spacing w:after="0" w:line="132" w:lineRule="exact"/>
        <w:rPr>
          <w:sz w:val="20"/>
          <w:szCs w:val="20"/>
          <w:color w:val="auto"/>
        </w:rPr>
      </w:pPr>
    </w:p>
    <w:tbl>
      <w:tblPr>
        <w:tblLayout w:type="fixed"/>
        <w:tblInd w:w="380" w:type="dxa"/>
        <w:tblCellMar>
          <w:top w:w="0" w:type="dxa"/>
          <w:left w:w="0" w:type="dxa"/>
          <w:bottom w:w="0" w:type="dxa"/>
          <w:right w:w="0" w:type="dxa"/>
        </w:tblCellMar>
      </w:tblPr>
      <w:tr>
        <w:trPr>
          <w:trHeight w:val="182"/>
        </w:trPr>
        <w:tc>
          <w:tcPr>
            <w:tcW w:w="5440" w:type="dxa"/>
            <w:vAlign w:val="bottom"/>
          </w:tcPr>
          <w:p>
            <w:pPr>
              <w:spacing w:after="0"/>
              <w:rPr>
                <w:sz w:val="15"/>
                <w:szCs w:val="15"/>
                <w:color w:val="auto"/>
              </w:rPr>
            </w:pPr>
          </w:p>
        </w:tc>
        <w:tc>
          <w:tcPr>
            <w:tcW w:w="288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5"/>
                <w:szCs w:val="15"/>
                <w:color w:val="auto"/>
              </w:rPr>
            </w:pPr>
          </w:p>
        </w:tc>
        <w:tc>
          <w:tcPr>
            <w:tcW w:w="2320" w:type="dxa"/>
            <w:vAlign w:val="bottom"/>
            <w:gridSpan w:val="4"/>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
        </w:trPr>
        <w:tc>
          <w:tcPr>
            <w:tcW w:w="5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1"/>
        </w:trPr>
        <w:tc>
          <w:tcPr>
            <w:tcW w:w="54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revenues</w:t>
            </w:r>
          </w:p>
        </w:tc>
        <w:tc>
          <w:tcPr>
            <w:tcW w:w="84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7,807</w:t>
            </w:r>
          </w:p>
        </w:tc>
      </w:tr>
      <w:tr>
        <w:trPr>
          <w:trHeight w:val="219"/>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14,121</w:t>
            </w: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14,019</w:t>
            </w:r>
          </w:p>
        </w:tc>
      </w:tr>
      <w:tr>
        <w:trPr>
          <w:trHeight w:val="212"/>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84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4"/>
              </w:rPr>
              <w:t>16,392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18,095</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35,579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35,947</w:t>
            </w:r>
          </w:p>
        </w:tc>
      </w:tr>
      <w:tr>
        <w:trPr>
          <w:trHeight w:val="29"/>
        </w:trPr>
        <w:tc>
          <w:tcPr>
            <w:tcW w:w="54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8"/>
        </w:trPr>
        <w:tc>
          <w:tcPr>
            <w:tcW w:w="544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7"/>
                <w:szCs w:val="17"/>
                <w:color w:val="auto"/>
              </w:rPr>
              <w:t xml:space="preserve">Income tax benefit related to share-based compensation </w:t>
            </w:r>
            <w:r>
              <w:rPr>
                <w:rFonts w:ascii="Times New Roman" w:cs="Times New Roman" w:eastAsia="Times New Roman" w:hAnsi="Times New Roman"/>
                <w:sz w:val="22"/>
                <w:szCs w:val="22"/>
                <w:color w:val="auto"/>
                <w:vertAlign w:val="superscript"/>
              </w:rPr>
              <w:t>(1)</w:t>
            </w:r>
          </w:p>
        </w:tc>
        <w:tc>
          <w:tcPr>
            <w:tcW w:w="84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9,977</w:t>
            </w:r>
          </w:p>
        </w:tc>
      </w:tr>
    </w:tbl>
    <w:p>
      <w:pPr>
        <w:spacing w:after="0" w:line="151" w:lineRule="exact"/>
        <w:rPr>
          <w:sz w:val="20"/>
          <w:szCs w:val="20"/>
          <w:color w:val="auto"/>
        </w:rPr>
      </w:pPr>
    </w:p>
    <w:p>
      <w:pPr>
        <w:jc w:val="both"/>
        <w:ind w:right="100" w:firstLine="390"/>
        <w:spacing w:after="0" w:line="270" w:lineRule="auto"/>
        <w:tabs>
          <w:tab w:leader="none" w:pos="65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$203 and $18 during the three months ended June 30, 2025 and 2024, respectively, and $14,728 and $7,541 during the six months ended June 30, 2025 and 2024, respectively, related to discrete benefits recognized in income tax expense in accordance with ASU No. 2016-09, Compensation - Stock Compensation.</w:t>
      </w:r>
    </w:p>
    <w:p>
      <w:pPr>
        <w:spacing w:after="0" w:line="178" w:lineRule="exact"/>
        <w:rPr>
          <w:sz w:val="20"/>
          <w:szCs w:val="20"/>
          <w:color w:val="auto"/>
        </w:rPr>
      </w:pPr>
    </w:p>
    <w:p>
      <w:pPr>
        <w:jc w:val="both"/>
        <w:ind w:right="100" w:firstLine="464"/>
        <w:spacing w:after="0" w:line="248" w:lineRule="auto"/>
        <w:rPr>
          <w:sz w:val="20"/>
          <w:szCs w:val="20"/>
          <w:color w:val="auto"/>
        </w:rPr>
      </w:pPr>
      <w:r>
        <w:rPr>
          <w:rFonts w:ascii="Times New Roman" w:cs="Times New Roman" w:eastAsia="Times New Roman" w:hAnsi="Times New Roman"/>
          <w:sz w:val="17"/>
          <w:szCs w:val="17"/>
          <w:color w:val="auto"/>
        </w:rPr>
        <w:t>On June 17 2025, the Company’s stockholders approved 2025 Omnibus Incentive Plan (the "2025 Plan"), which among other things, reserves 6,800,000 shares (as adjusted under the terms thereof) of the Company’s common stock for grant of awards under the 2025 Plan, at which time new awards under the 2018 Omnibus Incentive Plan (the "2018 Plan") were not permitted to be made, but outstanding awards under the 2018 Plan will continued to be governed by the terms thereof. As of June 30, 2025, the Company had 5,755,688 shares available for future grants under the 2025 Plan.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Options</w:t>
      </w:r>
    </w:p>
    <w:p>
      <w:pPr>
        <w:spacing w:after="0" w:line="2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Stock option activity under the Company’s stock-based compensation plans is shown below:</w:t>
      </w:r>
    </w:p>
    <w:p>
      <w:pPr>
        <w:spacing w:after="0" w:line="267"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60" w:type="dxa"/>
            <w:vAlign w:val="bottom"/>
          </w:tcPr>
          <w:p>
            <w:pPr>
              <w:spacing w:after="0"/>
              <w:rPr>
                <w:sz w:val="13"/>
                <w:szCs w:val="13"/>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Weighted Average</w:t>
            </w: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Aggregate Intrinsic</w:t>
            </w:r>
          </w:p>
        </w:tc>
        <w:tc>
          <w:tcPr>
            <w:tcW w:w="208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Weighted Average Remaining</w:t>
            </w:r>
          </w:p>
        </w:tc>
        <w:tc>
          <w:tcPr>
            <w:tcW w:w="0" w:type="dxa"/>
            <w:vAlign w:val="bottom"/>
          </w:tcPr>
          <w:p>
            <w:pPr>
              <w:spacing w:after="0"/>
              <w:rPr>
                <w:sz w:val="1"/>
                <w:szCs w:val="1"/>
                <w:color w:val="auto"/>
              </w:rPr>
            </w:pPr>
          </w:p>
        </w:tc>
      </w:tr>
      <w:tr>
        <w:trPr>
          <w:trHeight w:val="182"/>
        </w:trPr>
        <w:tc>
          <w:tcPr>
            <w:tcW w:w="4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28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8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Contractual Life (Years)</w:t>
            </w:r>
          </w:p>
        </w:tc>
        <w:tc>
          <w:tcPr>
            <w:tcW w:w="0" w:type="dxa"/>
            <w:vAlign w:val="bottom"/>
          </w:tcPr>
          <w:p>
            <w:pPr>
              <w:spacing w:after="0"/>
              <w:rPr>
                <w:sz w:val="1"/>
                <w:szCs w:val="1"/>
                <w:color w:val="auto"/>
              </w:rPr>
            </w:pPr>
          </w:p>
        </w:tc>
      </w:tr>
      <w:tr>
        <w:trPr>
          <w:trHeight w:val="35"/>
        </w:trPr>
        <w:tc>
          <w:tcPr>
            <w:tcW w:w="44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1,768,305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25,187</w:t>
            </w:r>
          </w:p>
        </w:tc>
        <w:tc>
          <w:tcPr>
            <w:tcW w:w="100" w:type="dxa"/>
            <w:vAlign w:val="bottom"/>
            <w:shd w:val="clear" w:color="auto" w:fill="CCEEFF"/>
          </w:tcPr>
          <w:p>
            <w:pPr>
              <w:spacing w:after="0"/>
              <w:rPr>
                <w:sz w:val="20"/>
                <w:szCs w:val="20"/>
                <w:color w:val="auto"/>
              </w:rPr>
            </w:pPr>
          </w:p>
        </w:tc>
        <w:tc>
          <w:tcPr>
            <w:tcW w:w="208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45"/>
        </w:trPr>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Granted</w:t>
            </w: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tcPr>
          <w:p>
            <w:pPr>
              <w:ind w:left="1920"/>
              <w:spacing w:after="0"/>
              <w:rPr>
                <w:sz w:val="20"/>
                <w:szCs w:val="20"/>
                <w:color w:val="auto"/>
              </w:rPr>
            </w:pPr>
            <w:r>
              <w:rPr>
                <w:rFonts w:ascii="Times New Roman" w:cs="Times New Roman" w:eastAsia="Times New Roman" w:hAnsi="Times New Roman"/>
                <w:sz w:val="17"/>
                <w:szCs w:val="17"/>
                <w:color w:val="auto"/>
                <w:w w:val="82"/>
              </w:rPr>
              <w:t>—</w:t>
            </w:r>
          </w:p>
        </w:tc>
        <w:tc>
          <w:tcPr>
            <w:tcW w:w="0" w:type="dxa"/>
            <w:vAlign w:val="bottom"/>
          </w:tcPr>
          <w:p>
            <w:pPr>
              <w:spacing w:after="0"/>
              <w:rPr>
                <w:sz w:val="1"/>
                <w:szCs w:val="1"/>
                <w:color w:val="auto"/>
              </w:rPr>
            </w:pPr>
          </w:p>
        </w:tc>
      </w:tr>
      <w:tr>
        <w:trPr>
          <w:trHeight w:val="245"/>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Exercised</w:t>
            </w:r>
          </w:p>
        </w:tc>
        <w:tc>
          <w:tcPr>
            <w:tcW w:w="3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7"/>
                <w:szCs w:val="17"/>
                <w:color w:val="auto"/>
                <w:w w:val="82"/>
              </w:rPr>
              <w:t>—</w:t>
            </w:r>
          </w:p>
        </w:tc>
        <w:tc>
          <w:tcPr>
            <w:tcW w:w="0" w:type="dxa"/>
            <w:vAlign w:val="bottom"/>
          </w:tcPr>
          <w:p>
            <w:pPr>
              <w:spacing w:after="0"/>
              <w:rPr>
                <w:sz w:val="1"/>
                <w:szCs w:val="1"/>
                <w:color w:val="auto"/>
              </w:rPr>
            </w:pPr>
          </w:p>
        </w:tc>
      </w:tr>
      <w:tr>
        <w:trPr>
          <w:trHeight w:val="245"/>
        </w:trPr>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Forfeited</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tcPr>
          <w:p>
            <w:pPr>
              <w:ind w:left="1920"/>
              <w:spacing w:after="0"/>
              <w:rPr>
                <w:sz w:val="20"/>
                <w:szCs w:val="20"/>
                <w:color w:val="auto"/>
              </w:rPr>
            </w:pPr>
            <w:r>
              <w:rPr>
                <w:rFonts w:ascii="Times New Roman" w:cs="Times New Roman" w:eastAsia="Times New Roman" w:hAnsi="Times New Roman"/>
                <w:sz w:val="17"/>
                <w:szCs w:val="17"/>
                <w:color w:val="auto"/>
                <w:w w:val="82"/>
              </w:rPr>
              <w:t>—</w:t>
            </w:r>
          </w:p>
        </w:tc>
        <w:tc>
          <w:tcPr>
            <w:tcW w:w="0" w:type="dxa"/>
            <w:vAlign w:val="bottom"/>
          </w:tcPr>
          <w:p>
            <w:pPr>
              <w:spacing w:after="0"/>
              <w:rPr>
                <w:sz w:val="1"/>
                <w:szCs w:val="1"/>
                <w:color w:val="auto"/>
              </w:rPr>
            </w:pPr>
          </w:p>
        </w:tc>
      </w:tr>
      <w:tr>
        <w:trPr>
          <w:trHeight w:val="263"/>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June 30, 2025</w:t>
            </w: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1,734,720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23,686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80" w:type="dxa"/>
            <w:vAlign w:val="bottom"/>
            <w:tcBorders>
              <w:top w:val="single" w:sz="8" w:color="auto"/>
              <w:bottom w:val="single" w:sz="8" w:color="auto"/>
            </w:tcBorders>
            <w:shd w:val="clear" w:color="auto" w:fill="CCEEFF"/>
          </w:tcPr>
          <w:p>
            <w:pPr>
              <w:ind w:left="1920"/>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Vested and exercisable at June 30, 2025</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828,235</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30.14</w:t>
            </w:r>
          </w:p>
        </w:tc>
        <w:tc>
          <w:tcPr>
            <w:tcW w:w="100" w:type="dxa"/>
            <w:vAlign w:val="bottom"/>
          </w:tcPr>
          <w:p>
            <w:pPr>
              <w:spacing w:after="0"/>
              <w:rPr>
                <w:sz w:val="16"/>
                <w:szCs w:val="16"/>
                <w:color w:val="auto"/>
              </w:rPr>
            </w:pPr>
          </w:p>
        </w:tc>
        <w:tc>
          <w:tcPr>
            <w:tcW w:w="28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11,303</w:t>
            </w:r>
          </w:p>
        </w:tc>
        <w:tc>
          <w:tcPr>
            <w:tcW w:w="100" w:type="dxa"/>
            <w:vAlign w:val="bottom"/>
          </w:tcPr>
          <w:p>
            <w:pPr>
              <w:spacing w:after="0"/>
              <w:rPr>
                <w:sz w:val="16"/>
                <w:szCs w:val="16"/>
                <w:color w:val="auto"/>
              </w:rPr>
            </w:pPr>
          </w:p>
        </w:tc>
        <w:tc>
          <w:tcPr>
            <w:tcW w:w="2080" w:type="dxa"/>
            <w:vAlign w:val="bottom"/>
          </w:tcPr>
          <w:p>
            <w:pPr>
              <w:ind w:left="1920"/>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2"/>
        </w:trPr>
        <w:tc>
          <w:tcPr>
            <w:tcW w:w="4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0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Weighted average grant date fair value of per unit of stock</w:t>
            </w:r>
          </w:p>
        </w:tc>
        <w:tc>
          <w:tcPr>
            <w:tcW w:w="320" w:type="dxa"/>
            <w:vAlign w:val="bottom"/>
            <w:shd w:val="clear" w:color="auto" w:fill="CCEEFF"/>
          </w:tcPr>
          <w:p>
            <w:pPr>
              <w:jc w:val="right"/>
              <w:ind w:right="143"/>
              <w:spacing w:after="0" w:line="177"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80"/>
              <w:spacing w:after="0" w:line="177"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 granted during the period</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4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right="1480" w:firstLine="387"/>
        <w:spacing w:after="0" w:line="395" w:lineRule="auto"/>
        <w:rPr>
          <w:sz w:val="20"/>
          <w:szCs w:val="20"/>
          <w:color w:val="auto"/>
        </w:rPr>
      </w:pPr>
      <w:r>
        <w:rPr>
          <w:rFonts w:ascii="Times New Roman" w:cs="Times New Roman" w:eastAsia="Times New Roman" w:hAnsi="Times New Roman"/>
          <w:sz w:val="17"/>
          <w:szCs w:val="17"/>
          <w:color w:val="auto"/>
        </w:rPr>
        <w:t xml:space="preserve">As of June 30, 2025, unrecognized compensation cost of $10,390 is expected to be expensed over a weighted average period of 2.0 years. </w:t>
      </w:r>
      <w:r>
        <w:rPr>
          <w:rFonts w:ascii="Times New Roman" w:cs="Times New Roman" w:eastAsia="Times New Roman" w:hAnsi="Times New Roman"/>
          <w:sz w:val="17"/>
          <w:szCs w:val="17"/>
          <w:b w:val="1"/>
          <w:bCs w:val="1"/>
          <w:color w:val="auto"/>
        </w:rPr>
        <w:t>Share Matching Program</w:t>
      </w:r>
    </w:p>
    <w:p>
      <w:pPr>
        <w:spacing w:after="0" w:line="1" w:lineRule="exact"/>
        <w:rPr>
          <w:sz w:val="20"/>
          <w:szCs w:val="20"/>
          <w:color w:val="auto"/>
        </w:rPr>
      </w:pPr>
    </w:p>
    <w:p>
      <w:pPr>
        <w:ind w:right="100" w:firstLine="425"/>
        <w:spacing w:after="0" w:line="271" w:lineRule="auto"/>
        <w:rPr>
          <w:sz w:val="20"/>
          <w:szCs w:val="20"/>
          <w:color w:val="auto"/>
        </w:rPr>
      </w:pPr>
      <w:r>
        <w:rPr>
          <w:rFonts w:ascii="Times New Roman" w:cs="Times New Roman" w:eastAsia="Times New Roman" w:hAnsi="Times New Roman"/>
          <w:sz w:val="17"/>
          <w:szCs w:val="17"/>
          <w:color w:val="auto"/>
        </w:rPr>
        <w:t>Under the Company’s 2018 Plan, the Company established a share matching program (“SMP”) for executive officers and other specified employees. Under the SMP, the Company agreed to issue a number of restricted stock units equal to the number of newly acquired shares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Restricted stock unit activity under the SMP is shown below:</w:t>
      </w:r>
    </w:p>
    <w:p>
      <w:pPr>
        <w:spacing w:after="0" w:line="170" w:lineRule="exact"/>
        <w:rPr>
          <w:sz w:val="20"/>
          <w:szCs w:val="20"/>
          <w:color w:val="auto"/>
        </w:rPr>
      </w:pPr>
    </w:p>
    <w:tbl>
      <w:tblPr>
        <w:tblLayout w:type="fixed"/>
        <w:tblInd w:w="420" w:type="dxa"/>
        <w:tblCellMar>
          <w:top w:w="0" w:type="dxa"/>
          <w:left w:w="0" w:type="dxa"/>
          <w:bottom w:w="0" w:type="dxa"/>
          <w:right w:w="0" w:type="dxa"/>
        </w:tblCellMar>
      </w:tblPr>
      <w:tr>
        <w:trPr>
          <w:trHeight w:val="182"/>
        </w:trPr>
        <w:tc>
          <w:tcPr>
            <w:tcW w:w="5920" w:type="dxa"/>
            <w:vAlign w:val="bottom"/>
          </w:tcPr>
          <w:p>
            <w:pPr>
              <w:spacing w:after="0"/>
              <w:rPr>
                <w:sz w:val="15"/>
                <w:szCs w:val="15"/>
                <w:color w:val="auto"/>
              </w:rPr>
            </w:pPr>
          </w:p>
        </w:tc>
        <w:tc>
          <w:tcPr>
            <w:tcW w:w="3640" w:type="dxa"/>
            <w:vAlign w:val="bottom"/>
            <w:gridSpan w:val="4"/>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Restricted Stock Units (SMP)</w:t>
            </w:r>
          </w:p>
        </w:tc>
        <w:tc>
          <w:tcPr>
            <w:tcW w:w="0" w:type="dxa"/>
            <w:vAlign w:val="bottom"/>
          </w:tcPr>
          <w:p>
            <w:pPr>
              <w:spacing w:after="0"/>
              <w:rPr>
                <w:sz w:val="1"/>
                <w:szCs w:val="1"/>
                <w:color w:val="auto"/>
              </w:rPr>
            </w:pPr>
          </w:p>
        </w:tc>
      </w:tr>
      <w:tr>
        <w:trPr>
          <w:trHeight w:val="22"/>
        </w:trPr>
        <w:tc>
          <w:tcPr>
            <w:tcW w:w="59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5920" w:type="dxa"/>
            <w:vAlign w:val="bottom"/>
          </w:tcPr>
          <w:p>
            <w:pPr>
              <w:spacing w:after="0"/>
              <w:rPr>
                <w:sz w:val="10"/>
                <w:szCs w:val="10"/>
                <w:color w:val="auto"/>
              </w:rPr>
            </w:pPr>
          </w:p>
        </w:tc>
        <w:tc>
          <w:tcPr>
            <w:tcW w:w="18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0"/>
                <w:szCs w:val="10"/>
                <w:color w:val="auto"/>
              </w:rPr>
            </w:pPr>
          </w:p>
        </w:tc>
        <w:tc>
          <w:tcPr>
            <w:tcW w:w="1540" w:type="dxa"/>
            <w:vAlign w:val="bottom"/>
          </w:tcPr>
          <w:p>
            <w:pPr>
              <w:jc w:val="right"/>
              <w:ind w:right="279"/>
              <w:spacing w:after="0" w:line="122"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06"/>
        </w:trPr>
        <w:tc>
          <w:tcPr>
            <w:tcW w:w="5920" w:type="dxa"/>
            <w:vAlign w:val="bottom"/>
          </w:tcPr>
          <w:p>
            <w:pPr>
              <w:spacing w:after="0"/>
              <w:rPr>
                <w:sz w:val="9"/>
                <w:szCs w:val="9"/>
                <w:color w:val="auto"/>
              </w:rPr>
            </w:pPr>
          </w:p>
        </w:tc>
        <w:tc>
          <w:tcPr>
            <w:tcW w:w="18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81"/>
        </w:trPr>
        <w:tc>
          <w:tcPr>
            <w:tcW w:w="5920" w:type="dxa"/>
            <w:vAlign w:val="bottom"/>
            <w:tcBorders>
              <w:bottom w:val="single" w:sz="8" w:color="CCEEFF"/>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2024*</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144,845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24.95</w:t>
            </w:r>
          </w:p>
        </w:tc>
        <w:tc>
          <w:tcPr>
            <w:tcW w:w="0" w:type="dxa"/>
            <w:vAlign w:val="bottom"/>
          </w:tcPr>
          <w:p>
            <w:pPr>
              <w:spacing w:after="0"/>
              <w:rPr>
                <w:sz w:val="1"/>
                <w:szCs w:val="1"/>
                <w:color w:val="auto"/>
              </w:rPr>
            </w:pPr>
          </w:p>
        </w:tc>
      </w:tr>
      <w:tr>
        <w:trPr>
          <w:trHeight w:val="219"/>
        </w:trPr>
        <w:tc>
          <w:tcPr>
            <w:tcW w:w="5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Granted</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Vested*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(144,845)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24.95</w:t>
            </w:r>
          </w:p>
        </w:tc>
        <w:tc>
          <w:tcPr>
            <w:tcW w:w="0" w:type="dxa"/>
            <w:vAlign w:val="bottom"/>
          </w:tcPr>
          <w:p>
            <w:pPr>
              <w:spacing w:after="0"/>
              <w:rPr>
                <w:sz w:val="1"/>
                <w:szCs w:val="1"/>
                <w:color w:val="auto"/>
              </w:rPr>
            </w:pPr>
          </w:p>
        </w:tc>
      </w:tr>
      <w:tr>
        <w:trPr>
          <w:trHeight w:val="219"/>
        </w:trPr>
        <w:tc>
          <w:tcPr>
            <w:tcW w:w="5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Forfeited</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5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June 30, 2025*</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ind w:firstLine="429"/>
        <w:spacing w:after="0" w:line="271" w:lineRule="auto"/>
        <w:tabs>
          <w:tab w:leader="none" w:pos="571"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June 30, 2025 and December 31, 2024 restricted stock units vested for which the underlying common stock is yet to be issued are 217,230 and 72,385, respectively.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Stock Units</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Restricted stock unit activity under the Company’s stock-based compensation plans is shown below:</w:t>
      </w:r>
    </w:p>
    <w:p>
      <w:pPr>
        <w:spacing w:after="0" w:line="132" w:lineRule="exact"/>
        <w:rPr>
          <w:sz w:val="20"/>
          <w:szCs w:val="20"/>
          <w:color w:val="auto"/>
        </w:rPr>
      </w:pPr>
    </w:p>
    <w:tbl>
      <w:tblPr>
        <w:tblLayout w:type="fixed"/>
        <w:tblInd w:w="380" w:type="dxa"/>
        <w:tblCellMar>
          <w:top w:w="0" w:type="dxa"/>
          <w:left w:w="0" w:type="dxa"/>
          <w:bottom w:w="0" w:type="dxa"/>
          <w:right w:w="0" w:type="dxa"/>
        </w:tblCellMar>
      </w:tblPr>
      <w:tr>
        <w:trPr>
          <w:trHeight w:val="182"/>
        </w:trPr>
        <w:tc>
          <w:tcPr>
            <w:tcW w:w="5920" w:type="dxa"/>
            <w:vAlign w:val="bottom"/>
          </w:tcPr>
          <w:p>
            <w:pPr>
              <w:spacing w:after="0"/>
              <w:rPr>
                <w:sz w:val="15"/>
                <w:szCs w:val="15"/>
                <w:color w:val="auto"/>
              </w:rPr>
            </w:pPr>
          </w:p>
        </w:tc>
        <w:tc>
          <w:tcPr>
            <w:tcW w:w="3640" w:type="dxa"/>
            <w:vAlign w:val="bottom"/>
            <w:gridSpan w:val="4"/>
          </w:tcPr>
          <w:p>
            <w:pPr>
              <w:jc w:val="right"/>
              <w:ind w:right="1079"/>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22"/>
        </w:trPr>
        <w:tc>
          <w:tcPr>
            <w:tcW w:w="59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5920" w:type="dxa"/>
            <w:vAlign w:val="bottom"/>
          </w:tcPr>
          <w:p>
            <w:pPr>
              <w:spacing w:after="0"/>
              <w:rPr>
                <w:sz w:val="10"/>
                <w:szCs w:val="10"/>
                <w:color w:val="auto"/>
              </w:rPr>
            </w:pPr>
          </w:p>
        </w:tc>
        <w:tc>
          <w:tcPr>
            <w:tcW w:w="18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0"/>
                <w:szCs w:val="10"/>
                <w:color w:val="auto"/>
              </w:rPr>
            </w:pPr>
          </w:p>
        </w:tc>
        <w:tc>
          <w:tcPr>
            <w:tcW w:w="1540" w:type="dxa"/>
            <w:vAlign w:val="bottom"/>
          </w:tcPr>
          <w:p>
            <w:pPr>
              <w:jc w:val="right"/>
              <w:ind w:right="279"/>
              <w:spacing w:after="0" w:line="123"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05"/>
        </w:trPr>
        <w:tc>
          <w:tcPr>
            <w:tcW w:w="5920" w:type="dxa"/>
            <w:vAlign w:val="bottom"/>
          </w:tcPr>
          <w:p>
            <w:pPr>
              <w:spacing w:after="0"/>
              <w:rPr>
                <w:sz w:val="9"/>
                <w:szCs w:val="9"/>
                <w:color w:val="auto"/>
              </w:rPr>
            </w:pPr>
          </w:p>
        </w:tc>
        <w:tc>
          <w:tcPr>
            <w:tcW w:w="18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82"/>
        </w:trPr>
        <w:tc>
          <w:tcPr>
            <w:tcW w:w="5920" w:type="dxa"/>
            <w:vAlign w:val="bottom"/>
            <w:tcBorders>
              <w:bottom w:val="single" w:sz="8" w:color="CCEEFF"/>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2024*</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3,240,200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28.82</w:t>
            </w:r>
          </w:p>
        </w:tc>
        <w:tc>
          <w:tcPr>
            <w:tcW w:w="0" w:type="dxa"/>
            <w:vAlign w:val="bottom"/>
          </w:tcPr>
          <w:p>
            <w:pPr>
              <w:spacing w:after="0"/>
              <w:rPr>
                <w:sz w:val="1"/>
                <w:szCs w:val="1"/>
                <w:color w:val="auto"/>
              </w:rPr>
            </w:pPr>
          </w:p>
        </w:tc>
      </w:tr>
      <w:tr>
        <w:trPr>
          <w:trHeight w:val="219"/>
        </w:trPr>
        <w:tc>
          <w:tcPr>
            <w:tcW w:w="5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996,878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51.01</w:t>
            </w:r>
          </w:p>
        </w:tc>
        <w:tc>
          <w:tcPr>
            <w:tcW w:w="0" w:type="dxa"/>
            <w:vAlign w:val="bottom"/>
          </w:tcPr>
          <w:p>
            <w:pPr>
              <w:spacing w:after="0"/>
              <w:rPr>
                <w:sz w:val="1"/>
                <w:szCs w:val="1"/>
                <w:color w:val="auto"/>
              </w:rPr>
            </w:pPr>
          </w:p>
        </w:tc>
      </w:tr>
      <w:tr>
        <w:trPr>
          <w:trHeight w:val="219"/>
        </w:trPr>
        <w:tc>
          <w:tcPr>
            <w:tcW w:w="5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Vested*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(1,291,993)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26.37</w:t>
            </w:r>
          </w:p>
        </w:tc>
        <w:tc>
          <w:tcPr>
            <w:tcW w:w="0" w:type="dxa"/>
            <w:vAlign w:val="bottom"/>
          </w:tcPr>
          <w:p>
            <w:pPr>
              <w:spacing w:after="0"/>
              <w:rPr>
                <w:sz w:val="1"/>
                <w:szCs w:val="1"/>
                <w:color w:val="auto"/>
              </w:rPr>
            </w:pPr>
          </w:p>
        </w:tc>
      </w:tr>
      <w:tr>
        <w:trPr>
          <w:trHeight w:val="219"/>
        </w:trPr>
        <w:tc>
          <w:tcPr>
            <w:tcW w:w="59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7"/>
                <w:szCs w:val="17"/>
                <w:color w:val="auto"/>
              </w:rPr>
              <w:t>Forfeited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(72,886)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34.93</w:t>
            </w:r>
          </w:p>
        </w:tc>
        <w:tc>
          <w:tcPr>
            <w:tcW w:w="0" w:type="dxa"/>
            <w:vAlign w:val="bottom"/>
          </w:tcPr>
          <w:p>
            <w:pPr>
              <w:spacing w:after="0"/>
              <w:rPr>
                <w:sz w:val="1"/>
                <w:szCs w:val="1"/>
                <w:color w:val="auto"/>
              </w:rPr>
            </w:pPr>
          </w:p>
        </w:tc>
      </w:tr>
      <w:tr>
        <w:trPr>
          <w:trHeight w:val="237"/>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June 30, 2025*</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2,872,199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37.47</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firstLine="390"/>
        <w:spacing w:after="0" w:line="271" w:lineRule="auto"/>
        <w:tabs>
          <w:tab w:leader="none" w:pos="528" w:val="left"/>
        </w:tabs>
        <w:numPr>
          <w:ilvl w:val="0"/>
          <w:numId w:val="2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As of June 30, 2025 and December 31, 2024 restricted stock units vested for which the underlying common stock is yet to be issued are 346,431 and 289,547, respectively.</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As of June 30, 2025, unrecognized compensation cost of $91,077 is expected to be expensed over a weighted average period of 2.8 years.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Based Stock Awards</w:t>
      </w:r>
    </w:p>
    <w:p>
      <w:pPr>
        <w:spacing w:after="0" w:line="234" w:lineRule="exact"/>
        <w:rPr>
          <w:sz w:val="20"/>
          <w:szCs w:val="20"/>
          <w:color w:val="auto"/>
        </w:rPr>
      </w:pPr>
    </w:p>
    <w:p>
      <w:pPr>
        <w:jc w:val="both"/>
        <w:ind w:firstLine="387"/>
        <w:spacing w:after="0" w:line="245" w:lineRule="auto"/>
        <w:rPr>
          <w:sz w:val="20"/>
          <w:szCs w:val="20"/>
          <w:color w:val="auto"/>
        </w:rPr>
      </w:pPr>
      <w:r>
        <w:rPr>
          <w:rFonts w:ascii="Times New Roman" w:cs="Times New Roman" w:eastAsia="Times New Roman" w:hAnsi="Times New Roman"/>
          <w:sz w:val="17"/>
          <w:szCs w:val="17"/>
          <w:color w:val="auto"/>
        </w:rPr>
        <w:t>Under the Company’s equity incentive plans, the Company grants performance-based restricted stock units (“PRSUs”) to executive officers and other specified employees. During the six months ended June 30, 2025, under the 2025 Plan and the 2018 Plan, the Company granted 40% of each award recipient’s equity grants in the form of PRSUs that cliff vest at the end of a three-year period based on an aggregated revenue target for a three-year period (“PU”). The remaining 60% of each award recipient’s equity grants are PRSUs that are based on market conditions, contingent on the Company’s meeting a total shareholder return relative to a group of peer companies specified under PRSU agreements, and are measured over a three-year performance period (“MU”).</w:t>
      </w:r>
    </w:p>
    <w:p>
      <w:pPr>
        <w:spacing w:after="0" w:line="2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PRSU activity under the Company’s stock plans is shown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30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Revenue Based PRSUs</w:t>
            </w:r>
          </w:p>
        </w:tc>
        <w:tc>
          <w:tcPr>
            <w:tcW w:w="342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Market Condition Based PRSUs</w:t>
            </w:r>
          </w:p>
        </w:tc>
        <w:tc>
          <w:tcPr>
            <w:tcW w:w="0" w:type="dxa"/>
            <w:vAlign w:val="bottom"/>
          </w:tcPr>
          <w:p>
            <w:pPr>
              <w:spacing w:after="0"/>
              <w:rPr>
                <w:sz w:val="1"/>
                <w:szCs w:val="1"/>
                <w:color w:val="auto"/>
              </w:rPr>
            </w:pPr>
          </w:p>
        </w:tc>
      </w:tr>
      <w:tr>
        <w:trPr>
          <w:trHeight w:val="22"/>
        </w:trPr>
        <w:tc>
          <w:tcPr>
            <w:tcW w:w="8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420" w:type="dxa"/>
            <w:vAlign w:val="bottom"/>
            <w:tcBorders>
              <w:top w:val="single" w:sz="8" w:color="auto"/>
            </w:tcBorders>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center"/>
              <w:ind w:right="99"/>
              <w:spacing w:after="0" w:line="122" w:lineRule="exact"/>
              <w:rPr>
                <w:sz w:val="20"/>
                <w:szCs w:val="20"/>
                <w:color w:val="auto"/>
              </w:rPr>
            </w:pPr>
            <w:r>
              <w:rPr>
                <w:rFonts w:ascii="Times New Roman" w:cs="Times New Roman" w:eastAsia="Times New Roman" w:hAnsi="Times New Roman"/>
                <w:sz w:val="14"/>
                <w:szCs w:val="14"/>
                <w:b w:val="1"/>
                <w:bCs w:val="1"/>
                <w:color w:val="auto"/>
                <w:w w:val="95"/>
              </w:rPr>
              <w:t>Weighted Average</w:t>
            </w:r>
          </w:p>
        </w:tc>
        <w:tc>
          <w:tcPr>
            <w:tcW w:w="100" w:type="dxa"/>
            <w:vAlign w:val="bottom"/>
          </w:tcPr>
          <w:p>
            <w:pPr>
              <w:spacing w:after="0"/>
              <w:rPr>
                <w:sz w:val="10"/>
                <w:szCs w:val="10"/>
                <w:color w:val="auto"/>
              </w:rPr>
            </w:pPr>
          </w:p>
        </w:tc>
        <w:tc>
          <w:tcPr>
            <w:tcW w:w="1420" w:type="dxa"/>
            <w:vAlign w:val="bottom"/>
            <w:tcBorders>
              <w:top w:val="single" w:sz="8" w:color="auto"/>
            </w:tcBorders>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center"/>
              <w:ind w:right="119"/>
              <w:spacing w:after="0" w:line="122" w:lineRule="exact"/>
              <w:rPr>
                <w:sz w:val="20"/>
                <w:szCs w:val="20"/>
                <w:color w:val="auto"/>
              </w:rPr>
            </w:pPr>
            <w:r>
              <w:rPr>
                <w:rFonts w:ascii="Times New Roman" w:cs="Times New Roman" w:eastAsia="Times New Roman" w:hAnsi="Times New Roman"/>
                <w:sz w:val="14"/>
                <w:szCs w:val="14"/>
                <w:b w:val="1"/>
                <w:bCs w:val="1"/>
                <w:color w:val="auto"/>
                <w:w w:val="95"/>
              </w:rPr>
              <w:t>Weighted Average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86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4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82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81"/>
        </w:trPr>
        <w:tc>
          <w:tcPr>
            <w:tcW w:w="860" w:type="dxa"/>
            <w:vAlign w:val="bottom"/>
          </w:tcPr>
          <w:p>
            <w:pPr>
              <w:spacing w:after="0"/>
              <w:rPr>
                <w:sz w:val="7"/>
                <w:szCs w:val="7"/>
                <w:color w:val="auto"/>
              </w:rPr>
            </w:pPr>
          </w:p>
        </w:tc>
        <w:tc>
          <w:tcPr>
            <w:tcW w:w="39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as of December 31, 2024</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537,944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31.02</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806,519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0" w:type="dxa"/>
            <w:vAlign w:val="bottom"/>
          </w:tcPr>
          <w:p>
            <w:pPr>
              <w:spacing w:after="0"/>
              <w:rPr>
                <w:sz w:val="19"/>
                <w:szCs w:val="19"/>
                <w:color w:val="auto"/>
              </w:rPr>
            </w:pPr>
          </w:p>
        </w:tc>
        <w:tc>
          <w:tcPr>
            <w:tcW w:w="3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244,685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366,915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60" w:type="dxa"/>
            <w:vAlign w:val="bottom"/>
          </w:tcPr>
          <w:p>
            <w:pPr>
              <w:spacing w:after="0"/>
              <w:rPr>
                <w:sz w:val="19"/>
                <w:szCs w:val="19"/>
                <w:color w:val="auto"/>
              </w:rPr>
            </w:pPr>
          </w:p>
        </w:tc>
        <w:tc>
          <w:tcPr>
            <w:tcW w:w="3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Vested</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60" w:type="dxa"/>
            <w:vAlign w:val="bottom"/>
          </w:tcPr>
          <w:p>
            <w:pPr>
              <w:spacing w:after="0"/>
              <w:rPr>
                <w:sz w:val="19"/>
                <w:szCs w:val="19"/>
                <w:color w:val="auto"/>
              </w:rPr>
            </w:pPr>
          </w:p>
        </w:tc>
        <w:tc>
          <w:tcPr>
            <w:tcW w:w="3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(10,986)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(16,464)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52.18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as of June 30, 2025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771,643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36.74</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1,156,970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53.40</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3"/>
        </w:trPr>
        <w:tc>
          <w:tcPr>
            <w:tcW w:w="8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300" w:type="dxa"/>
            <w:vAlign w:val="bottom"/>
          </w:tcPr>
          <w:p>
            <w:pPr>
              <w:jc w:val="right"/>
              <w:ind w:right="298"/>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60" w:type="dxa"/>
            <w:vAlign w:val="bottom"/>
            <w:tcBorders>
              <w:bottom w:val="single" w:sz="8" w:color="9A9A9A"/>
            </w:tcBorders>
          </w:tcPr>
          <w:p>
            <w:pPr>
              <w:spacing w:after="0"/>
              <w:rPr>
                <w:sz w:val="9"/>
                <w:szCs w:val="9"/>
                <w:color w:val="auto"/>
              </w:rPr>
            </w:pPr>
          </w:p>
        </w:tc>
        <w:tc>
          <w:tcPr>
            <w:tcW w:w="39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340" w:firstLine="425"/>
        <w:spacing w:after="0" w:line="429" w:lineRule="auto"/>
        <w:rPr>
          <w:sz w:val="20"/>
          <w:szCs w:val="20"/>
          <w:color w:val="auto"/>
        </w:rPr>
      </w:pPr>
      <w:r>
        <w:rPr>
          <w:rFonts w:ascii="Times New Roman" w:cs="Times New Roman" w:eastAsia="Times New Roman" w:hAnsi="Times New Roman"/>
          <w:sz w:val="17"/>
          <w:szCs w:val="17"/>
          <w:color w:val="auto"/>
        </w:rPr>
        <w:t xml:space="preserve">As of June 30, 2025, unrecognized compensation cost of $55,968 is expected to be expensed over a weighted average period of 2.0 years. </w:t>
      </w:r>
      <w:r>
        <w:rPr>
          <w:rFonts w:ascii="Times New Roman" w:cs="Times New Roman" w:eastAsia="Times New Roman" w:hAnsi="Times New Roman"/>
          <w:sz w:val="17"/>
          <w:szCs w:val="17"/>
          <w:b w:val="1"/>
          <w:bCs w:val="1"/>
          <w:color w:val="auto"/>
        </w:rPr>
        <w:t>Employee Stock Purchase Plan</w:t>
      </w:r>
    </w:p>
    <w:p>
      <w:pPr>
        <w:spacing w:after="0" w:line="49" w:lineRule="exact"/>
        <w:rPr>
          <w:sz w:val="20"/>
          <w:szCs w:val="20"/>
          <w:color w:val="auto"/>
        </w:rPr>
      </w:pPr>
    </w:p>
    <w:p>
      <w:pPr>
        <w:jc w:val="both"/>
        <w:ind w:firstLine="387"/>
        <w:spacing w:after="0" w:line="271" w:lineRule="auto"/>
        <w:rPr>
          <w:sz w:val="20"/>
          <w:szCs w:val="20"/>
          <w:color w:val="auto"/>
        </w:rPr>
      </w:pPr>
      <w:r>
        <w:rPr>
          <w:rFonts w:ascii="Times New Roman" w:cs="Times New Roman" w:eastAsia="Times New Roman" w:hAnsi="Times New Roman"/>
          <w:sz w:val="17"/>
          <w:szCs w:val="17"/>
          <w:color w:val="auto"/>
        </w:rPr>
        <w:t>On June 21, 2022, at the annual meeting of stockholders of the Company, the Company’s stockholders approved the ExlService Holdings, Inc. 2022 Employee Stock Purchase Plan (the “2022 ESPP”).</w:t>
      </w:r>
    </w:p>
    <w:p>
      <w:pPr>
        <w:spacing w:after="0" w:line="164" w:lineRule="exact"/>
        <w:rPr>
          <w:sz w:val="20"/>
          <w:szCs w:val="20"/>
          <w:color w:val="auto"/>
        </w:rPr>
      </w:pPr>
    </w:p>
    <w:p>
      <w:pPr>
        <w:jc w:val="both"/>
        <w:ind w:firstLine="387"/>
        <w:spacing w:after="0" w:line="248" w:lineRule="auto"/>
        <w:rPr>
          <w:sz w:val="20"/>
          <w:szCs w:val="20"/>
          <w:color w:val="auto"/>
        </w:rPr>
      </w:pPr>
      <w:r>
        <w:rPr>
          <w:rFonts w:ascii="Times New Roman" w:cs="Times New Roman" w:eastAsia="Times New Roman" w:hAnsi="Times New Roman"/>
          <w:sz w:val="17"/>
          <w:szCs w:val="17"/>
          <w:color w:val="auto"/>
        </w:rPr>
        <w:t>The 2022 ESPP allows eligible employees to purchase the Company’s shares of common stock through payroll deductions at a pre-specified discount to the lower of closing price of the Company’s common shares on the date of offering or the last business day of each purchase interval. The dollar amount of shares of common stock that can be purchased under the 2022 ESPP must not exceed 15% of the participating employee’s compensation during the offering period, subject to a cap of $25 per employee per calendar year. The Company has reserved 4,000,000 shares of common stock for issuance under the 2022 ESPP.</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sixth offering period under the 2022 ESPP commenced on January 1, 2025 with a term of six months.</w:t>
      </w:r>
    </w:p>
    <w:p>
      <w:pPr>
        <w:spacing w:after="0" w:line="2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Activity under the Company’s 2022 ESPP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180975</wp:posOffset>
            </wp:positionV>
            <wp:extent cx="19812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81200" cy="8255"/>
                    </a:xfrm>
                    <a:prstGeom prst="rect">
                      <a:avLst/>
                    </a:prstGeom>
                    <a:noFill/>
                  </pic:spPr>
                </pic:pic>
              </a:graphicData>
            </a:graphic>
          </wp:anchor>
        </w:drawing>
      </w:r>
    </w:p>
    <w:p>
      <w:pPr>
        <w:spacing w:after="0" w:line="275"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5"/>
          <w:szCs w:val="15"/>
          <w:b w:val="1"/>
          <w:bCs w:val="1"/>
          <w:color w:val="auto"/>
        </w:rPr>
        <w:t>Total Proceeds</w:t>
      </w:r>
    </w:p>
    <w:p>
      <w:pPr>
        <w:spacing w:after="0" w:line="2" w:lineRule="exact"/>
        <w:rPr>
          <w:sz w:val="20"/>
          <w:szCs w:val="20"/>
          <w:color w:val="auto"/>
        </w:rPr>
      </w:pPr>
    </w:p>
    <w:p>
      <w:pPr>
        <w:ind w:left="6920"/>
        <w:spacing w:after="0"/>
        <w:tabs>
          <w:tab w:leader="none" w:pos="8480" w:val="left"/>
        </w:tabs>
        <w:rPr>
          <w:sz w:val="20"/>
          <w:szCs w:val="20"/>
          <w:color w:val="auto"/>
        </w:rPr>
      </w:pPr>
      <w:r>
        <w:rPr>
          <w:rFonts w:ascii="Times New Roman" w:cs="Times New Roman" w:eastAsia="Times New Roman" w:hAnsi="Times New Roman"/>
          <w:sz w:val="15"/>
          <w:szCs w:val="15"/>
          <w:b w:val="1"/>
          <w:bCs w:val="1"/>
          <w:color w:val="auto"/>
        </w:rPr>
        <w:t>Number</w:t>
      </w:r>
      <w:r>
        <w:rPr>
          <w:sz w:val="20"/>
          <w:szCs w:val="20"/>
          <w:color w:val="auto"/>
        </w:rPr>
        <w:tab/>
      </w:r>
      <w:r>
        <w:rPr>
          <w:rFonts w:ascii="Times New Roman" w:cs="Times New Roman" w:eastAsia="Times New Roman" w:hAnsi="Times New Roman"/>
          <w:sz w:val="15"/>
          <w:szCs w:val="15"/>
          <w:b w:val="1"/>
          <w:bCs w:val="1"/>
          <w:color w:val="auto"/>
        </w:rPr>
        <w:t>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10795</wp:posOffset>
            </wp:positionV>
            <wp:extent cx="5820410" cy="147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20410" cy="14732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Shares available for issuance as of December 31, 2024</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Issuance of common stock made during the fifth offering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14605</wp:posOffset>
            </wp:positionV>
            <wp:extent cx="5820410" cy="163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20410" cy="163830"/>
                    </a:xfrm>
                    <a:prstGeom prst="rect">
                      <a:avLst/>
                    </a:prstGeom>
                    <a:noFill/>
                  </pic:spPr>
                </pic:pic>
              </a:graphicData>
            </a:graphic>
          </wp:anchor>
        </w:drawing>
      </w:r>
    </w:p>
    <w:p>
      <w:pPr>
        <w:spacing w:after="0" w:line="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Shares available for issuance as of June 30, 2025</w:t>
      </w:r>
    </w:p>
    <w:p>
      <w:pPr>
        <w:spacing w:after="0" w:line="28" w:lineRule="exact"/>
        <w:rPr>
          <w:sz w:val="20"/>
          <w:szCs w:val="20"/>
          <w:color w:val="auto"/>
        </w:rPr>
      </w:pPr>
    </w:p>
    <w:p>
      <w:pPr>
        <w:ind w:left="400" w:right="500"/>
        <w:spacing w:after="0" w:line="237" w:lineRule="auto"/>
        <w:rPr>
          <w:sz w:val="20"/>
          <w:szCs w:val="20"/>
          <w:color w:val="auto"/>
        </w:rPr>
      </w:pPr>
      <w:r>
        <w:rPr>
          <w:rFonts w:ascii="Times New Roman" w:cs="Times New Roman" w:eastAsia="Times New Roman" w:hAnsi="Times New Roman"/>
          <w:sz w:val="17"/>
          <w:szCs w:val="17"/>
          <w:color w:val="auto"/>
        </w:rPr>
        <w:t>Issuance of common stock related to the sixth offering period made subsequent to June 30, 2025</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24. Related Party Disclosures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3,672,744</w:t>
      </w:r>
    </w:p>
    <w:p>
      <w:pPr>
        <w:spacing w:after="0" w:line="28" w:lineRule="exact"/>
        <w:rPr>
          <w:sz w:val="20"/>
          <w:szCs w:val="20"/>
          <w:color w:val="auto"/>
        </w:rPr>
      </w:pPr>
    </w:p>
    <w:p>
      <w:pPr>
        <w:ind w:left="220"/>
        <w:spacing w:after="0"/>
        <w:tabs>
          <w:tab w:leader="none" w:pos="1840" w:val="left"/>
        </w:tabs>
        <w:rPr>
          <w:sz w:val="20"/>
          <w:szCs w:val="20"/>
          <w:color w:val="auto"/>
        </w:rPr>
      </w:pPr>
      <w:r>
        <w:rPr>
          <w:rFonts w:ascii="Times New Roman" w:cs="Times New Roman" w:eastAsia="Times New Roman" w:hAnsi="Times New Roman"/>
          <w:sz w:val="17"/>
          <w:szCs w:val="17"/>
          <w:color w:val="auto"/>
        </w:rPr>
        <w:t>64,939  $</w:t>
      </w:r>
      <w:r>
        <w:rPr>
          <w:sz w:val="20"/>
          <w:szCs w:val="20"/>
          <w:color w:val="auto"/>
        </w:rPr>
        <w:tab/>
      </w:r>
      <w:r>
        <w:rPr>
          <w:rFonts w:ascii="Times New Roman" w:cs="Times New Roman" w:eastAsia="Times New Roman" w:hAnsi="Times New Roman"/>
          <w:sz w:val="16"/>
          <w:szCs w:val="16"/>
          <w:color w:val="auto"/>
        </w:rPr>
        <w:t>1,823</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3,607,805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41910</wp:posOffset>
            </wp:positionV>
            <wp:extent cx="957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57580" cy="8255"/>
                    </a:xfrm>
                    <a:prstGeom prst="rect">
                      <a:avLst/>
                    </a:prstGeom>
                    <a:noFill/>
                  </pic:spPr>
                </pic:pic>
              </a:graphicData>
            </a:graphic>
          </wp:anchor>
        </w:drawing>
      </w:r>
    </w:p>
    <w:p>
      <w:pPr>
        <w:spacing w:after="0" w:line="210" w:lineRule="exact"/>
        <w:rPr>
          <w:sz w:val="20"/>
          <w:szCs w:val="20"/>
          <w:color w:val="auto"/>
        </w:rPr>
      </w:pPr>
    </w:p>
    <w:p>
      <w:pPr>
        <w:ind w:left="220"/>
        <w:spacing w:after="0"/>
        <w:tabs>
          <w:tab w:leader="none" w:pos="1840" w:val="left"/>
        </w:tabs>
        <w:rPr>
          <w:sz w:val="20"/>
          <w:szCs w:val="20"/>
          <w:color w:val="auto"/>
        </w:rPr>
      </w:pPr>
      <w:r>
        <w:rPr>
          <w:rFonts w:ascii="Times New Roman" w:cs="Times New Roman" w:eastAsia="Times New Roman" w:hAnsi="Times New Roman"/>
          <w:sz w:val="17"/>
          <w:szCs w:val="17"/>
          <w:color w:val="auto"/>
        </w:rPr>
        <w:t>97,536  $</w:t>
      </w:r>
      <w:r>
        <w:rPr>
          <w:sz w:val="20"/>
          <w:szCs w:val="20"/>
          <w:color w:val="auto"/>
        </w:rPr>
        <w:tab/>
      </w:r>
      <w:r>
        <w:rPr>
          <w:rFonts w:ascii="Times New Roman" w:cs="Times New Roman" w:eastAsia="Times New Roman" w:hAnsi="Times New Roman"/>
          <w:sz w:val="16"/>
          <w:szCs w:val="16"/>
          <w:color w:val="auto"/>
        </w:rPr>
        <w:t>3,844</w:t>
      </w:r>
    </w:p>
    <w:p>
      <w:pPr>
        <w:spacing w:after="0" w:line="724" w:lineRule="exact"/>
        <w:rPr>
          <w:sz w:val="20"/>
          <w:szCs w:val="20"/>
          <w:color w:val="auto"/>
        </w:rPr>
      </w:pPr>
    </w:p>
    <w:p>
      <w:pPr>
        <w:sectPr>
          <w:pgSz w:w="11900" w:h="16838" w:orient="portrait"/>
          <w:cols w:equalWidth="0" w:num="2">
            <w:col w:w="6520" w:space="720"/>
            <w:col w:w="4000"/>
          </w:cols>
          <w:pgMar w:left="320" w:top="119" w:right="339" w:bottom="1440" w:gutter="0" w:footer="0" w:header="0"/>
          <w:type w:val="continuous"/>
        </w:sectPr>
      </w:pPr>
    </w:p>
    <w:p>
      <w:pPr>
        <w:spacing w:after="0" w:line="47" w:lineRule="exact"/>
        <w:rPr>
          <w:sz w:val="20"/>
          <w:szCs w:val="20"/>
          <w:color w:val="auto"/>
        </w:rPr>
      </w:pPr>
    </w:p>
    <w:p>
      <w:pPr>
        <w:jc w:val="both"/>
        <w:ind w:firstLine="425"/>
        <w:spacing w:after="0" w:line="254" w:lineRule="auto"/>
        <w:rPr>
          <w:sz w:val="20"/>
          <w:szCs w:val="20"/>
          <w:color w:val="auto"/>
        </w:rPr>
      </w:pPr>
      <w:r>
        <w:rPr>
          <w:rFonts w:ascii="Times New Roman" w:cs="Times New Roman" w:eastAsia="Times New Roman" w:hAnsi="Times New Roman"/>
          <w:sz w:val="17"/>
          <w:szCs w:val="17"/>
          <w:color w:val="auto"/>
        </w:rPr>
        <w:t>The Company provides data and AI-led services to Corridor Platforms, Inc., which is an equity affiliate of the Company. The Company recognized revenues, net of $42 and $151, during the three months ended June 30, 2025 and 2024 respectively, and $84 and $302, during the six months ended June 30, 2025 and 2024 respectively. The Company had outstanding accounts receivable, net of $56 each, related to this service contract as of June 30, 2025 and December 31, 2024.</w:t>
      </w:r>
    </w:p>
    <w:p>
      <w:pPr>
        <w:spacing w:after="0" w:line="192" w:lineRule="exact"/>
        <w:rPr>
          <w:sz w:val="20"/>
          <w:szCs w:val="20"/>
          <w:color w:val="auto"/>
        </w:rPr>
      </w:pPr>
    </w:p>
    <w:p>
      <w:pPr>
        <w:jc w:val="both"/>
        <w:ind w:firstLine="425"/>
        <w:spacing w:after="0" w:line="234" w:lineRule="auto"/>
        <w:rPr>
          <w:sz w:val="20"/>
          <w:szCs w:val="20"/>
          <w:color w:val="auto"/>
        </w:rPr>
      </w:pPr>
      <w:r>
        <w:rPr>
          <w:rFonts w:ascii="Times New Roman" w:cs="Times New Roman" w:eastAsia="Times New Roman" w:hAnsi="Times New Roman"/>
          <w:sz w:val="17"/>
          <w:szCs w:val="17"/>
          <w:color w:val="auto"/>
        </w:rPr>
        <w:t>The Company provides data and AI-led services to PharmaCord LLC., where one of the Company’s directors is the member-manager as of June 30, 2025. The Company recognized revenues of $105 and $nil during the three months ended June 30, 2025 and 2024, respectively, and $224 and nil during the six months ended June 30, 2025 and 2024, respectively. The Company had outstanding accounts receivable, net of $70 and $nil, related to this service contract as of June 30, 2025 and December 31, 2024, respectively.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25. Commitments and Contingencies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Commitments</w:t>
      </w:r>
    </w:p>
    <w:p>
      <w:pPr>
        <w:spacing w:after="0" w:line="236" w:lineRule="exact"/>
        <w:rPr>
          <w:sz w:val="20"/>
          <w:szCs w:val="20"/>
          <w:color w:val="auto"/>
        </w:rPr>
      </w:pPr>
    </w:p>
    <w:p>
      <w:pPr>
        <w:jc w:val="both"/>
        <w:ind w:firstLine="425"/>
        <w:spacing w:after="0" w:line="271" w:lineRule="auto"/>
        <w:rPr>
          <w:sz w:val="20"/>
          <w:szCs w:val="20"/>
          <w:color w:val="auto"/>
        </w:rPr>
      </w:pPr>
      <w:r>
        <w:rPr>
          <w:rFonts w:ascii="Times New Roman" w:cs="Times New Roman" w:eastAsia="Times New Roman" w:hAnsi="Times New Roman"/>
          <w:sz w:val="17"/>
          <w:szCs w:val="17"/>
          <w:color w:val="auto"/>
        </w:rPr>
        <w:t>As of June 30, 2025, the Company had committed to spend approximately $5,000 under agreements to purchase property and equipment. This amount is net of capital advances paid which are recognized in unaudited consolidated balance sheets as “Capital work in progress” under “Property and equipment, net.”</w:t>
      </w:r>
    </w:p>
    <w:p>
      <w:pPr>
        <w:spacing w:after="0" w:line="177" w:lineRule="exact"/>
        <w:rPr>
          <w:sz w:val="20"/>
          <w:szCs w:val="20"/>
          <w:color w:val="auto"/>
        </w:rPr>
      </w:pPr>
    </w:p>
    <w:p>
      <w:pPr>
        <w:jc w:val="both"/>
        <w:ind w:firstLine="425"/>
        <w:spacing w:after="0" w:line="241" w:lineRule="auto"/>
        <w:rPr>
          <w:sz w:val="20"/>
          <w:szCs w:val="20"/>
          <w:color w:val="auto"/>
        </w:rPr>
      </w:pPr>
      <w:r>
        <w:rPr>
          <w:rFonts w:ascii="Times New Roman" w:cs="Times New Roman" w:eastAsia="Times New Roman" w:hAnsi="Times New Roman"/>
          <w:sz w:val="17"/>
          <w:szCs w:val="17"/>
          <w:color w:val="auto"/>
        </w:rPr>
        <w:t>On June 15, 2023, the Company, along with other limited partners, entered into a limited partnership agreement with the general partner, PNP Financial Services Fund GP I, LLC and initial limited partner and outgoing partner, to form a partnership with the name Plug and Play Financial Services Fund I, L.P. (the “Partnership”) for the primary purpose of making investments in growth-stage technology companies. The Company committed to make an aggregate investment of $4,000 in the Partnership. As of June 30, 2025, the Company has invested $1,800 in the Partnership and is committed to make further investments up to an amount of $2,200.</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Commitments</w:t>
      </w:r>
    </w:p>
    <w:p>
      <w:pPr>
        <w:spacing w:after="0" w:line="236" w:lineRule="exact"/>
        <w:rPr>
          <w:sz w:val="20"/>
          <w:szCs w:val="20"/>
          <w:color w:val="auto"/>
        </w:rPr>
      </w:pPr>
    </w:p>
    <w:p>
      <w:pPr>
        <w:jc w:val="both"/>
        <w:ind w:firstLine="387"/>
        <w:spacing w:after="0" w:line="245" w:lineRule="auto"/>
        <w:rPr>
          <w:sz w:val="20"/>
          <w:szCs w:val="20"/>
          <w:color w:val="auto"/>
        </w:rPr>
      </w:pPr>
      <w:r>
        <w:rPr>
          <w:rFonts w:ascii="Times New Roman" w:cs="Times New Roman" w:eastAsia="Times New Roman" w:hAnsi="Times New Roman"/>
          <w:sz w:val="17"/>
          <w:szCs w:val="17"/>
          <w:color w:val="auto"/>
        </w:rPr>
        <w:t>Certain units of the Company’s Indian subsidiaries were established as 100% Export-Oriented units or under the Software Technology Parks of India or Special Economic Zone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 believes, however, that these units have in the past satisfied, and will continue to satisfy, the required conditions.</w:t>
      </w:r>
    </w:p>
    <w:p>
      <w:pPr>
        <w:spacing w:after="0" w:line="201" w:lineRule="exact"/>
        <w:rPr>
          <w:sz w:val="20"/>
          <w:szCs w:val="20"/>
          <w:color w:val="auto"/>
        </w:rPr>
      </w:pPr>
    </w:p>
    <w:p>
      <w:pPr>
        <w:jc w:val="both"/>
        <w:ind w:firstLine="387"/>
        <w:spacing w:after="0" w:line="246" w:lineRule="auto"/>
        <w:rPr>
          <w:sz w:val="20"/>
          <w:szCs w:val="20"/>
          <w:color w:val="auto"/>
        </w:rPr>
      </w:pPr>
      <w:r>
        <w:rPr>
          <w:rFonts w:ascii="Times New Roman" w:cs="Times New Roman" w:eastAsia="Times New Roman" w:hAnsi="Times New Roman"/>
          <w:sz w:val="17"/>
          <w:szCs w:val="17"/>
          <w:color w:val="auto"/>
        </w:rPr>
        <w:t>The Company’s operations centers in the Philippines are registered as qualified Philippines Economic Zone Authority units, which provides the Company fiscal incentives on the import of capital goods and local purchase of services and materials. The Company is required to meet certain requirements to retain the incentives. The Company has complied, and intends to continue compliance, with the requirements to avail itself of the incentives.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Contingencies</w:t>
      </w:r>
    </w:p>
    <w:p>
      <w:pPr>
        <w:spacing w:after="0" w:line="249"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The transfer pricing regulations in the countries where the Company operates require that controlled intercompany transactions be at arm’s-length. Accordingly, the Company determines and documents pricing for controlled intercompany transactions based on an economic analysis as prescribed in the respective regulations. The tax authorities have jurisdiction to review the Company’s transfer pricing. If the Company’s transfer pricing is challenged by the authorities, they could assess additional tax, interest and penalties, thereby impacting the Company’s profitability and cash flows.</w:t>
      </w:r>
    </w:p>
    <w:p>
      <w:pPr>
        <w:spacing w:after="0" w:line="191" w:lineRule="exact"/>
        <w:rPr>
          <w:sz w:val="20"/>
          <w:szCs w:val="20"/>
          <w:color w:val="auto"/>
        </w:rPr>
      </w:pPr>
    </w:p>
    <w:p>
      <w:pPr>
        <w:jc w:val="both"/>
        <w:ind w:firstLine="387"/>
        <w:spacing w:after="0" w:line="241" w:lineRule="auto"/>
        <w:rPr>
          <w:sz w:val="20"/>
          <w:szCs w:val="20"/>
          <w:color w:val="auto"/>
        </w:rPr>
      </w:pPr>
      <w:r>
        <w:rPr>
          <w:rFonts w:ascii="Times New Roman" w:cs="Times New Roman" w:eastAsia="Times New Roman" w:hAnsi="Times New Roman"/>
          <w:sz w:val="17"/>
          <w:szCs w:val="17"/>
          <w:color w:val="auto"/>
        </w:rPr>
        <w:t>The Company is currently involved in transfer pricing and related income tax disputes with Indian tax authorities. The aggregate amount demanded by Indian tax authorities (net of advance payments) as of June 30, 2025 and December 31, 2024 is $50,191 and $49,588, respectively. The Company has made payments and/or provided bank guarantees against these demands in the amounts of $8,031 and $7,506, as of June 30, 2025 and December 31, 2024, respectively. The Company believes that its positions will more likely than not be sustained upon final examination by the tax authorities, and accordingly has not accrued any liabilities with respect to these matters in its consolidated financial statements.</w:t>
      </w:r>
    </w:p>
    <w:p>
      <w:pPr>
        <w:spacing w:after="0" w:line="217"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Pursuant to reviewing the Company’s annual VAT filings, the Indian tax authorities raised aggregate VAT demands for tax years 2015 and 2017, in the amounts of $5,330 and $5,339, as of June 30, 2025 and December 31, 2024, respectively. The Company has provided bank guarantees against these demands in the amounts of $5,330 and 5,339, as of June 30, 2025 and December 31, 2024, respectively. The Company has filed appeals against these matters and believes that it is more likely than not that upon final examination its position will be sustained based on technical merits.</w:t>
      </w:r>
    </w:p>
    <w:p>
      <w:pPr>
        <w:spacing w:after="0" w:line="197"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The Indian GST authorities rejected the Company’s refund claims in the amounts of $5,732 and $5,885 as of June 30, 2025 and December 31, 2024, respectively. The Company has filed appeals against these matters and believes that it is more likely than not that upon final examination its position will be sustained based on its technical merits. Accordingly, no allowance was recorded against these GST receivables as of June 30, 2025 and December 31, 2024, respectively.</w:t>
      </w:r>
    </w:p>
    <w:p>
      <w:pPr>
        <w:spacing w:after="0" w:line="197"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Some of the Company’s subsidiaries in India have undergone assessments with the statutory authority with respect to defined contribution plan. Except for some components of the assessments for which the Company has recognized a provision in the unaudited consolidated financial statements, the Company believes that the amount demanded by such authority is not a meaningful indicator of the potential liabilities of the Company, and that these matters are without merit. The Company is defending against the assessment orders and in one case, has instituted an appeal against the order before the relevant tribunal while also making a payment under protest of the amount demanded. As of the reporting date, the Company’s management does not believe that the ultimate assessments in any of these matters will have a material adverse effect on the Company’s consolidated financial condition, results of operations or cash flows. The Company will continue to monitor and evaluate its position based on future events and developments on these matters.</w:t>
      </w:r>
    </w:p>
    <w:p>
      <w:pPr>
        <w:spacing w:after="0" w:line="192" w:lineRule="exact"/>
        <w:rPr>
          <w:sz w:val="20"/>
          <w:szCs w:val="20"/>
          <w:color w:val="auto"/>
        </w:rPr>
      </w:pPr>
    </w:p>
    <w:p>
      <w:pPr>
        <w:jc w:val="both"/>
        <w:ind w:firstLine="387"/>
        <w:spacing w:after="0" w:line="248" w:lineRule="auto"/>
        <w:rPr>
          <w:sz w:val="20"/>
          <w:szCs w:val="20"/>
          <w:color w:val="auto"/>
        </w:rPr>
      </w:pPr>
      <w:r>
        <w:rPr>
          <w:rFonts w:ascii="Times New Roman" w:cs="Times New Roman" w:eastAsia="Times New Roman" w:hAnsi="Times New Roman"/>
          <w:sz w:val="17"/>
          <w:szCs w:val="17"/>
          <w:color w:val="auto"/>
        </w:rPr>
        <w:t>From time to time, the Company, its subsidiaries, and/or their present officers or directors, may be or have been, named as a defendant in litigation matters, including employment-related claims. The plaintiffs in those cases seek damages, including, where applicable, compensatory damages, punitive damages and attorney’s fees. With respect to pending litigation matters as of the reporting date, the Company believes that the damages claimed are without merit, and the Company intends to vigorously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rPr>
          <w:sz w:val="20"/>
          <w:szCs w:val="20"/>
          <w:color w:val="auto"/>
        </w:rPr>
      </w:pPr>
      <w:r>
        <w:rPr>
          <w:rFonts w:ascii="Times New Roman" w:cs="Times New Roman" w:eastAsia="Times New Roman" w:hAnsi="Times New Roman"/>
          <w:sz w:val="17"/>
          <w:szCs w:val="17"/>
          <w:color w:val="auto"/>
        </w:rPr>
        <w:t>defend them. The Company will continuously monitor developments on these matters to assess potential impacts to the financial statements.</w:t>
      </w:r>
    </w:p>
    <w:p>
      <w:pPr>
        <w:spacing w:after="0" w:line="212" w:lineRule="exact"/>
        <w:rPr>
          <w:sz w:val="20"/>
          <w:szCs w:val="20"/>
          <w:color w:val="auto"/>
        </w:rPr>
      </w:pPr>
    </w:p>
    <w:p>
      <w:pPr>
        <w:jc w:val="both"/>
        <w:ind w:firstLine="387"/>
        <w:spacing w:after="0" w:line="244" w:lineRule="auto"/>
        <w:rPr>
          <w:sz w:val="20"/>
          <w:szCs w:val="20"/>
          <w:color w:val="auto"/>
        </w:rPr>
      </w:pPr>
      <w:r>
        <w:rPr>
          <w:rFonts w:ascii="Times New Roman" w:cs="Times New Roman" w:eastAsia="Times New Roman" w:hAnsi="Times New Roman"/>
          <w:sz w:val="17"/>
          <w:szCs w:val="17"/>
          <w:color w:val="auto"/>
        </w:rPr>
        <w:t>The outcomes of legal actions are unpredictable and subject to significant uncertainties, and thus it is inherently difficult to determine the likelihood of the Company incurring a material loss or quantification of any such loss. With respect to certain pending litigation matters as of the reporting date, the Company has made provisions based on information currently available, including its evaluation of the facts underlying each matter and legal counsel’s advice on the estimated losses or range of reasonably possible losses. Based on the Company’s assessment, including the availability of insurance recoveries, the Company’s management does not believe that currently pending litigation, individually or in aggregate, will have a material adverse effect on the Company’s consolidated financial condition, results of operations or cash flows. The Company will continuously monitor these matters to assess potential impacts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 Subsequent Events</w:t>
      </w:r>
    </w:p>
    <w:p>
      <w:pPr>
        <w:spacing w:after="0" w:line="234" w:lineRule="exact"/>
        <w:rPr>
          <w:sz w:val="20"/>
          <w:szCs w:val="20"/>
          <w:color w:val="auto"/>
        </w:rPr>
      </w:pPr>
    </w:p>
    <w:p>
      <w:pPr>
        <w:jc w:val="both"/>
        <w:ind w:firstLine="387"/>
        <w:spacing w:after="0" w:line="248" w:lineRule="auto"/>
        <w:rPr>
          <w:sz w:val="20"/>
          <w:szCs w:val="20"/>
          <w:color w:val="auto"/>
        </w:rPr>
      </w:pPr>
      <w:r>
        <w:rPr>
          <w:rFonts w:ascii="Times New Roman" w:cs="Times New Roman" w:eastAsia="Times New Roman" w:hAnsi="Times New Roman"/>
          <w:sz w:val="17"/>
          <w:szCs w:val="17"/>
          <w:color w:val="auto"/>
        </w:rPr>
        <w:t>On July 4, 2025, President Trump signed a new tax legislation commonly referred to as the One Big Beautiful Bill Act (“OBBBA”), effectively extending certain provisions of the 2017 Tax Cuts and Jobs Act, including adjusting a number of provisions that were subject to sunsets, phase-outs, or phase-ins. While most of the changes made by OBBBA are effective in future tax years, some of its provisions are effective in the current tax year. The Company is currently evaluating the impact of OBBBA on its consolidated financial statements.</w:t>
      </w:r>
    </w:p>
    <w:p>
      <w:pPr>
        <w:spacing w:after="0" w:line="198" w:lineRule="exact"/>
        <w:rPr>
          <w:sz w:val="20"/>
          <w:szCs w:val="20"/>
          <w:color w:val="auto"/>
        </w:rPr>
      </w:pPr>
    </w:p>
    <w:p>
      <w:pPr>
        <w:jc w:val="both"/>
        <w:ind w:firstLine="387"/>
        <w:spacing w:after="0" w:line="246" w:lineRule="auto"/>
        <w:rPr>
          <w:sz w:val="20"/>
          <w:szCs w:val="20"/>
          <w:color w:val="auto"/>
        </w:rPr>
      </w:pPr>
      <w:r>
        <w:rPr>
          <w:rFonts w:ascii="Times New Roman" w:cs="Times New Roman" w:eastAsia="Times New Roman" w:hAnsi="Times New Roman"/>
          <w:sz w:val="17"/>
          <w:szCs w:val="17"/>
          <w:color w:val="auto"/>
        </w:rPr>
        <w:t>On July 29, 2025, the Company entered into an Accelerated Share Repurchase (ASR) Agreement with Citibank to repurchase shares of its common stock for an aggregate purchase price of $125,000, as part of the Company’s previously announced 2024 Repurchase Program of $500,000. The Company plans to fund the repurchase with available cash on hand and/or borrowings from its credit facility.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243" w:lineRule="exact"/>
        <w:rPr>
          <w:sz w:val="20"/>
          <w:szCs w:val="20"/>
          <w:color w:val="auto"/>
        </w:rPr>
      </w:pPr>
    </w:p>
    <w:p>
      <w:pPr>
        <w:jc w:val="both"/>
        <w:ind w:firstLine="387"/>
        <w:spacing w:after="0" w:line="272"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2024. Some of the statements in the following discussion are forward looking statements.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47" w:lineRule="exact"/>
        <w:rPr>
          <w:sz w:val="20"/>
          <w:szCs w:val="20"/>
          <w:color w:val="auto"/>
        </w:rPr>
      </w:pPr>
    </w:p>
    <w:p>
      <w:pPr>
        <w:jc w:val="both"/>
        <w:ind w:firstLine="387"/>
        <w:spacing w:after="0" w:line="247"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the United States Private Securities Litigation Reform Act of 1995.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252" w:lineRule="exact"/>
        <w:rPr>
          <w:sz w:val="20"/>
          <w:szCs w:val="20"/>
          <w:color w:val="auto"/>
        </w:rPr>
      </w:pPr>
    </w:p>
    <w:p>
      <w:pPr>
        <w:ind w:left="620" w:hanging="307"/>
        <w:spacing w:after="0" w:line="284"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and grow client demand for our services and solutions, including anticipating and incorporating the latest technologies, for instance, artificial intelligence (“AI”), including generative AI into our offerings;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of AI technology presents competitive, operational, reputational and legal risks, and our use of AI technology may not be successful;</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 on client demand by the selling cycle and terms of our client contracts;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transition to and implement new organization structure;</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our earnings;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hire and retain enough sufficiently trained employees to support our operations or any changes in the senior management team;</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accurately estimate and/or manage costs;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adjust our pricing terms or effectively manage our asset utilization levels to meet the changing demands of our clients and potential clients;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 security incidents, data breaches, or other unauthorized disclosure of sensitive or confidential client and employee data;</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third parties to deliver services and infrastructure for client critical services, and on third party data use rights for certain of our offerings;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wage increases;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our intellectual property;</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dependence on a limited number of clients and our ability to withstand the loss of a significant client;</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manage rapid infrastructure and personnel growth across countries;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consummate or integrate strategic acquisitions including the impact from the impairment of goodwill and other intangible assets, if any;</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liability arising out of customer and third party contracts;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competition in our industry;</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telecommunications or technology disruptions or breaches, natural or other disasters, medical epidemics or pandemics, or acts of violence or war;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20" w:hanging="307"/>
        <w:spacing w:after="0" w:line="284"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by applicable tax authorities to transfer pricing determinations or the introduction of new or unfavorable tax legislation, tariffs, including legal restrictions on repatriation of funds held abroad;</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exposure to currency exchange rate fluctuations in the various currencies in which we do business including rising inflation, high interest rates and economic recessionary trends on currency exchange rates;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immigration and work permits;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legislative and judicial developments, including our ability to adhere to regulations or accreditation or licensing standards that govern our business;</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service debt or obtain additional financing on competitive terms, or exposure to interest rate fluctuations that are not fully hedged through interest rate swaps;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public reaction in the United States or elsewhere to offshore outsourcing;</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effects of political and economic conditions globally including newly imposed U.S tariffs and any additional responsive non-U.S tariffs, particularly in the geographies where we operate;</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make accurate estimates and assumptions in connection with the preparation of our consolidated financial statements;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risk fluctuations in the market values of our investment and derivatives portfolios; 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execute our sustainability-related initiatives.</w:t>
      </w:r>
    </w:p>
    <w:p>
      <w:pPr>
        <w:spacing w:after="0" w:line="346" w:lineRule="exact"/>
        <w:rPr>
          <w:sz w:val="20"/>
          <w:szCs w:val="20"/>
          <w:color w:val="auto"/>
        </w:rPr>
      </w:pPr>
    </w:p>
    <w:p>
      <w:pPr>
        <w:jc w:val="both"/>
        <w:ind w:firstLine="387"/>
        <w:spacing w:after="0" w:line="287" w:lineRule="auto"/>
        <w:rPr>
          <w:sz w:val="20"/>
          <w:szCs w:val="20"/>
          <w:color w:val="auto"/>
        </w:rPr>
      </w:pPr>
      <w:r>
        <w:rPr>
          <w:rFonts w:ascii="Times New Roman" w:cs="Times New Roman" w:eastAsia="Times New Roman" w:hAnsi="Times New Roman"/>
          <w:sz w:val="17"/>
          <w:szCs w:val="17"/>
          <w:color w:val="auto"/>
        </w:rPr>
        <w:t>These and other factors are more fully discussed in our Annual Report on Form 10-K for the fiscal year ended December 31, 2024. These and other risks could cause actual results to differ materially from those implied by forward-looking statements in this Quarterly Report on Form 10-Q.</w:t>
      </w:r>
    </w:p>
    <w:p>
      <w:pPr>
        <w:spacing w:after="0" w:line="177"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The forward-looking statements made by us in this Quarterly Report on Form 10-Q, or elsewhere, speak only as of the date on which they were made. New risks and uncertainties may occur from time to time, and it is impossible for us to predict those events or how they may affect us. We have no obligation to update any forward-looking statements in this Quarterly Report on Form 10-Q after the date of this Quarterly Report on Form 10-Q, except as required by federal securities laws.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Overview</w:t>
      </w:r>
    </w:p>
    <w:p>
      <w:pPr>
        <w:spacing w:after="0" w:line="234" w:lineRule="exact"/>
        <w:rPr>
          <w:sz w:val="20"/>
          <w:szCs w:val="20"/>
          <w:color w:val="auto"/>
        </w:rPr>
      </w:pPr>
    </w:p>
    <w:p>
      <w:pPr>
        <w:jc w:val="both"/>
        <w:ind w:firstLine="387"/>
        <w:spacing w:after="0" w:line="248" w:lineRule="auto"/>
        <w:rPr>
          <w:sz w:val="20"/>
          <w:szCs w:val="20"/>
          <w:color w:val="auto"/>
        </w:rPr>
      </w:pPr>
      <w:r>
        <w:rPr>
          <w:rFonts w:ascii="Times New Roman" w:cs="Times New Roman" w:eastAsia="Times New Roman" w:hAnsi="Times New Roman"/>
          <w:sz w:val="17"/>
          <w:szCs w:val="17"/>
          <w:color w:val="auto"/>
        </w:rPr>
        <w:t>We are a global data and artificial intelligence (“AI”) company that offers services and solutions to reinvent client business models, drive better outcomes and unlock growth with speed. We harness the power of data, AI, and deep industry knowledge to transform businesses, including the world’s leading corporations in industries including insurance, healthcare, life sciences, banking and financial services, media and retail, communications and media, and energy and infrastructure, among others.</w:t>
      </w:r>
    </w:p>
    <w:p>
      <w:pPr>
        <w:spacing w:after="0" w:line="210"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auto"/>
        </w:rPr>
        <w:t>Our global delivery network, which includes highly trained industry and process specialists across the United States, the United Kingdom, Latin America, South Africa, Europe and Asia (primarily India and the Philippines), is a key asset. We have operations centers in India, the United States, the Philippines, South Africa, Colombia, Bulgaria, Romania, the United Kingdom, the Czech Republic, Mexico and the Republic of Ireland.</w:t>
      </w:r>
    </w:p>
    <w:p>
      <w:pPr>
        <w:spacing w:after="0" w:line="114"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In the first quarter of 2025, we implemented operational and structural changes to align with how our management reviews financial information and makes operating decisions. The new operating model is comprised of Industry Market Units (“IMUs”) to focus on delivering higher value to clients leveraging our full suite of capabilities; and Strategic Growth Units to focus on rapidly advancing our operational, analytics, data engineering, and AI capabilities specific to our chosen industries. Our IMUs will focus on managing customer relationships and delivering the “One EXL” value proposition to clients, maintain a unified go-to-market approach and be integrally responsible for growth, profitability and client satisfaction.</w:t>
      </w:r>
    </w:p>
    <w:p>
      <w:pPr>
        <w:spacing w:after="0" w:line="1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Accordingly, our new reportable segments, aligned to our IMUs, are as follows:</w:t>
      </w:r>
    </w:p>
    <w:p>
      <w:pPr>
        <w:spacing w:after="0" w:line="165" w:lineRule="exact"/>
        <w:rPr>
          <w:sz w:val="20"/>
          <w:szCs w:val="20"/>
          <w:color w:val="auto"/>
        </w:rPr>
      </w:pPr>
    </w:p>
    <w:p>
      <w:pPr>
        <w:ind w:left="1240" w:hanging="541"/>
        <w:spacing w:after="0"/>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w:t>
      </w:r>
    </w:p>
    <w:p>
      <w:pPr>
        <w:spacing w:after="0" w:line="27" w:lineRule="exact"/>
        <w:rPr>
          <w:rFonts w:ascii="Times New Roman" w:cs="Times New Roman" w:eastAsia="Times New Roman" w:hAnsi="Times New Roman"/>
          <w:sz w:val="17"/>
          <w:szCs w:val="17"/>
          <w:color w:val="auto"/>
        </w:rPr>
      </w:pPr>
    </w:p>
    <w:p>
      <w:pPr>
        <w:ind w:left="1240" w:hanging="541"/>
        <w:spacing w:after="0"/>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Healthcare and Life Sciences,</w:t>
      </w:r>
    </w:p>
    <w:p>
      <w:pPr>
        <w:spacing w:after="0" w:line="10" w:lineRule="exact"/>
        <w:rPr>
          <w:rFonts w:ascii="Times New Roman" w:cs="Times New Roman" w:eastAsia="Times New Roman" w:hAnsi="Times New Roman"/>
          <w:sz w:val="17"/>
          <w:szCs w:val="17"/>
          <w:color w:val="auto"/>
        </w:rPr>
      </w:pPr>
    </w:p>
    <w:p>
      <w:pPr>
        <w:ind w:left="1240" w:hanging="541"/>
        <w:spacing w:after="0"/>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Banking, Capital Markets and Diversified Industries,</w:t>
      </w:r>
    </w:p>
    <w:p>
      <w:pPr>
        <w:spacing w:after="0" w:line="10" w:lineRule="exact"/>
        <w:rPr>
          <w:rFonts w:ascii="Times New Roman" w:cs="Times New Roman" w:eastAsia="Times New Roman" w:hAnsi="Times New Roman"/>
          <w:sz w:val="17"/>
          <w:szCs w:val="17"/>
          <w:color w:val="auto"/>
        </w:rPr>
      </w:pPr>
    </w:p>
    <w:p>
      <w:pPr>
        <w:ind w:left="1240" w:hanging="541"/>
        <w:spacing w:after="0"/>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Growth Markets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The primary changes in our new reportable segments reflect 1) the integration of our former Analytics reportable segment as a core capability within each of our IMUs, ensuring alignment with the specialized needs of our clients across IMUs, 2) the reorganization of our former Emerging Business reportable segment into a Banking, Capital Markets and Diversified Industries reportable segment, excluding Life Sciences, which is now a part of the new Healthcare and Life Sciences reportable segment, and 3) the formation of International Growth Markets as a separate business unit to represent all our service and solutions offerings to clients in the United Kingdom, Europe, Middle East, Asia-Pacific and South Africa geographies across all industry verticals. The International Growth Markets business unit will help strategically expand our footprint in markets outside of North America and drive focus on offerings and expansion in those markets in new and existing clients.</w:t>
      </w:r>
    </w:p>
    <w:p>
      <w:pPr>
        <w:spacing w:after="0" w:line="205" w:lineRule="exact"/>
        <w:rPr>
          <w:sz w:val="20"/>
          <w:szCs w:val="20"/>
          <w:color w:val="auto"/>
        </w:rPr>
      </w:pPr>
    </w:p>
    <w:p>
      <w:pPr>
        <w:jc w:val="both"/>
        <w:ind w:firstLine="387"/>
        <w:spacing w:after="0" w:line="287" w:lineRule="auto"/>
        <w:rPr>
          <w:sz w:val="20"/>
          <w:szCs w:val="20"/>
          <w:color w:val="auto"/>
        </w:rPr>
      </w:pPr>
      <w:r>
        <w:rPr>
          <w:rFonts w:ascii="Times New Roman" w:cs="Times New Roman" w:eastAsia="Times New Roman" w:hAnsi="Times New Roman"/>
          <w:sz w:val="17"/>
          <w:szCs w:val="17"/>
          <w:color w:val="auto"/>
        </w:rPr>
        <w:t>In addition, our revenues by service type are now presented as data and AI-led and digital operations services. Revenues attributable to geographical regions are now presented as North America (including the United States, Canada and Mexico), the United Kingdom and Europe, and Rest of World.</w:t>
      </w:r>
    </w:p>
    <w:p>
      <w:pPr>
        <w:spacing w:after="0" w:line="177" w:lineRule="exact"/>
        <w:rPr>
          <w:sz w:val="20"/>
          <w:szCs w:val="20"/>
          <w:color w:val="auto"/>
        </w:rPr>
      </w:pPr>
    </w:p>
    <w:p>
      <w:pPr>
        <w:jc w:val="both"/>
        <w:ind w:firstLine="387"/>
        <w:spacing w:after="0" w:line="287" w:lineRule="auto"/>
        <w:rPr>
          <w:sz w:val="20"/>
          <w:szCs w:val="20"/>
          <w:color w:val="auto"/>
        </w:rPr>
      </w:pPr>
      <w:r>
        <w:rPr>
          <w:rFonts w:ascii="Times New Roman" w:cs="Times New Roman" w:eastAsia="Times New Roman" w:hAnsi="Times New Roman"/>
          <w:sz w:val="17"/>
          <w:szCs w:val="17"/>
          <w:color w:val="auto"/>
        </w:rPr>
        <w:t>We have recast our segment disclosures for all prior periods presented to conform to the way we internally manage and monitor segment level performance of our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Revenues</w:t>
      </w:r>
    </w:p>
    <w:p>
      <w:pPr>
        <w:spacing w:after="0" w:line="247" w:lineRule="exact"/>
        <w:rPr>
          <w:sz w:val="20"/>
          <w:szCs w:val="20"/>
          <w:color w:val="auto"/>
        </w:rPr>
      </w:pPr>
    </w:p>
    <w:p>
      <w:pPr>
        <w:jc w:val="both"/>
        <w:ind w:firstLine="387"/>
        <w:spacing w:after="0" w:line="262" w:lineRule="auto"/>
        <w:rPr>
          <w:sz w:val="20"/>
          <w:szCs w:val="20"/>
          <w:color w:val="auto"/>
        </w:rPr>
      </w:pPr>
      <w:r>
        <w:rPr>
          <w:rFonts w:ascii="Times New Roman" w:cs="Times New Roman" w:eastAsia="Times New Roman" w:hAnsi="Times New Roman"/>
          <w:sz w:val="17"/>
          <w:szCs w:val="17"/>
          <w:color w:val="auto"/>
        </w:rPr>
        <w:t>For the three months ended June 30, 2025, we generated revenues of $514.5 million compared to revenues of $448.4 million for the three months ended June 30, 2024, an increase of $66.1 million, or 14.7%. For the six months ended June 30, 2025, we generated revenues of $1,015.5 million compared to revenues of $884.9 million for the six months ended June 30, 2024, an increase of $130.6 million, or 14.8%.</w:t>
      </w:r>
    </w:p>
    <w:p>
      <w:pPr>
        <w:spacing w:after="0" w:line="185"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We serve clients mainly in North America, and the United Kingdom and Europe, with these two regions generating 82.2% and 15.1%, respectively, of our total revenues for the three months ended June 30, 2025, and 82.3% and 14.8%, respectively, of our total revenues for the three months ended June 30, 2024. For the six months ended June 30, 2025, these two regions generated 82.5% and 14.8%, respectively, of our total revenues and 82.6% and 14.7%, respectively, of our total revenues for the six months ended June 30, 2024.</w:t>
      </w:r>
    </w:p>
    <w:p>
      <w:pPr>
        <w:spacing w:after="0" w:line="191"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For the three months ended June 30, 2025 and 2024, our total revenues from our top ten clients accounted for 33.5% and 33.0% of our total revenues, respectively. For the six months ended June 30, 2025 and 2024, our total revenues from our top ten clients accounted for 33.6% and 32.9% of our total revenues, respectively. Although we continue to develop relationships with new clients to diversify our client base, we believe that the loss of any of our top ten clients could have a material adverse effect on our financial performance.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w:t>
      </w:r>
    </w:p>
    <w:p>
      <w:pPr>
        <w:spacing w:after="0" w:line="247"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auto"/>
        </w:rPr>
        <w:t>We provide data and AI-led and digital operations services to our clients. We market and sell our solutions and services to existing and prospective clients through our sales and client management teams, which are aligned by our IMUs. Our sales and client management teams operate primarily from the United States, India, the United Kingdom, Ireland and Australia.</w:t>
      </w:r>
    </w:p>
    <w:p>
      <w:pPr>
        <w:spacing w:after="0" w:line="174" w:lineRule="exact"/>
        <w:rPr>
          <w:sz w:val="20"/>
          <w:szCs w:val="20"/>
          <w:color w:val="auto"/>
        </w:rPr>
      </w:pPr>
    </w:p>
    <w:p>
      <w:pPr>
        <w:jc w:val="both"/>
        <w:ind w:firstLine="387"/>
        <w:spacing w:after="0" w:line="245" w:lineRule="auto"/>
        <w:rPr>
          <w:sz w:val="20"/>
          <w:szCs w:val="20"/>
          <w:color w:val="auto"/>
        </w:rPr>
      </w:pPr>
      <w:r>
        <w:rPr>
          <w:rFonts w:ascii="Times New Roman" w:cs="Times New Roman" w:eastAsia="Times New Roman" w:hAnsi="Times New Roman"/>
          <w:sz w:val="17"/>
          <w:szCs w:val="17"/>
          <w:b w:val="1"/>
          <w:bCs w:val="1"/>
          <w:color w:val="auto"/>
        </w:rPr>
        <w:t xml:space="preserve">Data and AI-led: </w:t>
      </w:r>
      <w:r>
        <w:rPr>
          <w:rFonts w:ascii="Times New Roman" w:cs="Times New Roman" w:eastAsia="Times New Roman" w:hAnsi="Times New Roman"/>
          <w:sz w:val="17"/>
          <w:szCs w:val="17"/>
          <w:color w:val="auto"/>
        </w:rPr>
        <w:t>Our data and AI-led revenue comes from AI-powered solutions and services in which we embed data and AI into client workflows.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Leveraging our depth of domain knowledge, analytics, data management and digital engineering expertise, our industry-specific offerings are designed to help clients accelerate growth, improve customer experience, enhance efficiency, and deliver lasting competitive advantages. As clients evolve from digital operations to data and AI-powered operations and outcomes, these capabilities represent the next stage of enterprise transformation.</w:t>
      </w:r>
    </w:p>
    <w:p>
      <w:pPr>
        <w:spacing w:after="0" w:line="194" w:lineRule="exact"/>
        <w:rPr>
          <w:sz w:val="20"/>
          <w:szCs w:val="20"/>
          <w:color w:val="auto"/>
        </w:rPr>
      </w:pPr>
    </w:p>
    <w:p>
      <w:pPr>
        <w:jc w:val="both"/>
        <w:ind w:firstLine="387"/>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Digital operations: </w:t>
      </w:r>
      <w:r>
        <w:rPr>
          <w:rFonts w:ascii="Times New Roman" w:cs="Times New Roman" w:eastAsia="Times New Roman" w:hAnsi="Times New Roman"/>
          <w:sz w:val="17"/>
          <w:szCs w:val="17"/>
          <w:color w:val="auto"/>
        </w:rPr>
        <w:t>Our digital operations revenue comes from our industry-specific solutions and services that help clients run essential business functions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greater speed, accuracy, and efficiency. We apply deep industry expertise and tailored technology—whether our proprietary technology or client technology— to solve complex challenges and drive measurable outcomes. These digital operations deployments form the foundation for future client transformation opportunities to infuse AI into client workflows and unlock even greater value.</w:t>
      </w:r>
    </w:p>
    <w:p>
      <w:pPr>
        <w:spacing w:after="0" w:line="2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Our industry market units, which provide data and AI-led and digital operations services, are described below:</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firstLine="387"/>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Insurance: </w:t>
      </w:r>
      <w:r>
        <w:rPr>
          <w:rFonts w:ascii="Times New Roman" w:cs="Times New Roman" w:eastAsia="Times New Roman" w:hAnsi="Times New Roman"/>
          <w:sz w:val="17"/>
          <w:szCs w:val="17"/>
          <w:color w:val="auto"/>
        </w:rPr>
        <w:t>We combine our cloud-first digital insurance software solutions and industry expertise with generative AI, machine learning, advanced analytics,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platforms, to enable insurance businesses to transform operations and embed artificial intelligence into workflows. Our data and AI-powered operations and services span across the insurance value chain. We provide services to insurers in the areas of property and casualty, life, disability, annuity, and retirement services. Additionally, we serve insurance brokers, reinsurers, and insurtech companies.</w:t>
      </w:r>
    </w:p>
    <w:p>
      <w:pPr>
        <w:spacing w:after="0" w:line="194"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Our offerings include digital marketing, new business acquisition, actuarial, underwriting support, claims processing, premium and benefit administration, policy servicing, premium audit, surveys, billing and collection, commercial and residential surveys, finance and accounting and customer service. This includes our Insurance Large Language Model (“LLM”), a specialized generative AI platform for claims, underwriting and subrogation, developed leveraging our deep experience and proprietary data in the insurance space.</w:t>
      </w:r>
    </w:p>
    <w:p>
      <w:pPr>
        <w:spacing w:after="0" w:line="193"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Healthcare and Life Sciences: </w:t>
      </w:r>
      <w:r>
        <w:rPr>
          <w:rFonts w:ascii="Times New Roman" w:cs="Times New Roman" w:eastAsia="Times New Roman" w:hAnsi="Times New Roman"/>
          <w:sz w:val="17"/>
          <w:szCs w:val="17"/>
          <w:color w:val="auto"/>
        </w:rPr>
        <w:t>We work with clients across the healthcare ecosystem to meet their current and dynamic business challenges. We deliver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integrated solutions and services at the intersection of domain, data, and AI to enable AI transformation for healthcare payers and providers, pharmacy benefit managers (“PBMs”), and life sciences organizations. Through the provision of a range of data and AI-powered operations and solutions, we focus on streamlining healthcare administration processes to enhance operational efficiency, aimed at reducing costs for both providers and consumers and improving consumer experience. We leverage innovative technologies to provide offerings intended to simplify complex workflows, minimize bureaucratic hurdles, and improve overall effectiveness.</w:t>
      </w:r>
    </w:p>
    <w:p>
      <w:pPr>
        <w:spacing w:after="0" w:line="198"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For healthcare payers, we offer pre and post-pay auditing services, payment analytics, payment integrity, a care management platform and services and patient navigation. For healthcare providers, we offer revenue cycle management, digital transformation, data and analytics and call center modernization. For PBMs, we provide digital transformation, data and analytics and call center modernization. Within the life sciences space, we provide finance and accounting operations and data analytics. Across our segments, we leverage AI, analytics, and cloud-based solutions to enhance value-based care, optimize claims, and ensure regulatory compliance.</w:t>
      </w:r>
    </w:p>
    <w:p>
      <w:pPr>
        <w:spacing w:after="0" w:line="196" w:lineRule="exact"/>
        <w:rPr>
          <w:sz w:val="20"/>
          <w:szCs w:val="20"/>
          <w:color w:val="auto"/>
        </w:rPr>
      </w:pPr>
    </w:p>
    <w:p>
      <w:pPr>
        <w:jc w:val="both"/>
        <w:ind w:firstLine="387"/>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Banking, Capital Markets, and Diversified Industries: </w:t>
      </w:r>
      <w:r>
        <w:rPr>
          <w:rFonts w:ascii="Times New Roman" w:cs="Times New Roman" w:eastAsia="Times New Roman" w:hAnsi="Times New Roman"/>
          <w:sz w:val="17"/>
          <w:szCs w:val="17"/>
          <w:color w:val="auto"/>
        </w:rPr>
        <w:t>Our Banking and Capital Markets and Diversified Industries group delivers comprehensive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solutions across retail and commercial banking, credit card services, payment services, fintech, banking infrastructure services, capital markets, mortgage services, utilities, retail and consumer packaged goods, media, communications and entertainment, travel and leisure, transportation and logistics, and other business services industries.</w:t>
      </w:r>
    </w:p>
    <w:p>
      <w:pPr>
        <w:spacing w:after="0" w:line="194"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By integrating domain expertise with AI-driven data management, we empower financial institutions to innovate, enhance operational agility, and navigate evolving market demands. Our tailored services span retail banking operations such as digital lending solutions that enhance underwriting and compliance, sales and demand generation, omni-channel marketing, digital onboarding, know your customer (“KYC”)/anti-money laundering (“AML”) compliance, and collections; credit card services including customer acquisition, fraud management, and payment processing; and payment services structured for secure, multi-currency transaction processing. Additionally, we support fintechs with AI-driven hyper-personalization and analytics, while our capital markets solutions cover investment banking, asset management, custodian banking, and fund administration. Mortgage services include loan origination, account servicing, default management, and title settlement services. Our industry-leading AI and automation-driven service offerings drive efficiency and innovation across financial services.</w:t>
      </w:r>
    </w:p>
    <w:p>
      <w:pPr>
        <w:spacing w:after="0" w:line="205"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Our enterprise services and solutions include domain-specific operations, finance and accounting, customer experience management, back-office operations, and revenue enhancement, such as pricing and billing, enabling our clients to deliver superior economic performance. For example, in the retail and consumer packaged goods sectors, we provide supply chain management services and AI-led advanced analytical services including merchandising, pricing, and demand forecasting and for our clients in the utilities sector, we offer AI-enabled operations and solutions related to end-to-end customer life cycle management, including onboarding and terminations, engineering field services, customer service, billing, and debt management and collections.</w:t>
      </w:r>
    </w:p>
    <w:p>
      <w:pPr>
        <w:spacing w:after="0" w:line="196" w:lineRule="exact"/>
        <w:rPr>
          <w:sz w:val="20"/>
          <w:szCs w:val="20"/>
          <w:color w:val="auto"/>
        </w:rPr>
      </w:pPr>
    </w:p>
    <w:p>
      <w:pPr>
        <w:jc w:val="both"/>
        <w:ind w:firstLine="387"/>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International Growth Markets: </w:t>
      </w:r>
      <w:r>
        <w:rPr>
          <w:rFonts w:ascii="Times New Roman" w:cs="Times New Roman" w:eastAsia="Times New Roman" w:hAnsi="Times New Roman"/>
          <w:sz w:val="17"/>
          <w:szCs w:val="17"/>
          <w:color w:val="auto"/>
        </w:rPr>
        <w:t>Our International Growth Markets (“IGM”) unit is focused on extending our global reach in growth markets outside North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America. This provides us with opportunities to leverage our investments, experience, and expertise from the North America market to expand our global client base, drive further growth, and bring us closer to our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customers across the world. IGM consists of dedicated teams servicing clients in the banking and capital markets, insurance, life sciences, energy and infrastructure, retail, consumer goods, and travel industries in growth markets. This unit is instrumental in localizing our global capabilities in these industry segments to align with the local regulatory, cultural, linguistic and economic needs. Across all regions in which we operate, we combine deep domain experience with our data and AI expertise to help clients innovate, enhance operational agility, adapt to changing market demands, and drive better business outcomes.</w:t>
      </w:r>
    </w:p>
    <w:p>
      <w:pPr>
        <w:spacing w:after="0" w:line="193" w:lineRule="exact"/>
        <w:rPr>
          <w:sz w:val="20"/>
          <w:szCs w:val="20"/>
          <w:color w:val="auto"/>
        </w:rPr>
      </w:pPr>
    </w:p>
    <w:p>
      <w:pPr>
        <w:jc w:val="both"/>
        <w:ind w:firstLine="387"/>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Pricing: </w:t>
      </w:r>
      <w:r>
        <w:rPr>
          <w:rFonts w:ascii="Times New Roman" w:cs="Times New Roman" w:eastAsia="Times New Roman" w:hAnsi="Times New Roman"/>
          <w:sz w:val="17"/>
          <w:szCs w:val="17"/>
          <w:color w:val="auto"/>
        </w:rPr>
        <w:t>We charge for our services using various pricing models like time-and-material pricing, full-time-equivalent pricing, transaction-based pricing,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outcome-based pricing, subscription-based pricing and other alternative or emerging pricing models. Outcome-based pricing arrangements is an example of a non-linear pricing model where our revenues from platforms and solutions and the services we provide are compensated based on our clients’ usage or savings rather than the efforts we deploy to provide these services. We continue to observe a shift in the industry pricing models toward transaction-based pricing, outcome-based pricing and other alternative pricing models. We believe this trend will continue and we use such alternative pricing models with some of our current clients and are seeking to move certain other clients from a full-time-equivalent pricing model to a transaction-based or other alternative pricing model. These alternative pricing models place the focus on operating efficiency in order to maintain or improve our gross margins.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234"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The Organization for Economic Cooperation and Development, issued a Pillar II model for implementing a 15% global minimum tax effective January 1, 2024. The application of the rules relating to Pillar II continue to evolve, and there are countries that are still in the process of issuing attendant rules and regulations, including available transitional safe harbor rules. The two countries where we operate but do not meet the available safe harbor rules are the Republic of Ireland and the Philippines. The Pillar II impacts for the Republic of Ireland and the Philippines are not significant and have been properly reflected in our financial statements. We will continue to monitor Pillar II developments and assess any future impacts.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47" w:lineRule="exact"/>
        <w:rPr>
          <w:sz w:val="20"/>
          <w:szCs w:val="20"/>
          <w:color w:val="auto"/>
        </w:rPr>
      </w:pPr>
    </w:p>
    <w:p>
      <w:pPr>
        <w:jc w:val="both"/>
        <w:ind w:firstLine="387"/>
        <w:spacing w:after="0" w:line="287" w:lineRule="auto"/>
        <w:rPr>
          <w:sz w:val="20"/>
          <w:szCs w:val="20"/>
          <w:color w:val="auto"/>
        </w:rPr>
      </w:pPr>
      <w:r>
        <w:rPr>
          <w:rFonts w:ascii="Times New Roman" w:cs="Times New Roman" w:eastAsia="Times New Roman" w:hAnsi="Times New Roman"/>
          <w:sz w:val="17"/>
          <w:szCs w:val="17"/>
          <w:color w:val="auto"/>
        </w:rPr>
        <w:t>In the first quarter of 2025, we implemented operational and structural changes which resulted in the realignment of our reporting segments. Refer to Note 3-Segment Information and Note 10- Goodwill and Other Intangible Assets to our unaudited consolidated financial statements for further details.</w:t>
      </w:r>
    </w:p>
    <w:p>
      <w:pPr>
        <w:spacing w:after="0" w:line="177"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 xml:space="preserve">Goodwill has been re-allocated to reporting units based on the relative fair value approach. We tested goodwill for impairment prior to the segment realignment and immediately thereafter, for events and conditions identified in accordance with the guidance in ASC Topic 350, </w:t>
      </w:r>
      <w:r>
        <w:rPr>
          <w:rFonts w:ascii="Times New Roman" w:cs="Times New Roman" w:eastAsia="Times New Roman" w:hAnsi="Times New Roman"/>
          <w:sz w:val="17"/>
          <w:szCs w:val="17"/>
          <w:i w:val="1"/>
          <w:iCs w:val="1"/>
          <w:color w:val="auto"/>
        </w:rPr>
        <w:t>Intangibles- Goodwill and Other</w:t>
      </w:r>
      <w:r>
        <w:rPr>
          <w:rFonts w:ascii="Times New Roman" w:cs="Times New Roman" w:eastAsia="Times New Roman" w:hAnsi="Times New Roman"/>
          <w:sz w:val="17"/>
          <w:szCs w:val="17"/>
          <w:color w:val="auto"/>
        </w:rPr>
        <w:t>. The fair value of our reporting units was calculated using a discounted cash flow model using estimated future cash flows. The results of our evaluation demonstrated that the fair value of each reporting unit exceeded its book value as of the date of the segment realignment.</w:t>
      </w:r>
    </w:p>
    <w:p>
      <w:pPr>
        <w:spacing w:after="0" w:line="197"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There have been no significant changes in our critical accounting policies and estimates during the six months ended June 30, 2025, as compared to the critical accounting policies and estimates referred in Part II, Item 7, “Management’s Discussion and Analysis of Financial Condition and Results of Operations” under “Critical Accounting Policies and Estimates” and Note 2 - Summary of Significant Accounting Policies to our consolidated financial statements included in our Annual Report on Form 10-K for the fiscal year ended December 31, 2024.</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for the three months ended June 30, 2025 and 2024:</w:t>
      </w:r>
    </w:p>
    <w:p>
      <w:pPr>
        <w:spacing w:after="0" w:line="235" w:lineRule="exact"/>
        <w:rPr>
          <w:sz w:val="20"/>
          <w:szCs w:val="20"/>
          <w:color w:val="auto"/>
        </w:rPr>
      </w:pPr>
    </w:p>
    <w:tbl>
      <w:tblPr>
        <w:tblLayout w:type="fixed"/>
        <w:tblInd w:w="480" w:type="dxa"/>
        <w:tblCellMar>
          <w:top w:w="0" w:type="dxa"/>
          <w:left w:w="0" w:type="dxa"/>
          <w:bottom w:w="0" w:type="dxa"/>
          <w:right w:w="0" w:type="dxa"/>
        </w:tblCellMar>
      </w:tblPr>
      <w:tr>
        <w:trPr>
          <w:trHeight w:val="182"/>
        </w:trPr>
        <w:tc>
          <w:tcPr>
            <w:tcW w:w="3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(dollars in millions)</w:t>
            </w:r>
          </w:p>
        </w:tc>
        <w:tc>
          <w:tcPr>
            <w:tcW w:w="0" w:type="dxa"/>
            <w:vAlign w:val="bottom"/>
          </w:tcPr>
          <w:p>
            <w:pPr>
              <w:spacing w:after="0"/>
              <w:rPr>
                <w:sz w:val="1"/>
                <w:szCs w:val="1"/>
                <w:color w:val="auto"/>
              </w:rPr>
            </w:pPr>
          </w:p>
        </w:tc>
      </w:tr>
      <w:tr>
        <w:trPr>
          <w:trHeight w:val="306"/>
        </w:trPr>
        <w:tc>
          <w:tcPr>
            <w:tcW w:w="3360" w:type="dxa"/>
            <w:vAlign w:val="bottom"/>
          </w:tcPr>
          <w:p>
            <w:pPr>
              <w:spacing w:after="0"/>
              <w:rPr>
                <w:sz w:val="24"/>
                <w:szCs w:val="24"/>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Three months</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Three months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360" w:type="dxa"/>
            <w:vAlign w:val="bottom"/>
          </w:tcPr>
          <w:p>
            <w:pPr>
              <w:spacing w:after="0"/>
              <w:rPr>
                <w:sz w:val="11"/>
                <w:szCs w:val="11"/>
                <w:color w:val="auto"/>
              </w:rPr>
            </w:pPr>
          </w:p>
        </w:tc>
        <w:tc>
          <w:tcPr>
            <w:tcW w:w="104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6"/>
              </w:rPr>
              <w:t>ended June 30,</w:t>
            </w: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w w:val="98"/>
              </w:rPr>
              <w:t>ended June 30,</w:t>
            </w: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vMerge w:val="restart"/>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2"/>
              </w:rPr>
              <w:t>(A)</w:t>
            </w:r>
          </w:p>
        </w:tc>
        <w:tc>
          <w:tcPr>
            <w:tcW w:w="100" w:type="dxa"/>
            <w:vAlign w:val="bottom"/>
            <w:vMerge w:val="restart"/>
          </w:tcPr>
          <w:p>
            <w:pPr>
              <w:spacing w:after="0"/>
              <w:rPr>
                <w:sz w:val="3"/>
                <w:szCs w:val="3"/>
                <w:color w:val="auto"/>
              </w:rPr>
            </w:pPr>
          </w:p>
        </w:tc>
        <w:tc>
          <w:tcPr>
            <w:tcW w:w="10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vMerge w:val="restart"/>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6"/>
              </w:rPr>
              <w:t>(B)</w:t>
            </w:r>
          </w:p>
        </w:tc>
        <w:tc>
          <w:tcPr>
            <w:tcW w:w="100" w:type="dxa"/>
            <w:vAlign w:val="bottom"/>
            <w:vMerge w:val="restart"/>
          </w:tcPr>
          <w:p>
            <w:pPr>
              <w:spacing w:after="0"/>
              <w:rPr>
                <w:sz w:val="3"/>
                <w:szCs w:val="3"/>
                <w:color w:val="auto"/>
              </w:rPr>
            </w:pPr>
          </w:p>
        </w:tc>
        <w:tc>
          <w:tcPr>
            <w:tcW w:w="10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vMerge w:val="restart"/>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(C=A-B)</w:t>
            </w:r>
          </w:p>
        </w:tc>
        <w:tc>
          <w:tcPr>
            <w:tcW w:w="1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8"/>
        </w:trPr>
        <w:tc>
          <w:tcPr>
            <w:tcW w:w="33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 net</w:t>
            </w:r>
          </w:p>
        </w:tc>
        <w:tc>
          <w:tcPr>
            <w:tcW w:w="2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514.5</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448.4</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33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 xml:space="preserve">Cost of revenues </w:t>
            </w:r>
            <w:r>
              <w:rPr>
                <w:rFonts w:ascii="Times New Roman" w:cs="Times New Roman" w:eastAsia="Times New Roman" w:hAnsi="Times New Roman"/>
                <w:sz w:val="20"/>
                <w:szCs w:val="20"/>
                <w:color w:val="auto"/>
                <w:vertAlign w:val="superscript"/>
              </w:rPr>
              <w:t>(1)</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320.3</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62.3</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282.1</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62.9</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9"/>
        </w:trPr>
        <w:tc>
          <w:tcPr>
            <w:tcW w:w="3360" w:type="dxa"/>
            <w:vAlign w:val="bottom"/>
            <w:tcBorders>
              <w:top w:val="single" w:sz="8" w:color="CCEEFF"/>
            </w:tcBorders>
            <w:shd w:val="clear" w:color="auto" w:fill="CCEEFF"/>
          </w:tcPr>
          <w:p>
            <w:pPr>
              <w:ind w:left="20"/>
              <w:spacing w:after="0" w:line="199" w:lineRule="exact"/>
              <w:rPr>
                <w:sz w:val="20"/>
                <w:szCs w:val="20"/>
                <w:color w:val="auto"/>
              </w:rPr>
            </w:pPr>
            <w:r>
              <w:rPr>
                <w:rFonts w:ascii="Times New Roman" w:cs="Times New Roman" w:eastAsia="Times New Roman" w:hAnsi="Times New Roman"/>
                <w:sz w:val="15"/>
                <w:szCs w:val="15"/>
                <w:b w:val="1"/>
                <w:bCs w:val="1"/>
                <w:color w:val="auto"/>
              </w:rPr>
              <w:t xml:space="preserve">Gross profit </w:t>
            </w:r>
            <w:r>
              <w:rPr>
                <w:rFonts w:ascii="Times New Roman" w:cs="Times New Roman" w:eastAsia="Times New Roman" w:hAnsi="Times New Roman"/>
                <w:sz w:val="20"/>
                <w:szCs w:val="20"/>
                <w:b w:val="1"/>
                <w:bCs w:val="1"/>
                <w:color w:val="auto"/>
                <w:vertAlign w:val="superscript"/>
              </w:rPr>
              <w:t>(1)</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194.2</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37.7 %</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166.3</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37.1 %</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27.9</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16.8 %</w:t>
            </w:r>
          </w:p>
        </w:tc>
        <w:tc>
          <w:tcPr>
            <w:tcW w:w="0" w:type="dxa"/>
            <w:vAlign w:val="bottom"/>
          </w:tcPr>
          <w:p>
            <w:pPr>
              <w:spacing w:after="0"/>
              <w:rPr>
                <w:sz w:val="1"/>
                <w:szCs w:val="1"/>
                <w:color w:val="auto"/>
              </w:rPr>
            </w:pPr>
          </w:p>
        </w:tc>
      </w:tr>
      <w:tr>
        <w:trPr>
          <w:trHeight w:val="183"/>
        </w:trPr>
        <w:tc>
          <w:tcPr>
            <w:tcW w:w="3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expenses:</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Selling and marketing expenses</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39.4</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35.4</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11.3</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3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113.0</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104.8</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Income from operations</w:t>
            </w: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81.2</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15.8 %</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61.5</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13.7 %</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19.7</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32.0 %</w:t>
            </w:r>
          </w:p>
        </w:tc>
        <w:tc>
          <w:tcPr>
            <w:tcW w:w="0" w:type="dxa"/>
            <w:vAlign w:val="bottom"/>
          </w:tcPr>
          <w:p>
            <w:pPr>
              <w:spacing w:after="0"/>
              <w:rPr>
                <w:sz w:val="1"/>
                <w:szCs w:val="1"/>
                <w:color w:val="auto"/>
              </w:rPr>
            </w:pPr>
          </w:p>
        </w:tc>
      </w:tr>
      <w:tr>
        <w:trPr>
          <w:trHeight w:val="203"/>
        </w:trPr>
        <w:tc>
          <w:tcPr>
            <w:tcW w:w="3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Foreign exchange gain, net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6041.7</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 %</w:t>
            </w:r>
          </w:p>
        </w:tc>
        <w:tc>
          <w:tcPr>
            <w:tcW w:w="0" w:type="dxa"/>
            <w:vAlign w:val="bottom"/>
          </w:tcPr>
          <w:p>
            <w:pPr>
              <w:spacing w:after="0"/>
              <w:rPr>
                <w:sz w:val="1"/>
                <w:szCs w:val="1"/>
                <w:color w:val="auto"/>
              </w:rPr>
            </w:pPr>
          </w:p>
        </w:tc>
      </w:tr>
      <w:tr>
        <w:trPr>
          <w:trHeight w:val="203"/>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income, net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37"/>
        </w:trPr>
        <w:tc>
          <w:tcPr>
            <w:tcW w:w="336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Income before income tax expense and earnings</w:t>
            </w:r>
          </w:p>
        </w:tc>
        <w:tc>
          <w:tcPr>
            <w:tcW w:w="2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84.8</w:t>
            </w:r>
          </w:p>
        </w:tc>
        <w:tc>
          <w:tcPr>
            <w:tcW w:w="10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16.5 %</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59.7</w:t>
            </w:r>
          </w:p>
        </w:tc>
        <w:tc>
          <w:tcPr>
            <w:tcW w:w="10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13.3 %</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25.1</w:t>
            </w:r>
          </w:p>
        </w:tc>
        <w:tc>
          <w:tcPr>
            <w:tcW w:w="12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41.9 %</w:t>
            </w:r>
          </w:p>
        </w:tc>
        <w:tc>
          <w:tcPr>
            <w:tcW w:w="0" w:type="dxa"/>
            <w:vAlign w:val="bottom"/>
          </w:tcPr>
          <w:p>
            <w:pPr>
              <w:spacing w:after="0"/>
              <w:rPr>
                <w:sz w:val="1"/>
                <w:szCs w:val="1"/>
                <w:color w:val="auto"/>
              </w:rPr>
            </w:pPr>
          </w:p>
        </w:tc>
      </w:tr>
      <w:tr>
        <w:trPr>
          <w:trHeight w:val="20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from equity affiliates</w:t>
            </w:r>
          </w:p>
        </w:tc>
        <w:tc>
          <w:tcPr>
            <w:tcW w:w="2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tax expense</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33.7</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Income before earnings from equity affiliates</w:t>
            </w: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66.2</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12.9 %</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45.8</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10.2 %</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20.4</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44.4 %</w:t>
            </w:r>
          </w:p>
        </w:tc>
        <w:tc>
          <w:tcPr>
            <w:tcW w:w="0" w:type="dxa"/>
            <w:vAlign w:val="bottom"/>
          </w:tcPr>
          <w:p>
            <w:pPr>
              <w:spacing w:after="0"/>
              <w:rPr>
                <w:sz w:val="1"/>
                <w:szCs w:val="1"/>
                <w:color w:val="auto"/>
              </w:rPr>
            </w:pPr>
          </w:p>
        </w:tc>
      </w:tr>
      <w:tr>
        <w:trPr>
          <w:trHeight w:val="203"/>
        </w:trPr>
        <w:tc>
          <w:tcPr>
            <w:tcW w:w="3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from equity-method investment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Pr>
          <w:p>
            <w:pPr>
              <w:spacing w:after="0"/>
              <w:rPr>
                <w:sz w:val="17"/>
                <w:szCs w:val="17"/>
                <w:color w:val="auto"/>
              </w:rPr>
            </w:pP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26"/>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22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12.8 %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10.2 %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44.1 %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i w:val="1"/>
          <w:iCs w:val="1"/>
          <w:color w:val="auto"/>
        </w:rPr>
        <w:t>(1) Exclusive of depreciation and amortization expense.</w:t>
      </w:r>
    </w:p>
    <w:p>
      <w:pPr>
        <w:spacing w:after="0" w:line="240" w:lineRule="exact"/>
        <w:rPr>
          <w:sz w:val="20"/>
          <w:szCs w:val="20"/>
          <w:color w:val="auto"/>
        </w:rPr>
      </w:pPr>
    </w:p>
    <w:p>
      <w:pPr>
        <w:ind w:left="380"/>
        <w:spacing w:after="0" w:line="294" w:lineRule="auto"/>
        <w:rPr>
          <w:sz w:val="20"/>
          <w:szCs w:val="20"/>
          <w:color w:val="auto"/>
        </w:rPr>
      </w:pPr>
      <w:r>
        <w:rPr>
          <w:rFonts w:ascii="Times New Roman" w:cs="Times New Roman" w:eastAsia="Times New Roman" w:hAnsi="Times New Roman"/>
          <w:sz w:val="15"/>
          <w:szCs w:val="15"/>
          <w:i w:val="1"/>
          <w:iCs w:val="1"/>
          <w:color w:val="auto"/>
        </w:rPr>
        <w:t>Due to rounding, the numbers presented in the tables included in this Part I, Item 2, “Management’s Discussion and Analysis of Financial Condition and Results of Operations” may not add up precisely to the totals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Three Months Ended June 30, 2025 Compared to Three Months Ended June 30, 2024</w:t>
      </w:r>
    </w:p>
    <w:p>
      <w:pPr>
        <w:spacing w:after="0" w:line="1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2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summarizes our revenues by reportable segments:</w:t>
      </w:r>
    </w:p>
    <w:p>
      <w:pPr>
        <w:spacing w:after="0" w:line="6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2480" w:type="dxa"/>
            <w:vAlign w:val="bottom"/>
            <w:gridSpan w:val="6"/>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80" w:type="dxa"/>
            <w:vAlign w:val="bottom"/>
            <w:gridSpan w:val="3"/>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Percentage of Total Revenues for the three</w:t>
            </w:r>
          </w:p>
        </w:tc>
        <w:tc>
          <w:tcPr>
            <w:tcW w:w="0" w:type="dxa"/>
            <w:vAlign w:val="bottom"/>
          </w:tcPr>
          <w:p>
            <w:pPr>
              <w:spacing w:after="0"/>
              <w:rPr>
                <w:sz w:val="1"/>
                <w:szCs w:val="1"/>
                <w:color w:val="auto"/>
              </w:rPr>
            </w:pPr>
          </w:p>
        </w:tc>
      </w:tr>
      <w:tr>
        <w:trPr>
          <w:trHeight w:val="185"/>
        </w:trPr>
        <w:tc>
          <w:tcPr>
            <w:tcW w:w="2600" w:type="dxa"/>
            <w:vAlign w:val="bottom"/>
          </w:tcPr>
          <w:p>
            <w:pPr>
              <w:spacing w:after="0"/>
              <w:rPr>
                <w:sz w:val="16"/>
                <w:szCs w:val="16"/>
                <w:color w:val="auto"/>
              </w:rPr>
            </w:pPr>
          </w:p>
        </w:tc>
        <w:tc>
          <w:tcPr>
            <w:tcW w:w="2480" w:type="dxa"/>
            <w:vAlign w:val="bottom"/>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2880" w:type="dxa"/>
            <w:vAlign w:val="bottom"/>
            <w:gridSpan w:val="3"/>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months ended June 30,</w:t>
            </w:r>
          </w:p>
        </w:tc>
        <w:tc>
          <w:tcPr>
            <w:tcW w:w="0" w:type="dxa"/>
            <w:vAlign w:val="bottom"/>
          </w:tcPr>
          <w:p>
            <w:pPr>
              <w:spacing w:after="0"/>
              <w:rPr>
                <w:sz w:val="1"/>
                <w:szCs w:val="1"/>
                <w:color w:val="auto"/>
              </w:rPr>
            </w:pPr>
          </w:p>
        </w:tc>
      </w:tr>
      <w:tr>
        <w:trPr>
          <w:trHeight w:val="189"/>
        </w:trPr>
        <w:tc>
          <w:tcPr>
            <w:tcW w:w="26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1400" w:type="dxa"/>
            <w:vAlign w:val="bottom"/>
            <w:tcBorders>
              <w:top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6"/>
        </w:trPr>
        <w:tc>
          <w:tcPr>
            <w:tcW w:w="260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Insurance</w:t>
            </w:r>
          </w:p>
        </w:tc>
        <w:tc>
          <w:tcPr>
            <w:tcW w:w="72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172.2</w:t>
            </w:r>
          </w:p>
        </w:tc>
        <w:tc>
          <w:tcPr>
            <w:tcW w:w="34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35.3 %</w:t>
            </w:r>
          </w:p>
        </w:tc>
        <w:tc>
          <w:tcPr>
            <w:tcW w:w="0" w:type="dxa"/>
            <w:vAlign w:val="bottom"/>
          </w:tcPr>
          <w:p>
            <w:pPr>
              <w:spacing w:after="0"/>
              <w:rPr>
                <w:sz w:val="1"/>
                <w:szCs w:val="1"/>
                <w:color w:val="auto"/>
              </w:rPr>
            </w:pPr>
          </w:p>
        </w:tc>
      </w:tr>
      <w:tr>
        <w:trPr>
          <w:trHeight w:val="219"/>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Healthcare and Life Sciences</w:t>
            </w:r>
          </w:p>
        </w:tc>
        <w:tc>
          <w:tcPr>
            <w:tcW w:w="7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129.5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22.0 %</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25.2 %</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23.7 %</w:t>
            </w:r>
          </w:p>
        </w:tc>
        <w:tc>
          <w:tcPr>
            <w:tcW w:w="0" w:type="dxa"/>
            <w:vAlign w:val="bottom"/>
          </w:tcPr>
          <w:p>
            <w:pPr>
              <w:spacing w:after="0"/>
              <w:rPr>
                <w:sz w:val="1"/>
                <w:szCs w:val="1"/>
                <w:color w:val="auto"/>
              </w:rPr>
            </w:pPr>
          </w:p>
        </w:tc>
      </w:tr>
      <w:tr>
        <w:trPr>
          <w:trHeight w:val="168"/>
        </w:trPr>
        <w:tc>
          <w:tcPr>
            <w:tcW w:w="260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Banking, Capital Markets and</w:t>
            </w: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Diversified Industries</w:t>
            </w:r>
          </w:p>
        </w:tc>
        <w:tc>
          <w:tcPr>
            <w:tcW w:w="7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121.1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15.8 %</w:t>
            </w: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23.5 %</w:t>
            </w: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23.3 %</w:t>
            </w:r>
          </w:p>
        </w:tc>
        <w:tc>
          <w:tcPr>
            <w:tcW w:w="0" w:type="dxa"/>
            <w:vAlign w:val="bottom"/>
          </w:tcPr>
          <w:p>
            <w:pPr>
              <w:spacing w:after="0"/>
              <w:rPr>
                <w:sz w:val="1"/>
                <w:szCs w:val="1"/>
                <w:color w:val="auto"/>
              </w:rPr>
            </w:pPr>
          </w:p>
        </w:tc>
      </w:tr>
      <w:tr>
        <w:trPr>
          <w:trHeight w:val="219"/>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International Growth Markets</w:t>
            </w:r>
          </w:p>
        </w:tc>
        <w:tc>
          <w:tcPr>
            <w:tcW w:w="7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15.8 %</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17.8 %</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17.7 %</w:t>
            </w:r>
          </w:p>
        </w:tc>
        <w:tc>
          <w:tcPr>
            <w:tcW w:w="0" w:type="dxa"/>
            <w:vAlign w:val="bottom"/>
          </w:tcPr>
          <w:p>
            <w:pPr>
              <w:spacing w:after="0"/>
              <w:rPr>
                <w:sz w:val="1"/>
                <w:szCs w:val="1"/>
                <w:color w:val="auto"/>
              </w:rPr>
            </w:pPr>
          </w:p>
        </w:tc>
      </w:tr>
      <w:tr>
        <w:trPr>
          <w:trHeight w:val="237"/>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 net</w:t>
            </w:r>
          </w:p>
        </w:tc>
        <w:tc>
          <w:tcPr>
            <w:tcW w:w="720" w:type="dxa"/>
            <w:vAlign w:val="bottom"/>
            <w:tcBorders>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514.5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14.7 %</w:t>
            </w: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firstLine="387"/>
        <w:spacing w:after="0" w:line="287" w:lineRule="auto"/>
        <w:rPr>
          <w:sz w:val="20"/>
          <w:szCs w:val="20"/>
          <w:color w:val="auto"/>
        </w:rPr>
      </w:pPr>
      <w:r>
        <w:rPr>
          <w:rFonts w:ascii="Times New Roman" w:cs="Times New Roman" w:eastAsia="Times New Roman" w:hAnsi="Times New Roman"/>
          <w:sz w:val="17"/>
          <w:szCs w:val="17"/>
          <w:color w:val="auto"/>
        </w:rPr>
        <w:t>Revenues for the three months ended June 30, 2025 were up by $66.1 million, or 14.7%, compared to the three months ended June 30, 2024, driven primarily by revenue growth from our new and existing clients in all of our reportable segments.</w:t>
      </w:r>
    </w:p>
    <w:p>
      <w:pPr>
        <w:spacing w:after="0" w:line="164" w:lineRule="exact"/>
        <w:rPr>
          <w:sz w:val="20"/>
          <w:szCs w:val="20"/>
          <w:color w:val="auto"/>
        </w:rPr>
      </w:pPr>
    </w:p>
    <w:p>
      <w:pPr>
        <w:jc w:val="both"/>
        <w:ind w:firstLine="387"/>
        <w:spacing w:after="0" w:line="271" w:lineRule="auto"/>
        <w:rPr>
          <w:sz w:val="20"/>
          <w:szCs w:val="20"/>
          <w:color w:val="auto"/>
        </w:rPr>
      </w:pPr>
      <w:r>
        <w:rPr>
          <w:rFonts w:ascii="Times New Roman" w:cs="Times New Roman" w:eastAsia="Times New Roman" w:hAnsi="Times New Roman"/>
          <w:sz w:val="17"/>
          <w:szCs w:val="17"/>
          <w:color w:val="auto"/>
        </w:rPr>
        <w:t>Revenue growth in Insurance of $13.7 million was primarily driven by expansion of business from our new and existing clients during the three months ended June 30, 2025, compared to the three months ended June 30, 2024.</w:t>
      </w:r>
    </w:p>
    <w:p>
      <w:pPr>
        <w:spacing w:after="0" w:line="177" w:lineRule="exact"/>
        <w:rPr>
          <w:sz w:val="20"/>
          <w:szCs w:val="20"/>
          <w:color w:val="auto"/>
        </w:rPr>
      </w:pPr>
    </w:p>
    <w:p>
      <w:pPr>
        <w:jc w:val="both"/>
        <w:ind w:firstLine="387"/>
        <w:spacing w:after="0" w:line="246" w:lineRule="auto"/>
        <w:rPr>
          <w:sz w:val="20"/>
          <w:szCs w:val="20"/>
          <w:color w:val="auto"/>
        </w:rPr>
      </w:pPr>
      <w:r>
        <w:rPr>
          <w:rFonts w:ascii="Times New Roman" w:cs="Times New Roman" w:eastAsia="Times New Roman" w:hAnsi="Times New Roman"/>
          <w:sz w:val="17"/>
          <w:szCs w:val="17"/>
          <w:color w:val="auto"/>
        </w:rPr>
        <w:t>Revenue growth in Healthcare and Life Sciences of $23.4 million was primarily driven by the expansion of business from our new and existing clients, including incremental revenue from our August 2024 acquisition of Incandescent Technologies, Inc. (“ITI Data”) during the three months ended June 30, 2025, compared to the three months ended June 30, 2024.</w:t>
      </w:r>
    </w:p>
    <w:p>
      <w:pPr>
        <w:spacing w:after="0" w:line="198"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Revenue growth in Banking, Capital Markets and Diversified Industries of $16.5 million was primarily driven by expansion of business from our new and existing clients of $16.6 million, including incremental revenue from our August 2024 acquisition of ITI Data, partially offset by a foreign exchange loss of $0.1 million during the three months ended June 30, 2025, compared to the three months ended June 30, 2024.</w:t>
      </w:r>
    </w:p>
    <w:p>
      <w:pPr>
        <w:spacing w:after="0" w:line="192"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Revenue growth in International Growth Markets of $12.5 million was primarily driven by expansion of business from our new and existing clients of $11.9 million, including incremental revenue from our August 2024 acquisition of ITI Data and a foreign exchange gain, net of hedging of $0.6 million during the three months ended June 30, 2025, compared to the three months ended June 30, 2024.</w:t>
      </w:r>
    </w:p>
    <w:p>
      <w:pPr>
        <w:spacing w:after="0" w:line="3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 and Gross Margin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following table sets forth cost of revenues and gross margin of our reportable segments:</w:t>
      </w:r>
    </w:p>
    <w:p>
      <w:pPr>
        <w:spacing w:after="0" w:line="254" w:lineRule="exact"/>
        <w:rPr>
          <w:sz w:val="20"/>
          <w:szCs w:val="20"/>
          <w:color w:val="auto"/>
        </w:rPr>
      </w:pPr>
    </w:p>
    <w:tbl>
      <w:tblPr>
        <w:tblLayout w:type="fixed"/>
        <w:tblInd w:w="440" w:type="dxa"/>
        <w:tblCellMar>
          <w:top w:w="0" w:type="dxa"/>
          <w:left w:w="0" w:type="dxa"/>
          <w:bottom w:w="0" w:type="dxa"/>
          <w:right w:w="0" w:type="dxa"/>
        </w:tblCellMar>
      </w:tblPr>
      <w:tr>
        <w:trPr>
          <w:trHeight w:val="182"/>
        </w:trPr>
        <w:tc>
          <w:tcPr>
            <w:tcW w:w="2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120" w:type="dxa"/>
            <w:vAlign w:val="bottom"/>
          </w:tcPr>
          <w:p>
            <w:pPr>
              <w:spacing w:after="0"/>
              <w:rPr>
                <w:sz w:val="15"/>
                <w:szCs w:val="15"/>
                <w:color w:val="auto"/>
              </w:rPr>
            </w:pPr>
          </w:p>
        </w:tc>
      </w:tr>
      <w:tr>
        <w:trPr>
          <w:trHeight w:val="22"/>
        </w:trPr>
        <w:tc>
          <w:tcPr>
            <w:tcW w:w="2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gridSpan w:val="5"/>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Borders>
              <w:bottom w:val="single" w:sz="8" w:color="auto"/>
            </w:tcBorders>
            <w:gridSpan w:val="4"/>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2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262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86"/>
        </w:trPr>
        <w:tc>
          <w:tcPr>
            <w:tcW w:w="25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124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12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6"/>
        </w:trPr>
        <w:tc>
          <w:tcPr>
            <w:tcW w:w="25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60" w:type="dxa"/>
            <w:vAlign w:val="bottom"/>
            <w:tcBorders>
              <w:top w:val="single" w:sz="8" w:color="auto"/>
            </w:tcBorders>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2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Insurance</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112.3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0.8 %</w:t>
            </w:r>
          </w:p>
        </w:tc>
      </w:tr>
      <w:tr>
        <w:trPr>
          <w:trHeight w:val="219"/>
        </w:trPr>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Healthcare and Life Sciences</w:t>
            </w:r>
          </w:p>
        </w:tc>
        <w:tc>
          <w:tcPr>
            <w:tcW w:w="2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73.1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0.1 %</w:t>
            </w:r>
          </w:p>
        </w:tc>
      </w:tr>
      <w:tr>
        <w:trPr>
          <w:trHeight w:val="168"/>
        </w:trPr>
        <w:tc>
          <w:tcPr>
            <w:tcW w:w="254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Banking, Capital Markets and</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32"/>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Diversified Industries</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75.4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15.5 %</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37.8 %</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37.6 %</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0.2 %</w:t>
            </w:r>
          </w:p>
        </w:tc>
      </w:tr>
      <w:tr>
        <w:trPr>
          <w:trHeight w:val="219"/>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International Growth Markets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59.5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13.9 %</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35.1 %</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34.1 %</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37"/>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320.3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13.5 %</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37.7 %</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37.1 %</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0.6 %</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87"/>
        <w:spacing w:after="0" w:line="271" w:lineRule="auto"/>
        <w:rPr>
          <w:sz w:val="20"/>
          <w:szCs w:val="20"/>
          <w:color w:val="auto"/>
        </w:rPr>
      </w:pPr>
      <w:r>
        <w:rPr>
          <w:rFonts w:ascii="Times New Roman" w:cs="Times New Roman" w:eastAsia="Times New Roman" w:hAnsi="Times New Roman"/>
          <w:sz w:val="17"/>
          <w:szCs w:val="17"/>
          <w:color w:val="auto"/>
        </w:rPr>
        <w:t>Cost of revenues for the three months ended June 30, 2025 increased by $38.2 million, or 13.5% compared to the three months ended June 30, 2024. The increase in cost of revenues was primarily due to increases in employee-related costs and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technology costs, partially offset by foreign exchange gain, net of hedging. Our gross margin for the three months ended June 30, 2025 was 37.7%, compared to 37.1% for the three months ended June 30, 2024, an increase of 60 basis points (“bps”) primarily driven by higher revenues and operational efficiencies, partially offset by increases in employee-related costs during the three months ended June 30, 2025, compared to the three months ended June 30, 2024.</w:t>
      </w:r>
    </w:p>
    <w:p>
      <w:pPr>
        <w:spacing w:after="0" w:line="192" w:lineRule="exact"/>
        <w:rPr>
          <w:sz w:val="20"/>
          <w:szCs w:val="20"/>
          <w:color w:val="auto"/>
        </w:rPr>
      </w:pPr>
    </w:p>
    <w:p>
      <w:pPr>
        <w:jc w:val="both"/>
        <w:ind w:firstLine="387"/>
        <w:spacing w:after="0" w:line="241" w:lineRule="auto"/>
        <w:rPr>
          <w:sz w:val="20"/>
          <w:szCs w:val="20"/>
          <w:color w:val="auto"/>
        </w:rPr>
      </w:pPr>
      <w:r>
        <w:rPr>
          <w:rFonts w:ascii="Times New Roman" w:cs="Times New Roman" w:eastAsia="Times New Roman" w:hAnsi="Times New Roman"/>
          <w:sz w:val="17"/>
          <w:szCs w:val="17"/>
          <w:color w:val="auto"/>
        </w:rPr>
        <w:t>The increase in cost of revenues in Insurance of $7.8 million for the three months ended June 30, 2025 was primarily due to increases in employee-related costs of $12.1 million on account of higher headcount and wage inflation, higher technology costs of $0.9 million and higher other operating costs of $0.4 million, partially offset by lower mail and data expenses in our direct marketing business of $4.6 million, and foreign exchange gain, net of hedging of $1.0 million. Gross margin in Insurance increased by 80 bps, primarily due to higher revenues and operational efficiencies during the three months ended June 30, 2025, compared to the three months ended June 30, 2024.</w:t>
      </w:r>
    </w:p>
    <w:p>
      <w:pPr>
        <w:spacing w:after="0" w:line="205" w:lineRule="exact"/>
        <w:rPr>
          <w:sz w:val="20"/>
          <w:szCs w:val="20"/>
          <w:color w:val="auto"/>
        </w:rPr>
      </w:pPr>
    </w:p>
    <w:p>
      <w:pPr>
        <w:jc w:val="both"/>
        <w:ind w:firstLine="387"/>
        <w:spacing w:after="0" w:line="245" w:lineRule="auto"/>
        <w:rPr>
          <w:sz w:val="20"/>
          <w:szCs w:val="20"/>
          <w:color w:val="auto"/>
        </w:rPr>
      </w:pPr>
      <w:r>
        <w:rPr>
          <w:rFonts w:ascii="Times New Roman" w:cs="Times New Roman" w:eastAsia="Times New Roman" w:hAnsi="Times New Roman"/>
          <w:sz w:val="17"/>
          <w:szCs w:val="17"/>
          <w:color w:val="auto"/>
        </w:rPr>
        <w:t>The increase in cost of revenues in Healthcare and Life Sciences of $13.0 million for the three months ended June 30, 2025 was primarily due to increases in employee-related costs of $11.9 million on account of higher headcount and wage inflation, including incremental costs related to the acquisition of ITI Data, higher facilities costs of $1.0 million and higher other operating costs of $0.7 million, partially offset by foreign exchange gain, net of hedging of $0.6 million. Gross margin in Healthcare and Life Sciences increased by 10 bps primarily due to higher volumes in certain existing clients during the three months ended June 30, 2025, compared to the three months ended June 30, 2024.</w:t>
      </w:r>
    </w:p>
    <w:p>
      <w:pPr>
        <w:spacing w:after="0" w:line="201" w:lineRule="exact"/>
        <w:rPr>
          <w:sz w:val="20"/>
          <w:szCs w:val="20"/>
          <w:color w:val="auto"/>
        </w:rPr>
      </w:pPr>
    </w:p>
    <w:p>
      <w:pPr>
        <w:jc w:val="both"/>
        <w:ind w:firstLine="387"/>
        <w:spacing w:after="0" w:line="245" w:lineRule="auto"/>
        <w:rPr>
          <w:sz w:val="20"/>
          <w:szCs w:val="20"/>
          <w:color w:val="auto"/>
        </w:rPr>
      </w:pPr>
      <w:r>
        <w:rPr>
          <w:rFonts w:ascii="Times New Roman" w:cs="Times New Roman" w:eastAsia="Times New Roman" w:hAnsi="Times New Roman"/>
          <w:sz w:val="17"/>
          <w:szCs w:val="17"/>
          <w:color w:val="auto"/>
        </w:rPr>
        <w:t>The increase in cost of revenues in Banking, Capital Markets and Diversified Industries of $10.1 million for the three months ended June 30, 2025 was primarily due to increases in employee-related costs of $9.0 million on account of higher headcount and wage inflation, including incremental costs related to the acquisition of ITI Data, higher technology costs of $0.6 million and higher other operating costs $1.1 million, partially offset by foreign exchange gain, net of hedging of $0.6 million. Gross margin in Banking, Capital Markets and Diversified Industries increased by 20 bps, primarily due to higher revenues and operational efficiencies during the three months ended June 30, 2025, compared to the three months ended June 30, 2024.</w:t>
      </w:r>
    </w:p>
    <w:p>
      <w:pPr>
        <w:spacing w:after="0" w:line="201" w:lineRule="exact"/>
        <w:rPr>
          <w:sz w:val="20"/>
          <w:szCs w:val="20"/>
          <w:color w:val="auto"/>
        </w:rPr>
      </w:pPr>
    </w:p>
    <w:p>
      <w:pPr>
        <w:jc w:val="both"/>
        <w:ind w:firstLine="387"/>
        <w:spacing w:after="0" w:line="243" w:lineRule="auto"/>
        <w:rPr>
          <w:sz w:val="20"/>
          <w:szCs w:val="20"/>
          <w:color w:val="auto"/>
        </w:rPr>
      </w:pPr>
      <w:r>
        <w:rPr>
          <w:rFonts w:ascii="Times New Roman" w:cs="Times New Roman" w:eastAsia="Times New Roman" w:hAnsi="Times New Roman"/>
          <w:sz w:val="17"/>
          <w:szCs w:val="17"/>
          <w:color w:val="auto"/>
        </w:rPr>
        <w:t>The increase in cost of revenues in International Growth Markets of $7.3 million for the three months ended June 30, 2025 was primarily due to increases in employee-related costs of $6.2 million on account of higher headcount and wage inflation, including incremental costs related to the acquisition of ITI Data, higher technology costs of $0.6 million and higher other operating costs $0.5 million. Gross margin in International Growth Markets increased by 100 bps, primarily due to higher revenues and operational efficiencies during the three months ended June 30, 2025, compared to the three months ended June 30, 2024.</w:t>
      </w:r>
    </w:p>
    <w:p>
      <w:pPr>
        <w:spacing w:after="0" w:line="2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(“SG&amp;A”) Expenses.</w:t>
      </w:r>
    </w:p>
    <w:p>
      <w:pPr>
        <w:spacing w:after="0" w:line="138" w:lineRule="exact"/>
        <w:rPr>
          <w:sz w:val="20"/>
          <w:szCs w:val="20"/>
          <w:color w:val="auto"/>
        </w:rPr>
      </w:pPr>
    </w:p>
    <w:tbl>
      <w:tblPr>
        <w:tblLayout w:type="fixed"/>
        <w:tblInd w:w="360" w:type="dxa"/>
        <w:tblCellMar>
          <w:top w:w="0" w:type="dxa"/>
          <w:left w:w="0" w:type="dxa"/>
          <w:bottom w:w="0" w:type="dxa"/>
          <w:right w:w="0" w:type="dxa"/>
        </w:tblCellMar>
      </w:tblPr>
      <w:tr>
        <w:trPr>
          <w:trHeight w:val="182"/>
        </w:trPr>
        <w:tc>
          <w:tcPr>
            <w:tcW w:w="4900" w:type="dxa"/>
            <w:vAlign w:val="bottom"/>
          </w:tcPr>
          <w:p>
            <w:pPr>
              <w:spacing w:after="0"/>
              <w:rPr>
                <w:sz w:val="15"/>
                <w:szCs w:val="15"/>
                <w:color w:val="auto"/>
              </w:rPr>
            </w:pPr>
          </w:p>
        </w:tc>
        <w:tc>
          <w:tcPr>
            <w:tcW w:w="232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35"/>
        </w:trPr>
        <w:tc>
          <w:tcPr>
            <w:tcW w:w="49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4900" w:type="dxa"/>
            <w:vAlign w:val="bottom"/>
          </w:tcPr>
          <w:p>
            <w:pPr>
              <w:spacing w:after="0"/>
              <w:rPr>
                <w:sz w:val="2"/>
                <w:szCs w:val="2"/>
                <w:color w:val="auto"/>
              </w:rPr>
            </w:pPr>
          </w:p>
        </w:tc>
        <w:tc>
          <w:tcPr>
            <w:tcW w:w="86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49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4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49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5.5 %</w:t>
            </w:r>
          </w:p>
        </w:tc>
        <w:tc>
          <w:tcPr>
            <w:tcW w:w="0" w:type="dxa"/>
            <w:vAlign w:val="bottom"/>
          </w:tcPr>
          <w:p>
            <w:pPr>
              <w:spacing w:after="0"/>
              <w:rPr>
                <w:sz w:val="1"/>
                <w:szCs w:val="1"/>
                <w:color w:val="auto"/>
              </w:rPr>
            </w:pPr>
          </w:p>
        </w:tc>
      </w:tr>
      <w:tr>
        <w:trPr>
          <w:trHeight w:val="21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11.3 %</w:t>
            </w:r>
          </w:p>
        </w:tc>
        <w:tc>
          <w:tcPr>
            <w:tcW w:w="0" w:type="dxa"/>
            <w:vAlign w:val="bottom"/>
          </w:tcPr>
          <w:p>
            <w:pPr>
              <w:spacing w:after="0"/>
              <w:rPr>
                <w:sz w:val="1"/>
                <w:szCs w:val="1"/>
                <w:color w:val="auto"/>
              </w:rPr>
            </w:pPr>
          </w:p>
        </w:tc>
      </w:tr>
      <w:tr>
        <w:trPr>
          <w:trHeight w:val="237"/>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7.7 %</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ind w:firstLine="387"/>
        <w:spacing w:after="0" w:line="241" w:lineRule="auto"/>
        <w:rPr>
          <w:sz w:val="20"/>
          <w:szCs w:val="20"/>
          <w:color w:val="auto"/>
        </w:rPr>
      </w:pPr>
      <w:r>
        <w:rPr>
          <w:rFonts w:ascii="Times New Roman" w:cs="Times New Roman" w:eastAsia="Times New Roman" w:hAnsi="Times New Roman"/>
          <w:sz w:val="17"/>
          <w:szCs w:val="17"/>
          <w:color w:val="auto"/>
        </w:rPr>
        <w:t>The increase in SG&amp;A expenses of $7.0 million was primarily due to increases in employee-related costs of $8.2 million on account of higher headcount and wage inflation, including incremental costs related to the acquisition of ITI Data, higher investments in digital and generative AI capabilities of $1.0 million, higher sales and marketing costs of $0.5 million and foreign exchange loss, net of hedging of $0.4 million. This increase in SG&amp;A was partially offset by one-time restructuring and litigation settlement costs of $3.1 million incurred during the three months ended June 30, 2024, compared to the three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w:t>
      </w:r>
    </w:p>
    <w:p>
      <w:pPr>
        <w:spacing w:after="0" w:line="176" w:lineRule="exact"/>
        <w:rPr>
          <w:sz w:val="20"/>
          <w:szCs w:val="20"/>
          <w:color w:val="auto"/>
        </w:rPr>
      </w:pPr>
    </w:p>
    <w:tbl>
      <w:tblPr>
        <w:tblLayout w:type="fixed"/>
        <w:tblInd w:w="28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2340" w:type="dxa"/>
            <w:vAlign w:val="bottom"/>
            <w:gridSpan w:val="4"/>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
        </w:trPr>
        <w:tc>
          <w:tcPr>
            <w:tcW w:w="5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900" w:type="dxa"/>
            <w:vAlign w:val="bottom"/>
            <w:vMerge w:val="restart"/>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restart"/>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0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4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expense</w:t>
            </w:r>
          </w:p>
        </w:tc>
        <w:tc>
          <w:tcPr>
            <w:tcW w:w="90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9.6 %</w:t>
            </w:r>
          </w:p>
        </w:tc>
        <w:tc>
          <w:tcPr>
            <w:tcW w:w="0" w:type="dxa"/>
            <w:vAlign w:val="bottom"/>
          </w:tcPr>
          <w:p>
            <w:pPr>
              <w:spacing w:after="0"/>
              <w:rPr>
                <w:sz w:val="1"/>
                <w:szCs w:val="1"/>
                <w:color w:val="auto"/>
              </w:rPr>
            </w:pPr>
          </w:p>
        </w:tc>
      </w:tr>
      <w:tr>
        <w:trPr>
          <w:trHeight w:val="219"/>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Intangible amortization expense</w:t>
            </w: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6.5 %</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900" w:type="dxa"/>
            <w:vAlign w:val="bottom"/>
            <w:tcBorders>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ind w:firstLine="387"/>
        <w:spacing w:after="0" w:line="271" w:lineRule="auto"/>
        <w:rPr>
          <w:sz w:val="20"/>
          <w:szCs w:val="20"/>
          <w:color w:val="auto"/>
        </w:rPr>
      </w:pPr>
      <w:r>
        <w:rPr>
          <w:rFonts w:ascii="Times New Roman" w:cs="Times New Roman" w:eastAsia="Times New Roman" w:hAnsi="Times New Roman"/>
          <w:sz w:val="17"/>
          <w:szCs w:val="17"/>
          <w:color w:val="auto"/>
        </w:rPr>
        <w:t>The increase in depreciation expense was $1.0 million during the three months ended June 30, 2025, compared to the three months ended June 30, 2024, primarily due to investments in infrastructure, technology assets and digital capabilities.</w:t>
      </w:r>
    </w:p>
    <w:p>
      <w:pPr>
        <w:spacing w:after="0" w:line="262"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Income from Operations. </w:t>
      </w:r>
      <w:r>
        <w:rPr>
          <w:rFonts w:ascii="Times New Roman" w:cs="Times New Roman" w:eastAsia="Times New Roman" w:hAnsi="Times New Roman"/>
          <w:sz w:val="17"/>
          <w:szCs w:val="17"/>
          <w:color w:val="auto"/>
        </w:rPr>
        <w:t>Income from operations increased by $19.7 million, or 32.0%, from $61.5 million for the three months ended June 30, 2024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$81.2 million for the three months ended June 30, 2025, primarily due to higher revenues and higher gross margins, partially offset by higher SG&amp;A expenses during the three months ended June 30, 2025.</w:t>
      </w:r>
    </w:p>
    <w:p>
      <w:pPr>
        <w:spacing w:after="0" w:line="195" w:lineRule="exact"/>
        <w:rPr>
          <w:sz w:val="20"/>
          <w:szCs w:val="20"/>
          <w:color w:val="auto"/>
        </w:rPr>
      </w:pPr>
    </w:p>
    <w:p>
      <w:pPr>
        <w:jc w:val="both"/>
        <w:ind w:firstLine="387"/>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Foreign Exchange Gain, net. </w:t>
      </w:r>
      <w:r>
        <w:rPr>
          <w:rFonts w:ascii="Times New Roman" w:cs="Times New Roman" w:eastAsia="Times New Roman" w:hAnsi="Times New Roman"/>
          <w:sz w:val="17"/>
          <w:szCs w:val="17"/>
          <w:color w:val="auto"/>
        </w:rPr>
        <w:t>Foreign exchange gains and losses are primarily attributable to the movement of the U.S. dollar against the Indian rupee,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Philippine peso, the U.K. pound sterling and the South African rand during the three months ended June 30, 2025, compared to the three months ended June 30, 2024. The average exchange rate of the U.S. dollar against the Indian rupee increased from 83.42 during the three months ended June 30, 2024 to 85.27 during the three months ended June 30, 2025. The average exchange rate of the U.S. dollar against the Philippine peso decreased from 58.29 during the three months ended June 30, 2024 to 55.97 during the three months ended June 30, 2025. The average exchange rate of the U.K. pound sterling against the U.S. dollar increased from 1.26 during the three months ended June 30, 2024 to 1.35 during the three months ended June 30, 2025. The average exchange rate of the U.S. dollar against the South African rand decreased from 18.53 during the three months ended June 30, 2024 to 18.12 during the three months ended June 30, 2025.</w:t>
      </w:r>
    </w:p>
    <w:p>
      <w:pPr>
        <w:spacing w:after="0" w:line="200" w:lineRule="exact"/>
        <w:rPr>
          <w:sz w:val="20"/>
          <w:szCs w:val="20"/>
          <w:color w:val="auto"/>
        </w:rPr>
      </w:pPr>
    </w:p>
    <w:p>
      <w:pPr>
        <w:jc w:val="both"/>
        <w:ind w:firstLine="387"/>
        <w:spacing w:after="0" w:line="287" w:lineRule="auto"/>
        <w:rPr>
          <w:sz w:val="20"/>
          <w:szCs w:val="20"/>
          <w:color w:val="auto"/>
        </w:rPr>
      </w:pPr>
      <w:r>
        <w:rPr>
          <w:rFonts w:ascii="Times New Roman" w:cs="Times New Roman" w:eastAsia="Times New Roman" w:hAnsi="Times New Roman"/>
          <w:sz w:val="17"/>
          <w:szCs w:val="17"/>
          <w:color w:val="auto"/>
        </w:rPr>
        <w:t>We recorded a foreign exchange gain, net of $2.2 million for the three months ended June 30, 2025 compared to a foreign exchange gain, net of $nil for the three months ended June 30, 2024.</w:t>
      </w:r>
    </w:p>
    <w:p>
      <w:pPr>
        <w:spacing w:after="0" w:line="158"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Interest expens</w:t>
      </w:r>
      <w:r>
        <w:rPr>
          <w:rFonts w:ascii="Times New Roman" w:cs="Times New Roman" w:eastAsia="Times New Roman" w:hAnsi="Times New Roman"/>
          <w:sz w:val="17"/>
          <w:szCs w:val="17"/>
          <w:color w:val="auto"/>
        </w:rPr>
        <w:t>e. Interest expense decreased from $5.3 million for the three months ended June 30, 2024 to $4.3 million for the three months ended June 30,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2025, primarily due to lower average borrowings and a lower effective interest rate of 5.8% during the three months ended June 30, 2025, compared to 6.5% to the three months ended June 30, 2024.</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357" w:lineRule="exact"/>
        <w:rPr>
          <w:sz w:val="20"/>
          <w:szCs w:val="20"/>
          <w:color w:val="auto"/>
        </w:rPr>
      </w:pPr>
    </w:p>
    <w:tbl>
      <w:tblPr>
        <w:tblLayout w:type="fixed"/>
        <w:tblInd w:w="260" w:type="dxa"/>
        <w:tblCellMar>
          <w:top w:w="0" w:type="dxa"/>
          <w:left w:w="0" w:type="dxa"/>
          <w:bottom w:w="0" w:type="dxa"/>
          <w:right w:w="0" w:type="dxa"/>
        </w:tblCellMar>
      </w:tblPr>
      <w:tr>
        <w:trPr>
          <w:trHeight w:val="182"/>
        </w:trPr>
        <w:tc>
          <w:tcPr>
            <w:tcW w:w="5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2"/>
        </w:trPr>
        <w:tc>
          <w:tcPr>
            <w:tcW w:w="5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79"/>
        </w:trPr>
        <w:tc>
          <w:tcPr>
            <w:tcW w:w="5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88"/>
        </w:trPr>
        <w:tc>
          <w:tcPr>
            <w:tcW w:w="5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w w:val="97"/>
              </w:rPr>
              <w:t>(dollars in millions)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8"/>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sale and fair value mark-to-market on investments</w:t>
            </w:r>
          </w:p>
        </w:tc>
        <w:tc>
          <w:tcPr>
            <w:tcW w:w="3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center"/>
              <w:ind w:left="358"/>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94.4 %</w:t>
            </w:r>
          </w:p>
        </w:tc>
      </w:tr>
      <w:tr>
        <w:trPr>
          <w:trHeight w:val="219"/>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and dividend income</w:t>
            </w:r>
          </w:p>
        </w:tc>
        <w:tc>
          <w:tcPr>
            <w:tcW w:w="30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center"/>
              <w:ind w:left="358"/>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12.9 %</w:t>
            </w: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Others,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ind w:left="338"/>
              <w:spacing w:after="0"/>
              <w:rPr>
                <w:sz w:val="20"/>
                <w:szCs w:val="20"/>
                <w:color w:val="auto"/>
              </w:rPr>
            </w:pPr>
            <w:r>
              <w:rPr>
                <w:rFonts w:ascii="Times New Roman" w:cs="Times New Roman" w:eastAsia="Times New Roman" w:hAnsi="Times New Roman"/>
                <w:sz w:val="17"/>
                <w:szCs w:val="17"/>
                <w:color w:val="auto"/>
                <w:w w:val="98"/>
              </w:rPr>
              <w:t>(0.1)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2"/>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center"/>
              <w:ind w:left="358"/>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59.7 %</w:t>
            </w:r>
          </w:p>
        </w:tc>
      </w:tr>
      <w:tr>
        <w:trPr>
          <w:trHeight w:val="20"/>
        </w:trPr>
        <w:tc>
          <w:tcPr>
            <w:tcW w:w="5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Other income, net increased from $3.5 million for the three months ended June 30, 2024 to $5.7 million for the three months ended June 30, 2025. The increase is primarily due to higher yield on our investments and reversal of certain contingent liabilities of $0.9 million that were no longer required during the three months ended June 30, 2025.</w:t>
      </w:r>
    </w:p>
    <w:p>
      <w:pPr>
        <w:spacing w:after="0" w:line="186" w:lineRule="exact"/>
        <w:rPr>
          <w:sz w:val="20"/>
          <w:szCs w:val="20"/>
          <w:color w:val="auto"/>
        </w:rPr>
      </w:pPr>
    </w:p>
    <w:p>
      <w:pPr>
        <w:jc w:val="both"/>
        <w:ind w:firstLine="387"/>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Income Tax Expense. </w:t>
      </w:r>
      <w:r>
        <w:rPr>
          <w:rFonts w:ascii="Times New Roman" w:cs="Times New Roman" w:eastAsia="Times New Roman" w:hAnsi="Times New Roman"/>
          <w:sz w:val="17"/>
          <w:szCs w:val="17"/>
          <w:color w:val="auto"/>
        </w:rPr>
        <w:t>The effective tax rate decreased from 23.2% during the three months ended June 30, 2024 to 21.9% during the three months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June 30, 2025. We recorded income tax expense of $18.6 million and $13.9 million for the three months ended June 30, 2025 and 2024, respectively. The increase in income tax expense was primarily as a result of higher profit, partially offset by lower state taxes and higher excess tax benefits during the three months ended June 30, 2025, compared to the three months ended June 30, 2024.</w:t>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Net Income. </w:t>
      </w:r>
      <w:r>
        <w:rPr>
          <w:rFonts w:ascii="Times New Roman" w:cs="Times New Roman" w:eastAsia="Times New Roman" w:hAnsi="Times New Roman"/>
          <w:sz w:val="17"/>
          <w:szCs w:val="17"/>
          <w:color w:val="auto"/>
        </w:rPr>
        <w:t>Net income increased from $45.8 million for the three months ended June 30, 2024 to $66.1 million for the three months ended June 30, 2025,</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primarily due to higher in income from operations of $19.7 million, higher foreign exchange and other income, net of $2.2 million each and lower interest expense by $1.0 million. This was partially offset by higher income tax expense of $4.7 million.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for the six months ended June 30, 2025 and 2024:</w:t>
      </w:r>
    </w:p>
    <w:p>
      <w:pPr>
        <w:spacing w:after="0" w:line="274" w:lineRule="exact"/>
        <w:rPr>
          <w:sz w:val="20"/>
          <w:szCs w:val="20"/>
          <w:color w:val="auto"/>
        </w:rPr>
      </w:pPr>
    </w:p>
    <w:tbl>
      <w:tblPr>
        <w:tblLayout w:type="fixed"/>
        <w:tblInd w:w="380" w:type="dxa"/>
        <w:tblCellMar>
          <w:top w:w="0" w:type="dxa"/>
          <w:left w:w="0" w:type="dxa"/>
          <w:bottom w:w="0" w:type="dxa"/>
          <w:right w:w="0" w:type="dxa"/>
        </w:tblCellMar>
      </w:tblPr>
      <w:tr>
        <w:trPr>
          <w:trHeight w:val="182"/>
        </w:trPr>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(dollars in millions)</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Six months</w:t>
            </w: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3360" w:type="dxa"/>
            <w:vAlign w:val="bottom"/>
          </w:tcPr>
          <w:p>
            <w:pPr>
              <w:spacing w:after="0"/>
              <w:rPr>
                <w:sz w:val="12"/>
                <w:szCs w:val="12"/>
                <w:color w:val="auto"/>
              </w:rPr>
            </w:pPr>
          </w:p>
        </w:tc>
        <w:tc>
          <w:tcPr>
            <w:tcW w:w="104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ended June 30,</w:t>
            </w: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6"/>
              </w:rPr>
              <w:t>ended June 30,</w:t>
            </w: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vMerge w:val="restart"/>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w:t>
            </w:r>
          </w:p>
        </w:tc>
        <w:tc>
          <w:tcPr>
            <w:tcW w:w="80" w:type="dxa"/>
            <w:vAlign w:val="bottom"/>
            <w:vMerge w:val="restart"/>
          </w:tcPr>
          <w:p>
            <w:pPr>
              <w:spacing w:after="0"/>
              <w:rPr>
                <w:sz w:val="2"/>
                <w:szCs w:val="2"/>
                <w:color w:val="auto"/>
              </w:rPr>
            </w:pPr>
          </w:p>
        </w:tc>
        <w:tc>
          <w:tcPr>
            <w:tcW w:w="10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vMerge w:val="restart"/>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6"/>
              </w:rPr>
              <w:t>(B)</w:t>
            </w:r>
          </w:p>
        </w:tc>
        <w:tc>
          <w:tcPr>
            <w:tcW w:w="100" w:type="dxa"/>
            <w:vAlign w:val="bottom"/>
            <w:vMerge w:val="restart"/>
          </w:tcPr>
          <w:p>
            <w:pPr>
              <w:spacing w:after="0"/>
              <w:rPr>
                <w:sz w:val="2"/>
                <w:szCs w:val="2"/>
                <w:color w:val="auto"/>
              </w:rPr>
            </w:pPr>
          </w:p>
        </w:tc>
        <w:tc>
          <w:tcPr>
            <w:tcW w:w="10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vMerge w:val="restart"/>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(C=A-B)</w:t>
            </w:r>
          </w:p>
        </w:tc>
        <w:tc>
          <w:tcPr>
            <w:tcW w:w="8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33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1,015.5</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884.9</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33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 xml:space="preserve">Cost of revenues </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628.0</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61.8</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555.5</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62.8</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9"/>
        </w:trPr>
        <w:tc>
          <w:tcPr>
            <w:tcW w:w="3360" w:type="dxa"/>
            <w:vAlign w:val="bottom"/>
            <w:tcBorders>
              <w:top w:val="single" w:sz="8" w:color="CCEEFF"/>
            </w:tcBorders>
            <w:shd w:val="clear" w:color="auto" w:fill="CCEEFF"/>
          </w:tcPr>
          <w:p>
            <w:pPr>
              <w:ind w:left="20"/>
              <w:spacing w:after="0" w:line="199" w:lineRule="exact"/>
              <w:rPr>
                <w:sz w:val="20"/>
                <w:szCs w:val="20"/>
                <w:color w:val="auto"/>
              </w:rPr>
            </w:pPr>
            <w:r>
              <w:rPr>
                <w:rFonts w:ascii="Times New Roman" w:cs="Times New Roman" w:eastAsia="Times New Roman" w:hAnsi="Times New Roman"/>
                <w:sz w:val="15"/>
                <w:szCs w:val="15"/>
                <w:b w:val="1"/>
                <w:bCs w:val="1"/>
                <w:color w:val="auto"/>
              </w:rPr>
              <w:t xml:space="preserve">Gross profit </w:t>
            </w:r>
            <w:r>
              <w:rPr>
                <w:rFonts w:ascii="Times New Roman" w:cs="Times New Roman" w:eastAsia="Times New Roman" w:hAnsi="Times New Roman"/>
                <w:sz w:val="20"/>
                <w:szCs w:val="20"/>
                <w:b w:val="1"/>
                <w:bCs w:val="1"/>
                <w:color w:val="auto"/>
                <w:vertAlign w:val="superscript"/>
              </w:rPr>
              <w:t>(1)</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387.5</w:t>
            </w: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38.2 %</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329.4</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37.2 %</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58.1</w:t>
            </w: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17.7 %</w:t>
            </w:r>
          </w:p>
        </w:tc>
        <w:tc>
          <w:tcPr>
            <w:tcW w:w="0" w:type="dxa"/>
            <w:vAlign w:val="bottom"/>
          </w:tcPr>
          <w:p>
            <w:pPr>
              <w:spacing w:after="0"/>
              <w:rPr>
                <w:sz w:val="1"/>
                <w:szCs w:val="1"/>
                <w:color w:val="auto"/>
              </w:rPr>
            </w:pPr>
          </w:p>
        </w:tc>
      </w:tr>
      <w:tr>
        <w:trPr>
          <w:trHeight w:val="183"/>
        </w:trPr>
        <w:tc>
          <w:tcPr>
            <w:tcW w:w="3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expenses:</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119.0</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3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Selling and marketing expenses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81.4</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71.4</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3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228.0</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206.4</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Income from operations</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159.5</w:t>
            </w: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15.7 %</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123.0</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13.9 %</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36.5</w:t>
            </w: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29.7 %</w:t>
            </w:r>
          </w:p>
        </w:tc>
        <w:tc>
          <w:tcPr>
            <w:tcW w:w="0" w:type="dxa"/>
            <w:vAlign w:val="bottom"/>
          </w:tcPr>
          <w:p>
            <w:pPr>
              <w:spacing w:after="0"/>
              <w:rPr>
                <w:sz w:val="1"/>
                <w:szCs w:val="1"/>
                <w:color w:val="auto"/>
              </w:rPr>
            </w:pPr>
          </w:p>
        </w:tc>
      </w:tr>
      <w:tr>
        <w:trPr>
          <w:trHeight w:val="203"/>
        </w:trPr>
        <w:tc>
          <w:tcPr>
            <w:tcW w:w="3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Foreign exchange gain, net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tcPr>
          <w:p>
            <w:pPr>
              <w:spacing w:after="0"/>
              <w:rPr>
                <w:sz w:val="17"/>
                <w:szCs w:val="17"/>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761.5</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 %</w:t>
            </w:r>
          </w:p>
        </w:tc>
        <w:tc>
          <w:tcPr>
            <w:tcW w:w="0" w:type="dxa"/>
            <w:vAlign w:val="bottom"/>
          </w:tcPr>
          <w:p>
            <w:pPr>
              <w:spacing w:after="0"/>
              <w:rPr>
                <w:sz w:val="1"/>
                <w:szCs w:val="1"/>
                <w:color w:val="auto"/>
              </w:rPr>
            </w:pPr>
          </w:p>
        </w:tc>
      </w:tr>
      <w:tr>
        <w:trPr>
          <w:trHeight w:val="203"/>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income, net</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37"/>
        </w:trPr>
        <w:tc>
          <w:tcPr>
            <w:tcW w:w="336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Income before income tax expense and earnings</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164.9</w:t>
            </w:r>
          </w:p>
        </w:tc>
        <w:tc>
          <w:tcPr>
            <w:tcW w:w="8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16.2 %</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122.2</w:t>
            </w:r>
          </w:p>
        </w:tc>
        <w:tc>
          <w:tcPr>
            <w:tcW w:w="10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13.8 %</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42.7</w:t>
            </w:r>
          </w:p>
        </w:tc>
        <w:tc>
          <w:tcPr>
            <w:tcW w:w="12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34.9 %</w:t>
            </w:r>
          </w:p>
        </w:tc>
        <w:tc>
          <w:tcPr>
            <w:tcW w:w="0" w:type="dxa"/>
            <w:vAlign w:val="bottom"/>
          </w:tcPr>
          <w:p>
            <w:pPr>
              <w:spacing w:after="0"/>
              <w:rPr>
                <w:sz w:val="1"/>
                <w:szCs w:val="1"/>
                <w:color w:val="auto"/>
              </w:rPr>
            </w:pPr>
          </w:p>
        </w:tc>
      </w:tr>
      <w:tr>
        <w:trPr>
          <w:trHeight w:val="20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from equity affiliates</w:t>
            </w: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tax expense</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16.0</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Income before earnings from equity affiliates</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132.9</w:t>
            </w: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13.1 %</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94.6</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10.7 %</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38.3</w:t>
            </w: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40.4 %</w:t>
            </w:r>
          </w:p>
        </w:tc>
        <w:tc>
          <w:tcPr>
            <w:tcW w:w="0" w:type="dxa"/>
            <w:vAlign w:val="bottom"/>
          </w:tcPr>
          <w:p>
            <w:pPr>
              <w:spacing w:after="0"/>
              <w:rPr>
                <w:sz w:val="1"/>
                <w:szCs w:val="1"/>
                <w:color w:val="auto"/>
              </w:rPr>
            </w:pPr>
          </w:p>
        </w:tc>
      </w:tr>
      <w:tr>
        <w:trPr>
          <w:trHeight w:val="203"/>
        </w:trPr>
        <w:tc>
          <w:tcPr>
            <w:tcW w:w="3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from equity-method investment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Pr>
          <w:p>
            <w:pPr>
              <w:spacing w:after="0"/>
              <w:rPr>
                <w:sz w:val="17"/>
                <w:szCs w:val="17"/>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575.7</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7"/>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13.1 %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10.7 %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38.0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40.2 %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i w:val="1"/>
          <w:iCs w:val="1"/>
          <w:color w:val="auto"/>
        </w:rPr>
        <w:t>(1) Exclusive of depreciation and amortization expense.</w:t>
      </w:r>
    </w:p>
    <w:p>
      <w:pPr>
        <w:spacing w:after="0" w:line="240" w:lineRule="exact"/>
        <w:rPr>
          <w:sz w:val="20"/>
          <w:szCs w:val="20"/>
          <w:color w:val="auto"/>
        </w:rPr>
      </w:pPr>
    </w:p>
    <w:p>
      <w:pPr>
        <w:ind w:left="380"/>
        <w:spacing w:after="0" w:line="294" w:lineRule="auto"/>
        <w:rPr>
          <w:sz w:val="20"/>
          <w:szCs w:val="20"/>
          <w:color w:val="auto"/>
        </w:rPr>
      </w:pPr>
      <w:r>
        <w:rPr>
          <w:rFonts w:ascii="Times New Roman" w:cs="Times New Roman" w:eastAsia="Times New Roman" w:hAnsi="Times New Roman"/>
          <w:sz w:val="15"/>
          <w:szCs w:val="15"/>
          <w:i w:val="1"/>
          <w:iCs w:val="1"/>
          <w:color w:val="auto"/>
        </w:rPr>
        <w:t>Due to rounding, the numbers presented in the tables included in this Part I, Item 2, “Management’s Discussion and Analysis of Financial Condition and Results of Operations” may not add up precisely to the totals provided.</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Six Months Ended June 30, 2025 Compared to Six Months Ended June 30, 2024</w:t>
      </w:r>
    </w:p>
    <w:p>
      <w:pPr>
        <w:spacing w:after="0" w:line="2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2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summarizes our revenues by reportable segments:</w:t>
      </w:r>
    </w:p>
    <w:p>
      <w:pPr>
        <w:spacing w:after="0" w:line="29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Percentage of Total Revenues for the six months</w:t>
            </w:r>
          </w:p>
        </w:tc>
        <w:tc>
          <w:tcPr>
            <w:tcW w:w="0" w:type="dxa"/>
            <w:vAlign w:val="bottom"/>
          </w:tcPr>
          <w:p>
            <w:pPr>
              <w:spacing w:after="0"/>
              <w:rPr>
                <w:sz w:val="1"/>
                <w:szCs w:val="1"/>
                <w:color w:val="auto"/>
              </w:rPr>
            </w:pPr>
          </w:p>
        </w:tc>
      </w:tr>
      <w:tr>
        <w:trPr>
          <w:trHeight w:val="187"/>
        </w:trPr>
        <w:tc>
          <w:tcPr>
            <w:tcW w:w="2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1960" w:type="dxa"/>
            <w:vAlign w:val="bottom"/>
            <w:tcBorders>
              <w:bottom w:val="single" w:sz="8" w:color="auto"/>
            </w:tcBorders>
            <w:gridSpan w:val="3"/>
          </w:tcPr>
          <w:p>
            <w:pPr>
              <w:jc w:val="center"/>
              <w:ind w:left="841"/>
              <w:spacing w:after="0"/>
              <w:rPr>
                <w:sz w:val="20"/>
                <w:szCs w:val="20"/>
                <w:color w:val="auto"/>
              </w:rPr>
            </w:pPr>
            <w:r>
              <w:rPr>
                <w:rFonts w:ascii="Times New Roman" w:cs="Times New Roman" w:eastAsia="Times New Roman" w:hAnsi="Times New Roman"/>
                <w:sz w:val="14"/>
                <w:szCs w:val="14"/>
                <w:b w:val="1"/>
                <w:bCs w:val="1"/>
                <w:color w:val="auto"/>
                <w:w w:val="98"/>
              </w:rPr>
              <w:t>ended 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4"/>
                <w:szCs w:val="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340" w:type="dxa"/>
            <w:vAlign w:val="bottom"/>
            <w:gridSpan w:val="2"/>
            <w:vMerge w:val="continue"/>
          </w:tcPr>
          <w:p>
            <w:pPr>
              <w:spacing w:after="0"/>
              <w:rPr>
                <w:sz w:val="4"/>
                <w:szCs w:val="4"/>
                <w:color w:val="auto"/>
              </w:rPr>
            </w:pPr>
          </w:p>
        </w:tc>
        <w:tc>
          <w:tcPr>
            <w:tcW w:w="1400" w:type="dxa"/>
            <w:vAlign w:val="bottom"/>
            <w:vMerge w:val="restart"/>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20" w:type="dxa"/>
            <w:vAlign w:val="bottom"/>
            <w:vMerge w:val="restart"/>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7"/>
        </w:trPr>
        <w:tc>
          <w:tcPr>
            <w:tcW w:w="2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14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Insurance</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33.9 %</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35.8 %</w:t>
            </w:r>
          </w:p>
        </w:tc>
        <w:tc>
          <w:tcPr>
            <w:tcW w:w="0" w:type="dxa"/>
            <w:vAlign w:val="bottom"/>
          </w:tcPr>
          <w:p>
            <w:pPr>
              <w:spacing w:after="0"/>
              <w:rPr>
                <w:sz w:val="1"/>
                <w:szCs w:val="1"/>
                <w:color w:val="auto"/>
              </w:rPr>
            </w:pPr>
          </w:p>
        </w:tc>
      </w:tr>
      <w:tr>
        <w:trPr>
          <w:trHeight w:val="219"/>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Healthcare and Life Sciences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25.1 %</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23.4 %</w:t>
            </w:r>
          </w:p>
        </w:tc>
        <w:tc>
          <w:tcPr>
            <w:tcW w:w="0" w:type="dxa"/>
            <w:vAlign w:val="bottom"/>
          </w:tcPr>
          <w:p>
            <w:pPr>
              <w:spacing w:after="0"/>
              <w:rPr>
                <w:sz w:val="1"/>
                <w:szCs w:val="1"/>
                <w:color w:val="auto"/>
              </w:rPr>
            </w:pPr>
          </w:p>
        </w:tc>
      </w:tr>
      <w:tr>
        <w:trPr>
          <w:trHeight w:val="168"/>
        </w:trPr>
        <w:tc>
          <w:tcPr>
            <w:tcW w:w="26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Banking, Capital Markets and</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Diversified Industries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238.8</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14.9 %</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23.5 %</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23.5 %</w:t>
            </w:r>
          </w:p>
        </w:tc>
        <w:tc>
          <w:tcPr>
            <w:tcW w:w="0" w:type="dxa"/>
            <w:vAlign w:val="bottom"/>
          </w:tcPr>
          <w:p>
            <w:pPr>
              <w:spacing w:after="0"/>
              <w:rPr>
                <w:sz w:val="1"/>
                <w:szCs w:val="1"/>
                <w:color w:val="auto"/>
              </w:rPr>
            </w:pPr>
          </w:p>
        </w:tc>
      </w:tr>
      <w:tr>
        <w:trPr>
          <w:trHeight w:val="219"/>
        </w:trPr>
        <w:tc>
          <w:tcPr>
            <w:tcW w:w="2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International Growth Markets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177.4</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17.5 %</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17.3 %</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revenues, net</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1,015.5</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14.8 %</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87"/>
        <w:spacing w:after="0" w:line="287" w:lineRule="auto"/>
        <w:rPr>
          <w:sz w:val="20"/>
          <w:szCs w:val="20"/>
          <w:color w:val="auto"/>
        </w:rPr>
      </w:pPr>
      <w:r>
        <w:rPr>
          <w:rFonts w:ascii="Times New Roman" w:cs="Times New Roman" w:eastAsia="Times New Roman" w:hAnsi="Times New Roman"/>
          <w:sz w:val="17"/>
          <w:szCs w:val="17"/>
          <w:color w:val="auto"/>
        </w:rPr>
        <w:t>Revenues for the six months ended June 30, 2025 were up by $130.6 million, or 14.8%, compared to the six months ended June 30, 2024, driven primarily by revenue growth from our new and existing clients in all of our reportable segments.</w:t>
      </w:r>
    </w:p>
    <w:p>
      <w:pPr>
        <w:spacing w:after="0" w:line="177" w:lineRule="exact"/>
        <w:rPr>
          <w:sz w:val="20"/>
          <w:szCs w:val="20"/>
          <w:color w:val="auto"/>
        </w:rPr>
      </w:pPr>
    </w:p>
    <w:p>
      <w:pPr>
        <w:jc w:val="both"/>
        <w:ind w:firstLine="387"/>
        <w:spacing w:after="0" w:line="271" w:lineRule="auto"/>
        <w:rPr>
          <w:sz w:val="20"/>
          <w:szCs w:val="20"/>
          <w:color w:val="auto"/>
        </w:rPr>
      </w:pPr>
      <w:r>
        <w:rPr>
          <w:rFonts w:ascii="Times New Roman" w:cs="Times New Roman" w:eastAsia="Times New Roman" w:hAnsi="Times New Roman"/>
          <w:sz w:val="17"/>
          <w:szCs w:val="17"/>
          <w:color w:val="auto"/>
        </w:rPr>
        <w:t>Revenue growth in Insurance of $27.5 million was primarily driven by expansion of business from our new and existing clients during the six months ended June 30, 2025, compared to the six months ended June 30, 2024.</w:t>
      </w:r>
    </w:p>
    <w:p>
      <w:pPr>
        <w:spacing w:after="0" w:line="177"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auto"/>
        </w:rPr>
        <w:t>Revenue growth in Healthcare and Life Sciences of $48.3 million was primarily driven by the expansion of business from our new and existing clients, including incremental revenue from our August 2024 acquisition of ITI Data during the six months ended June 30, 2025, compared to the six months ended June 30, 2024.</w:t>
      </w:r>
    </w:p>
    <w:p>
      <w:pPr>
        <w:spacing w:after="0" w:line="178" w:lineRule="exact"/>
        <w:rPr>
          <w:sz w:val="20"/>
          <w:szCs w:val="20"/>
          <w:color w:val="auto"/>
        </w:rPr>
      </w:pPr>
    </w:p>
    <w:p>
      <w:pPr>
        <w:jc w:val="both"/>
        <w:ind w:firstLine="387"/>
        <w:spacing w:after="0" w:line="246" w:lineRule="auto"/>
        <w:rPr>
          <w:sz w:val="20"/>
          <w:szCs w:val="20"/>
          <w:color w:val="auto"/>
        </w:rPr>
      </w:pPr>
      <w:r>
        <w:rPr>
          <w:rFonts w:ascii="Times New Roman" w:cs="Times New Roman" w:eastAsia="Times New Roman" w:hAnsi="Times New Roman"/>
          <w:sz w:val="17"/>
          <w:szCs w:val="17"/>
          <w:color w:val="auto"/>
        </w:rPr>
        <w:t>Revenue growth in Banking, Capital Markets and Diversified Industries of $30.9 million was primarily driven by expansion of business from our new and existing clients of $31.2 million, including incremental revenue from our August 2024 acquisition of ITI Data, partially offset by a foreign exchange loss of $0.3 million during the six months ended June 30, 2025, compared to the six months ended June 30, 2024.</w:t>
      </w:r>
    </w:p>
    <w:p>
      <w:pPr>
        <w:spacing w:after="0" w:line="198"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auto"/>
        </w:rPr>
        <w:t>Revenue growth in International Growth Markets of $23.9 million was primarily driven by expansion of business from our new and existing clients of $24.5 million, including incremental revenue from our August 2024 acquisition of ITI Data, partially offset by a foreign exchange loss, net of hedging of $0.6 million during the six months ended June 30, 2025, compared to the six months ended June 30, 2024.</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 and Gross Margin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following table sets forth cost of revenues and gross margin of our reportable segments: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2060" w:type="dxa"/>
            <w:vAlign w:val="bottom"/>
            <w:tcBorders>
              <w:bottom w:val="single" w:sz="8" w:color="auto"/>
            </w:tcBorders>
            <w:gridSpan w:val="4"/>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Borders>
              <w:bottom w:val="single" w:sz="8" w:color="auto"/>
            </w:tcBorders>
            <w:gridSpan w:val="4"/>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2780" w:type="dxa"/>
            <w:vAlign w:val="bottom"/>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
        </w:trPr>
        <w:tc>
          <w:tcPr>
            <w:tcW w:w="2780" w:type="dxa"/>
            <w:vAlign w:val="bottom"/>
          </w:tcPr>
          <w:p>
            <w:pPr>
              <w:spacing w:after="0"/>
              <w:rPr>
                <w:sz w:val="3"/>
                <w:szCs w:val="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110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3"/>
                <w:szCs w:val="3"/>
                <w:color w:val="auto"/>
              </w:rPr>
            </w:pPr>
          </w:p>
        </w:tc>
        <w:tc>
          <w:tcPr>
            <w:tcW w:w="110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7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0" w:type="dxa"/>
            <w:vAlign w:val="bottom"/>
          </w:tcPr>
          <w:p>
            <w:pPr>
              <w:spacing w:after="0"/>
              <w:rPr>
                <w:sz w:val="1"/>
                <w:szCs w:val="1"/>
                <w:color w:val="auto"/>
              </w:rPr>
            </w:pPr>
          </w:p>
        </w:tc>
      </w:tr>
      <w:tr>
        <w:trPr>
          <w:trHeight w:val="186"/>
        </w:trPr>
        <w:tc>
          <w:tcPr>
            <w:tcW w:w="2780" w:type="dxa"/>
            <w:vAlign w:val="bottom"/>
          </w:tcPr>
          <w:p>
            <w:pPr>
              <w:spacing w:after="0"/>
              <w:rPr>
                <w:sz w:val="16"/>
                <w:szCs w:val="16"/>
                <w:color w:val="auto"/>
              </w:rPr>
            </w:pPr>
          </w:p>
        </w:tc>
        <w:tc>
          <w:tcPr>
            <w:tcW w:w="2060" w:type="dxa"/>
            <w:vAlign w:val="bottom"/>
            <w:tcBorders>
              <w:top w:val="single" w:sz="8" w:color="auto"/>
            </w:tcBorders>
            <w:gridSpan w:val="4"/>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Insurance</w:t>
            </w:r>
          </w:p>
        </w:tc>
        <w:tc>
          <w:tcPr>
            <w:tcW w:w="760" w:type="dxa"/>
            <w:vAlign w:val="bottom"/>
            <w:shd w:val="clear" w:color="auto" w:fill="CCEEFF"/>
          </w:tcPr>
          <w:p>
            <w:pPr>
              <w:jc w:val="right"/>
              <w:ind w:right="58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221.5</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Healthcare and Life Sciences</w:t>
            </w:r>
          </w:p>
        </w:tc>
        <w:tc>
          <w:tcPr>
            <w:tcW w:w="7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143.6</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115.2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78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Banking, Capital Markets and</w:t>
            </w:r>
          </w:p>
        </w:tc>
        <w:tc>
          <w:tcPr>
            <w:tcW w:w="7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Diversified Industries</w:t>
            </w:r>
          </w:p>
        </w:tc>
        <w:tc>
          <w:tcPr>
            <w:tcW w:w="7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149.1</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131.2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13.6 %</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37.6 %</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36.9 %</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International Growth Markets</w:t>
            </w:r>
          </w:p>
        </w:tc>
        <w:tc>
          <w:tcPr>
            <w:tcW w:w="7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113.8</w:t>
            </w: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13.9 %</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35.9 %</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34.9 %</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760" w:type="dxa"/>
            <w:vAlign w:val="bottom"/>
            <w:tcBorders>
              <w:bottom w:val="single" w:sz="8" w:color="auto"/>
            </w:tcBorders>
            <w:shd w:val="clear" w:color="auto" w:fill="CCEEFF"/>
          </w:tcPr>
          <w:p>
            <w:pPr>
              <w:jc w:val="right"/>
              <w:ind w:right="58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628.0</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555.5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13.0 %</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38.2 %</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37.2 %</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2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51</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7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90"/>
        <w:spacing w:after="0" w:line="261" w:lineRule="auto"/>
        <w:rPr>
          <w:sz w:val="20"/>
          <w:szCs w:val="20"/>
          <w:color w:val="auto"/>
        </w:rPr>
      </w:pPr>
      <w:r>
        <w:rPr>
          <w:rFonts w:ascii="Times New Roman" w:cs="Times New Roman" w:eastAsia="Times New Roman" w:hAnsi="Times New Roman"/>
          <w:sz w:val="17"/>
          <w:szCs w:val="17"/>
          <w:color w:val="auto"/>
        </w:rPr>
        <w:t>Cost of revenues for the six months ended June 30, 2025 increased by $72.5 million, or 13.0%, compared to the six months ended June 30, 2024. The increase in cost of revenues was primarily due to increases in employee-related costs and technology costs, partially offset by foreign exchange gain, net of hedging. Our gross margin for the six months ended June 30, 2025 was 38.2% compared to 37.2% for the six months ended June 30, 2024, an increase of 100 bps primarily driven by higher revenues and operational efficiencies, partially offset by increases in employee-related costs during the six months ended June 30, 2025, compared to the six months ended June 30, 2024.</w:t>
      </w:r>
    </w:p>
    <w:p>
      <w:pPr>
        <w:spacing w:after="0" w:line="188" w:lineRule="exact"/>
        <w:rPr>
          <w:sz w:val="20"/>
          <w:szCs w:val="20"/>
          <w:color w:val="auto"/>
        </w:rPr>
      </w:pPr>
    </w:p>
    <w:p>
      <w:pPr>
        <w:jc w:val="both"/>
        <w:ind w:firstLine="387"/>
        <w:spacing w:after="0" w:line="241" w:lineRule="auto"/>
        <w:rPr>
          <w:sz w:val="20"/>
          <w:szCs w:val="20"/>
          <w:color w:val="auto"/>
        </w:rPr>
      </w:pPr>
      <w:r>
        <w:rPr>
          <w:rFonts w:ascii="Times New Roman" w:cs="Times New Roman" w:eastAsia="Times New Roman" w:hAnsi="Times New Roman"/>
          <w:sz w:val="17"/>
          <w:szCs w:val="17"/>
          <w:color w:val="auto"/>
        </w:rPr>
        <w:t>The increase in cost of revenues in Insurance of $12.3 million for the six months ended June 30, 2025 was primarily due to increases in employee-related costs of $22.8 million on account of higher headcount and wage inflation, higher technology costs of $1.8 million, partially offset by lower mail and data expenses in our direct marketing business of $9.0 million, other operating costs of $0.9 million and foreign exchange gain, net of hedging of $2.4 million. Gross margin in Insurance increased by 180 bps, primarily due to higher revenues and operational efficiencies during the six months ended June 30, 2025, compared to the six months ended June 30, 2024.</w:t>
      </w:r>
    </w:p>
    <w:p>
      <w:pPr>
        <w:spacing w:after="0" w:line="205" w:lineRule="exact"/>
        <w:rPr>
          <w:sz w:val="20"/>
          <w:szCs w:val="20"/>
          <w:color w:val="auto"/>
        </w:rPr>
      </w:pPr>
    </w:p>
    <w:p>
      <w:pPr>
        <w:jc w:val="both"/>
        <w:ind w:firstLine="387"/>
        <w:spacing w:after="0" w:line="245" w:lineRule="auto"/>
        <w:rPr>
          <w:sz w:val="20"/>
          <w:szCs w:val="20"/>
          <w:color w:val="auto"/>
        </w:rPr>
      </w:pPr>
      <w:r>
        <w:rPr>
          <w:rFonts w:ascii="Times New Roman" w:cs="Times New Roman" w:eastAsia="Times New Roman" w:hAnsi="Times New Roman"/>
          <w:sz w:val="17"/>
          <w:szCs w:val="17"/>
          <w:color w:val="auto"/>
        </w:rPr>
        <w:t>The increase in cost of revenues in Healthcare and Life Sciences of $28.4 million for the six months ended June 30, 2025 was primarily due to increases in employee-related costs of $26.2 million on account of higher headcount and wage inflation, including incremental costs related to the acquisition of ITI Data, higher facilities costs of $1.2 million, higher technology costs of $1.3 million, and higher other operating costs of $1.3 million, partially offset by foreign exchange gain, net of hedging of $1.6 million. Gross margin in Healthcare and Life Sciences decreased by 60 bps, primarily due to lower volumes in certain existing clients during the six months ended June 30, 2025, compared to the six months ended June 30, 2024.</w:t>
      </w:r>
    </w:p>
    <w:p>
      <w:pPr>
        <w:spacing w:after="0" w:line="201" w:lineRule="exact"/>
        <w:rPr>
          <w:sz w:val="20"/>
          <w:szCs w:val="20"/>
          <w:color w:val="auto"/>
        </w:rPr>
      </w:pPr>
    </w:p>
    <w:p>
      <w:pPr>
        <w:jc w:val="both"/>
        <w:ind w:firstLine="387"/>
        <w:spacing w:after="0" w:line="245" w:lineRule="auto"/>
        <w:rPr>
          <w:sz w:val="20"/>
          <w:szCs w:val="20"/>
          <w:color w:val="auto"/>
        </w:rPr>
      </w:pPr>
      <w:r>
        <w:rPr>
          <w:rFonts w:ascii="Times New Roman" w:cs="Times New Roman" w:eastAsia="Times New Roman" w:hAnsi="Times New Roman"/>
          <w:sz w:val="17"/>
          <w:szCs w:val="17"/>
          <w:color w:val="auto"/>
        </w:rPr>
        <w:t>The increase in cost of revenues in Banking, Capital Markets and Diversified Industries of $17.9 million for the six months ended June 30, 2025 was primarily due to increases in employee-related costs of $16.3 million on account of higher headcount and wage inflation, including incremental costs related to the acquisition of ITI Data, higher facilities costs of $1.1 million, higher technology costs of $1.1 million, and higher other operating costs of $1.1 million, partially offset by foreign exchange gain, net of hedging of $1.7 million. Gross margin in Banking, Capital Markets and Diversified Industries increased by 70 bps, primarily due to higher revenues and operational efficiencies during the six months ended June 30, 2025, compared to the six months ended June 30, 2024.</w:t>
      </w:r>
    </w:p>
    <w:p>
      <w:pPr>
        <w:spacing w:after="0" w:line="188" w:lineRule="exact"/>
        <w:rPr>
          <w:sz w:val="20"/>
          <w:szCs w:val="20"/>
          <w:color w:val="auto"/>
        </w:rPr>
      </w:pPr>
    </w:p>
    <w:p>
      <w:pPr>
        <w:jc w:val="both"/>
        <w:ind w:firstLine="387"/>
        <w:spacing w:after="0" w:line="245" w:lineRule="auto"/>
        <w:rPr>
          <w:sz w:val="20"/>
          <w:szCs w:val="20"/>
          <w:color w:val="auto"/>
        </w:rPr>
      </w:pPr>
      <w:r>
        <w:rPr>
          <w:rFonts w:ascii="Times New Roman" w:cs="Times New Roman" w:eastAsia="Times New Roman" w:hAnsi="Times New Roman"/>
          <w:sz w:val="17"/>
          <w:szCs w:val="17"/>
          <w:color w:val="auto"/>
        </w:rPr>
        <w:t>The increase in cost of revenues in International Growth Markets of $13.9 million for the six months ended June 30, 2025 was primarily due to increases in employee-related costs of $12.5 million on account of higher headcount and wage inflation, including incremental costs related to the acquisition of ITI Data, higher technology costs of $1.7 million, and higher other operating costs of $0.7 million, partially offset by foreign exchange gain, net of hedging of $1.0 million. Gross margin in International Growth Markets increased by 100 bps during the six months ended June 30, 2025, primarily due to higher revenues and operational efficiencies during the six months ended June 30, 2025, compared to the six months ended June 30, 2024.</w:t>
      </w:r>
    </w:p>
    <w:p>
      <w:pPr>
        <w:spacing w:after="0" w:line="2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(“SG&amp;A”) Expenses.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80" w:type="dxa"/>
            <w:vAlign w:val="bottom"/>
          </w:tcPr>
          <w:p>
            <w:pPr>
              <w:spacing w:after="0"/>
              <w:rPr>
                <w:sz w:val="15"/>
                <w:szCs w:val="15"/>
                <w:color w:val="auto"/>
              </w:rPr>
            </w:pPr>
          </w:p>
        </w:tc>
        <w:tc>
          <w:tcPr>
            <w:tcW w:w="25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0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81"/>
        </w:trPr>
        <w:tc>
          <w:tcPr>
            <w:tcW w:w="50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6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8.4 %</w:t>
            </w:r>
          </w:p>
        </w:tc>
        <w:tc>
          <w:tcPr>
            <w:tcW w:w="0" w:type="dxa"/>
            <w:vAlign w:val="bottom"/>
          </w:tcPr>
          <w:p>
            <w:pPr>
              <w:spacing w:after="0"/>
              <w:rPr>
                <w:sz w:val="1"/>
                <w:szCs w:val="1"/>
                <w:color w:val="auto"/>
              </w:rPr>
            </w:pPr>
          </w:p>
        </w:tc>
      </w:tr>
      <w:tr>
        <w:trPr>
          <w:trHeight w:val="219"/>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81.4</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13.9 %</w:t>
            </w: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6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10.6 %</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ind w:firstLine="387"/>
        <w:spacing w:after="0" w:line="248" w:lineRule="auto"/>
        <w:rPr>
          <w:sz w:val="20"/>
          <w:szCs w:val="20"/>
          <w:color w:val="auto"/>
        </w:rPr>
      </w:pPr>
      <w:r>
        <w:rPr>
          <w:rFonts w:ascii="Times New Roman" w:cs="Times New Roman" w:eastAsia="Times New Roman" w:hAnsi="Times New Roman"/>
          <w:sz w:val="17"/>
          <w:szCs w:val="17"/>
          <w:color w:val="auto"/>
        </w:rPr>
        <w:t>The increase in SG&amp;A expenses of $19.3 million was primarily due to increases in employee-related costs of $18.0 million on account of higher headcount and wage inflation, including incremental costs related to the acquisition of ITI Data, higher investments in digital and generative AI capabilities of $1.6 million, higher sales and marketing costs of $0.9 million and higher other operating costs of $1.9 million. This increase in SG&amp;A was partially offset by one-time restructuring and litigation settlement costs of $3.1 million incurred during the six months ended June 30, 2024, compared to the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0" w:type="dxa"/>
            <w:vAlign w:val="bottom"/>
          </w:tcPr>
          <w:p>
            <w:pPr>
              <w:spacing w:after="0"/>
              <w:rPr>
                <w:sz w:val="15"/>
                <w:szCs w:val="15"/>
                <w:color w:val="auto"/>
              </w:rPr>
            </w:pPr>
          </w:p>
        </w:tc>
        <w:tc>
          <w:tcPr>
            <w:tcW w:w="23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560" w:type="dxa"/>
            <w:vAlign w:val="bottom"/>
            <w:vMerge w:val="restart"/>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81"/>
        </w:trPr>
        <w:tc>
          <w:tcPr>
            <w:tcW w:w="500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00" w:type="dxa"/>
            <w:vAlign w:val="bottom"/>
          </w:tcPr>
          <w:p>
            <w:pPr>
              <w:spacing w:after="0"/>
              <w:rPr>
                <w:sz w:val="16"/>
                <w:szCs w:val="16"/>
                <w:color w:val="auto"/>
              </w:rPr>
            </w:pPr>
          </w:p>
        </w:tc>
        <w:tc>
          <w:tcPr>
            <w:tcW w:w="2360" w:type="dxa"/>
            <w:vAlign w:val="bottom"/>
            <w:tcBorders>
              <w:top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expense</w:t>
            </w:r>
          </w:p>
        </w:tc>
        <w:tc>
          <w:tcPr>
            <w:tcW w:w="960" w:type="dxa"/>
            <w:vAlign w:val="bottom"/>
            <w:shd w:val="clear" w:color="auto" w:fill="CCEEFF"/>
          </w:tcPr>
          <w:p>
            <w:pPr>
              <w:jc w:val="right"/>
              <w:ind w:right="78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10.4 %</w:t>
            </w:r>
          </w:p>
        </w:tc>
        <w:tc>
          <w:tcPr>
            <w:tcW w:w="0" w:type="dxa"/>
            <w:vAlign w:val="bottom"/>
          </w:tcPr>
          <w:p>
            <w:pPr>
              <w:spacing w:after="0"/>
              <w:rPr>
                <w:sz w:val="1"/>
                <w:szCs w:val="1"/>
                <w:color w:val="auto"/>
              </w:rPr>
            </w:pPr>
          </w:p>
        </w:tc>
      </w:tr>
      <w:tr>
        <w:trPr>
          <w:trHeight w:val="219"/>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Intangible amortization expense</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5.9 %</w:t>
            </w: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9.3 %</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ind w:firstLine="387"/>
        <w:spacing w:after="0" w:line="271" w:lineRule="auto"/>
        <w:rPr>
          <w:sz w:val="20"/>
          <w:szCs w:val="20"/>
          <w:color w:val="auto"/>
        </w:rPr>
      </w:pPr>
      <w:r>
        <w:rPr>
          <w:rFonts w:ascii="Times New Roman" w:cs="Times New Roman" w:eastAsia="Times New Roman" w:hAnsi="Times New Roman"/>
          <w:sz w:val="17"/>
          <w:szCs w:val="17"/>
          <w:color w:val="auto"/>
        </w:rPr>
        <w:t>The increase in depreciation expense was $2.0 million during the six months ended June 30, 2025, compared to the six months ended June 30, 2024, primarily due to investments in infrastructure, technology assets and digital capabilities.</w:t>
      </w:r>
    </w:p>
    <w:p>
      <w:pPr>
        <w:spacing w:after="0" w:line="184" w:lineRule="exact"/>
        <w:rPr>
          <w:sz w:val="20"/>
          <w:szCs w:val="20"/>
          <w:color w:val="auto"/>
        </w:rPr>
      </w:pPr>
    </w:p>
    <w:p>
      <w:pPr>
        <w:jc w:val="both"/>
        <w:ind w:firstLine="395"/>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Income from Operations. </w:t>
      </w:r>
      <w:r>
        <w:rPr>
          <w:rFonts w:ascii="Times New Roman" w:cs="Times New Roman" w:eastAsia="Times New Roman" w:hAnsi="Times New Roman"/>
          <w:sz w:val="17"/>
          <w:szCs w:val="17"/>
          <w:color w:val="auto"/>
        </w:rPr>
        <w:t>Income from operations increased by $36.5 million, or 29.7%, from $123.0 million for the six months ended June 30, 2024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$159.5 million for the six months ended June 30, 2025, primarily due to higher revenues and higher gross margins, partially offset by higher SG&amp;A expenses during the six months ended June 30, 2025.</w:t>
      </w:r>
    </w:p>
    <w:p>
      <w:pPr>
        <w:spacing w:after="0" w:line="184" w:lineRule="exact"/>
        <w:rPr>
          <w:sz w:val="20"/>
          <w:szCs w:val="20"/>
          <w:color w:val="auto"/>
        </w:rPr>
      </w:pPr>
    </w:p>
    <w:p>
      <w:pPr>
        <w:jc w:val="both"/>
        <w:ind w:firstLine="387"/>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Foreign Exchange Gain, net. </w:t>
      </w:r>
      <w:r>
        <w:rPr>
          <w:rFonts w:ascii="Times New Roman" w:cs="Times New Roman" w:eastAsia="Times New Roman" w:hAnsi="Times New Roman"/>
          <w:sz w:val="17"/>
          <w:szCs w:val="17"/>
          <w:color w:val="auto"/>
        </w:rPr>
        <w:t>Foreign exchange gains and losses are primarily attributable to the movement of the U.S. dollar against the Indian rupee,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Philippine peso, the U.K. pound sterling and the South African rand during the six months ended June 30, 2025, compared to the six months ended June 30, 2024. The average exchange rate of the U.S. dollar against the Indian rupee increased from 83.27 during the six months ended June 30, 2024 to 85.90 during the six months ended June 30, 2025. The average exchange rate of the U.S. dollar against the Philippine peso decreased from 57.27 during the six months ended June 30, 2024 to 56.91 during the six months ended June 30, 2025. The average exchange rate of the U.K. pound sterling against the U.S. dollar increased from 1.26 during the six months ended June 30, 2024 to 1.31 during the six months ended June 30, 2025. The average exchange rate of the U.S. dollar against the South African rand decreased from 18.74 during the six months ended June 30, 2024 to 18.30 during the six months ended June 30, 2025.</w:t>
      </w:r>
    </w:p>
    <w:p>
      <w:pPr>
        <w:spacing w:after="0" w:line="200" w:lineRule="exact"/>
        <w:rPr>
          <w:sz w:val="20"/>
          <w:szCs w:val="20"/>
          <w:color w:val="auto"/>
        </w:rPr>
      </w:pPr>
    </w:p>
    <w:p>
      <w:pPr>
        <w:jc w:val="both"/>
        <w:ind w:firstLine="387"/>
        <w:spacing w:after="0" w:line="287" w:lineRule="auto"/>
        <w:rPr>
          <w:sz w:val="20"/>
          <w:szCs w:val="20"/>
          <w:color w:val="auto"/>
        </w:rPr>
      </w:pPr>
      <w:r>
        <w:rPr>
          <w:rFonts w:ascii="Times New Roman" w:cs="Times New Roman" w:eastAsia="Times New Roman" w:hAnsi="Times New Roman"/>
          <w:sz w:val="17"/>
          <w:szCs w:val="17"/>
          <w:color w:val="auto"/>
        </w:rPr>
        <w:t>We recorded a foreign exchange gain, net of $3.4 million for the six months ended June 30, 2025 compared to a foreign exchange gain, net of $0.4 million for the six months ended June 30, 2024.</w:t>
      </w:r>
    </w:p>
    <w:p>
      <w:pPr>
        <w:spacing w:after="0" w:line="171" w:lineRule="exact"/>
        <w:rPr>
          <w:sz w:val="20"/>
          <w:szCs w:val="20"/>
          <w:color w:val="auto"/>
        </w:rPr>
      </w:pPr>
    </w:p>
    <w:p>
      <w:pPr>
        <w:jc w:val="both"/>
        <w:ind w:firstLine="395"/>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expense. </w:t>
      </w:r>
      <w:r>
        <w:rPr>
          <w:rFonts w:ascii="Times New Roman" w:cs="Times New Roman" w:eastAsia="Times New Roman" w:hAnsi="Times New Roman"/>
          <w:sz w:val="17"/>
          <w:szCs w:val="17"/>
          <w:color w:val="auto"/>
        </w:rPr>
        <w:t>Interest expense decreased from $8.6 million for the six months ended June 30, 2024 to $8.4 million for the six months ended June 30,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2025, primarily due to a lower effective interest rate of 5.8% during the six months ended June 30, 2025, compared to 6.6% to the six months ended June 30, 2024.</w:t>
      </w:r>
    </w:p>
    <w:p>
      <w:pPr>
        <w:spacing w:after="0" w:line="3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80" w:type="dxa"/>
            <w:vAlign w:val="bottom"/>
          </w:tcPr>
          <w:p>
            <w:pPr>
              <w:spacing w:after="0"/>
              <w:rPr>
                <w:sz w:val="15"/>
                <w:szCs w:val="15"/>
                <w:color w:val="auto"/>
              </w:rPr>
            </w:pPr>
          </w:p>
        </w:tc>
        <w:tc>
          <w:tcPr>
            <w:tcW w:w="21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8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Percentage change</w:t>
            </w:r>
          </w:p>
        </w:tc>
        <w:tc>
          <w:tcPr>
            <w:tcW w:w="0" w:type="dxa"/>
            <w:vAlign w:val="bottom"/>
          </w:tcPr>
          <w:p>
            <w:pPr>
              <w:spacing w:after="0"/>
              <w:rPr>
                <w:sz w:val="1"/>
                <w:szCs w:val="1"/>
                <w:color w:val="auto"/>
              </w:rPr>
            </w:pPr>
          </w:p>
        </w:tc>
      </w:tr>
      <w:tr>
        <w:trPr>
          <w:trHeight w:val="181"/>
        </w:trPr>
        <w:tc>
          <w:tcPr>
            <w:tcW w:w="58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sale and fair value mark-to-market on investments</w:t>
            </w:r>
          </w:p>
        </w:tc>
        <w:tc>
          <w:tcPr>
            <w:tcW w:w="840" w:type="dxa"/>
            <w:vAlign w:val="bottom"/>
            <w:tcBorders>
              <w:top w:val="single" w:sz="8" w:color="auto"/>
            </w:tcBorders>
            <w:shd w:val="clear" w:color="auto" w:fill="CCEEFF"/>
          </w:tcPr>
          <w:p>
            <w:pPr>
              <w:jc w:val="right"/>
              <w:ind w:right="663"/>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center"/>
              <w:ind w:left="377"/>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93.2 %</w:t>
            </w:r>
          </w:p>
        </w:tc>
        <w:tc>
          <w:tcPr>
            <w:tcW w:w="0" w:type="dxa"/>
            <w:vAlign w:val="bottom"/>
          </w:tcPr>
          <w:p>
            <w:pPr>
              <w:spacing w:after="0"/>
              <w:rPr>
                <w:sz w:val="1"/>
                <w:szCs w:val="1"/>
                <w:color w:val="auto"/>
              </w:rPr>
            </w:pPr>
          </w:p>
        </w:tc>
      </w:tr>
      <w:tr>
        <w:trPr>
          <w:trHeight w:val="219"/>
        </w:trPr>
        <w:tc>
          <w:tcPr>
            <w:tcW w:w="5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and dividend income</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center"/>
              <w:ind w:left="377"/>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13.9 %</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changes of contingent consideration</w:t>
            </w:r>
          </w:p>
        </w:tc>
        <w:tc>
          <w:tcPr>
            <w:tcW w:w="8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337"/>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19"/>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Others, net</w:t>
            </w: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377"/>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37"/>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840" w:type="dxa"/>
            <w:vAlign w:val="bottom"/>
            <w:tcBorders>
              <w:bottom w:val="single" w:sz="8" w:color="auto"/>
            </w:tcBorders>
            <w:shd w:val="clear" w:color="auto" w:fill="CCEEFF"/>
          </w:tcPr>
          <w:p>
            <w:pPr>
              <w:jc w:val="right"/>
              <w:ind w:right="663"/>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center"/>
              <w:ind w:left="377"/>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38.3 %</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ind w:firstLine="387"/>
        <w:spacing w:after="0" w:line="248" w:lineRule="auto"/>
        <w:rPr>
          <w:sz w:val="20"/>
          <w:szCs w:val="20"/>
          <w:color w:val="auto"/>
        </w:rPr>
      </w:pPr>
      <w:r>
        <w:rPr>
          <w:rFonts w:ascii="Times New Roman" w:cs="Times New Roman" w:eastAsia="Times New Roman" w:hAnsi="Times New Roman"/>
          <w:sz w:val="17"/>
          <w:szCs w:val="17"/>
          <w:color w:val="auto"/>
        </w:rPr>
        <w:t>Other income, net increased from $7.4 million for the six months ended June 30, 2024 to $10.4 million for the six months ended June 30, 2025. The increase is primarily due to higher yield on our investments and reversal of certain contingent liabilities of $0.9 million that were no longer required during the six months ended June 30, 2025, partially offset by reversal of contingent consideration liability of $0.6 million related to our June 2022 acquisition of Inbound Media Group, LLC during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95"/>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Income Tax Expense. </w:t>
      </w:r>
      <w:r>
        <w:rPr>
          <w:rFonts w:ascii="Times New Roman" w:cs="Times New Roman" w:eastAsia="Times New Roman" w:hAnsi="Times New Roman"/>
          <w:sz w:val="17"/>
          <w:szCs w:val="17"/>
          <w:color w:val="auto"/>
        </w:rPr>
        <w:t>The effective tax rate decreased from 22.6% during the six months ended June 30, 2024 to 19.5% during the six months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June 30, 2025. We recorded income tax expense of $32.0 million and $27.6 million for the six months ended June 30, 2025 and 2024, respectively. The increase in income tax expense was primarily driven by higher profit and an increase in non-deductible expenses, partially offset by lower state taxes and higher excess tax benefits during the six months ended June 30, 2025, compared to the six months ended June 30, 2024.</w:t>
      </w:r>
    </w:p>
    <w:p>
      <w:pPr>
        <w:spacing w:after="0" w:line="198" w:lineRule="exact"/>
        <w:rPr>
          <w:sz w:val="20"/>
          <w:szCs w:val="20"/>
          <w:color w:val="auto"/>
        </w:rPr>
      </w:pPr>
    </w:p>
    <w:p>
      <w:pPr>
        <w:jc w:val="both"/>
        <w:ind w:firstLine="387"/>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Net Income. </w:t>
      </w:r>
      <w:r>
        <w:rPr>
          <w:rFonts w:ascii="Times New Roman" w:cs="Times New Roman" w:eastAsia="Times New Roman" w:hAnsi="Times New Roman"/>
          <w:sz w:val="17"/>
          <w:szCs w:val="17"/>
          <w:color w:val="auto"/>
        </w:rPr>
        <w:t>Net income increased from $94.6 million for the six months ended June 30, 2024 to $132.6 million for the six months ended June 30, 2025,</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primarily due to increases in income from operations of $36.5 million, higher foreign exchange and other income, net of $3.0 million each and lower interest expense by $0.2 million, partially offset by lower income tax expense of $4.4 million and loss from equity-method investment of $0.3 million.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and Capital Resources</w:t>
      </w:r>
    </w:p>
    <w:p>
      <w:pPr>
        <w:spacing w:after="0" w:line="254"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4900" w:type="dxa"/>
            <w:vAlign w:val="bottom"/>
          </w:tcPr>
          <w:p>
            <w:pPr>
              <w:spacing w:after="0"/>
              <w:rPr>
                <w:sz w:val="15"/>
                <w:szCs w:val="15"/>
                <w:color w:val="auto"/>
              </w:rPr>
            </w:pPr>
          </w:p>
        </w:tc>
        <w:tc>
          <w:tcPr>
            <w:tcW w:w="2220" w:type="dxa"/>
            <w:vAlign w:val="bottom"/>
            <w:gridSpan w:val="4"/>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6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81"/>
        </w:trPr>
        <w:tc>
          <w:tcPr>
            <w:tcW w:w="49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Opening cash, cash equivalents and restricted cash</w:t>
            </w:r>
          </w:p>
        </w:tc>
        <w:tc>
          <w:tcPr>
            <w:tcW w:w="80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141.0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21.5 %</w:t>
            </w:r>
          </w:p>
        </w:tc>
        <w:tc>
          <w:tcPr>
            <w:tcW w:w="0" w:type="dxa"/>
            <w:vAlign w:val="bottom"/>
          </w:tcPr>
          <w:p>
            <w:pPr>
              <w:spacing w:after="0"/>
              <w:rPr>
                <w:sz w:val="1"/>
                <w:szCs w:val="1"/>
                <w:color w:val="auto"/>
              </w:rPr>
            </w:pPr>
          </w:p>
        </w:tc>
      </w:tr>
      <w:tr>
        <w:trPr>
          <w:trHeight w:val="219"/>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112.6</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112.3 %</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for investing activities</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0" w:type="dxa"/>
            <w:vAlign w:val="bottom"/>
          </w:tcPr>
          <w:p>
            <w:pPr>
              <w:spacing w:after="0"/>
              <w:rPr>
                <w:sz w:val="1"/>
                <w:szCs w:val="1"/>
                <w:color w:val="auto"/>
              </w:rPr>
            </w:pPr>
          </w:p>
        </w:tc>
      </w:tr>
      <w:tr>
        <w:trPr>
          <w:trHeight w:val="219"/>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for financing activities</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209.7 %</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w:t>
            </w: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(498.4)%</w:t>
            </w:r>
          </w:p>
        </w:tc>
        <w:tc>
          <w:tcPr>
            <w:tcW w:w="0" w:type="dxa"/>
            <w:vAlign w:val="bottom"/>
          </w:tcPr>
          <w:p>
            <w:pPr>
              <w:spacing w:after="0"/>
              <w:rPr>
                <w:sz w:val="1"/>
                <w:szCs w:val="1"/>
                <w:color w:val="auto"/>
              </w:rPr>
            </w:pPr>
          </w:p>
        </w:tc>
      </w:tr>
      <w:tr>
        <w:trPr>
          <w:trHeight w:val="212"/>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Closing cash, cash equivalents and restricted cash</w:t>
            </w:r>
          </w:p>
        </w:tc>
        <w:tc>
          <w:tcPr>
            <w:tcW w:w="80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170.5</w:t>
            </w:r>
          </w:p>
        </w:tc>
        <w:tc>
          <w:tcPr>
            <w:tcW w:w="100" w:type="dxa"/>
            <w:vAlign w:val="bottom"/>
          </w:tcPr>
          <w:p>
            <w:pPr>
              <w:spacing w:after="0"/>
              <w:rPr>
                <w:sz w:val="18"/>
                <w:szCs w:val="18"/>
                <w:color w:val="auto"/>
              </w:rPr>
            </w:pP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121.7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8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40.2 %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87"/>
        <w:spacing w:after="0" w:line="241" w:lineRule="auto"/>
        <w:rPr>
          <w:sz w:val="20"/>
          <w:szCs w:val="20"/>
          <w:color w:val="auto"/>
        </w:rPr>
      </w:pPr>
      <w:r>
        <w:rPr>
          <w:rFonts w:ascii="Times New Roman" w:cs="Times New Roman" w:eastAsia="Times New Roman" w:hAnsi="Times New Roman"/>
          <w:sz w:val="17"/>
          <w:szCs w:val="17"/>
          <w:color w:val="auto"/>
        </w:rPr>
        <w:t>As of June 30, 2025 and December 31, 2024, we had $353.3 million and $340.6 million, respectively, in cash, cash equivalents and short-term investments, of which $315.7 million and $296.0 million, respectively, is located in foreign jurisdictions that upon distribution may be subject to withholding and other taxes. We periodically evaluate opportunities to distribute cash among our group entities to fund our operations, expand our business and make strategic acquisitions in the United States and other geographies, and as and when we decide to distribute, we may have to accrue additional taxes in accordance with local tax laws, rules and regulations in the relevant foreign jurisdictions.</w:t>
      </w:r>
    </w:p>
    <w:p>
      <w:pPr>
        <w:spacing w:after="0" w:line="201" w:lineRule="exact"/>
        <w:rPr>
          <w:sz w:val="20"/>
          <w:szCs w:val="20"/>
          <w:color w:val="auto"/>
        </w:rPr>
      </w:pPr>
    </w:p>
    <w:p>
      <w:pPr>
        <w:jc w:val="both"/>
        <w:ind w:firstLine="387"/>
        <w:spacing w:after="0" w:line="246" w:lineRule="auto"/>
        <w:rPr>
          <w:sz w:val="20"/>
          <w:szCs w:val="20"/>
          <w:color w:val="auto"/>
        </w:rPr>
      </w:pPr>
      <w:r>
        <w:rPr>
          <w:rFonts w:ascii="Times New Roman" w:cs="Times New Roman" w:eastAsia="Times New Roman" w:hAnsi="Times New Roman"/>
          <w:sz w:val="17"/>
          <w:szCs w:val="17"/>
          <w:i w:val="1"/>
          <w:iCs w:val="1"/>
          <w:color w:val="auto"/>
        </w:rPr>
        <w:t xml:space="preserve">Operating Activities: </w:t>
      </w:r>
      <w:r>
        <w:rPr>
          <w:rFonts w:ascii="Times New Roman" w:cs="Times New Roman" w:eastAsia="Times New Roman" w:hAnsi="Times New Roman"/>
          <w:sz w:val="17"/>
          <w:szCs w:val="17"/>
          <w:color w:val="auto"/>
        </w:rPr>
        <w:t>Net cash provided by operating activities was $112.6 million during the six months ended June 30, 2025, compared to $53.0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six months ended June 30, 2024, reflecting higher cash earnings and lower working capital needs. The major drivers contributing to the increase of $59.6 million year-over-year included the following:</w:t>
      </w:r>
    </w:p>
    <w:p>
      <w:pPr>
        <w:spacing w:after="0" w:line="1" w:lineRule="exact"/>
        <w:rPr>
          <w:sz w:val="20"/>
          <w:szCs w:val="20"/>
          <w:color w:val="auto"/>
        </w:rPr>
      </w:pPr>
    </w:p>
    <w:p>
      <w:pPr>
        <w:jc w:val="both"/>
        <w:ind w:left="620" w:hanging="307"/>
        <w:spacing w:after="0" w:line="241"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cash earnings including adjustments for non-cash and other items contributed higher cash flow of $44.0 million during the six months ended June 30, 2025 compared to the six months ended June 30, 2024. These adjustments include fair value changes in investments, unrealized foreign currency exchange (gain)/loss, net, stock-based employee compensation, depreciation and amortization of long-lived assets and intangibles acquired in business combinations, among others.</w:t>
      </w:r>
    </w:p>
    <w:p>
      <w:pPr>
        <w:spacing w:after="0" w:line="202" w:lineRule="exact"/>
        <w:rPr>
          <w:rFonts w:ascii="Times New Roman" w:cs="Times New Roman" w:eastAsia="Times New Roman" w:hAnsi="Times New Roman"/>
          <w:sz w:val="17"/>
          <w:szCs w:val="17"/>
          <w:color w:val="auto"/>
        </w:rPr>
      </w:pPr>
    </w:p>
    <w:p>
      <w:pPr>
        <w:jc w:val="both"/>
        <w:ind w:left="620" w:hanging="307"/>
        <w:spacing w:after="0" w:line="254"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accounts receivable, including advance billings, contributed lower cash flow of $19.0 million in the six months ended June 30, 2025, compared to the six months ended June 30, 2024. Collections in accounts receivable, including advance billings, was driven by revenue growth during the six months ended June 30, 2025. Our days sales outstanding were 64 days as of June 30, 2025, compared to 63 days as of June 30, 2024.</w:t>
      </w:r>
    </w:p>
    <w:p>
      <w:pPr>
        <w:spacing w:after="0" w:line="178" w:lineRule="exact"/>
        <w:rPr>
          <w:rFonts w:ascii="Times New Roman" w:cs="Times New Roman" w:eastAsia="Times New Roman" w:hAnsi="Times New Roman"/>
          <w:sz w:val="17"/>
          <w:szCs w:val="17"/>
          <w:color w:val="auto"/>
        </w:rPr>
      </w:pPr>
    </w:p>
    <w:p>
      <w:pPr>
        <w:ind w:left="620" w:hanging="307"/>
        <w:spacing w:after="0" w:line="271"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contingent consideration related to our December 2021 acquisition of Clairvoyant AI, Inc. (“Clairvoyant”) during the six months ended June 30, 2024 contributed to a higher cash payout of $11.0 million, whereas no such payment occurred during the six months ended June 30, 2025.</w:t>
      </w:r>
    </w:p>
    <w:p>
      <w:pPr>
        <w:spacing w:after="0" w:line="177" w:lineRule="exact"/>
        <w:rPr>
          <w:rFonts w:ascii="Times New Roman" w:cs="Times New Roman" w:eastAsia="Times New Roman" w:hAnsi="Times New Roman"/>
          <w:sz w:val="17"/>
          <w:szCs w:val="17"/>
          <w:color w:val="auto"/>
        </w:rPr>
      </w:pPr>
    </w:p>
    <w:p>
      <w:pPr>
        <w:ind w:left="620" w:hanging="307"/>
        <w:spacing w:after="0" w:line="271"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other assets, accounts payables including other liabilities contributed to a lower cash payouts of $23.6 million for the six months ended June 30, 2025, compared to the six months ended June 30, 2024.</w:t>
      </w:r>
    </w:p>
    <w:p>
      <w:pPr>
        <w:spacing w:after="0" w:line="173" w:lineRule="exact"/>
        <w:rPr>
          <w:sz w:val="20"/>
          <w:szCs w:val="20"/>
          <w:color w:val="auto"/>
        </w:rPr>
      </w:pPr>
    </w:p>
    <w:p>
      <w:pPr>
        <w:jc w:val="both"/>
        <w:ind w:firstLine="387"/>
        <w:spacing w:after="0" w:line="247" w:lineRule="auto"/>
        <w:rPr>
          <w:sz w:val="20"/>
          <w:szCs w:val="20"/>
          <w:color w:val="auto"/>
        </w:rPr>
      </w:pPr>
      <w:r>
        <w:rPr>
          <w:rFonts w:ascii="Times New Roman" w:cs="Times New Roman" w:eastAsia="Times New Roman" w:hAnsi="Times New Roman"/>
          <w:sz w:val="17"/>
          <w:szCs w:val="17"/>
          <w:i w:val="1"/>
          <w:iCs w:val="1"/>
          <w:color w:val="auto"/>
        </w:rPr>
        <w:t xml:space="preserve">Investing Activities: </w:t>
      </w:r>
      <w:r>
        <w:rPr>
          <w:rFonts w:ascii="Times New Roman" w:cs="Times New Roman" w:eastAsia="Times New Roman" w:hAnsi="Times New Roman"/>
          <w:sz w:val="17"/>
          <w:szCs w:val="17"/>
          <w:color w:val="auto"/>
        </w:rPr>
        <w:t>Net cash used for investing activities was $36.3 million for the six months ended June 30, 2025, compared to $43.2 million for the six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June 30, 2024. The decrease of $6.9 million was primarily due to lower net purchase of investments of $11.5 million during the six months ended June 30, 2025, compared to the six months ended June 30, 2024. This was partially offset by higher cash paid for capital expenditures, including investments in infrastructure, technology assets and digital capabilities of $4.0 million during the six months ended June 30, 2025, compared to the six months ended June 30, 2024.</w:t>
      </w:r>
    </w:p>
    <w:p>
      <w:pPr>
        <w:spacing w:after="0" w:line="193" w:lineRule="exact"/>
        <w:rPr>
          <w:sz w:val="20"/>
          <w:szCs w:val="20"/>
          <w:color w:val="auto"/>
        </w:rPr>
      </w:pPr>
    </w:p>
    <w:p>
      <w:pPr>
        <w:jc w:val="both"/>
        <w:ind w:firstLine="387"/>
        <w:spacing w:after="0" w:line="243" w:lineRule="auto"/>
        <w:rPr>
          <w:sz w:val="20"/>
          <w:szCs w:val="20"/>
          <w:color w:val="auto"/>
        </w:rPr>
      </w:pPr>
      <w:r>
        <w:rPr>
          <w:rFonts w:ascii="Times New Roman" w:cs="Times New Roman" w:eastAsia="Times New Roman" w:hAnsi="Times New Roman"/>
          <w:sz w:val="17"/>
          <w:szCs w:val="17"/>
          <w:i w:val="1"/>
          <w:iCs w:val="1"/>
          <w:color w:val="auto"/>
        </w:rPr>
        <w:t xml:space="preserve">Financing Activities: </w:t>
      </w:r>
      <w:r>
        <w:rPr>
          <w:rFonts w:ascii="Times New Roman" w:cs="Times New Roman" w:eastAsia="Times New Roman" w:hAnsi="Times New Roman"/>
          <w:sz w:val="17"/>
          <w:szCs w:val="17"/>
          <w:color w:val="auto"/>
        </w:rPr>
        <w:t>Net cash used for financing activities was $84.6 million during the six months ended June 30, 2025, compared to $27.3 million during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six months ended June 30, 2024. The increase of $57.3 million was primarily due to net repayments of borrowings of $28.5 million during the six months ended June 30, 2025, compared to net proceeds from borrowings of $135.0 million during the six months ended June 30, 2024. This was partially offset by lower purchases of treasury stock of $101.0 million under our share repurchase programs during the six months ended June 30, 2025, compared to the six months ended June 30, 2024.</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387"/>
        <w:spacing w:after="0" w:line="271" w:lineRule="auto"/>
        <w:rPr>
          <w:sz w:val="20"/>
          <w:szCs w:val="20"/>
          <w:color w:val="auto"/>
        </w:rPr>
      </w:pPr>
      <w:r>
        <w:rPr>
          <w:rFonts w:ascii="Times New Roman" w:cs="Times New Roman" w:eastAsia="Times New Roman" w:hAnsi="Times New Roman"/>
          <w:sz w:val="17"/>
          <w:szCs w:val="17"/>
          <w:color w:val="auto"/>
        </w:rPr>
        <w:t>We expect to use cash from operating activities to maintain and expand our business by making investments, primarily related to building new digital capabilities, including AI and purchase telecommunications equipment and computer hardware and software in connection with managing client operations.</w:t>
      </w:r>
    </w:p>
    <w:p>
      <w:pPr>
        <w:spacing w:after="0" w:line="190"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We incurred $27.4 million of capital expenditures during the six months ended June 30, 2025. We expect to incur total capital expenditures of between $50.0 million to $55.0 million in fiscal 2025, primarily to meet our growth requirements, including additions to our facilities and infrastructure, as well as investments in technology applications, product development, and other digital technologies.</w:t>
      </w:r>
    </w:p>
    <w:p>
      <w:pPr>
        <w:spacing w:after="0" w:line="204"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In connection with any tax assessment orders that have been issued, or may be issued against us or our subsidiaries, we may be required to deposit additional amounts with the relevant authorities with respect to such assessment orders. See Note 25 - Commitments and Contingencies to our unaudited consolidated financial statements under Part I, Item 1, “Financial Statements” for further details.</w:t>
      </w:r>
    </w:p>
    <w:p>
      <w:pPr>
        <w:spacing w:after="0" w:line="192" w:lineRule="exact"/>
        <w:rPr>
          <w:sz w:val="20"/>
          <w:szCs w:val="20"/>
          <w:color w:val="auto"/>
        </w:rPr>
      </w:pPr>
    </w:p>
    <w:p>
      <w:pPr>
        <w:jc w:val="both"/>
        <w:ind w:firstLine="387"/>
        <w:spacing w:after="0" w:line="241" w:lineRule="auto"/>
        <w:rPr>
          <w:sz w:val="20"/>
          <w:szCs w:val="20"/>
          <w:color w:val="auto"/>
        </w:rPr>
      </w:pPr>
      <w:r>
        <w:rPr>
          <w:rFonts w:ascii="Times New Roman" w:cs="Times New Roman" w:eastAsia="Times New Roman" w:hAnsi="Times New Roman"/>
          <w:sz w:val="17"/>
          <w:szCs w:val="17"/>
          <w:color w:val="auto"/>
        </w:rPr>
        <w:t>We believe that our existing cash, cash equivalents and short-term investments and sources of liquidity will be sufficient to satisfy our cash requirements over the next 12 months. Our future cash requirements will depend on many factors, including our rate of revenue growth, our investments in strategic initiatives like acquisition of complementary businesses, capital expenditures and continued stock repurchases, including accelerated stock repurchase under our board-authorized stock repurchase program, which may require the use of significant cash resources and/or additional financing. We anticipate that we will continue to rely upon cash from operating activities to finance most of our above-mentioned requirements, although if we have significant growth through acquisitions, we may need to obtain additional financing.</w:t>
      </w:r>
    </w:p>
    <w:p>
      <w:pPr>
        <w:spacing w:after="0" w:line="202"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Subsequent to the end of the second quarter of 2025, on July 29, 2025, we entered into an Accelerated Share Repurchase Agreement with Citibank to repurchase shares of our common stock for an aggregate purchase price of $125 million, as part of our previously announced 2024 Repurchase Program of $500 million. We plan to fund the repurchase with available cash on hand and/or borrowings from our credit facility.</w:t>
      </w:r>
    </w:p>
    <w:p>
      <w:pPr>
        <w:spacing w:after="0" w:line="204" w:lineRule="exact"/>
        <w:rPr>
          <w:sz w:val="20"/>
          <w:szCs w:val="20"/>
          <w:color w:val="auto"/>
        </w:rPr>
      </w:pPr>
    </w:p>
    <w:p>
      <w:pPr>
        <w:jc w:val="both"/>
        <w:ind w:firstLine="387"/>
        <w:spacing w:after="0" w:line="250" w:lineRule="auto"/>
        <w:rPr>
          <w:sz w:val="20"/>
          <w:szCs w:val="20"/>
          <w:color w:val="auto"/>
        </w:rPr>
      </w:pPr>
      <w:r>
        <w:rPr>
          <w:rFonts w:ascii="Times New Roman" w:cs="Times New Roman" w:eastAsia="Times New Roman" w:hAnsi="Times New Roman"/>
          <w:sz w:val="17"/>
          <w:szCs w:val="17"/>
          <w:color w:val="auto"/>
        </w:rPr>
        <w:t>In the ordinary course of business, we enter into contracts and commitments that obligate us to make payments in the future. These obligations include borrowings, including interest obligations, purchase commitments, operating and finance lease commitments, employee benefit payments under gratuity plans, payments for contingent consideration and uncertain tax positions. See Note 16 - Fair Value Measurements - Fair Value of Contingent Consideration, Note 18 - Borrowings, Note 20 - Employee Benefit Plans, Note 21 - Leases, Note 22 - Income Taxes and Note 25 - Commitments and Contingencies to our unaudited consolidated financial statements under Part I, Item 1, “Financial Statements” for further information on material cash requirements from known contractual and other obligations.</w:t>
      </w:r>
    </w:p>
    <w:p>
      <w:pPr>
        <w:spacing w:after="0" w:line="196"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In the ordinary course of business, we provide standby letters of credit to third parties primarily for facility leases. As of June 30, 2025 and December 31, 2024, we had outstanding letters of credit of $0.7 million and $0.8 million respectively, that were not recognized in our consolidated balance sheets. These are unlikely to have, a current or future material effect on our financial condition, revenues or expenses, results of operations, liquidity, capital expenditures or capital resources. We had no other off-balance sheet arrangements or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Arrangements</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summarizes our debt position: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9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56"/>
              <w:spacing w:after="0" w:line="149" w:lineRule="exact"/>
              <w:rPr>
                <w:sz w:val="20"/>
                <w:szCs w:val="20"/>
                <w:color w:val="auto"/>
              </w:rPr>
            </w:pPr>
            <w:r>
              <w:rPr>
                <w:rFonts w:ascii="Times New Roman" w:cs="Times New Roman" w:eastAsia="Times New Roman" w:hAnsi="Times New Roman"/>
                <w:sz w:val="15"/>
                <w:szCs w:val="15"/>
                <w:b w:val="1"/>
                <w:bCs w:val="1"/>
                <w:color w:val="auto"/>
              </w:rPr>
              <w:t>Revolving credit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5"/>
                <w:szCs w:val="15"/>
                <w:b w:val="1"/>
                <w:bCs w:val="1"/>
                <w:color w:val="auto"/>
              </w:rPr>
              <w:t>Term loan</w:t>
            </w:r>
          </w:p>
        </w:tc>
        <w:tc>
          <w:tcPr>
            <w:tcW w:w="2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5"/>
                <w:szCs w:val="15"/>
                <w:b w:val="1"/>
                <w:bCs w:val="1"/>
                <w:color w:val="auto"/>
              </w:rPr>
              <w:t>Revolving credit</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29"/>
        </w:trPr>
        <w:tc>
          <w:tcPr>
            <w:tcW w:w="2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rPr>
              <w:t>facility</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facility</w:t>
            </w:r>
          </w:p>
        </w:tc>
        <w:tc>
          <w:tcPr>
            <w:tcW w:w="22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w w:val="99"/>
              </w:rPr>
              <w:t>facility</w:t>
            </w:r>
          </w:p>
        </w:tc>
        <w:tc>
          <w:tcPr>
            <w:tcW w:w="138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5"/>
                <w:szCs w:val="15"/>
                <w:b w:val="1"/>
                <w:bCs w:val="1"/>
                <w:color w:val="auto"/>
              </w:rPr>
              <w:t>Term loan facility</w:t>
            </w:r>
          </w:p>
        </w:tc>
        <w:tc>
          <w:tcPr>
            <w:tcW w:w="260" w:type="dxa"/>
            <w:vAlign w:val="bottom"/>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380" w:type="dxa"/>
            <w:vAlign w:val="bottom"/>
            <w:gridSpan w:val="3"/>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portion of long-term borrowings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148"/>
        </w:trPr>
        <w:tc>
          <w:tcPr>
            <w:tcW w:w="2920" w:type="dxa"/>
            <w:vAlign w:val="bottom"/>
          </w:tcPr>
          <w:p>
            <w:pPr>
              <w:ind w:left="20"/>
              <w:spacing w:after="0" w:line="148" w:lineRule="exact"/>
              <w:rPr>
                <w:sz w:val="20"/>
                <w:szCs w:val="20"/>
                <w:color w:val="auto"/>
              </w:rPr>
            </w:pPr>
            <w:r>
              <w:rPr>
                <w:rFonts w:ascii="Times New Roman" w:cs="Times New Roman" w:eastAsia="Times New Roman" w:hAnsi="Times New Roman"/>
                <w:sz w:val="17"/>
                <w:szCs w:val="17"/>
                <w:b w:val="1"/>
                <w:bCs w:val="1"/>
                <w:color w:val="auto"/>
              </w:rPr>
              <w:t>Total current portion of long-term</w:t>
            </w: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borrowings</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45"/>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borrowings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283.8</w:t>
            </w:r>
          </w:p>
        </w:tc>
        <w:tc>
          <w:tcPr>
            <w:tcW w:w="0" w:type="dxa"/>
            <w:vAlign w:val="bottom"/>
          </w:tcPr>
          <w:p>
            <w:pPr>
              <w:spacing w:after="0"/>
              <w:rPr>
                <w:sz w:val="1"/>
                <w:szCs w:val="1"/>
                <w:color w:val="auto"/>
              </w:rPr>
            </w:pPr>
          </w:p>
        </w:tc>
      </w:tr>
      <w:tr>
        <w:trPr>
          <w:trHeight w:val="245"/>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25"/>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long-term borrowings</w:t>
            </w: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164.0</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91.2</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255.2</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190.0</w:t>
            </w:r>
          </w:p>
        </w:tc>
        <w:tc>
          <w:tcPr>
            <w:tcW w:w="8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93.6</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283.6</w:t>
            </w:r>
          </w:p>
        </w:tc>
        <w:tc>
          <w:tcPr>
            <w:tcW w:w="0" w:type="dxa"/>
            <w:vAlign w:val="bottom"/>
          </w:tcPr>
          <w:p>
            <w:pPr>
              <w:spacing w:after="0"/>
              <w:rPr>
                <w:sz w:val="1"/>
                <w:szCs w:val="1"/>
                <w:color w:val="auto"/>
              </w:rPr>
            </w:pPr>
          </w:p>
        </w:tc>
      </w:tr>
      <w:tr>
        <w:trPr>
          <w:trHeight w:val="237"/>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borrowings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288.5</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387"/>
        <w:spacing w:after="0" w:line="287" w:lineRule="auto"/>
        <w:rPr>
          <w:sz w:val="20"/>
          <w:szCs w:val="20"/>
          <w:color w:val="auto"/>
        </w:rPr>
      </w:pPr>
      <w:r>
        <w:rPr>
          <w:rFonts w:ascii="Times New Roman" w:cs="Times New Roman" w:eastAsia="Times New Roman" w:hAnsi="Times New Roman"/>
          <w:sz w:val="17"/>
          <w:szCs w:val="17"/>
          <w:color w:val="auto"/>
        </w:rPr>
        <w:t>As of June 30, 2025 and December 31, 2024, we were in compliance with the financial covenants under our credit agreement with certain lenders and Citibank N.A. as administrative agent. See Note 18 – Borrowings to our unaudited consolidated financial statements.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18" w:lineRule="exact"/>
        <w:rPr>
          <w:sz w:val="20"/>
          <w:szCs w:val="20"/>
          <w:color w:val="auto"/>
        </w:rPr>
      </w:pPr>
    </w:p>
    <w:p>
      <w:pPr>
        <w:ind w:firstLine="425"/>
        <w:spacing w:after="0" w:line="287" w:lineRule="auto"/>
        <w:rPr>
          <w:sz w:val="20"/>
          <w:szCs w:val="20"/>
          <w:color w:val="auto"/>
        </w:rPr>
      </w:pPr>
      <w:r>
        <w:rPr>
          <w:rFonts w:ascii="Times New Roman" w:cs="Times New Roman" w:eastAsia="Times New Roman" w:hAnsi="Times New Roman"/>
          <w:sz w:val="17"/>
          <w:szCs w:val="17"/>
          <w:color w:val="auto"/>
        </w:rPr>
        <w:t>For a description of recent accounting pronouncements, see Note 2 - Summary of Significant Accounting Policies - Recent Accounting Pronouncements to our unaudited consolidated financial statements under Part I, Item 1, “Financial Statements.”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234" w:lineRule="exact"/>
        <w:rPr>
          <w:sz w:val="20"/>
          <w:szCs w:val="20"/>
          <w:color w:val="auto"/>
        </w:rPr>
      </w:pPr>
    </w:p>
    <w:p>
      <w:pPr>
        <w:jc w:val="both"/>
        <w:ind w:firstLine="425"/>
        <w:spacing w:after="0" w:line="254" w:lineRule="auto"/>
        <w:rPr>
          <w:sz w:val="20"/>
          <w:szCs w:val="20"/>
          <w:color w:val="auto"/>
        </w:rPr>
      </w:pPr>
      <w:r>
        <w:rPr>
          <w:rFonts w:ascii="Times New Roman" w:cs="Times New Roman" w:eastAsia="Times New Roman" w:hAnsi="Times New Roman"/>
          <w:sz w:val="17"/>
          <w:szCs w:val="17"/>
          <w:color w:val="auto"/>
        </w:rPr>
        <w:t>During the six months ended June 30, 2025, there were no material changes in our market risk exposure. For a discussion of our market risk associated with exchange rate risk and interest rate risk, see Part II, Item 7A “Quantitative and Qualitative Disclosures About Market Risk” in our Annual Report on Form 10-K for the fiscal year ended December 31, 2024.</w:t>
      </w:r>
    </w:p>
    <w:p>
      <w:pPr>
        <w:spacing w:after="0" w:line="200" w:lineRule="exact"/>
        <w:rPr>
          <w:sz w:val="20"/>
          <w:szCs w:val="20"/>
          <w:color w:val="auto"/>
        </w:rPr>
      </w:pPr>
    </w:p>
    <w:p>
      <w:pPr>
        <w:spacing w:after="0" w:line="33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352"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U.S. Securities and Exchange Commission’s rules and forms, and that such information is accumulated and communicated to our management, including our Chief Executive Officer (“CEO”) and our Chief Financial Officer (“CFO”), to allow timely decisions regarding required disclosure. In connection with the preparation of this Quarterly Report on Form 10-Q, our management carried out an evaluation, under the supervision and with the participation of the CEO and CFO, of the effectiveness and operation of our disclosure controls and procedures as of June 30, 2025. Based upon that evaluation, our CEO and CFO have concluded that the Company’s disclosure controls and procedures, as of June 30, 2025, were effective.</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249" w:lineRule="exact"/>
        <w:rPr>
          <w:sz w:val="20"/>
          <w:szCs w:val="20"/>
          <w:color w:val="auto"/>
        </w:rPr>
      </w:pPr>
    </w:p>
    <w:p>
      <w:pPr>
        <w:jc w:val="both"/>
        <w:ind w:firstLine="387"/>
        <w:spacing w:after="0" w:line="271" w:lineRule="auto"/>
        <w:rPr>
          <w:sz w:val="20"/>
          <w:szCs w:val="20"/>
          <w:color w:val="auto"/>
        </w:rPr>
      </w:pPr>
      <w:r>
        <w:rPr>
          <w:rFonts w:ascii="Times New Roman" w:cs="Times New Roman" w:eastAsia="Times New Roman" w:hAnsi="Times New Roman"/>
          <w:sz w:val="17"/>
          <w:szCs w:val="17"/>
          <w:color w:val="auto"/>
        </w:rPr>
        <w:t>During the three months ended June 30, 2025,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PART II.</w:t>
        <w:tab/>
        <w:t>OTHER INFORMATION</w:t>
      </w:r>
    </w:p>
    <w:p>
      <w:pPr>
        <w:spacing w:after="0" w:line="37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247" w:lineRule="exact"/>
        <w:rPr>
          <w:sz w:val="20"/>
          <w:szCs w:val="20"/>
          <w:color w:val="auto"/>
        </w:rPr>
      </w:pPr>
    </w:p>
    <w:p>
      <w:pPr>
        <w:jc w:val="both"/>
        <w:ind w:firstLine="387"/>
        <w:spacing w:after="0" w:line="276" w:lineRule="auto"/>
        <w:rPr>
          <w:sz w:val="20"/>
          <w:szCs w:val="20"/>
          <w:color w:val="auto"/>
        </w:rPr>
      </w:pPr>
      <w:r>
        <w:rPr>
          <w:rFonts w:ascii="Times New Roman" w:cs="Times New Roman" w:eastAsia="Times New Roman" w:hAnsi="Times New Roman"/>
          <w:sz w:val="17"/>
          <w:szCs w:val="17"/>
          <w:color w:val="auto"/>
        </w:rPr>
        <w:t>In the course of our normal business activities, various lawsuits, claims and proceedings may be instituted or asserted against us. Although there can be no assurance, we believe that the disposition of matters currently instituted or asserted will not have a material adverse effect on our consolidated financial position,</w:t>
      </w:r>
    </w:p>
    <w:p>
      <w:pPr>
        <w:spacing w:after="0" w:line="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results of operations or cash flows. See Note 25 - Commitments and Contingencies to our unaudited consolidated financial statements under Part I, Item 1, “Financial Statements” for details regarding our tax proceedings.</w:t>
      </w:r>
    </w:p>
    <w:p>
      <w:pPr>
        <w:spacing w:after="0" w:line="1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247" w:lineRule="exact"/>
        <w:rPr>
          <w:sz w:val="20"/>
          <w:szCs w:val="20"/>
          <w:color w:val="auto"/>
        </w:rPr>
      </w:pPr>
    </w:p>
    <w:p>
      <w:pPr>
        <w:jc w:val="both"/>
        <w:ind w:firstLine="425"/>
        <w:spacing w:after="0" w:line="261" w:lineRule="auto"/>
        <w:rPr>
          <w:sz w:val="20"/>
          <w:szCs w:val="20"/>
          <w:color w:val="auto"/>
        </w:rPr>
      </w:pPr>
      <w:r>
        <w:rPr>
          <w:rFonts w:ascii="Times New Roman" w:cs="Times New Roman" w:eastAsia="Times New Roman" w:hAnsi="Times New Roman"/>
          <w:sz w:val="17"/>
          <w:szCs w:val="17"/>
          <w:color w:val="auto"/>
        </w:rPr>
        <w:t>We have disclosed under the heading “Risk Factors” in our Annual Report on Form 10-K for the fiscal year ended December 31, 2024, a number of risks which may materially affect our business, financial condition or results of operations. You should carefully consider those risk factors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19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Unregistered Sales of Equity Securities</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Proceeds</w:t>
      </w:r>
    </w:p>
    <w:p>
      <w:pPr>
        <w:spacing w:after="0" w:line="2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Purchases of Equity Securities by the Issuer</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During the three months ended June 30, 2025, purchases of common stock were as follows:</w:t>
      </w:r>
    </w:p>
    <w:p>
      <w:pPr>
        <w:sectPr>
          <w:pgSz w:w="11900" w:h="16838" w:orient="portrait"/>
          <w:cols w:equalWidth="0" w:num="1">
            <w:col w:w="11340"/>
          </w:cols>
          <w:pgMar w:left="320" w:top="35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Period</w:t>
      </w:r>
    </w:p>
    <w:p>
      <w:pPr>
        <w:spacing w:after="0" w:line="46" w:lineRule="exact"/>
        <w:rPr>
          <w:sz w:val="20"/>
          <w:szCs w:val="20"/>
          <w:color w:val="auto"/>
        </w:rPr>
      </w:pPr>
    </w:p>
    <w:p>
      <w:pPr>
        <w:ind w:left="440"/>
        <w:spacing w:after="0" w:line="239" w:lineRule="auto"/>
        <w:rPr>
          <w:sz w:val="20"/>
          <w:szCs w:val="20"/>
          <w:color w:val="auto"/>
        </w:rPr>
      </w:pPr>
      <w:r>
        <w:rPr>
          <w:rFonts w:ascii="Times New Roman" w:cs="Times New Roman" w:eastAsia="Times New Roman" w:hAnsi="Times New Roman"/>
          <w:sz w:val="17"/>
          <w:szCs w:val="17"/>
          <w:color w:val="auto"/>
        </w:rPr>
        <w:t>April 1, 2025 through April 30, 2025</w:t>
      </w:r>
    </w:p>
    <w:p>
      <w:pPr>
        <w:spacing w:after="0" w:line="10" w:lineRule="exact"/>
        <w:rPr>
          <w:sz w:val="20"/>
          <w:szCs w:val="20"/>
          <w:color w:val="auto"/>
        </w:rPr>
      </w:pPr>
    </w:p>
    <w:p>
      <w:pPr>
        <w:ind w:left="440" w:right="80"/>
        <w:spacing w:after="0" w:line="239" w:lineRule="auto"/>
        <w:rPr>
          <w:sz w:val="20"/>
          <w:szCs w:val="20"/>
          <w:color w:val="auto"/>
        </w:rPr>
      </w:pPr>
      <w:r>
        <w:rPr>
          <w:rFonts w:ascii="Times New Roman" w:cs="Times New Roman" w:eastAsia="Times New Roman" w:hAnsi="Times New Roman"/>
          <w:sz w:val="17"/>
          <w:szCs w:val="17"/>
          <w:color w:val="auto"/>
        </w:rPr>
        <w:t>May 1, 2025 through May 31, 2025</w:t>
      </w:r>
    </w:p>
    <w:p>
      <w:pPr>
        <w:spacing w:after="0" w:line="10" w:lineRule="exact"/>
        <w:rPr>
          <w:sz w:val="20"/>
          <w:szCs w:val="20"/>
          <w:color w:val="auto"/>
        </w:rPr>
      </w:pPr>
    </w:p>
    <w:p>
      <w:pPr>
        <w:ind w:left="440" w:right="80"/>
        <w:spacing w:after="0" w:line="239" w:lineRule="auto"/>
        <w:rPr>
          <w:sz w:val="20"/>
          <w:szCs w:val="20"/>
          <w:color w:val="auto"/>
        </w:rPr>
      </w:pPr>
      <w:r>
        <w:rPr>
          <w:rFonts w:ascii="Times New Roman" w:cs="Times New Roman" w:eastAsia="Times New Roman" w:hAnsi="Times New Roman"/>
          <w:sz w:val="17"/>
          <w:szCs w:val="17"/>
          <w:color w:val="auto"/>
        </w:rPr>
        <w:t>June 1, 2025 through June 30, 2025</w:t>
      </w:r>
    </w:p>
    <w:p>
      <w:pPr>
        <w:spacing w:after="0" w:line="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580" w:type="dxa"/>
            <w:vAlign w:val="bottom"/>
            <w:gridSpan w:val="3"/>
          </w:tcPr>
          <w:p>
            <w:pPr>
              <w:jc w:val="center"/>
              <w:ind w:left="119"/>
              <w:spacing w:after="0"/>
              <w:rPr>
                <w:sz w:val="20"/>
                <w:szCs w:val="20"/>
                <w:color w:val="auto"/>
              </w:rPr>
            </w:pPr>
            <w:r>
              <w:rPr>
                <w:rFonts w:ascii="Times New Roman" w:cs="Times New Roman" w:eastAsia="Times New Roman" w:hAnsi="Times New Roman"/>
                <w:sz w:val="15"/>
                <w:szCs w:val="15"/>
                <w:b w:val="1"/>
                <w:bCs w:val="1"/>
                <w:color w:val="auto"/>
              </w:rPr>
              <w:t>Shares Purchased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580" w:type="dxa"/>
            <w:vAlign w:val="bottom"/>
            <w:gridSpan w:val="3"/>
          </w:tcPr>
          <w:p>
            <w:pPr>
              <w:jc w:val="center"/>
              <w:ind w:left="159"/>
              <w:spacing w:after="0" w:line="155" w:lineRule="exact"/>
              <w:rPr>
                <w:sz w:val="20"/>
                <w:szCs w:val="20"/>
                <w:color w:val="auto"/>
              </w:rPr>
            </w:pPr>
            <w:r>
              <w:rPr>
                <w:rFonts w:ascii="Times New Roman" w:cs="Times New Roman" w:eastAsia="Times New Roman" w:hAnsi="Times New Roman"/>
                <w:sz w:val="15"/>
                <w:szCs w:val="15"/>
                <w:b w:val="1"/>
                <w:bCs w:val="1"/>
                <w:color w:val="auto"/>
              </w:rPr>
              <w:t>from Employees in connection with</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8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Shares Purchased as Part of Publicly</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80" w:type="dxa"/>
            <w:vAlign w:val="bottom"/>
            <w:gridSpan w:val="3"/>
          </w:tcPr>
          <w:p>
            <w:pPr>
              <w:jc w:val="center"/>
              <w:ind w:left="159"/>
              <w:spacing w:after="0" w:line="155" w:lineRule="exact"/>
              <w:rPr>
                <w:sz w:val="20"/>
                <w:szCs w:val="20"/>
                <w:color w:val="auto"/>
              </w:rPr>
            </w:pPr>
            <w:r>
              <w:rPr>
                <w:rFonts w:ascii="Times New Roman" w:cs="Times New Roman" w:eastAsia="Times New Roman" w:hAnsi="Times New Roman"/>
                <w:sz w:val="15"/>
                <w:szCs w:val="15"/>
                <w:b w:val="1"/>
                <w:bCs w:val="1"/>
                <w:color w:val="auto"/>
              </w:rPr>
              <w:t>satisfaction of Withholding Tax</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80" w:type="dxa"/>
            <w:vAlign w:val="bottom"/>
            <w:gridSpan w:val="5"/>
            <w:vMerge w:val="continue"/>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Approximate Dollar</w:t>
            </w:r>
          </w:p>
        </w:tc>
        <w:tc>
          <w:tcPr>
            <w:tcW w:w="0" w:type="dxa"/>
            <w:vAlign w:val="bottom"/>
          </w:tcPr>
          <w:p>
            <w:pPr>
              <w:spacing w:after="0"/>
              <w:rPr>
                <w:sz w:val="1"/>
                <w:szCs w:val="1"/>
                <w:color w:val="auto"/>
              </w:rPr>
            </w:pPr>
          </w:p>
        </w:tc>
      </w:tr>
      <w:tr>
        <w:trPr>
          <w:trHeight w:val="90"/>
        </w:trPr>
        <w:tc>
          <w:tcPr>
            <w:tcW w:w="2580" w:type="dxa"/>
            <w:vAlign w:val="bottom"/>
            <w:gridSpan w:val="3"/>
            <w:vMerge w:val="restart"/>
          </w:tcPr>
          <w:p>
            <w:pPr>
              <w:ind w:left="1020"/>
              <w:spacing w:after="0"/>
              <w:rPr>
                <w:sz w:val="20"/>
                <w:szCs w:val="20"/>
                <w:color w:val="auto"/>
              </w:rPr>
            </w:pPr>
            <w:r>
              <w:rPr>
                <w:rFonts w:ascii="Times New Roman" w:cs="Times New Roman" w:eastAsia="Times New Roman" w:hAnsi="Times New Roman"/>
                <w:sz w:val="15"/>
                <w:szCs w:val="15"/>
                <w:b w:val="1"/>
                <w:bCs w:val="1"/>
                <w:color w:val="auto"/>
              </w:rPr>
              <w:t>Obligations</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78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Announced Programs</w:t>
            </w: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5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78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vMerge w:val="restart"/>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Value of Shares That</w:t>
            </w:r>
          </w:p>
        </w:tc>
        <w:tc>
          <w:tcPr>
            <w:tcW w:w="0" w:type="dxa"/>
            <w:vAlign w:val="bottom"/>
          </w:tcPr>
          <w:p>
            <w:pPr>
              <w:spacing w:after="0"/>
              <w:rPr>
                <w:sz w:val="1"/>
                <w:szCs w:val="1"/>
                <w:color w:val="auto"/>
              </w:rPr>
            </w:pPr>
          </w:p>
        </w:tc>
      </w:tr>
      <w:tr>
        <w:trPr>
          <w:trHeight w:val="21"/>
        </w:trPr>
        <w:tc>
          <w:tcPr>
            <w:tcW w:w="12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Total Number of</w:t>
            </w:r>
          </w:p>
        </w:tc>
        <w:tc>
          <w:tcPr>
            <w:tcW w:w="120" w:type="dxa"/>
            <w:vAlign w:val="bottom"/>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Average Price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40" w:type="dxa"/>
            <w:vAlign w:val="bottom"/>
          </w:tcPr>
          <w:p>
            <w:pPr>
              <w:spacing w:after="0"/>
              <w:rPr>
                <w:sz w:val="13"/>
                <w:szCs w:val="13"/>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Average Price</w:t>
            </w:r>
          </w:p>
        </w:tc>
        <w:tc>
          <w:tcPr>
            <w:tcW w:w="1300" w:type="dxa"/>
            <w:vAlign w:val="bottom"/>
            <w:gridSpan w:val="2"/>
            <w:vMerge w:val="continue"/>
          </w:tcPr>
          <w:p>
            <w:pPr>
              <w:spacing w:after="0"/>
              <w:rPr>
                <w:sz w:val="13"/>
                <w:szCs w:val="13"/>
                <w:color w:val="auto"/>
              </w:rPr>
            </w:pPr>
          </w:p>
        </w:tc>
        <w:tc>
          <w:tcPr>
            <w:tcW w:w="160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May Yet Be Purchased</w:t>
            </w:r>
          </w:p>
        </w:tc>
        <w:tc>
          <w:tcPr>
            <w:tcW w:w="0" w:type="dxa"/>
            <w:vAlign w:val="bottom"/>
          </w:tcPr>
          <w:p>
            <w:pPr>
              <w:spacing w:after="0"/>
              <w:rPr>
                <w:sz w:val="1"/>
                <w:szCs w:val="1"/>
                <w:color w:val="auto"/>
              </w:rPr>
            </w:pPr>
          </w:p>
        </w:tc>
      </w:tr>
      <w:tr>
        <w:trPr>
          <w:trHeight w:val="155"/>
        </w:trPr>
        <w:tc>
          <w:tcPr>
            <w:tcW w:w="1380" w:type="dxa"/>
            <w:vAlign w:val="bottom"/>
            <w:gridSpan w:val="2"/>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30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5"/>
                <w:szCs w:val="15"/>
                <w:b w:val="1"/>
                <w:bCs w:val="1"/>
                <w:color w:val="auto"/>
              </w:rPr>
              <w:t>Shares</w:t>
            </w:r>
          </w:p>
        </w:tc>
        <w:tc>
          <w:tcPr>
            <w:tcW w:w="120" w:type="dxa"/>
            <w:vAlign w:val="bottom"/>
          </w:tcPr>
          <w:p>
            <w:pPr>
              <w:spacing w:after="0"/>
              <w:rPr>
                <w:sz w:val="13"/>
                <w:szCs w:val="13"/>
                <w:color w:val="auto"/>
              </w:rPr>
            </w:pPr>
          </w:p>
        </w:tc>
        <w:tc>
          <w:tcPr>
            <w:tcW w:w="148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Under the Plans or</w:t>
            </w:r>
          </w:p>
        </w:tc>
        <w:tc>
          <w:tcPr>
            <w:tcW w:w="0" w:type="dxa"/>
            <w:vAlign w:val="bottom"/>
          </w:tcPr>
          <w:p>
            <w:pPr>
              <w:spacing w:after="0"/>
              <w:rPr>
                <w:sz w:val="1"/>
                <w:szCs w:val="1"/>
                <w:color w:val="auto"/>
              </w:rPr>
            </w:pPr>
          </w:p>
        </w:tc>
      </w:tr>
      <w:tr>
        <w:trPr>
          <w:trHeight w:val="205"/>
        </w:trPr>
        <w:tc>
          <w:tcPr>
            <w:tcW w:w="1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Shares Purchased</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Paid per share</w:t>
            </w: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Shares Purchased</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5"/>
                <w:szCs w:val="15"/>
                <w:b w:val="1"/>
                <w:bCs w:val="1"/>
                <w:color w:val="auto"/>
              </w:rPr>
              <w:t>Paid per share</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Purchased</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Programs</w:t>
            </w:r>
          </w:p>
        </w:tc>
        <w:tc>
          <w:tcPr>
            <w:tcW w:w="0" w:type="dxa"/>
            <w:vAlign w:val="bottom"/>
          </w:tcPr>
          <w:p>
            <w:pPr>
              <w:spacing w:after="0"/>
              <w:rPr>
                <w:sz w:val="1"/>
                <w:szCs w:val="1"/>
                <w:color w:val="auto"/>
              </w:rPr>
            </w:pPr>
          </w:p>
        </w:tc>
      </w:tr>
      <w:tr>
        <w:trPr>
          <w:trHeight w:val="394"/>
        </w:trPr>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017"/>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314,847,451</w:t>
            </w:r>
          </w:p>
        </w:tc>
        <w:tc>
          <w:tcPr>
            <w:tcW w:w="0" w:type="dxa"/>
            <w:vAlign w:val="bottom"/>
          </w:tcPr>
          <w:p>
            <w:pPr>
              <w:spacing w:after="0"/>
              <w:rPr>
                <w:sz w:val="1"/>
                <w:szCs w:val="1"/>
                <w:color w:val="auto"/>
              </w:rPr>
            </w:pPr>
          </w:p>
        </w:tc>
      </w:tr>
      <w:tr>
        <w:trPr>
          <w:trHeight w:val="400"/>
        </w:trPr>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017"/>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426,500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46.18</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426,500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295,151,177</w:t>
            </w:r>
          </w:p>
        </w:tc>
        <w:tc>
          <w:tcPr>
            <w:tcW w:w="0" w:type="dxa"/>
            <w:vAlign w:val="bottom"/>
          </w:tcPr>
          <w:p>
            <w:pPr>
              <w:spacing w:after="0"/>
              <w:rPr>
                <w:sz w:val="1"/>
                <w:szCs w:val="1"/>
                <w:color w:val="auto"/>
              </w:rPr>
            </w:pPr>
          </w:p>
        </w:tc>
      </w:tr>
      <w:tr>
        <w:trPr>
          <w:trHeight w:val="399"/>
        </w:trPr>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017"/>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479,650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45.98</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479,650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273,095,473</w:t>
            </w:r>
          </w:p>
        </w:tc>
        <w:tc>
          <w:tcPr>
            <w:tcW w:w="0" w:type="dxa"/>
            <w:vAlign w:val="bottom"/>
          </w:tcPr>
          <w:p>
            <w:pPr>
              <w:spacing w:after="0"/>
              <w:rPr>
                <w:sz w:val="1"/>
                <w:szCs w:val="1"/>
                <w:color w:val="auto"/>
              </w:rPr>
            </w:pPr>
          </w:p>
        </w:tc>
      </w:tr>
      <w:tr>
        <w:trPr>
          <w:trHeight w:val="212"/>
        </w:trPr>
        <w:tc>
          <w:tcPr>
            <w:tcW w:w="128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017"/>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906,150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46.08</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906,150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-1466850</wp:posOffset>
            </wp:positionH>
            <wp:positionV relativeFrom="paragraph">
              <wp:posOffset>-433070</wp:posOffset>
            </wp:positionV>
            <wp:extent cx="6928485" cy="2540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28485" cy="254000"/>
                    </a:xfrm>
                    <a:prstGeom prst="rect">
                      <a:avLst/>
                    </a:prstGeom>
                    <a:noFill/>
                  </pic:spPr>
                </pic:pic>
              </a:graphicData>
            </a:graphic>
          </wp:anchor>
        </w:drawing>
        <w:drawing>
          <wp:anchor simplePos="0" relativeHeight="251657728" behindDoc="1" locked="0" layoutInCell="0" allowOverlap="1">
            <wp:simplePos x="0" y="0"/>
            <wp:positionH relativeFrom="column">
              <wp:posOffset>-1466850</wp:posOffset>
            </wp:positionH>
            <wp:positionV relativeFrom="paragraph">
              <wp:posOffset>-948690</wp:posOffset>
            </wp:positionV>
            <wp:extent cx="6928485" cy="262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28485" cy="262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00" w:space="140"/>
            <w:col w:w="8600"/>
          </w:cols>
          <w:pgMar w:left="320" w:top="351" w:right="239" w:bottom="1440" w:gutter="0" w:footer="0" w:header="0"/>
          <w:type w:val="continuous"/>
        </w:sectPr>
      </w:pPr>
    </w:p>
    <w:p>
      <w:pPr>
        <w:spacing w:after="0" w:line="119" w:lineRule="exact"/>
        <w:rPr>
          <w:sz w:val="20"/>
          <w:szCs w:val="20"/>
          <w:color w:val="auto"/>
        </w:rPr>
      </w:pPr>
    </w:p>
    <w:p>
      <w:pPr>
        <w:jc w:val="both"/>
        <w:ind w:right="100" w:firstLine="387"/>
        <w:spacing w:after="0" w:line="271" w:lineRule="auto"/>
        <w:rPr>
          <w:sz w:val="20"/>
          <w:szCs w:val="20"/>
          <w:color w:val="auto"/>
        </w:rPr>
      </w:pPr>
      <w:r>
        <w:rPr>
          <w:rFonts w:ascii="Times New Roman" w:cs="Times New Roman" w:eastAsia="Times New Roman" w:hAnsi="Times New Roman"/>
          <w:sz w:val="17"/>
          <w:szCs w:val="17"/>
          <w:color w:val="auto"/>
        </w:rPr>
        <w:t>On February 26, 2024, the Company’s board of directors authorized a $500 million (excluding excise tax) common stock repurchase program beginning March 1, 2024 (the “2024 Repurchase Program”).</w:t>
      </w:r>
    </w:p>
    <w:p>
      <w:pPr>
        <w:spacing w:after="0" w:line="190" w:lineRule="exact"/>
        <w:rPr>
          <w:sz w:val="20"/>
          <w:szCs w:val="20"/>
          <w:color w:val="auto"/>
        </w:rPr>
      </w:pPr>
    </w:p>
    <w:p>
      <w:pPr>
        <w:jc w:val="both"/>
        <w:ind w:right="100" w:firstLine="387"/>
        <w:spacing w:after="0" w:line="254" w:lineRule="auto"/>
        <w:rPr>
          <w:sz w:val="20"/>
          <w:szCs w:val="20"/>
          <w:color w:val="auto"/>
        </w:rPr>
      </w:pPr>
      <w:r>
        <w:rPr>
          <w:rFonts w:ascii="Times New Roman" w:cs="Times New Roman" w:eastAsia="Times New Roman" w:hAnsi="Times New Roman"/>
          <w:sz w:val="17"/>
          <w:szCs w:val="17"/>
          <w:color w:val="auto"/>
        </w:rPr>
        <w:t>Under our repurchase program, shares may be purchased by us from time to time from the open market and through private transactions, or otherwise, as determined by our management as market conditions warrant. We have structured open market purchases under our repurchase program to comply with Rule 10b-18 under the Exchange Act. Repurchases may be discontinued at any time by management. Repurchased shares are recorded as treasury shares and are held until our board of directors designates that these shares be retired or used for other purposes.</w:t>
      </w:r>
    </w:p>
    <w:p>
      <w:pPr>
        <w:spacing w:after="0" w:line="16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3.</w:t>
        <w:tab/>
        <w:t>Defaults Upon Senior Securities</w:t>
      </w:r>
    </w:p>
    <w:p>
      <w:pPr>
        <w:spacing w:after="0" w:line="2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None.</w:t>
      </w:r>
    </w:p>
    <w:p>
      <w:pPr>
        <w:spacing w:after="0" w:line="23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7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5.</w:t>
        <w:tab/>
        <w:t>Other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Rule 10b5-1 Trading Plans</w:t>
      </w:r>
    </w:p>
    <w:p>
      <w:pPr>
        <w:spacing w:after="0" w:line="249" w:lineRule="exact"/>
        <w:rPr>
          <w:sz w:val="20"/>
          <w:szCs w:val="20"/>
          <w:color w:val="auto"/>
        </w:rPr>
      </w:pPr>
    </w:p>
    <w:p>
      <w:pPr>
        <w:jc w:val="both"/>
        <w:ind w:right="100" w:firstLine="619"/>
        <w:spacing w:after="0" w:line="287" w:lineRule="auto"/>
        <w:rPr>
          <w:sz w:val="20"/>
          <w:szCs w:val="20"/>
          <w:color w:val="auto"/>
        </w:rPr>
      </w:pPr>
      <w:r>
        <w:rPr>
          <w:rFonts w:ascii="Times New Roman" w:cs="Times New Roman" w:eastAsia="Times New Roman" w:hAnsi="Times New Roman"/>
          <w:sz w:val="17"/>
          <w:szCs w:val="17"/>
          <w:color w:val="auto"/>
        </w:rPr>
        <w:t>During the three months ended June 30,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351" w:right="2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 TO EXHIBITS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3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The following exhibits are being filed as part of this report or incorporated by reference as indicated therein: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17"/>
                <w:szCs w:val="17"/>
                <w:color w:val="auto"/>
              </w:rPr>
            </w:pPr>
          </w:p>
        </w:tc>
        <w:tc>
          <w:tcPr>
            <w:tcW w:w="10240" w:type="dxa"/>
            <w:vAlign w:val="bottom"/>
            <w:gridSpan w:val="13"/>
          </w:tcPr>
          <w:p>
            <w:pPr>
              <w:spacing w:after="0"/>
              <w:rPr>
                <w:rFonts w:ascii="Times New Roman" w:cs="Times New Roman" w:eastAsia="Times New Roman" w:hAnsi="Times New Roman"/>
                <w:sz w:val="17"/>
                <w:szCs w:val="17"/>
                <w:color w:val="0000FF"/>
              </w:rPr>
            </w:pPr>
            <w:hyperlink r:id="rId88">
              <w:r>
                <w:rPr>
                  <w:rFonts w:ascii="Times New Roman" w:cs="Times New Roman" w:eastAsia="Times New Roman" w:hAnsi="Times New Roman"/>
                  <w:sz w:val="17"/>
                  <w:szCs w:val="17"/>
                  <w:color w:val="0000FF"/>
                </w:rPr>
                <w:t>Fourth Amended and Restated Certificate of Incorporation of the Company, as in effect as of the date hereof (incorporated by reference to Exhibit</w:t>
              </w:r>
            </w:hyperlink>
          </w:p>
        </w:tc>
      </w:tr>
      <w:tr>
        <w:trPr>
          <w:trHeight w:val="148"/>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20" w:type="dxa"/>
            <w:vAlign w:val="bottom"/>
            <w:tcBorders>
              <w:top w:val="single" w:sz="8" w:color="0000FF"/>
            </w:tcBorders>
            <w:gridSpan w:val="12"/>
          </w:tcPr>
          <w:p>
            <w:pPr>
              <w:spacing w:after="0" w:line="148" w:lineRule="exact"/>
              <w:rPr>
                <w:rFonts w:ascii="Times New Roman" w:cs="Times New Roman" w:eastAsia="Times New Roman" w:hAnsi="Times New Roman"/>
                <w:sz w:val="17"/>
                <w:szCs w:val="17"/>
                <w:color w:val="0000FF"/>
              </w:rPr>
            </w:pPr>
            <w:hyperlink r:id="rId88">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FF"/>
                </w:rPr>
                <w:t xml:space="preserve"> of the Company’s Current Report on Form 8-K (File No. 1-33089) filed on June 25, 2024).</w:t>
              </w:r>
            </w:hyperlink>
          </w:p>
        </w:tc>
        <w:tc>
          <w:tcPr>
            <w:tcW w:w="2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2"/>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24"/>
                <w:szCs w:val="24"/>
                <w:color w:val="auto"/>
              </w:rPr>
            </w:pPr>
          </w:p>
        </w:tc>
        <w:tc>
          <w:tcPr>
            <w:tcW w:w="10240" w:type="dxa"/>
            <w:vAlign w:val="bottom"/>
            <w:gridSpan w:val="13"/>
          </w:tcPr>
          <w:p>
            <w:pPr>
              <w:spacing w:after="0"/>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Sixth Amended and Restated By-laws of the Company, as in effect as of the date hereof (incorporated by reference to Exhibit 3.2 of the</w:t>
              </w:r>
            </w:hyperlink>
          </w:p>
        </w:tc>
      </w:tr>
      <w:tr>
        <w:trPr>
          <w:trHeight w:val="148"/>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20" w:type="dxa"/>
            <w:vAlign w:val="bottom"/>
            <w:tcBorders>
              <w:top w:val="single" w:sz="8" w:color="0000FF"/>
              <w:bottom w:val="single" w:sz="8" w:color="0000FF"/>
            </w:tcBorders>
            <w:gridSpan w:val="4"/>
          </w:tcPr>
          <w:p>
            <w:pPr>
              <w:spacing w:after="0" w:line="148" w:lineRule="exact"/>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Company’s Current Report on Form 8-K (File No. 1-33089) filed on June 21, 2023).</w:t>
              </w:r>
            </w:hyperlink>
          </w:p>
        </w:tc>
        <w:tc>
          <w:tcPr>
            <w:tcW w:w="4300" w:type="dxa"/>
            <w:vAlign w:val="bottom"/>
            <w:tcBorders>
              <w:top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64"/>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2"/>
                <w:szCs w:val="22"/>
                <w:color w:val="auto"/>
              </w:rPr>
            </w:pPr>
          </w:p>
        </w:tc>
        <w:tc>
          <w:tcPr>
            <w:tcW w:w="10240" w:type="dxa"/>
            <w:vAlign w:val="bottom"/>
            <w:gridSpan w:val="13"/>
          </w:tcPr>
          <w:p>
            <w:pPr>
              <w:spacing w:after="0"/>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ExlService Holdings, Inc. 2025 Omnibus Incentive Plan, effective June 17, 2025 (incorporated by reference to Exhibit 10.1 to the Company’s</w:t>
              </w:r>
            </w:hyperlink>
          </w:p>
        </w:tc>
      </w:tr>
      <w:tr>
        <w:trPr>
          <w:trHeight w:val="148"/>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140" w:type="dxa"/>
            <w:vAlign w:val="bottom"/>
            <w:tcBorders>
              <w:top w:val="single" w:sz="8" w:color="0000FF"/>
            </w:tcBorders>
            <w:gridSpan w:val="8"/>
          </w:tcPr>
          <w:p>
            <w:pPr>
              <w:spacing w:after="0" w:line="148" w:lineRule="exact"/>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Current Report on Form 8-K (File No. 1-33089) filed on June 17, 2025).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120" w:type="dxa"/>
            <w:vAlign w:val="bottom"/>
          </w:tcPr>
          <w:p>
            <w:pPr>
              <w:spacing w:after="0"/>
              <w:rPr>
                <w:sz w:val="22"/>
                <w:szCs w:val="22"/>
                <w:color w:val="auto"/>
              </w:rPr>
            </w:pPr>
          </w:p>
        </w:tc>
        <w:tc>
          <w:tcPr>
            <w:tcW w:w="1024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Certification of the Chief Executive Officer of ExlService Holdings, pursuant to Rule 13a-14(a) of the Exchange Act, as adopted pursuant to</w:t>
            </w:r>
          </w:p>
        </w:tc>
      </w:tr>
      <w:tr>
        <w:trPr>
          <w:trHeight w:val="148"/>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00" w:type="dxa"/>
            <w:vAlign w:val="bottom"/>
            <w:tcBorders>
              <w:top w:val="single" w:sz="8" w:color="0000FF"/>
              <w:bottom w:val="single" w:sz="8" w:color="0000FF"/>
            </w:tcBorders>
          </w:tcPr>
          <w:p>
            <w:pPr>
              <w:spacing w:after="0" w:line="148" w:lineRule="exact"/>
              <w:rPr>
                <w:sz w:val="20"/>
                <w:szCs w:val="20"/>
                <w:color w:val="auto"/>
              </w:rPr>
            </w:pPr>
            <w:r>
              <w:rPr>
                <w:rFonts w:ascii="Times New Roman" w:cs="Times New Roman" w:eastAsia="Times New Roman" w:hAnsi="Times New Roman"/>
                <w:sz w:val="17"/>
                <w:szCs w:val="17"/>
                <w:color w:val="0000FF"/>
              </w:rPr>
              <w:t>Section 302 of the Sarbanes-Oxley Act of 2002.</w:t>
            </w:r>
          </w:p>
        </w:tc>
        <w:tc>
          <w:tcPr>
            <w:tcW w:w="686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64"/>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120" w:type="dxa"/>
            <w:vAlign w:val="bottom"/>
          </w:tcPr>
          <w:p>
            <w:pPr>
              <w:spacing w:after="0"/>
              <w:rPr>
                <w:sz w:val="22"/>
                <w:szCs w:val="22"/>
                <w:color w:val="auto"/>
              </w:rPr>
            </w:pPr>
          </w:p>
        </w:tc>
        <w:tc>
          <w:tcPr>
            <w:tcW w:w="1024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Certification of the Chief Financial Officer of ExlService Holdings, pursuant to Rule 13a-14(a) of the Exchange Act, as adopted pursuant to</w:t>
            </w:r>
          </w:p>
        </w:tc>
      </w:tr>
      <w:tr>
        <w:trPr>
          <w:trHeight w:val="148"/>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20" w:type="dxa"/>
            <w:vAlign w:val="bottom"/>
            <w:tcBorders>
              <w:top w:val="single" w:sz="8" w:color="0000FF"/>
              <w:bottom w:val="single" w:sz="8" w:color="0000FF"/>
            </w:tcBorders>
            <w:gridSpan w:val="2"/>
          </w:tcPr>
          <w:p>
            <w:pPr>
              <w:spacing w:after="0" w:line="148" w:lineRule="exact"/>
              <w:rPr>
                <w:sz w:val="20"/>
                <w:szCs w:val="20"/>
                <w:color w:val="auto"/>
              </w:rPr>
            </w:pPr>
            <w:r>
              <w:rPr>
                <w:rFonts w:ascii="Times New Roman" w:cs="Times New Roman" w:eastAsia="Times New Roman" w:hAnsi="Times New Roman"/>
                <w:sz w:val="17"/>
                <w:szCs w:val="17"/>
                <w:color w:val="0000FF"/>
              </w:rPr>
              <w:t>Section 302 of the Sarbanes-Oxley Act of 2002.</w:t>
            </w:r>
          </w:p>
        </w:tc>
        <w:tc>
          <w:tcPr>
            <w:tcW w:w="6880" w:type="dxa"/>
            <w:vAlign w:val="bottom"/>
            <w:tcBorders>
              <w:top w:val="single" w:sz="8" w:color="0000FF"/>
            </w:tcBorders>
            <w:gridSpan w:val="9"/>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64"/>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120" w:type="dxa"/>
            <w:vAlign w:val="bottom"/>
          </w:tcPr>
          <w:p>
            <w:pPr>
              <w:spacing w:after="0"/>
              <w:rPr>
                <w:sz w:val="22"/>
                <w:szCs w:val="22"/>
                <w:color w:val="auto"/>
              </w:rPr>
            </w:pPr>
          </w:p>
        </w:tc>
        <w:tc>
          <w:tcPr>
            <w:tcW w:w="1024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Certification of the Chief Executive Officer pursuant to Rule 13a-14(b) of the Exchange Act and 18 U.S.C. Section 1350, as adopted pursuant to</w:t>
            </w:r>
          </w:p>
        </w:tc>
      </w:tr>
      <w:tr>
        <w:trPr>
          <w:trHeight w:val="148"/>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100" w:type="dxa"/>
            <w:vAlign w:val="bottom"/>
            <w:tcBorders>
              <w:top w:val="single" w:sz="8" w:color="0000FF"/>
            </w:tcBorders>
            <w:gridSpan w:val="6"/>
          </w:tcPr>
          <w:p>
            <w:pPr>
              <w:spacing w:after="0" w:line="148" w:lineRule="exact"/>
              <w:rPr>
                <w:sz w:val="20"/>
                <w:szCs w:val="20"/>
                <w:color w:val="auto"/>
              </w:rPr>
            </w:pPr>
            <w:r>
              <w:rPr>
                <w:rFonts w:ascii="Times New Roman" w:cs="Times New Roman" w:eastAsia="Times New Roman" w:hAnsi="Times New Roman"/>
                <w:sz w:val="17"/>
                <w:szCs w:val="17"/>
                <w:color w:val="0000FF"/>
              </w:rPr>
              <w:t>Section 906 of the Sarbanes-Oxley Act of 2002.</w:t>
            </w:r>
            <w:r>
              <w:rPr>
                <w:rFonts w:ascii="Times New Roman" w:cs="Times New Roman" w:eastAsia="Times New Roman" w:hAnsi="Times New Roman"/>
                <w:sz w:val="17"/>
                <w:szCs w:val="17"/>
                <w:color w:val="000000"/>
              </w:rPr>
              <w:t>*</w:t>
            </w: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gridSpan w:val="2"/>
            <w:shd w:val="clear" w:color="auto" w:fill="0000FF"/>
          </w:tcPr>
          <w:p>
            <w:pPr>
              <w:spacing w:after="0" w:line="20" w:lineRule="exact"/>
              <w:rPr>
                <w:sz w:val="1"/>
                <w:szCs w:val="1"/>
                <w:color w:val="auto"/>
              </w:rPr>
            </w:pPr>
          </w:p>
        </w:tc>
        <w:tc>
          <w:tcPr>
            <w:tcW w:w="68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4"/>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32.2</w:t>
            </w:r>
          </w:p>
        </w:tc>
        <w:tc>
          <w:tcPr>
            <w:tcW w:w="120" w:type="dxa"/>
            <w:vAlign w:val="bottom"/>
          </w:tcPr>
          <w:p>
            <w:pPr>
              <w:spacing w:after="0"/>
              <w:rPr>
                <w:sz w:val="22"/>
                <w:szCs w:val="22"/>
                <w:color w:val="auto"/>
              </w:rPr>
            </w:pPr>
          </w:p>
        </w:tc>
        <w:tc>
          <w:tcPr>
            <w:tcW w:w="1024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Certification of the Chief Financial Officer pursuant to Rule 13a-14(b) of the Exchange Act and 18 U.S.C. Section 1350, as adopted pursuant to</w:t>
            </w:r>
          </w:p>
        </w:tc>
      </w:tr>
      <w:tr>
        <w:trPr>
          <w:trHeight w:val="148"/>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180" w:type="dxa"/>
            <w:vAlign w:val="bottom"/>
            <w:tcBorders>
              <w:top w:val="single" w:sz="8" w:color="0000FF"/>
            </w:tcBorders>
            <w:gridSpan w:val="10"/>
          </w:tcPr>
          <w:p>
            <w:pPr>
              <w:spacing w:after="0" w:line="148" w:lineRule="exact"/>
              <w:rPr>
                <w:sz w:val="20"/>
                <w:szCs w:val="20"/>
                <w:color w:val="auto"/>
              </w:rPr>
            </w:pPr>
            <w:r>
              <w:rPr>
                <w:rFonts w:ascii="Times New Roman" w:cs="Times New Roman" w:eastAsia="Times New Roman" w:hAnsi="Times New Roman"/>
                <w:sz w:val="17"/>
                <w:szCs w:val="17"/>
                <w:color w:val="0000FF"/>
              </w:rPr>
              <w:t>Section 906 of the Sarbanes-Oxley Act of 2002.</w:t>
            </w:r>
            <w:r>
              <w:rPr>
                <w:rFonts w:ascii="Times New Roman" w:cs="Times New Roman" w:eastAsia="Times New Roman" w:hAnsi="Times New Roman"/>
                <w:sz w:val="17"/>
                <w:szCs w:val="17"/>
                <w:color w:val="000000"/>
              </w:rPr>
              <w:t>*</w:t>
            </w:r>
          </w:p>
        </w:tc>
        <w:tc>
          <w:tcPr>
            <w:tcW w:w="60" w:type="dxa"/>
            <w:vAlign w:val="bottom"/>
            <w:gridSpan w:val="3"/>
          </w:tcPr>
          <w:p>
            <w:pPr>
              <w:spacing w:after="0"/>
              <w:rPr>
                <w:sz w:val="12"/>
                <w:szCs w:val="12"/>
                <w:color w:val="auto"/>
              </w:rPr>
            </w:pPr>
          </w:p>
        </w:tc>
      </w:tr>
      <w:tr>
        <w:trPr>
          <w:trHeight w:val="303"/>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120" w:type="dxa"/>
            <w:vAlign w:val="bottom"/>
          </w:tcPr>
          <w:p>
            <w:pPr>
              <w:spacing w:after="0"/>
              <w:rPr>
                <w:sz w:val="24"/>
                <w:szCs w:val="24"/>
                <w:color w:val="auto"/>
              </w:rPr>
            </w:pPr>
          </w:p>
        </w:tc>
        <w:tc>
          <w:tcPr>
            <w:tcW w:w="33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6940" w:type="dxa"/>
            <w:vAlign w:val="bottom"/>
            <w:gridSpan w:val="12"/>
          </w:tcPr>
          <w:p>
            <w:pPr>
              <w:spacing w:after="0"/>
              <w:rPr>
                <w:sz w:val="24"/>
                <w:szCs w:val="24"/>
                <w:color w:val="auto"/>
              </w:rPr>
            </w:pPr>
          </w:p>
        </w:tc>
      </w:tr>
      <w:tr>
        <w:trPr>
          <w:trHeight w:val="271"/>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120" w:type="dxa"/>
            <w:vAlign w:val="bottom"/>
          </w:tcPr>
          <w:p>
            <w:pPr>
              <w:spacing w:after="0"/>
              <w:rPr>
                <w:sz w:val="23"/>
                <w:szCs w:val="23"/>
                <w:color w:val="auto"/>
              </w:rPr>
            </w:pPr>
          </w:p>
        </w:tc>
        <w:tc>
          <w:tcPr>
            <w:tcW w:w="1024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Inline XBRL Taxonomy Extension Schema</w:t>
            </w:r>
          </w:p>
        </w:tc>
      </w:tr>
      <w:tr>
        <w:trPr>
          <w:trHeight w:val="271"/>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120" w:type="dxa"/>
            <w:vAlign w:val="bottom"/>
          </w:tcPr>
          <w:p>
            <w:pPr>
              <w:spacing w:after="0"/>
              <w:rPr>
                <w:sz w:val="23"/>
                <w:szCs w:val="23"/>
                <w:color w:val="auto"/>
              </w:rPr>
            </w:pPr>
          </w:p>
        </w:tc>
        <w:tc>
          <w:tcPr>
            <w:tcW w:w="1024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w:t>
            </w:r>
          </w:p>
        </w:tc>
      </w:tr>
      <w:tr>
        <w:trPr>
          <w:trHeight w:val="271"/>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120" w:type="dxa"/>
            <w:vAlign w:val="bottom"/>
          </w:tcPr>
          <w:p>
            <w:pPr>
              <w:spacing w:after="0"/>
              <w:rPr>
                <w:sz w:val="23"/>
                <w:szCs w:val="23"/>
                <w:color w:val="auto"/>
              </w:rPr>
            </w:pPr>
          </w:p>
        </w:tc>
        <w:tc>
          <w:tcPr>
            <w:tcW w:w="1024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w:t>
            </w:r>
          </w:p>
        </w:tc>
      </w:tr>
      <w:tr>
        <w:trPr>
          <w:trHeight w:val="271"/>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120" w:type="dxa"/>
            <w:vAlign w:val="bottom"/>
          </w:tcPr>
          <w:p>
            <w:pPr>
              <w:spacing w:after="0"/>
              <w:rPr>
                <w:sz w:val="23"/>
                <w:szCs w:val="23"/>
                <w:color w:val="auto"/>
              </w:rPr>
            </w:pPr>
          </w:p>
        </w:tc>
        <w:tc>
          <w:tcPr>
            <w:tcW w:w="1024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w:t>
            </w:r>
          </w:p>
        </w:tc>
      </w:tr>
      <w:tr>
        <w:trPr>
          <w:trHeight w:val="271"/>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120" w:type="dxa"/>
            <w:vAlign w:val="bottom"/>
          </w:tcPr>
          <w:p>
            <w:pPr>
              <w:spacing w:after="0"/>
              <w:rPr>
                <w:sz w:val="23"/>
                <w:szCs w:val="23"/>
                <w:color w:val="auto"/>
              </w:rPr>
            </w:pPr>
          </w:p>
        </w:tc>
        <w:tc>
          <w:tcPr>
            <w:tcW w:w="1024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Inline XBRL Extension Presentation Linkbase</w:t>
            </w:r>
          </w:p>
        </w:tc>
      </w:tr>
      <w:tr>
        <w:trPr>
          <w:trHeight w:val="271"/>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23"/>
                <w:szCs w:val="23"/>
                <w:color w:val="auto"/>
              </w:rPr>
            </w:pPr>
          </w:p>
        </w:tc>
        <w:tc>
          <w:tcPr>
            <w:tcW w:w="1024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r>
      <w:tr>
        <w:trPr>
          <w:trHeight w:val="51"/>
        </w:trPr>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bl>
    <w:p>
      <w:pPr>
        <w:spacing w:after="0" w:line="3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*This exhibit will not be deemed “filed” for purposes of Section 18 of the Exchange Act, or otherwise subject to the liability of that section. Such exhibit will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ind w:right="80" w:firstLine="425"/>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Date: July 29, 2025</w:t>
            </w:r>
          </w:p>
        </w:tc>
        <w:tc>
          <w:tcPr>
            <w:tcW w:w="8080" w:type="dxa"/>
            <w:vAlign w:val="bottom"/>
            <w:gridSpan w:val="2"/>
          </w:tcPr>
          <w:p>
            <w:pPr>
              <w:ind w:left="1800"/>
              <w:spacing w:after="0"/>
              <w:rPr>
                <w:sz w:val="20"/>
                <w:szCs w:val="20"/>
                <w:color w:val="auto"/>
              </w:rPr>
            </w:pPr>
            <w:r>
              <w:rPr>
                <w:rFonts w:ascii="Times New Roman" w:cs="Times New Roman" w:eastAsia="Times New Roman" w:hAnsi="Times New Roman"/>
                <w:sz w:val="17"/>
                <w:szCs w:val="17"/>
                <w:b w:val="1"/>
                <w:bCs w:val="1"/>
                <w:color w:val="auto"/>
              </w:rPr>
              <w:t>EXLSERVICE HOLDINGS, INC.</w:t>
            </w:r>
          </w:p>
        </w:tc>
      </w:tr>
      <w:tr>
        <w:trPr>
          <w:trHeight w:val="489"/>
        </w:trPr>
        <w:tc>
          <w:tcPr>
            <w:tcW w:w="3120" w:type="dxa"/>
            <w:vAlign w:val="bottom"/>
          </w:tcPr>
          <w:p>
            <w:pPr>
              <w:spacing w:after="0"/>
              <w:rPr>
                <w:sz w:val="24"/>
                <w:szCs w:val="24"/>
                <w:color w:val="auto"/>
              </w:rPr>
            </w:pPr>
          </w:p>
        </w:tc>
        <w:tc>
          <w:tcPr>
            <w:tcW w:w="2380" w:type="dxa"/>
            <w:vAlign w:val="bottom"/>
          </w:tcPr>
          <w:p>
            <w:pPr>
              <w:ind w:left="1800"/>
              <w:spacing w:after="0"/>
              <w:rPr>
                <w:sz w:val="20"/>
                <w:szCs w:val="20"/>
                <w:color w:val="auto"/>
              </w:rPr>
            </w:pPr>
            <w:r>
              <w:rPr>
                <w:rFonts w:ascii="Times New Roman" w:cs="Times New Roman" w:eastAsia="Times New Roman" w:hAnsi="Times New Roman"/>
                <w:sz w:val="17"/>
                <w:szCs w:val="17"/>
                <w:color w:val="auto"/>
              </w:rPr>
              <w:t>By:</w:t>
            </w:r>
          </w:p>
        </w:tc>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3"/>
                <w:szCs w:val="13"/>
                <w:color w:val="auto"/>
              </w:rPr>
              <w:t>MAURIZIO NICOLELLI</w:t>
            </w:r>
          </w:p>
        </w:tc>
      </w:tr>
      <w:tr>
        <w:trPr>
          <w:trHeight w:val="122"/>
        </w:trPr>
        <w:tc>
          <w:tcPr>
            <w:tcW w:w="3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5700" w:type="dxa"/>
            <w:vAlign w:val="bottom"/>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MAURIZIO NICOLELLI</w:t>
            </w:r>
          </w:p>
        </w:tc>
      </w:tr>
      <w:tr>
        <w:trPr>
          <w:trHeight w:val="148"/>
        </w:trPr>
        <w:tc>
          <w:tcPr>
            <w:tcW w:w="3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7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Chief Financial Officer</w:t>
            </w:r>
          </w:p>
        </w:tc>
      </w:tr>
    </w:tbl>
    <w:p>
      <w:pPr>
        <w:ind w:left="5540"/>
        <w:spacing w:after="0"/>
        <w:rPr>
          <w:sz w:val="20"/>
          <w:szCs w:val="20"/>
          <w:color w:val="auto"/>
        </w:rPr>
      </w:pPr>
      <w:r>
        <w:rPr>
          <w:rFonts w:ascii="Times New Roman" w:cs="Times New Roman" w:eastAsia="Times New Roman" w:hAnsi="Times New Roman"/>
          <w:sz w:val="14"/>
          <w:szCs w:val="14"/>
          <w:b w:val="1"/>
          <w:bCs w:val="1"/>
          <w:color w:val="auto"/>
        </w:rPr>
        <w:t>(Duly Authorized Signatory, Principal Financial and Accounting Officer)</w:t>
      </w:r>
    </w:p>
    <w:p>
      <w:pPr>
        <w:sectPr>
          <w:pgSz w:w="11900" w:h="16838" w:orient="portrait"/>
          <w:cols w:equalWidth="0" w:num="1">
            <w:col w:w="11220"/>
          </w:cols>
          <w:pgMar w:left="320" w:top="119" w:right="35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302 CERTIFICATION</w:t>
      </w:r>
    </w:p>
    <w:p>
      <w:pPr>
        <w:spacing w:after="0" w:line="2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 Rohit Kapoor, certify that:</w:t>
      </w:r>
    </w:p>
    <w:p>
      <w:pPr>
        <w:spacing w:after="0" w:line="217" w:lineRule="exact"/>
        <w:rPr>
          <w:sz w:val="20"/>
          <w:szCs w:val="20"/>
          <w:color w:val="auto"/>
        </w:rPr>
      </w:pPr>
    </w:p>
    <w:p>
      <w:pPr>
        <w:ind w:left="380" w:hanging="377"/>
        <w:spacing w:after="0"/>
        <w:tabs>
          <w:tab w:leader="none" w:pos="3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of ExlService Holdings, Inc.;</w:t>
      </w:r>
    </w:p>
    <w:p>
      <w:pPr>
        <w:spacing w:after="0" w:line="217" w:lineRule="exact"/>
        <w:rPr>
          <w:rFonts w:ascii="Times New Roman" w:cs="Times New Roman" w:eastAsia="Times New Roman" w:hAnsi="Times New Roman"/>
          <w:sz w:val="17"/>
          <w:szCs w:val="17"/>
          <w:color w:val="auto"/>
        </w:rPr>
      </w:pPr>
    </w:p>
    <w:p>
      <w:pPr>
        <w:ind w:left="380" w:hanging="377"/>
        <w:spacing w:after="0" w:line="287" w:lineRule="auto"/>
        <w:tabs>
          <w:tab w:leader="none" w:pos="3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380" w:hanging="377"/>
        <w:spacing w:after="0" w:line="287" w:lineRule="auto"/>
        <w:tabs>
          <w:tab w:leader="none" w:pos="3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jc w:val="both"/>
        <w:ind w:left="380" w:hanging="377"/>
        <w:spacing w:after="0" w:line="270" w:lineRule="auto"/>
        <w:tabs>
          <w:tab w:leader="none" w:pos="3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jc w:val="both"/>
        <w:ind w:left="700" w:hanging="310"/>
        <w:spacing w:after="0" w:line="270" w:lineRule="auto"/>
        <w:tabs>
          <w:tab w:leader="none" w:pos="69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jc w:val="both"/>
        <w:ind w:left="700" w:hanging="310"/>
        <w:spacing w:after="0" w:line="270" w:lineRule="auto"/>
        <w:tabs>
          <w:tab w:leader="none" w:pos="70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left="700" w:hanging="310"/>
        <w:spacing w:after="0" w:line="287" w:lineRule="auto"/>
        <w:tabs>
          <w:tab w:leader="none" w:pos="69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jc w:val="both"/>
        <w:ind w:left="700" w:hanging="310"/>
        <w:spacing w:after="0" w:line="270" w:lineRule="auto"/>
        <w:tabs>
          <w:tab w:leader="none" w:pos="70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left="380" w:hanging="377"/>
        <w:spacing w:after="0" w:line="287" w:lineRule="auto"/>
        <w:tabs>
          <w:tab w:leader="none" w:pos="3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700" w:hanging="310"/>
        <w:spacing w:after="0" w:line="287" w:lineRule="auto"/>
        <w:tabs>
          <w:tab w:leader="none" w:pos="69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700" w:hanging="310"/>
        <w:spacing w:after="0" w:line="287" w:lineRule="auto"/>
        <w:tabs>
          <w:tab w:leader="none" w:pos="70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Date: July 29, 2025</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Rohit Kapoor</w:t>
            </w:r>
          </w:p>
        </w:tc>
      </w:tr>
      <w:tr>
        <w:trPr>
          <w:trHeight w:val="209"/>
        </w:trPr>
        <w:tc>
          <w:tcPr>
            <w:tcW w:w="610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Rohit Kapoor</w:t>
            </w:r>
          </w:p>
        </w:tc>
      </w:tr>
      <w:tr>
        <w:trPr>
          <w:trHeight w:val="223"/>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Chairman and Chief Executive Officer</w:t>
            </w:r>
          </w:p>
        </w:tc>
      </w:tr>
    </w:tbl>
    <w:p>
      <w:pPr>
        <w:sectPr>
          <w:pgSz w:w="11900" w:h="16838" w:orient="portrait"/>
          <w:cols w:equalWidth="0" w:num="1">
            <w:col w:w="11240"/>
          </w:cols>
          <w:pgMar w:left="320" w:top="854"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302 CERTIFICATION</w:t>
      </w:r>
    </w:p>
    <w:p>
      <w:pPr>
        <w:spacing w:after="0" w:line="2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 Maurizio Nicolelli, certify that:</w:t>
      </w:r>
    </w:p>
    <w:p>
      <w:pPr>
        <w:spacing w:after="0" w:line="346" w:lineRule="exact"/>
        <w:rPr>
          <w:sz w:val="20"/>
          <w:szCs w:val="20"/>
          <w:color w:val="auto"/>
        </w:rPr>
      </w:pPr>
    </w:p>
    <w:p>
      <w:pPr>
        <w:ind w:left="380" w:hanging="377"/>
        <w:spacing w:after="0"/>
        <w:tabs>
          <w:tab w:leader="none" w:pos="3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of ExlService Holdings, Inc.;</w:t>
      </w:r>
    </w:p>
    <w:p>
      <w:pPr>
        <w:spacing w:after="0" w:line="217" w:lineRule="exact"/>
        <w:rPr>
          <w:rFonts w:ascii="Times New Roman" w:cs="Times New Roman" w:eastAsia="Times New Roman" w:hAnsi="Times New Roman"/>
          <w:sz w:val="17"/>
          <w:szCs w:val="17"/>
          <w:color w:val="auto"/>
        </w:rPr>
      </w:pPr>
    </w:p>
    <w:p>
      <w:pPr>
        <w:ind w:left="380" w:hanging="377"/>
        <w:spacing w:after="0" w:line="287" w:lineRule="auto"/>
        <w:tabs>
          <w:tab w:leader="none" w:pos="3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380" w:hanging="377"/>
        <w:spacing w:after="0" w:line="287" w:lineRule="auto"/>
        <w:tabs>
          <w:tab w:leader="none" w:pos="3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jc w:val="both"/>
        <w:ind w:left="380" w:hanging="377"/>
        <w:spacing w:after="0" w:line="270" w:lineRule="auto"/>
        <w:tabs>
          <w:tab w:leader="none" w:pos="3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jc w:val="both"/>
        <w:ind w:left="700" w:hanging="310"/>
        <w:spacing w:after="0" w:line="270" w:lineRule="auto"/>
        <w:tabs>
          <w:tab w:leader="none" w:pos="69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jc w:val="both"/>
        <w:ind w:left="700" w:hanging="310"/>
        <w:spacing w:after="0" w:line="270" w:lineRule="auto"/>
        <w:tabs>
          <w:tab w:leader="none" w:pos="70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left="700" w:hanging="310"/>
        <w:spacing w:after="0" w:line="287" w:lineRule="auto"/>
        <w:tabs>
          <w:tab w:leader="none" w:pos="69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jc w:val="both"/>
        <w:ind w:left="700" w:hanging="310"/>
        <w:spacing w:after="0" w:line="270" w:lineRule="auto"/>
        <w:tabs>
          <w:tab w:leader="none" w:pos="70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left="380" w:hanging="377"/>
        <w:spacing w:after="0" w:line="287" w:lineRule="auto"/>
        <w:tabs>
          <w:tab w:leader="none" w:pos="3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700" w:hanging="310"/>
        <w:spacing w:after="0" w:line="287" w:lineRule="auto"/>
        <w:tabs>
          <w:tab w:leader="none" w:pos="69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700" w:hanging="310"/>
        <w:spacing w:after="0" w:line="287" w:lineRule="auto"/>
        <w:tabs>
          <w:tab w:leader="none" w:pos="70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2" w:lineRule="exact"/>
        <w:rPr>
          <w:sz w:val="20"/>
          <w:szCs w:val="20"/>
          <w:color w:val="auto"/>
        </w:rPr>
      </w:pPr>
    </w:p>
    <w:tbl>
      <w:tblPr>
        <w:tblLayout w:type="fixed"/>
        <w:tblInd w:w="560" w:type="dxa"/>
        <w:tblCellMar>
          <w:top w:w="0" w:type="dxa"/>
          <w:left w:w="0" w:type="dxa"/>
          <w:bottom w:w="0" w:type="dxa"/>
          <w:right w:w="0" w:type="dxa"/>
        </w:tblCellMar>
      </w:tblP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Date: July 29, 2025</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Maurizio Nicolelli</w:t>
            </w:r>
          </w:p>
        </w:tc>
      </w:tr>
      <w:tr>
        <w:trPr>
          <w:trHeight w:val="209"/>
        </w:trPr>
        <w:tc>
          <w:tcPr>
            <w:tcW w:w="58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Maurizio Nicolelli</w:t>
            </w:r>
          </w:p>
        </w:tc>
      </w:tr>
      <w:tr>
        <w:trPr>
          <w:trHeight w:val="223"/>
        </w:trPr>
        <w:tc>
          <w:tcPr>
            <w:tcW w:w="58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bl>
    <w:p>
      <w:pPr>
        <w:sectPr>
          <w:pgSz w:w="11900" w:h="16838" w:orient="portrait"/>
          <w:cols w:equalWidth="0" w:num="1">
            <w:col w:w="11240"/>
          </w:cols>
          <w:pgMar w:left="320" w:top="854"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ExlService Holdings, Inc. (the “Company”) on Form 10-Q for the period ended June 30, 2025 as filed with the Securities and Exchange Commission on the date hereof (the “Report”), I, Rohit Kapoor, Chairman and Chief Executive Officer of the Company, certify, pursuant to 18 U.S.C. Section 1350, as adopted pursuant to Section 906 of the Sarbanes-Oxley Act of 2002, that:</w:t>
      </w:r>
    </w:p>
    <w:p>
      <w:pPr>
        <w:spacing w:after="0" w:line="204" w:lineRule="exact"/>
        <w:rPr>
          <w:sz w:val="20"/>
          <w:szCs w:val="20"/>
          <w:color w:val="auto"/>
        </w:rPr>
      </w:pPr>
    </w:p>
    <w:p>
      <w:pPr>
        <w:ind w:left="300" w:hanging="297"/>
        <w:spacing w:after="0"/>
        <w:tabs>
          <w:tab w:leader="none" w:pos="3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65"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2788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6278880"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Rohit Kapoor</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Chairman and Chief Executive Officer</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July 29, 2025</w:t>
      </w:r>
    </w:p>
    <w:p>
      <w:pPr>
        <w:sectPr>
          <w:pgSz w:w="11900" w:h="16838" w:orient="portrait"/>
          <w:cols w:equalWidth="0" w:num="1">
            <w:col w:w="11240"/>
          </w:cols>
          <w:pgMar w:left="320" w:top="854"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ExlService Holdings, Inc. (the “Company”) on Form 10-Q for the period ended June 30, 2025 as filed with the Securities and Exchange Commission on the date hereof (the “Report”), I, Maurizio Nicolelli, Chief Financial Officer of the Company, certify, pursuant to 18 U.S.C. Section 1350, as adopted pursuant to Section 906 of the Sarbanes-Oxley Act of 2002, that:</w:t>
      </w:r>
    </w:p>
    <w:p>
      <w:pPr>
        <w:spacing w:after="0" w:line="165" w:lineRule="exact"/>
        <w:rPr>
          <w:sz w:val="20"/>
          <w:szCs w:val="20"/>
          <w:color w:val="auto"/>
        </w:rPr>
      </w:pPr>
    </w:p>
    <w:p>
      <w:pPr>
        <w:ind w:left="300" w:hanging="297"/>
        <w:spacing w:after="0"/>
        <w:tabs>
          <w:tab w:leader="none" w:pos="3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48952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489521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Maurizio Nicolelli</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July 29, 2025</w:t>
      </w:r>
    </w:p>
    <w:sectPr>
      <w:pgSz w:w="11900" w:h="16838" w:orient="portrait"/>
      <w:cols w:equalWidth="0" w:num="1">
        <w:col w:w="11240"/>
      </w:cols>
      <w:pgMar w:left="320" w:top="8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lowerLetter"/>
      <w:start w:val="4"/>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lvl w:ilvl="1">
      <w:lvlJc w:val="left"/>
      <w:lvlText w:val="(%2)"/>
      <w:numFmt w:val="decimal"/>
      <w:start w:val="1"/>
    </w:lvl>
  </w:abstractNum>
  <w:abstractNum w:abstractNumId="12">
    <w:nsid w:val="628C895D"/>
    <w:multiLevelType w:val="hybridMultilevel"/>
    <w:lvl w:ilvl="0">
      <w:lvlJc w:val="left"/>
      <w:lvlText w:val="%1."/>
      <w:numFmt w:val="decimal"/>
      <w:start w:val="7"/>
    </w:lvl>
    <w:lvl w:ilvl="1">
      <w:lvlJc w:val="left"/>
      <w:lvlText w:val="%2"/>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lowerLetter"/>
      <w:start w:val="1"/>
    </w:lvl>
  </w:abstractNum>
  <w:abstractNum w:abstractNumId="28">
    <w:nsid w:val="2901D8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88" Type="http://schemas.openxmlformats.org/officeDocument/2006/relationships/hyperlink" Target="https://www.sec.gov/Archives/edgar/data/1297989/000110465924074734/tm2417789d1_ex3-1.htm" TargetMode="External"/><Relationship Id="rId89" Type="http://schemas.openxmlformats.org/officeDocument/2006/relationships/hyperlink" Target="https://www.sec.gov/Archives/edgar/data/1297989/000119312523171321/d523950dex32.htm" TargetMode="External"/><Relationship Id="rId90" Type="http://schemas.openxmlformats.org/officeDocument/2006/relationships/hyperlink" Target="https://www.sec.gov/Archives/edgar/data/1297989/000110465925060321/tm2518188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2025-07-29T15:27:53Z</dcterms:created>
  <dcterms:modified xsi:type="dcterms:W3CDTF">2025-07-29T15:27:53Z</dcterms:modified>
</cp:coreProperties>
</file>