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Srivatsan Nagaraja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Chief Growth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gridSpan w:val="2"/>
          </w:tcPr>
          <w:p>
            <w:pPr>
              <w:jc w:val="right"/>
              <w:ind w:right="118"/>
              <w:spacing w:after="0"/>
              <w:rPr>
                <w:sz w:val="20"/>
                <w:szCs w:val="20"/>
                <w:color w:val="auto"/>
              </w:rPr>
            </w:pPr>
            <w:r>
              <w:rPr>
                <w:rFonts w:ascii="Arial" w:cs="Arial" w:eastAsia="Arial" w:hAnsi="Arial"/>
                <w:sz w:val="18"/>
                <w:szCs w:val="18"/>
                <w:color w:val="0000FF"/>
              </w:rPr>
              <w:t>12/15/2017</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7"/>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4,500</w:t>
            </w:r>
          </w:p>
        </w:tc>
        <w:tc>
          <w:tcPr>
            <w:tcW w:w="66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4,500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12/15/2017</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4"/>
                <w:szCs w:val="14"/>
                <w:color w:val="0000FF"/>
                <w:w w:val="92"/>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1,677</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60.8</w:t>
            </w:r>
            <w:r>
              <w:rPr>
                <w:rFonts w:ascii="Arial" w:cs="Arial" w:eastAsia="Arial" w:hAnsi="Arial"/>
                <w:sz w:val="22"/>
                <w:szCs w:val="22"/>
                <w:color w:val="008000"/>
                <w:w w:val="92"/>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2,823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5"/>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11"/>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4,500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12/15/2017</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4,500</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00"/>
              <w:spacing w:after="0" w:line="149" w:lineRule="exact"/>
              <w:rPr>
                <w:sz w:val="20"/>
                <w:szCs w:val="20"/>
                <w:color w:val="auto"/>
              </w:rPr>
            </w:pPr>
            <w:r>
              <w:rPr>
                <w:rFonts w:ascii="Arial" w:cs="Arial" w:eastAsia="Arial" w:hAnsi="Arial"/>
                <w:sz w:val="14"/>
                <w:szCs w:val="14"/>
                <w:color w:val="0000FF"/>
                <w:w w:val="88"/>
              </w:rPr>
              <w:t>13,500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December 15, 2017.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14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15, 2016, the reporting person was granted 18,000 restricted stock units, vesting in four equal annual installments beginning on the first anniversary of the grant date. Twenty-five percent of the restricted stock units became vested on December 15, 2017, an additional twenty-five percent of the restricted stock units will vest on December 15, 2018, an additional twenty-five percent of the restricted stock units will vest on December 15, 2019, and the remaining balance of twenty-five percent of the restricted stock units will vest on December 15, 2020.</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Ms. Saltzman is the Company's Executive Vice President, General Counsel, Chief Compliance Officer &amp; Corporate Secretary.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Nancy Saltzman,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12/19/2017</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252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2019-12-04T01:09:24Z</dcterms:created>
  <dcterms:modified xsi:type="dcterms:W3CDTF">2019-12-04T01:09:24Z</dcterms:modified>
</cp:coreProperties>
</file>