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280 Park Avenue New York, New York 10017</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May 5, 2010, ExlService Holdings, Inc. (the “Company”) reported its results of operations for the three months ended March 31, 2010. A copy of the press release issued by the Company concerning the foregoing is furnished herewith as Exhibit 99.1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ExlService Holdings, Inc., dated May 5, 2010</w:t>
      </w:r>
    </w:p>
    <w:p>
      <w:pPr>
        <w:sectPr>
          <w:pgSz w:w="11900" w:h="16838" w:orient="portrait"/>
          <w:cols w:equalWidth="0" w:num="1">
            <w:col w:w="11220"/>
          </w:cols>
          <w:pgMar w:left="240" w:top="27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4660" w:type="dxa"/>
            <w:vAlign w:val="bottom"/>
            <w:gridSpan w:val="3"/>
          </w:tcPr>
          <w:p>
            <w:pPr>
              <w:ind w:left="2080"/>
              <w:spacing w:after="0"/>
              <w:rPr>
                <w:sz w:val="20"/>
                <w:szCs w:val="20"/>
                <w:color w:val="auto"/>
              </w:rPr>
            </w:pPr>
            <w:r>
              <w:rPr>
                <w:rFonts w:ascii="Arial" w:cs="Arial" w:eastAsia="Arial" w:hAnsi="Arial"/>
                <w:sz w:val="18"/>
                <w:szCs w:val="18"/>
                <w:b w:val="1"/>
                <w:bCs w:val="1"/>
                <w:color w:val="auto"/>
                <w:w w:val="98"/>
              </w:rPr>
              <w:t>EXLSERVICE HOLDINGS, INC.</w:t>
            </w:r>
          </w:p>
        </w:tc>
        <w:tc>
          <w:tcPr>
            <w:tcW w:w="3360" w:type="dxa"/>
            <w:vAlign w:val="bottom"/>
          </w:tcPr>
          <w:p>
            <w:pPr>
              <w:spacing w:after="0"/>
              <w:rPr>
                <w:sz w:val="19"/>
                <w:szCs w:val="19"/>
                <w:color w:val="auto"/>
              </w:rPr>
            </w:pPr>
          </w:p>
        </w:tc>
      </w:tr>
      <w:tr>
        <w:trPr>
          <w:trHeight w:val="222"/>
        </w:trPr>
        <w:tc>
          <w:tcPr>
            <w:tcW w:w="3400" w:type="dxa"/>
            <w:vAlign w:val="bottom"/>
          </w:tcPr>
          <w:p>
            <w:pPr>
              <w:spacing w:after="0"/>
              <w:rPr>
                <w:sz w:val="19"/>
                <w:szCs w:val="19"/>
                <w:color w:val="auto"/>
              </w:rPr>
            </w:pPr>
          </w:p>
        </w:tc>
        <w:tc>
          <w:tcPr>
            <w:tcW w:w="3620" w:type="dxa"/>
            <w:vAlign w:val="bottom"/>
            <w:gridSpan w:val="2"/>
          </w:tcPr>
          <w:p>
            <w:pPr>
              <w:ind w:left="2080"/>
              <w:spacing w:after="0"/>
              <w:rPr>
                <w:sz w:val="20"/>
                <w:szCs w:val="20"/>
                <w:color w:val="auto"/>
              </w:rPr>
            </w:pPr>
            <w:r>
              <w:rPr>
                <w:rFonts w:ascii="Arial" w:cs="Arial" w:eastAsia="Arial" w:hAnsi="Arial"/>
                <w:sz w:val="18"/>
                <w:szCs w:val="18"/>
                <w:color w:val="auto"/>
              </w:rPr>
              <w:t>(Registrant)</w:t>
            </w:r>
          </w:p>
        </w:tc>
        <w:tc>
          <w:tcPr>
            <w:tcW w:w="104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34"/>
        </w:trPr>
        <w:tc>
          <w:tcPr>
            <w:tcW w:w="3400" w:type="dxa"/>
            <w:vAlign w:val="bottom"/>
          </w:tcPr>
          <w:p>
            <w:pPr>
              <w:spacing w:after="0"/>
              <w:rPr>
                <w:sz w:val="20"/>
                <w:szCs w:val="20"/>
                <w:color w:val="auto"/>
              </w:rPr>
            </w:pPr>
            <w:r>
              <w:rPr>
                <w:rFonts w:ascii="Arial" w:cs="Arial" w:eastAsia="Arial" w:hAnsi="Arial"/>
                <w:sz w:val="18"/>
                <w:szCs w:val="18"/>
                <w:color w:val="auto"/>
              </w:rPr>
              <w:t>Date: May 5, 2010</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15"/>
        </w:trPr>
        <w:tc>
          <w:tcPr>
            <w:tcW w:w="3400" w:type="dxa"/>
            <w:vAlign w:val="bottom"/>
          </w:tcPr>
          <w:p>
            <w:pPr>
              <w:spacing w:after="0"/>
              <w:rPr>
                <w:sz w:val="18"/>
                <w:szCs w:val="18"/>
                <w:color w:val="auto"/>
              </w:rPr>
            </w:pPr>
          </w:p>
        </w:tc>
        <w:tc>
          <w:tcPr>
            <w:tcW w:w="3620" w:type="dxa"/>
            <w:vAlign w:val="bottom"/>
            <w:gridSpan w:val="2"/>
          </w:tcPr>
          <w:p>
            <w:pPr>
              <w:ind w:left="2080"/>
              <w:spacing w:after="0"/>
              <w:rPr>
                <w:sz w:val="20"/>
                <w:szCs w:val="20"/>
                <w:color w:val="auto"/>
              </w:rPr>
            </w:pPr>
            <w:r>
              <w:rPr>
                <w:rFonts w:ascii="Arial" w:cs="Arial" w:eastAsia="Arial" w:hAnsi="Arial"/>
                <w:sz w:val="18"/>
                <w:szCs w:val="18"/>
                <w:color w:val="auto"/>
              </w:rPr>
              <w:t>Name:</w:t>
            </w:r>
          </w:p>
        </w:tc>
        <w:tc>
          <w:tcPr>
            <w:tcW w:w="104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4"/>
                <w:szCs w:val="14"/>
                <w:b w:val="1"/>
                <w:bCs w:val="1"/>
                <w:color w:val="auto"/>
              </w:rPr>
              <w:t>Vishal Chhibbar</w:t>
            </w:r>
          </w:p>
        </w:tc>
      </w:tr>
      <w:tr>
        <w:trPr>
          <w:trHeight w:val="237"/>
        </w:trPr>
        <w:tc>
          <w:tcPr>
            <w:tcW w:w="3400" w:type="dxa"/>
            <w:vAlign w:val="bottom"/>
          </w:tcPr>
          <w:p>
            <w:pPr>
              <w:spacing w:after="0"/>
              <w:rPr>
                <w:sz w:val="20"/>
                <w:szCs w:val="20"/>
                <w:color w:val="auto"/>
              </w:rPr>
            </w:pPr>
          </w:p>
        </w:tc>
        <w:tc>
          <w:tcPr>
            <w:tcW w:w="3620" w:type="dxa"/>
            <w:vAlign w:val="bottom"/>
            <w:gridSpan w:val="2"/>
          </w:tcPr>
          <w:p>
            <w:pPr>
              <w:ind w:left="2080"/>
              <w:spacing w:after="0"/>
              <w:rPr>
                <w:sz w:val="20"/>
                <w:szCs w:val="20"/>
                <w:color w:val="auto"/>
              </w:rPr>
            </w:pPr>
            <w:r>
              <w:rPr>
                <w:rFonts w:ascii="Arial" w:cs="Arial" w:eastAsia="Arial" w:hAnsi="Arial"/>
                <w:sz w:val="18"/>
                <w:szCs w:val="18"/>
                <w:color w:val="auto"/>
              </w:rPr>
              <w:t>Title:</w:t>
            </w:r>
          </w:p>
        </w:tc>
        <w:tc>
          <w:tcPr>
            <w:tcW w:w="104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ExlService Holdings, Inc., dated May 5, 2010</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Jean Liang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277-7115 </w:t>
      </w:r>
      <w:r>
        <w:rPr>
          <w:rFonts w:ascii="Arial" w:cs="Arial" w:eastAsia="Arial" w:hAnsi="Arial"/>
          <w:sz w:val="16"/>
          <w:szCs w:val="16"/>
          <w:u w:val="single" w:color="auto"/>
          <w:color w:val="auto"/>
        </w:rPr>
        <w:t>ir@exlservice.com</w:t>
      </w:r>
    </w:p>
    <w:p>
      <w:pPr>
        <w:spacing w:after="0" w:line="87" w:lineRule="exact"/>
        <w:rPr>
          <w:sz w:val="20"/>
          <w:szCs w:val="20"/>
          <w:color w:val="auto"/>
        </w:rPr>
      </w:pPr>
    </w:p>
    <w:p>
      <w:pPr>
        <w:jc w:val="center"/>
        <w:ind w:left="260" w:right="2340"/>
        <w:spacing w:after="0" w:line="440" w:lineRule="auto"/>
        <w:rPr>
          <w:sz w:val="20"/>
          <w:szCs w:val="20"/>
          <w:color w:val="auto"/>
        </w:rPr>
      </w:pPr>
      <w:r>
        <w:rPr>
          <w:rFonts w:ascii="Arial" w:cs="Arial" w:eastAsia="Arial" w:hAnsi="Arial"/>
          <w:sz w:val="18"/>
          <w:szCs w:val="18"/>
          <w:b w:val="1"/>
          <w:bCs w:val="1"/>
          <w:color w:val="auto"/>
        </w:rPr>
        <w:t xml:space="preserve">EXL REPORTS 2010 FIRST QUARTER RESULTS </w:t>
      </w:r>
      <w:r>
        <w:rPr>
          <w:rFonts w:ascii="Arial" w:cs="Arial" w:eastAsia="Arial" w:hAnsi="Arial"/>
          <w:sz w:val="18"/>
          <w:szCs w:val="18"/>
          <w:b w:val="1"/>
          <w:bCs w:val="1"/>
          <w:i w:val="1"/>
          <w:iCs w:val="1"/>
          <w:color w:val="auto"/>
        </w:rPr>
        <w:t>Quarterly Revenues of $54.5 Million and 15.6% Adjusted Operating Margin EXL Acquires PDMA, Inc., Maker of the LifePRO</w:t>
      </w:r>
      <w:r>
        <w:rPr>
          <w:rFonts w:ascii="Arial" w:cs="Arial" w:eastAsia="Arial" w:hAnsi="Arial"/>
          <w:sz w:val="11"/>
          <w:szCs w:val="11"/>
          <w:b w:val="1"/>
          <w:bCs w:val="1"/>
          <w:color w:val="auto"/>
        </w:rPr>
        <w:t>®</w:t>
      </w:r>
      <w:r>
        <w:rPr>
          <w:rFonts w:ascii="Arial" w:cs="Arial" w:eastAsia="Arial" w:hAnsi="Arial"/>
          <w:sz w:val="18"/>
          <w:szCs w:val="18"/>
          <w:b w:val="1"/>
          <w:bCs w:val="1"/>
          <w:i w:val="1"/>
          <w:iCs w:val="1"/>
          <w:color w:val="auto"/>
        </w:rPr>
        <w:t xml:space="preserve"> Insurance Policy Administration System Increasing Calendar Year Revenue Guidance to Between $235.0 Million to $240.0 Million</w:t>
      </w:r>
    </w:p>
    <w:p>
      <w:pPr>
        <w:spacing w:after="0" w:line="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New York, NY – May 5, 2010 – ExlService Holdings, Inc. (NASDAQ: EXLS), a leading provider of outsourcing and transformation services, today announced its financial results for the quarter ended March 31, 2010.</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Rohit Kapoor, President and CEO, commented: “EXL’s first quarter year-over-year revenue growth of 32.9% demonstrates our ability to deliver value to clients and grow in turbulent times. The integration of the American Express Global Travel Service Center acquisition continues in a focused manner. Demand from new and existing clients for our outsourcing services remains strong. In transformation services, we had a record quarter and are developing new product offerings to address client needs.</w:t>
      </w:r>
    </w:p>
    <w:p>
      <w:pPr>
        <w:spacing w:after="0" w:line="14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insurance vertical remains strong. In line with our commitment to the vertical, we are pleased to announce the acquisition of PDMA, Inc., maker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system used by approximately 40 life, annuity, and health insurers globally. Over the last several years, EXL has performed more than 100 discrete processes for clients using LifePRO</w:t>
      </w:r>
      <w:r>
        <w:rPr>
          <w:rFonts w:ascii="Arial" w:cs="Arial" w:eastAsia="Arial" w:hAnsi="Arial"/>
          <w:sz w:val="11"/>
          <w:szCs w:val="11"/>
          <w:color w:val="auto"/>
        </w:rPr>
        <w:t>®</w:t>
      </w:r>
      <w:r>
        <w:rPr>
          <w:rFonts w:ascii="Arial" w:cs="Arial" w:eastAsia="Arial" w:hAnsi="Arial"/>
          <w:sz w:val="18"/>
          <w:szCs w:val="18"/>
          <w:color w:val="auto"/>
        </w:rPr>
        <w:t xml:space="preserve"> and has developed deep operational expertise. By owning this proven technology platform, EXL can provide an end-to-end policy administration solution for clients along a wide range of insurance products. Our investment in PDMA will create greater outcome-based pricing options, which will provide mid-market insurers the flexibility to make their policy administration costs more variable and facilitate greater scalability in our business model. The acquisition adds a seasoned management team with deep insurance knowledge and is accretive to GAAP earnings per share.”</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Vishal Chhibbar, CFO, commented: “EXL generated outsourcing revenues this quarter of $41.6 million, up 24.6% year-over-year. Transformation revenues this quarter were $12.9 million, up 69.7% year-over-year, and above our expectations. Adjusted operating margin for the quarter increased to 15.6% from 14.2% in the first quarter of 2009, due to improved transformation margins driven by record revenue performance. EXL generated $11.4 million of adjusted EBITDA for the quarter and net income of $5.6 million. Based on our strong first quarter results, our revenue visibility for the rest of the year, and to adjust for the PDMA acquisition, we are increasing our calendar year 2010 guidance for revenue to $235.0 million to $240.0 million. Despite the strengthening Indian rupee, we expect to be at the top end of our adjusted operating margin guidance range based on prevailing exchange rates.”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right="60" w:hanging="325"/>
        <w:spacing w:after="0" w:line="25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March 31, 2010 were $54.5 million compared to $41.0 million for the quarter ended March 31, 2009 and $59.4 million for the quarter ended December 31, 2009. Excluding a one-time client payment of $5.1 million, revenues for the quarter ended December 31, 2009 were $54.4 million. Outsourcing services revenues for the quarter ended March 31, 2010 were $41.6 million compared to $33.4 million in the quarter ended March 31, 2009 and $47.1 million in the quarter ended December 31, 2009. Outsourcing services revenues excluding the one-time client payment of $5.1 million for the quarter ended December 31, 2009 were $42.0 million. Transformation services revenues for the quarter ended March 31, 2010 were $12.9 million compared to $7.6 million in the quarter ended March 31, 2009 and $12.4 million in the quarter ended December 31, 2009.</w:t>
      </w:r>
    </w:p>
    <w:p>
      <w:pPr>
        <w:spacing w:after="0" w:line="66" w:lineRule="exact"/>
        <w:rPr>
          <w:rFonts w:ascii="Arial" w:cs="Arial" w:eastAsia="Arial" w:hAnsi="Arial"/>
          <w:sz w:val="18"/>
          <w:szCs w:val="18"/>
          <w:color w:val="auto"/>
        </w:rPr>
      </w:pPr>
    </w:p>
    <w:p>
      <w:pPr>
        <w:ind w:left="900" w:right="160" w:hanging="325"/>
        <w:spacing w:after="0" w:line="305"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Gross margin for the quarter ended March 31, 2010 was 42.2% compared to 40.6% for the quarter ended March 31, 2009 and 48.8% for the quarter ended December 31, 2009. Excluding the one-time client payment of $5.1 million, gross margin for the quarter ended December 31, 2009 was</w:t>
      </w:r>
    </w:p>
    <w:p>
      <w:pPr>
        <w:ind w:left="900" w:right="260"/>
        <w:spacing w:after="0" w:line="255" w:lineRule="auto"/>
        <w:rPr>
          <w:rFonts w:ascii="Arial" w:cs="Arial" w:eastAsia="Arial" w:hAnsi="Arial"/>
          <w:sz w:val="15"/>
          <w:szCs w:val="15"/>
          <w:color w:val="auto"/>
        </w:rPr>
      </w:pPr>
      <w:r>
        <w:rPr>
          <w:rFonts w:ascii="Arial" w:cs="Arial" w:eastAsia="Arial" w:hAnsi="Arial"/>
          <w:sz w:val="18"/>
          <w:szCs w:val="18"/>
          <w:color w:val="auto"/>
        </w:rPr>
        <w:t>44.1%. Outsourcing services gross margin for the quarter ended March 31, 2010 was 43.3% compared to 45.3% for the quarter ended March 31, 2009. Transformation services gross margin for the quarter ended March 31, 2010 was 38.7% compared to 19.7% for the quarter ended March 31, 2009.</w:t>
      </w:r>
    </w:p>
    <w:p>
      <w:pPr>
        <w:spacing w:after="0" w:line="63" w:lineRule="exact"/>
        <w:rPr>
          <w:rFonts w:ascii="Arial" w:cs="Arial" w:eastAsia="Arial" w:hAnsi="Arial"/>
          <w:sz w:val="15"/>
          <w:szCs w:val="15"/>
          <w:color w:val="auto"/>
        </w:rPr>
      </w:pPr>
    </w:p>
    <w:p>
      <w:pPr>
        <w:ind w:left="900" w:right="20" w:hanging="325"/>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margin for the quarter ended March 31, 2010 was 11.9% compared to 10.4% for the quarter ended March 31, 2009 and 20.4% for the quarter ended December 31, 2009. Adjusted operating margin, excluding the impact of stock-based compensation expense and amortization of intangibles, for the quarter ended March 31, 2010 was 15.6% compared to 14.2% for the quarter ended March 31, 2009 and 23.4% for the quarter ended December 31, 2009. Excluding the one-time client payment of $5.1 million, adjusted operating margin for the quarter ended December 31, 2009 was 16.3%. Net income for the quarter ended March 31, 2010 was $5.6 million compared to $2.9 million for the quarter ended March 31, 2009. Adjusted EBITDA for the quarter ended March 31, 2010 was $11.4 million compared to $8.3 million for the quarter ended March 31, 2009.</w:t>
      </w:r>
    </w:p>
    <w:p>
      <w:pPr>
        <w:spacing w:after="0" w:line="39"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to common stockholders for the quarter ended March 31, 2010 were $0.19 compared to $0.10 for the quarter ended March 31, 2009 and $0.25 for the quarter ended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Transitioned operations of American Express Global Travel Service Center and the integration is ongoing.</w:t>
      </w:r>
    </w:p>
    <w:p>
      <w:pPr>
        <w:spacing w:after="0" w:line="90" w:lineRule="exact"/>
        <w:rPr>
          <w:rFonts w:ascii="Arial" w:cs="Arial" w:eastAsia="Arial" w:hAnsi="Arial"/>
          <w:sz w:val="18"/>
          <w:szCs w:val="18"/>
          <w:color w:val="auto"/>
        </w:rPr>
      </w:pPr>
    </w:p>
    <w:p>
      <w:pPr>
        <w:ind w:left="900" w:right="5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Acquired PDMA, Inc., maker of the LifePRO</w:t>
      </w:r>
      <w:r>
        <w:rPr>
          <w:rFonts w:ascii="Arial" w:cs="Arial" w:eastAsia="Arial" w:hAnsi="Arial"/>
          <w:sz w:val="10"/>
          <w:szCs w:val="10"/>
          <w:color w:val="auto"/>
        </w:rPr>
        <w:t>®</w:t>
      </w:r>
      <w:r>
        <w:rPr>
          <w:rFonts w:ascii="Arial" w:cs="Arial" w:eastAsia="Arial" w:hAnsi="Arial"/>
          <w:sz w:val="16"/>
          <w:szCs w:val="16"/>
          <w:color w:val="auto"/>
        </w:rPr>
        <w:t xml:space="preserve"> insurance policy administration system on May 1, 2010. LifePRO</w:t>
      </w:r>
      <w:r>
        <w:rPr>
          <w:rFonts w:ascii="Arial" w:cs="Arial" w:eastAsia="Arial" w:hAnsi="Arial"/>
          <w:sz w:val="10"/>
          <w:szCs w:val="10"/>
          <w:color w:val="auto"/>
        </w:rPr>
        <w:t>®</w:t>
      </w:r>
      <w:r>
        <w:rPr>
          <w:rFonts w:ascii="Arial" w:cs="Arial" w:eastAsia="Arial" w:hAnsi="Arial"/>
          <w:sz w:val="16"/>
          <w:szCs w:val="16"/>
          <w:color w:val="auto"/>
        </w:rPr>
        <w:t xml:space="preserve"> is a policy administration platform for a broad range of life, health and annuity products, used by approximately 40 insurers globally. The purchase price for PDMA was approximately $14.1 million in cash net of working capital adjustments and expected annualized revenues are approximately $10 million.</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3 new outsourcing services contracts, and 8 new transformation services clients in the first quarter of 2010.</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Appointed Sanjay Gupta as Global Head of Human Resources. Sanjay was previously Senior Vice President, Head of Human Resources for the Outsourcing business and has been with EXL for nearly ten years.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Experienced attrition in the first quarter of 32.7% for billable employees compared to 21.0% in the first quarter 2009 and 27.3% for the fourth quarter of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increasing guidance for calendar year 2010:</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of $235.0 million to $240.0 million from $225.0 million to $230.0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margin, excluding the impact of stock-based compensation expense and amortization of intangibles, is expected to be at the top end of our guidance range of 12.0% to 14.0% at prevailing exchange rates.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90"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EXL will host a conference call on Thursday, May 6, 2010 at 10:00 a.m. (ET) to discuss the Company’s quarterly results and operating performance. The conference call will be available live via the internet by accessing the investor relations section of EXL’s website at www.exlservice.com, where the investor factsheet can also be accessed. Please go to the website at least fifteen minutes prior to the call to register, download and install any necessary audio software.</w:t>
      </w:r>
    </w:p>
    <w:p>
      <w:pPr>
        <w:spacing w:after="0" w:line="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To listen to the conference call via phone, please dial 1-800-237-9752 or 1-617-847-8706 and enter “95931222.” For those who cannot access the live broadcast, a replay will be available by dialing 1-888-286-8010 or 1-617-801-6888 and entering “36701170” from two hours after the end of the call until 11:59 p.m. (ET) on May 13, 2010. The replay will also be available on the EXL website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banking and financial services, transportation and logistics, and travel sectors. Find additional information about EXL at www.exlservice.com.</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2009.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3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16,528</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income/(expense):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3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3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29,128,741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28,843,190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30,157,956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29,079,675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540" w:type="dxa"/>
            <w:vAlign w:val="bottom"/>
          </w:tcPr>
          <w:p>
            <w:pPr>
              <w:jc w:val="right"/>
              <w:ind w:right="31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$626 at March 31, 2010 and $262 at December 31, 2009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35,094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Advance income-tax,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149,764</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 of accumulated depreciation of $39,670 at March 31, 2010 and $35,812 at December 31, 2009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10,047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257,031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3,145</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11,452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43,902</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29,339,538 shares issued and 29,092,508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outstanding as of March 31, 2010 and 29,278,103 shares issued and 29,031,073 shares outstanding as of 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126,582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219,286</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Less: 247,030 shares as of March 31, 2010 and December 31, 2009, held in treasury, at cost</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218,310</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218,330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257,031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 The Company believes that providing the measure of adjusted EBITDA will help investors better understand the Company’s underlying financial performance and ability to generate cash flow from operations. Adjusted EBITDA does not represent cash flows from operations as defined by GAAP.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4"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 periods ended March 31, 2010, March 31, 2009 and December 31, 2009:</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5,623</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2,883</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add: Income tax provision, Income/(loss) from discontinued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640"/>
              <w:spacing w:after="0"/>
              <w:rPr>
                <w:sz w:val="20"/>
                <w:szCs w:val="20"/>
                <w:color w:val="auto"/>
              </w:rPr>
            </w:pPr>
            <w:r>
              <w:rPr>
                <w:rFonts w:ascii="Arial" w:cs="Arial" w:eastAsia="Arial" w:hAnsi="Arial"/>
                <w:sz w:val="18"/>
                <w:szCs w:val="18"/>
                <w:color w:val="auto"/>
              </w:rPr>
              <w:t>operations, net of taxes, Other income/(expense)</w:t>
            </w:r>
          </w:p>
        </w:tc>
        <w:tc>
          <w:tcPr>
            <w:tcW w:w="22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853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6,476</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4,283</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2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1,828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1,539</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subtract: One-time client payment</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8,485</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5,822</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15.6%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14.2%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Depreciation</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2,892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11,377</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8,252</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20.9%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20.1%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22.1%</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20" w:hanging="445"/>
        <w:spacing w:after="0" w:line="268" w:lineRule="auto"/>
        <w:rPr>
          <w:sz w:val="20"/>
          <w:szCs w:val="20"/>
          <w:color w:val="auto"/>
        </w:rPr>
      </w:pPr>
      <w:r>
        <w:rPr>
          <w:rFonts w:ascii="Arial" w:cs="Arial" w:eastAsia="Arial" w:hAnsi="Arial"/>
          <w:sz w:val="18"/>
          <w:szCs w:val="18"/>
          <w:color w:val="auto"/>
        </w:rPr>
        <w:t>Note: For the three months ended December 31, 2009, Adjusted operating income margin % and Adjusted EBITDA margin % calculation excludes revenues for the one-time client payment of $5.1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21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2019-12-10T23:53:00Z</dcterms:created>
  <dcterms:modified xsi:type="dcterms:W3CDTF">2019-12-10T23:53:00Z</dcterms:modified>
</cp:coreProperties>
</file>