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00"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Date of Report (date of earliest event reported): December 24,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EXLSERVICE HOLDINGS,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001-33089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82-0572194</w:t>
      </w:r>
    </w:p>
    <w:p>
      <w:pPr>
        <w:spacing w:after="0" w:line="56" w:lineRule="exact"/>
        <w:rPr>
          <w:sz w:val="24"/>
          <w:szCs w:val="24"/>
          <w:color w:val="auto"/>
        </w:rPr>
      </w:pPr>
    </w:p>
    <w:p>
      <w:pPr>
        <w:sectPr>
          <w:pgSz w:w="11900" w:h="16838" w:orient="portrait"/>
          <w:cols w:equalWidth="0" w:num="3">
            <w:col w:w="4740" w:space="720"/>
            <w:col w:w="3000" w:space="720"/>
            <w:col w:w="1840"/>
          </w:cols>
          <w:pgMar w:left="240" w:top="355" w:right="639" w:bottom="1440" w:gutter="0" w:footer="0" w:header="0"/>
          <w:type w:val="continuous"/>
        </w:sectPr>
      </w:pPr>
    </w:p>
    <w:p>
      <w:pPr>
        <w:jc w:val="center"/>
        <w:ind w:right="8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740" w:space="720"/>
            <w:col w:w="2880" w:space="720"/>
            <w:col w:w="1960"/>
          </w:cols>
          <w:pgMar w:left="240" w:top="355" w:right="639" w:bottom="1440" w:gutter="0" w:footer="0" w:header="0"/>
          <w:type w:val="continuous"/>
        </w:sectPr>
      </w:pPr>
    </w:p>
    <w:p>
      <w:pPr>
        <w:jc w:val="center"/>
        <w:ind w:right="2020"/>
        <w:spacing w:after="0"/>
        <w:rPr>
          <w:sz w:val="20"/>
          <w:szCs w:val="20"/>
          <w:color w:val="auto"/>
        </w:rPr>
      </w:pPr>
      <w:r>
        <w:rPr>
          <w:rFonts w:ascii="Arial" w:cs="Arial" w:eastAsia="Arial" w:hAnsi="Arial"/>
          <w:sz w:val="15"/>
          <w:szCs w:val="15"/>
          <w:b w:val="1"/>
          <w:bCs w:val="1"/>
          <w:color w:val="auto"/>
        </w:rPr>
        <w:t>350 Park Avenue</w:t>
      </w:r>
    </w:p>
    <w:p>
      <w:pPr>
        <w:spacing w:after="0" w:line="56" w:lineRule="exact"/>
        <w:rPr>
          <w:sz w:val="24"/>
          <w:szCs w:val="24"/>
          <w:color w:val="auto"/>
        </w:rPr>
      </w:pPr>
    </w:p>
    <w:p>
      <w:pPr>
        <w:jc w:val="center"/>
        <w:ind w:right="2020"/>
        <w:spacing w:after="0"/>
        <w:rPr>
          <w:sz w:val="20"/>
          <w:szCs w:val="20"/>
          <w:color w:val="auto"/>
        </w:rPr>
      </w:pPr>
      <w:r>
        <w:rPr>
          <w:rFonts w:ascii="Arial" w:cs="Arial" w:eastAsia="Arial" w:hAnsi="Arial"/>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10022</w:t>
      </w:r>
    </w:p>
    <w:p>
      <w:pPr>
        <w:spacing w:after="0" w:line="56" w:lineRule="exact"/>
        <w:rPr>
          <w:sz w:val="24"/>
          <w:szCs w:val="24"/>
          <w:color w:val="auto"/>
        </w:rPr>
      </w:pPr>
    </w:p>
    <w:p>
      <w:pPr>
        <w:sectPr>
          <w:pgSz w:w="11900" w:h="16838" w:orient="portrait"/>
          <w:cols w:equalWidth="0" w:num="2">
            <w:col w:w="7740" w:space="720"/>
            <w:col w:w="2560"/>
          </w:cols>
          <w:pgMar w:left="240" w:top="355" w:right="63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55" w:right="639" w:bottom="1440" w:gutter="0" w:footer="0" w:header="0"/>
          <w:type w:val="continuous"/>
        </w:sectPr>
      </w:pPr>
    </w:p>
    <w:p>
      <w:pPr>
        <w:jc w:val="center"/>
        <w:ind w:right="-419"/>
        <w:spacing w:after="0"/>
        <w:rPr>
          <w:sz w:val="20"/>
          <w:szCs w:val="20"/>
          <w:color w:val="auto"/>
        </w:rPr>
      </w:pPr>
      <w:r>
        <w:rPr>
          <w:rFonts w:ascii="Arial" w:cs="Arial" w:eastAsia="Arial" w:hAnsi="Arial"/>
          <w:sz w:val="18"/>
          <w:szCs w:val="18"/>
          <w:b w:val="1"/>
          <w:bCs w:val="1"/>
          <w:color w:val="auto"/>
        </w:rPr>
        <w:t>(212) 277-7100</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1"/>
          <w:szCs w:val="11"/>
          <w:b w:val="1"/>
          <w:bCs w:val="1"/>
          <w:color w:val="auto"/>
        </w:rPr>
        <w:t>Registrant’s telephone number, including area code:</w:t>
      </w:r>
    </w:p>
    <w:p>
      <w:pPr>
        <w:sectPr>
          <w:pgSz w:w="11900" w:h="16838" w:orient="portrait"/>
          <w:cols w:equalWidth="0" w:num="1">
            <w:col w:w="11020"/>
          </w:cols>
          <w:pgMar w:left="240" w:top="355" w:right="639" w:bottom="1440" w:gutter="0" w:footer="0" w:header="0"/>
          <w:type w:val="continuous"/>
        </w:sectPr>
      </w:pPr>
    </w:p>
    <w:p>
      <w:pPr>
        <w:spacing w:after="0" w:line="172"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ind w:left="1040" w:right="420" w:hanging="1039"/>
        <w:spacing w:after="0" w:line="268" w:lineRule="auto"/>
        <w:tabs>
          <w:tab w:leader="none" w:pos="10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5.02.</w:t>
      </w:r>
      <w:r>
        <w:rPr>
          <w:sz w:val="20"/>
          <w:szCs w:val="20"/>
          <w:color w:val="auto"/>
        </w:rPr>
        <w:tab/>
      </w:r>
      <w:r>
        <w:rPr>
          <w:rFonts w:ascii="Arial" w:cs="Arial" w:eastAsia="Arial" w:hAnsi="Arial"/>
          <w:sz w:val="18"/>
          <w:szCs w:val="18"/>
          <w:color w:val="auto"/>
        </w:rPr>
        <w:t>Departure of Directors or Certain Officers; Election of Directors; Appointment of Certain Officers; Compensatory Arrangements of Certain Officers.</w:t>
      </w:r>
    </w:p>
    <w:p>
      <w:pPr>
        <w:spacing w:after="0" w:line="132" w:lineRule="exact"/>
        <w:rPr>
          <w:sz w:val="20"/>
          <w:szCs w:val="20"/>
          <w:color w:val="auto"/>
        </w:rPr>
      </w:pPr>
    </w:p>
    <w:p>
      <w:pPr>
        <w:ind w:right="380" w:firstLine="8"/>
        <w:spacing w:after="0" w:line="284" w:lineRule="auto"/>
        <w:tabs>
          <w:tab w:leader="none" w:pos="249"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December 24, 2006, Messrs. James C. Hale, III and Bradford E. Bernstein, both members of the Board of Directors of ExlService Holdings, Inc. (“ExlService”) notified the Chairman of the Board of Directors of ExlService, Mr. Steven B. Gruber, of their decision to resign from ExlService’s Board of Directors. Each of Mr. Hale’s and Mr. Bernstein’s resignation takes effect as of December 24, 2006. Mr. Hale was the Chairman of the Audit Committee.</w:t>
      </w:r>
    </w:p>
    <w:p>
      <w:pPr>
        <w:spacing w:after="0" w:line="1"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Mr. Hale and Mr. Bernstein, both employees of FTVentures, informed Mr. Gruber that their resignations were due to FTVentures’ policy to effect the resignation of its employees from the board of directors of portfolio companies after their equity securities became publicly traded.</w:t>
      </w:r>
    </w:p>
    <w:p>
      <w:pPr>
        <w:sectPr>
          <w:pgSz w:w="11900" w:h="16838" w:orient="portrait"/>
          <w:cols w:equalWidth="0" w:num="1">
            <w:col w:w="11280"/>
          </w:cols>
          <w:pgMar w:left="240" w:top="280"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29, 2006</w:t>
      </w:r>
    </w:p>
    <w:p>
      <w:pPr>
        <w:spacing w:after="0" w:line="212"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Amit Shashank</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Amit Shashank</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 General Counsel and Corporate</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2019-12-12T05:31:01Z</dcterms:created>
  <dcterms:modified xsi:type="dcterms:W3CDTF">2019-12-12T05:31:01Z</dcterms:modified>
</cp:coreProperties>
</file>