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607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0705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Nicolelli Maurizio</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60"/>
        <w:spacing w:after="0" w:line="345" w:lineRule="auto"/>
        <w:rPr>
          <w:sz w:val="20"/>
          <w:szCs w:val="20"/>
          <w:color w:val="auto"/>
        </w:rPr>
      </w:pPr>
      <w:r>
        <w:rPr>
          <w:rFonts w:ascii="Arial" w:cs="Arial" w:eastAsia="Arial" w:hAnsi="Arial"/>
          <w:sz w:val="15"/>
          <w:szCs w:val="15"/>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ExlService Holdings,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EXLS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81"/>
        <w:spacing w:after="0"/>
        <w:rPr>
          <w:sz w:val="20"/>
          <w:szCs w:val="20"/>
          <w:color w:val="auto"/>
        </w:rPr>
      </w:pPr>
      <w:r>
        <w:rPr>
          <w:rFonts w:ascii="Arial" w:cs="Arial" w:eastAsia="Arial" w:hAnsi="Arial"/>
          <w:sz w:val="16"/>
          <w:szCs w:val="16"/>
          <w:color w:val="0000FF"/>
        </w:rPr>
        <w:t>Executive Vice President &amp; CFO</w:t>
      </w:r>
    </w:p>
    <w:p>
      <w:pPr>
        <w:spacing w:after="0" w:line="441"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0" w:type="dxa"/>
            <w:vAlign w:val="bottom"/>
            <w:gridSpan w:val="7"/>
          </w:tcPr>
          <w:p>
            <w:pPr>
              <w:jc w:val="center"/>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720" w:type="dxa"/>
            <w:vAlign w:val="bottom"/>
            <w:gridSpan w:val="10"/>
          </w:tcPr>
          <w:p>
            <w:pPr>
              <w:ind w:left="38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gridSpan w:val="3"/>
          </w:tcPr>
          <w:p>
            <w:pPr>
              <w:ind w:left="3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20" w:type="dxa"/>
            <w:vAlign w:val="bottom"/>
            <w:tcBorders>
              <w:bottom w:val="single" w:sz="8" w:color="2C2C2C"/>
            </w:tcBorders>
            <w:gridSpan w:val="9"/>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5"/>
          </w:tcPr>
          <w:p>
            <w:pPr>
              <w:jc w:val="center"/>
              <w:ind w:left="71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6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3"/>
          </w:tcPr>
          <w:p>
            <w:pPr>
              <w:jc w:val="right"/>
              <w:ind w:right="139"/>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2"/>
              <w:spacing w:after="0"/>
              <w:rPr>
                <w:sz w:val="20"/>
                <w:szCs w:val="20"/>
                <w:color w:val="auto"/>
              </w:rPr>
            </w:pPr>
            <w:r>
              <w:rPr>
                <w:rFonts w:ascii="Arial" w:cs="Arial" w:eastAsia="Arial" w:hAnsi="Arial"/>
                <w:sz w:val="13"/>
                <w:szCs w:val="13"/>
                <w:color w:val="0000FF"/>
                <w:w w:val="91"/>
              </w:rPr>
              <w:t>M</w:t>
            </w:r>
          </w:p>
        </w:tc>
        <w:tc>
          <w:tcPr>
            <w:tcW w:w="7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1,730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right"/>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5,924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160" w:type="dxa"/>
            <w:vAlign w:val="bottom"/>
            <w:tcBorders>
              <w:bottom w:val="single" w:sz="8" w:color="2C2C2C"/>
            </w:tcBorders>
            <w:gridSpan w:val="3"/>
          </w:tcPr>
          <w:p>
            <w:pPr>
              <w:jc w:val="right"/>
              <w:ind w:right="139"/>
              <w:spacing w:after="0"/>
              <w:rPr>
                <w:sz w:val="20"/>
                <w:szCs w:val="20"/>
                <w:color w:val="auto"/>
              </w:rPr>
            </w:pPr>
            <w:r>
              <w:rPr>
                <w:rFonts w:ascii="Arial" w:cs="Arial" w:eastAsia="Arial" w:hAnsi="Arial"/>
                <w:sz w:val="17"/>
                <w:szCs w:val="17"/>
                <w:color w:val="0000FF"/>
              </w:rPr>
              <w:t>02/17/2022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2"/>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422</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119.75</w:t>
            </w:r>
            <w:r>
              <w:rPr>
                <w:rFonts w:ascii="Arial" w:cs="Arial" w:eastAsia="Arial" w:hAnsi="Arial"/>
                <w:sz w:val="21"/>
                <w:szCs w:val="21"/>
                <w:color w:val="008000"/>
                <w:w w:val="91"/>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5,502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6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(4)</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3,884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6"/>
              <w:spacing w:after="0" w:line="141" w:lineRule="exact"/>
              <w:rPr>
                <w:sz w:val="20"/>
                <w:szCs w:val="20"/>
                <w:color w:val="auto"/>
              </w:rPr>
            </w:pPr>
            <w:r>
              <w:rPr>
                <w:rFonts w:ascii="Arial" w:cs="Arial" w:eastAsia="Arial" w:hAnsi="Arial"/>
                <w:sz w:val="13"/>
                <w:szCs w:val="13"/>
                <w:color w:val="0000FF"/>
              </w:rPr>
              <w:t>02/16/2022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279"/>
              <w:spacing w:after="0" w:line="141"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rPr>
              <w:t>3,884</w:t>
            </w:r>
          </w:p>
        </w:tc>
        <w:tc>
          <w:tcPr>
            <w:tcW w:w="3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3,884</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17"/>
              <w:spacing w:after="0"/>
              <w:rPr>
                <w:sz w:val="20"/>
                <w:szCs w:val="20"/>
                <w:color w:val="auto"/>
              </w:rPr>
            </w:pPr>
            <w:r>
              <w:rPr>
                <w:rFonts w:ascii="Arial" w:cs="Arial" w:eastAsia="Arial" w:hAnsi="Arial"/>
                <w:sz w:val="11"/>
                <w:szCs w:val="11"/>
                <w:color w:val="008000"/>
              </w:rPr>
              <w:t>(5)</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0000FF"/>
              </w:rPr>
              <w:t>1,730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6"/>
              <w:spacing w:after="0" w:line="141" w:lineRule="exact"/>
              <w:rPr>
                <w:sz w:val="20"/>
                <w:szCs w:val="20"/>
                <w:color w:val="auto"/>
              </w:rPr>
            </w:pPr>
            <w:r>
              <w:rPr>
                <w:rFonts w:ascii="Arial" w:cs="Arial" w:eastAsia="Arial" w:hAnsi="Arial"/>
                <w:sz w:val="13"/>
                <w:szCs w:val="13"/>
                <w:color w:val="0000FF"/>
              </w:rPr>
              <w:t>02/17/2022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279"/>
              <w:spacing w:after="0" w:line="141"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ind w:left="20"/>
              <w:spacing w:after="0" w:line="141" w:lineRule="exact"/>
              <w:rPr>
                <w:sz w:val="20"/>
                <w:szCs w:val="20"/>
                <w:color w:val="auto"/>
              </w:rPr>
            </w:pPr>
            <w:r>
              <w:rPr>
                <w:rFonts w:ascii="Arial" w:cs="Arial" w:eastAsia="Arial" w:hAnsi="Arial"/>
                <w:sz w:val="13"/>
                <w:szCs w:val="13"/>
                <w:color w:val="0000FF"/>
                <w:w w:val="98"/>
              </w:rPr>
              <w:t>1,730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Arial" w:cs="Arial" w:eastAsia="Arial" w:hAnsi="Arial"/>
                <w:sz w:val="13"/>
                <w:szCs w:val="13"/>
                <w:color w:val="0000FF"/>
                <w:w w:val="89"/>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1" w:lineRule="exact"/>
              <w:rPr>
                <w:sz w:val="20"/>
                <w:szCs w:val="20"/>
                <w:color w:val="auto"/>
              </w:rPr>
            </w:pPr>
            <w:r>
              <w:rPr>
                <w:rFonts w:ascii="Arial" w:cs="Arial" w:eastAsia="Arial" w:hAnsi="Arial"/>
                <w:sz w:val="13"/>
                <w:szCs w:val="13"/>
                <w:color w:val="0000FF"/>
                <w:w w:val="92"/>
              </w:rPr>
              <w:t>5,190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w w:val="8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-2550160</wp:posOffset>
            </wp:positionV>
            <wp:extent cx="29210" cy="255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2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3" w:lineRule="exact"/>
        <w:rPr>
          <w:rFonts w:ascii="Arial" w:cs="Arial" w:eastAsia="Arial" w:hAnsi="Arial"/>
          <w:sz w:val="13"/>
          <w:szCs w:val="13"/>
          <w:color w:val="008000"/>
        </w:rPr>
      </w:pPr>
    </w:p>
    <w:p>
      <w:pPr>
        <w:ind w:left="40" w:right="260" w:firstLine="1"/>
        <w:spacing w:after="0" w:line="316"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person's restricted stock units reported in this report vested on February 17,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1"/>
          <w:szCs w:val="11"/>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3" w:lineRule="exact"/>
        <w:rPr>
          <w:rFonts w:ascii="Arial" w:cs="Arial" w:eastAsia="Arial" w:hAnsi="Arial"/>
          <w:sz w:val="13"/>
          <w:szCs w:val="13"/>
          <w:color w:val="008000"/>
        </w:rPr>
      </w:pPr>
    </w:p>
    <w:p>
      <w:pPr>
        <w:ind w:left="40" w:right="58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16, 2023. Vesting will be accelerated upon certain termination of employment events and upon a "Change in Control" (as defined in the ExlService Holdings, Inc. 2018 Omnibus Incentive Plan).</w:t>
      </w:r>
    </w:p>
    <w:p>
      <w:pPr>
        <w:spacing w:after="0" w:line="26" w:lineRule="exact"/>
        <w:rPr>
          <w:rFonts w:ascii="Arial" w:cs="Arial" w:eastAsia="Arial" w:hAnsi="Arial"/>
          <w:sz w:val="13"/>
          <w:szCs w:val="13"/>
          <w:color w:val="008000"/>
        </w:rPr>
      </w:pPr>
    </w:p>
    <w:p>
      <w:pPr>
        <w:ind w:left="40" w:right="18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6,920 restricted stock units, vesting in four equal annual installments beginning on the first anniversary of the grant date. 25 percent of the restricted stock units became vested on February 17, 2022, an additional 25 percent of the restricted stock units will vest on February 17, 2023, an additional 25 percent of the restricted stock units will vest on February 17, 2024, and the remaining balance of 25 percent of the restricted stock units will vested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4"/>
          <w:szCs w:val="24"/>
          <w:color w:val="auto"/>
        </w:rPr>
      </w:pPr>
    </w:p>
    <w:p>
      <w:pPr>
        <w:ind w:left="40" w:right="220"/>
        <w:spacing w:after="0" w:line="336" w:lineRule="auto"/>
        <w:rPr>
          <w:sz w:val="20"/>
          <w:szCs w:val="20"/>
          <w:color w:val="auto"/>
        </w:rPr>
      </w:pPr>
      <w:r>
        <w:rPr>
          <w:rFonts w:ascii="Arial" w:cs="Arial" w:eastAsia="Arial" w:hAnsi="Arial"/>
          <w:sz w:val="11"/>
          <w:szCs w:val="11"/>
          <w:color w:val="008000"/>
        </w:rPr>
        <w:t>Note: On February 16, 2022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tbl>
      <w:tblPr>
        <w:tblLayout w:type="fixed"/>
        <w:tblInd w:w="6600" w:type="dxa"/>
        <w:tblCellMar>
          <w:top w:w="0" w:type="dxa"/>
          <w:left w:w="0" w:type="dxa"/>
          <w:bottom w:w="0" w:type="dxa"/>
          <w:right w:w="0" w:type="dxa"/>
        </w:tblCellMar>
      </w:tblPr>
      <w:tr>
        <w:trPr>
          <w:trHeight w:val="182"/>
        </w:trPr>
        <w:tc>
          <w:tcPr>
            <w:tcW w:w="20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7"/>
                <w:szCs w:val="17"/>
                <w:color w:val="0000FF"/>
                <w:w w:val="90"/>
              </w:rPr>
              <w:t>/s/ Lazbart Oseni, Attorney-in-</w:t>
            </w:r>
          </w:p>
        </w:tc>
        <w:tc>
          <w:tcPr>
            <w:tcW w:w="140" w:type="dxa"/>
            <w:vAlign w:val="bottom"/>
          </w:tcPr>
          <w:p>
            <w:pPr>
              <w:spacing w:after="0"/>
              <w:rPr>
                <w:sz w:val="15"/>
                <w:szCs w:val="15"/>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02/18/2022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2022-02-18T16:10:36Z</dcterms:created>
  <dcterms:modified xsi:type="dcterms:W3CDTF">2022-02-18T16:10:36Z</dcterms:modified>
</cp:coreProperties>
</file>