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5363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7"/>
          <w:szCs w:val="17"/>
          <w:color w:val="0000FF"/>
        </w:rPr>
        <w:t>EVP &amp; Chief Growth Officer</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02/15/2023</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2,584</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2,584</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480"/>
        <w:spacing w:after="0" w:line="243" w:lineRule="auto"/>
        <w:rPr>
          <w:sz w:val="20"/>
          <w:szCs w:val="20"/>
          <w:color w:val="auto"/>
        </w:rPr>
      </w:pPr>
      <w:r>
        <w:rPr>
          <w:rFonts w:ascii="Times New Roman" w:cs="Times New Roman" w:eastAsia="Times New Roman" w:hAnsi="Times New Roman"/>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2023-02-17T17:00:46Z</dcterms:created>
  <dcterms:modified xsi:type="dcterms:W3CDTF">2023-02-17T17:00:46Z</dcterms:modified>
</cp:coreProperties>
</file>