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036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369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80"/>
          </w:cols>
          <w:pgMar w:left="240" w:top="220" w:right="159" w:bottom="110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STAGLIN GAREN K</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01/03/2020</w:t>
      </w:r>
    </w:p>
    <w:p>
      <w:pPr>
        <w:spacing w:after="0" w:line="20" w:lineRule="exact"/>
        <w:rPr>
          <w:sz w:val="24"/>
          <w:szCs w:val="24"/>
          <w:color w:val="auto"/>
        </w:rPr>
      </w:pPr>
      <w:r>
        <w:rPr>
          <w:sz w:val="24"/>
          <w:szCs w:val="24"/>
          <w:color w:val="auto"/>
        </w:rPr>
        <w:br w:type="column"/>
      </w:r>
    </w:p>
    <w:p>
      <w:pPr>
        <w:ind w:left="3" w:right="60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43"/>
          </w:cols>
          <w:pgMar w:left="240" w:top="220" w:right="159" w:bottom="1109"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20"/>
          </w:cols>
          <w:pgMar w:left="240" w:top="220" w:right="159" w:bottom="1109"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01/03/2020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27"/>
                <w:szCs w:val="27"/>
                <w:color w:val="0000FF"/>
                <w:w w:val="83"/>
                <w:vertAlign w:val="subscript"/>
              </w:rPr>
              <w:t>M</w:t>
            </w:r>
            <w:r>
              <w:rPr>
                <w:rFonts w:ascii="Times New Roman" w:cs="Times New Roman" w:eastAsia="Times New Roman" w:hAnsi="Times New Roman"/>
                <w:sz w:val="11"/>
                <w:szCs w:val="11"/>
                <w:color w:val="008000"/>
                <w:w w:val="83"/>
              </w:rPr>
              <w:t>(1)</w:t>
            </w:r>
          </w:p>
        </w:tc>
        <w:tc>
          <w:tcPr>
            <w:tcW w:w="68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8"/>
                <w:szCs w:val="18"/>
                <w:color w:val="0000FF"/>
              </w:rPr>
              <w:t>821</w:t>
            </w:r>
          </w:p>
        </w:tc>
        <w:tc>
          <w:tcPr>
            <w:tcW w:w="72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8"/>
                <w:szCs w:val="18"/>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18.24</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19,670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01/03/2020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4"/>
                <w:szCs w:val="14"/>
                <w:color w:val="0000FF"/>
              </w:rPr>
              <w:t>S</w:t>
            </w:r>
          </w:p>
        </w:tc>
        <w:tc>
          <w:tcPr>
            <w:tcW w:w="68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8"/>
                <w:szCs w:val="18"/>
                <w:color w:val="0000FF"/>
              </w:rPr>
              <w:t>606</w:t>
            </w:r>
          </w:p>
        </w:tc>
        <w:tc>
          <w:tcPr>
            <w:tcW w:w="72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8"/>
                <w:szCs w:val="18"/>
                <w:color w:val="0000FF"/>
              </w:rPr>
              <w:t>D</w:t>
            </w:r>
          </w:p>
        </w:tc>
        <w:tc>
          <w:tcPr>
            <w:tcW w:w="540" w:type="dxa"/>
            <w:vAlign w:val="bottom"/>
            <w:tcBorders>
              <w:bottom w:val="single" w:sz="8" w:color="2C2C2C"/>
            </w:tcBorders>
          </w:tcPr>
          <w:p>
            <w:pPr>
              <w:jc w:val="center"/>
              <w:ind w:left="48"/>
              <w:spacing w:after="0"/>
              <w:rPr>
                <w:sz w:val="20"/>
                <w:szCs w:val="20"/>
                <w:color w:val="auto"/>
              </w:rPr>
            </w:pPr>
            <w:r>
              <w:rPr>
                <w:rFonts w:ascii="Arial" w:cs="Arial" w:eastAsia="Arial" w:hAnsi="Arial"/>
                <w:sz w:val="18"/>
                <w:szCs w:val="18"/>
                <w:color w:val="auto"/>
                <w:w w:val="92"/>
              </w:rPr>
              <w:t>$</w:t>
            </w:r>
            <w:r>
              <w:rPr>
                <w:rFonts w:ascii="Times New Roman" w:cs="Times New Roman" w:eastAsia="Times New Roman" w:hAnsi="Times New Roman"/>
                <w:sz w:val="18"/>
                <w:szCs w:val="18"/>
                <w:color w:val="0000FF"/>
                <w:w w:val="92"/>
              </w:rPr>
              <w:t>70</w:t>
            </w:r>
            <w:r>
              <w:rPr>
                <w:rFonts w:ascii="Times New Roman" w:cs="Times New Roman" w:eastAsia="Times New Roman" w:hAnsi="Times New Roman"/>
                <w:sz w:val="22"/>
                <w:szCs w:val="22"/>
                <w:color w:val="008000"/>
                <w:w w:val="92"/>
                <w:vertAlign w:val="superscript"/>
              </w:rPr>
              <w:t>(2)</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19,064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01/03/2020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4"/>
                <w:szCs w:val="14"/>
                <w:color w:val="0000FF"/>
              </w:rPr>
              <w:t>S</w:t>
            </w:r>
          </w:p>
        </w:tc>
        <w:tc>
          <w:tcPr>
            <w:tcW w:w="68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8"/>
                <w:szCs w:val="18"/>
                <w:color w:val="0000FF"/>
              </w:rPr>
              <w:t>215</w:t>
            </w:r>
          </w:p>
        </w:tc>
        <w:tc>
          <w:tcPr>
            <w:tcW w:w="72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8"/>
                <w:szCs w:val="18"/>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2"/>
              </w:rPr>
              <w:t>$</w:t>
            </w:r>
            <w:r>
              <w:rPr>
                <w:rFonts w:ascii="Times New Roman" w:cs="Times New Roman" w:eastAsia="Times New Roman" w:hAnsi="Times New Roman"/>
                <w:sz w:val="18"/>
                <w:szCs w:val="18"/>
                <w:color w:val="0000FF"/>
                <w:w w:val="92"/>
              </w:rPr>
              <w:t>70.4</w:t>
            </w:r>
            <w:r>
              <w:rPr>
                <w:rFonts w:ascii="Times New Roman" w:cs="Times New Roman" w:eastAsia="Times New Roman" w:hAnsi="Times New Roman"/>
                <w:sz w:val="22"/>
                <w:szCs w:val="22"/>
                <w:color w:val="008000"/>
                <w:w w:val="92"/>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18,849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1,854</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2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60" w:type="dxa"/>
            <w:vAlign w:val="bottom"/>
            <w:gridSpan w:val="10"/>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jc w:val="right"/>
              <w:ind w:right="10"/>
              <w:spacing w:after="0"/>
              <w:rPr>
                <w:sz w:val="20"/>
                <w:szCs w:val="20"/>
                <w:color w:val="auto"/>
              </w:rPr>
            </w:pPr>
            <w:r>
              <w:rPr>
                <w:rFonts w:ascii="Arial" w:cs="Arial" w:eastAsia="Arial" w:hAnsi="Arial"/>
                <w:sz w:val="12"/>
                <w:szCs w:val="12"/>
                <w:b w:val="1"/>
                <w:bCs w:val="1"/>
                <w:color w:val="auto"/>
                <w:w w:val="98"/>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80"/>
              <w:spacing w:after="0" w:line="297" w:lineRule="exact"/>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821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18.24</w:t>
            </w:r>
          </w:p>
        </w:tc>
        <w:tc>
          <w:tcPr>
            <w:tcW w:w="114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0000FF"/>
              </w:rPr>
              <w:t>01/03/2020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0000FF"/>
              </w:rPr>
              <w:t>821</w:t>
            </w:r>
          </w:p>
        </w:tc>
        <w:tc>
          <w:tcPr>
            <w:tcW w:w="840" w:type="dxa"/>
            <w:vAlign w:val="bottom"/>
            <w:gridSpan w:val="2"/>
            <w:vMerge w:val="continue"/>
          </w:tcPr>
          <w:p>
            <w:pPr>
              <w:spacing w:after="0"/>
              <w:rPr>
                <w:sz w:val="12"/>
                <w:szCs w:val="12"/>
                <w:color w:val="auto"/>
              </w:rPr>
            </w:pPr>
          </w:p>
        </w:tc>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rPr>
              <w:t>01/04/2020</w:t>
            </w:r>
          </w:p>
        </w:tc>
        <w:tc>
          <w:tcPr>
            <w:tcW w:w="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0</w:t>
            </w:r>
          </w:p>
        </w:tc>
        <w:tc>
          <w:tcPr>
            <w:tcW w:w="300" w:type="dxa"/>
            <w:vAlign w:val="bottom"/>
          </w:tcPr>
          <w:p>
            <w:pPr>
              <w:spacing w:after="0"/>
              <w:rPr>
                <w:sz w:val="12"/>
                <w:szCs w:val="12"/>
                <w:color w:val="auto"/>
              </w:rPr>
            </w:pPr>
          </w:p>
        </w:tc>
        <w:tc>
          <w:tcPr>
            <w:tcW w:w="6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January 3, 2020, the reporting person exercised previously issued options to purchase an aggregate of 821 shares of common stock of ExlService Holdings, Inc.</w:t>
      </w:r>
    </w:p>
    <w:p>
      <w:pPr>
        <w:spacing w:after="0" w:line="41" w:lineRule="exact"/>
        <w:rPr>
          <w:rFonts w:ascii="Times New Roman" w:cs="Times New Roman" w:eastAsia="Times New Roman" w:hAnsi="Times New Roman"/>
          <w:sz w:val="14"/>
          <w:szCs w:val="14"/>
          <w:color w:val="008000"/>
        </w:rPr>
      </w:pPr>
    </w:p>
    <w:p>
      <w:pPr>
        <w:jc w:val="both"/>
        <w:ind w:left="40" w:right="16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$69.35 to $70.32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16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$70.35 to $70.48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Staglin Family Irrevocable Trust of 2018 dated November 9, 2018.</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January 4, 2010, the reporting person was granted 8,573 stock options. 100 percent of these options became vested and exercisable on December 31, 2010.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01/07/2020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11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2020-01-07T16:03:10Z</dcterms:created>
  <dcterms:modified xsi:type="dcterms:W3CDTF">2020-01-07T16:03:10Z</dcterms:modified>
</cp:coreProperties>
</file>