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6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63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Narasimha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60"/>
        <w:spacing w:after="0" w:line="328"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EVP, Emerging Bus Unit Leader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7"/>
          </w:tcPr>
          <w:p>
            <w:pPr>
              <w:jc w:val="center"/>
              <w:ind w:right="3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24"/>
              <w:spacing w:after="0"/>
              <w:rPr>
                <w:sz w:val="20"/>
                <w:szCs w:val="20"/>
                <w:color w:val="auto"/>
              </w:rPr>
            </w:pPr>
            <w:r>
              <w:rPr>
                <w:rFonts w:ascii="Times New Roman" w:cs="Times New Roman" w:eastAsia="Times New Roman" w:hAnsi="Times New Roman"/>
                <w:sz w:val="17"/>
                <w:szCs w:val="17"/>
                <w:color w:val="0000FF"/>
              </w:rPr>
              <w:t>09/01/2024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27,075</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163,343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6"/>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24"/>
              <w:spacing w:after="0"/>
              <w:rPr>
                <w:sz w:val="20"/>
                <w:szCs w:val="20"/>
                <w:color w:val="auto"/>
              </w:rPr>
            </w:pPr>
            <w:r>
              <w:rPr>
                <w:rFonts w:ascii="Times New Roman" w:cs="Times New Roman" w:eastAsia="Times New Roman" w:hAnsi="Times New Roman"/>
                <w:sz w:val="17"/>
                <w:szCs w:val="17"/>
                <w:color w:val="0000FF"/>
              </w:rPr>
              <w:t>09/03/2024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12,547</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150,796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4"/>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27,075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09/01/2024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27,075</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September 1, 2024.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2021, the reporting person was granted 40,605 restricted stock units, after adjustment for the 5-for-1 forward stock split, effective August 1, 2023, vesting in two installment installments beginning on the second anniversary of the grant date. 33% of the restricted stock units became vested on September 1, 2023 and the remaining balance of 67% of the restricted stock units became vested on September 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09/04/2024</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2024-09-04T20:33:08Z</dcterms:created>
  <dcterms:modified xsi:type="dcterms:W3CDTF">2024-09-04T20:33:08Z</dcterms:modified>
</cp:coreProperties>
</file>