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6216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1665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4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14"/>
        <w:spacing w:after="0"/>
        <w:rPr>
          <w:sz w:val="20"/>
          <w:szCs w:val="20"/>
          <w:color w:val="auto"/>
        </w:rPr>
      </w:pPr>
      <w:r>
        <w:rPr>
          <w:rFonts w:ascii="Arial" w:cs="Arial" w:eastAsia="Arial" w:hAnsi="Arial"/>
          <w:sz w:val="17"/>
          <w:szCs w:val="17"/>
          <w:color w:val="0000FF"/>
        </w:rPr>
        <w:t>EVP &amp; Head of Outsourcing</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466"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4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2,075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15,821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887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114.02</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14,934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Pr>
          <w:p>
            <w:pPr>
              <w:jc w:val="center"/>
              <w:spacing w:after="0"/>
              <w:rPr>
                <w:sz w:val="20"/>
                <w:szCs w:val="20"/>
                <w:color w:val="auto"/>
              </w:rPr>
            </w:pPr>
            <w:r>
              <w:rPr>
                <w:rFonts w:ascii="Arial" w:cs="Arial" w:eastAsia="Arial" w:hAnsi="Arial"/>
                <w:sz w:val="17"/>
                <w:szCs w:val="17"/>
                <w:color w:val="0000FF"/>
                <w:w w:val="91"/>
              </w:rPr>
              <w:t>02/20/2022</w:t>
            </w:r>
          </w:p>
        </w:tc>
        <w:tc>
          <w:tcPr>
            <w:tcW w:w="1080" w:type="dxa"/>
            <w:vAlign w:val="bottom"/>
          </w:tcPr>
          <w:p>
            <w:pPr>
              <w:spacing w:after="0"/>
              <w:rPr>
                <w:sz w:val="22"/>
                <w:szCs w:val="22"/>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1,707</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20" w:type="dxa"/>
            <w:vAlign w:val="bottom"/>
          </w:tcPr>
          <w:p>
            <w:pPr>
              <w:ind w:left="340"/>
              <w:spacing w:after="0"/>
              <w:rPr>
                <w:sz w:val="20"/>
                <w:szCs w:val="20"/>
                <w:color w:val="auto"/>
              </w:rPr>
            </w:pPr>
            <w:r>
              <w:rPr>
                <w:rFonts w:ascii="Arial" w:cs="Arial" w:eastAsia="Arial" w:hAnsi="Arial"/>
                <w:sz w:val="17"/>
                <w:szCs w:val="17"/>
                <w:color w:val="0000FF"/>
              </w:rPr>
              <w:t>16,641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02/20/2022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730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15,911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2,075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02/19/2022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2,075</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4,780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1,707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02/20/2022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1,707</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1,708</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units reported in this report vested on February 19,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8,300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will became vested on February 19, 2023, and the remaining balance of twenty-five percent of the restricted stock units will vest on February 19, 2024.</w:t>
      </w:r>
    </w:p>
    <w:p>
      <w:pPr>
        <w:spacing w:after="0" w:line="30"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6,830 restricted stock units, vesting in four equal annual installments beginning on the first anniversary of the grant date. 25 percent of the restricted stock units became vested on February 20, 2020, an additional 25 percent of the restricted stock units became vested on February 20, 2021, an additional 25 percent of the restricted stock units will vest on February 20, 2022, and the remaining balance of 25 percent of the restricted stock units will vest on February 20, 2023.</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2022-02-23T17:05:23Z</dcterms:created>
  <dcterms:modified xsi:type="dcterms:W3CDTF">2022-02-23T17:05:23Z</dcterms:modified>
</cp:coreProperties>
</file>