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Sections 13 or 15(d) of</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Date of Report (Date of earliest event reported): March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 2013, ExlService Holdings, Inc. (the “Company”) reported its results of operations for the three and twelve months ended December 31, 2012.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issued by the Company concerning the foregoing is furnished herewith as Exhibit 99.1 and is incorporated herein by reference.</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 2013</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8040" w:val="left"/>
        </w:tabs>
        <w:rPr>
          <w:sz w:val="20"/>
          <w:szCs w:val="20"/>
          <w:color w:val="auto"/>
        </w:rPr>
      </w:pPr>
      <w:r>
        <w:rPr>
          <w:rFonts w:ascii="Arial" w:cs="Arial" w:eastAsia="Arial" w:hAnsi="Arial"/>
          <w:sz w:val="18"/>
          <w:szCs w:val="18"/>
          <w:color w:val="auto"/>
        </w:rPr>
        <w:t>Date: March 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being filed as part of this Current Report on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Contact: Charles Murphy, CFA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9100" w:firstLine="8"/>
        <w:spacing w:after="0" w:line="323" w:lineRule="auto"/>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charles.murphy@exlservice.com</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2012 FOURTH QUARTER AND FULL YEAR RESULTS AND PROVIDES GUIDANCE FOR CALENDAR YEAR 2013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2012 Fourth Quarter Revenues of $117.7 million and Adjusted Diluted Earnings Per Share (EPS) of $0.44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2012 Revenues of $442.9 million and Adjusted Diluted EPS of $1.58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2013 Revenue Guidance of $495.0 million to $505.0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2013 Adjusted EPS Guidance of $1.77 to $1.85</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New York, NY – March 1, 2013 – ExlService Holdings, Inc. (NASDAQ: EXLS), a leading provider of outsourcing and transformation services, today announced its financial results for the fourth quarter of 2012 and the year ended December 31, 2012.</w:t>
      </w:r>
    </w:p>
    <w:p>
      <w:pPr>
        <w:spacing w:after="0" w:line="132"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Rohit Kapoor, Vice Chairman and CEO, commented: “2012 was a year of strong growth and continued investment at EXL. Revenues grew 23% year-over-year, or 27% on a constant currency basis. We drove this growth through robust expansion with our existing clients, record new client wins, and acquisitions. We added forty one new clients, including seventeen in analytics, where we have built a leading presence serving retail banks, as well as six in finance and accounting.</w:t>
      </w:r>
    </w:p>
    <w:p>
      <w:pPr>
        <w:spacing w:after="0" w:line="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Along with strong growth, in 2012 we made substantial investments in our company. We added several key executives to our senior leadership team. We made significant investments to develop in-house domain expertise by launching the EXL Center for Talent in India and our Healthcare Academy in the Philippines. Finally, we acquired Landacorp, providing us a differentiated care management platform to enhance our capabilities in healthcare. These investments ensure we are well positioned to capture the substantial growth opportunities in our selected markets, and that we continue to generate sustainable long-term value to shareholders.”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Vishal Chhibbar, CFO, commented: “In the fourth quarter, EXL achieved revenues of $117.7 million, up 15% year-over-year, driven by 12% growth in outsourcing and 27% growth in transformation services. On a constant currency basis, revenues grew 16% year-over-year. In the fourth quarter we delivered adjusted diluted earnings per share of $0.44, up 21% year-over-year and 6% quarter-over-quarter. This year-over-year growth in adjusted earnings per share was driven by strong revenue growth and operating leverage.</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2013, based on current visibility and an Indian rupee to U.S. dollar exchange rate of 54, we are providing revenues guidance of $495 million to $505 million, representing annual growth of 12% to 14%. For 2013, we expect to achieve adjusted diluted EPS of $1.77 to $1.85.”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ind w:right="4740"/>
        <w:spacing w:after="0" w:line="417"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Financial Highlights – Fourth Quarter 2012 and Year Ended December 31, 2012 </w:t>
      </w:r>
      <w:r>
        <w:rPr>
          <w:rFonts w:ascii="Arial" w:cs="Arial" w:eastAsia="Arial" w:hAnsi="Arial"/>
          <w:sz w:val="15"/>
          <w:szCs w:val="15"/>
          <w:i w:val="1"/>
          <w:iCs w:val="1"/>
          <w:color w:val="auto"/>
        </w:rPr>
        <w:t>Reconciliations of adjusted financial measures to GAAP are included at the end of this release.</w:t>
      </w:r>
    </w:p>
    <w:p>
      <w:pPr>
        <w:spacing w:after="0" w:line="1" w:lineRule="exact"/>
        <w:rPr>
          <w:sz w:val="20"/>
          <w:szCs w:val="20"/>
          <w:color w:val="auto"/>
        </w:rPr>
      </w:pPr>
    </w:p>
    <w:p>
      <w:pPr>
        <w:ind w:left="900" w:right="10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for the year ended December 31, 2012 increased 22.9% to $442.9 million compared to $360.5 million for the year ended December 31, 2011. Revenues for the quarter ended December 31, 2012 were $117.7 million compared to $102.6 million for the quarter ended December 31, 2011 and $112.6 million for the quarter ended September 30, 2012. Outsourcing services revenues for the year ended December 31, 2012 were $366.8 million, up 24.6% compared to $294.4 million for the year ended December 31, 2011. Transformation services revenues for the year ended December 31, 2012 were $76.2 million, up 15.1% compared to $66.2 million in the year ended December 31, 2011.</w:t>
      </w:r>
    </w:p>
    <w:p>
      <w:pPr>
        <w:spacing w:after="0" w:line="34"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margin for the year ended December 31, 2012 was 38.6% compared to 39.0% for the year ended December 31, 2011. Gross margin for the quarter ended December 31, 2012 was 40.1% compared to 39.5% for the quarter ended December 31, 2011. Outsourcing services gross margin for the year ended December 31, 2012 was 39.2% compared to 39.4% for the year ended December 31, 2011. Outsourcing services gross margin for the quarter ended December 31, 2012 was 41.5% compared to 39.5% for the quarter ended December 31, 2011. Transformation services gross margin for the year ended December 31, 2012 was 35.6% compared to 37.0% for the year ended December 31, 2011. Transformation services gross margin for the quarter ended December 31, 2012 was 33.6% compared to 39.6% for the quarter ended December 31, 2011.</w:t>
      </w:r>
    </w:p>
    <w:p>
      <w:pPr>
        <w:spacing w:after="0" w:line="39"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Operating margin for the year ended December 31, 2012 was 12.9% compared to 11.5% for the year ended December 31, 2011. Operating margin for the quarter ended December 31, 2012 was 13.2% compared to 12.4% for the quarter ended December 31, 2011. Adjusted operating margin for the year ended December 31, 2012 was 16.3% compared to 15.3% for the year ended December 31, 2011. Adjusted operating margin for the quarter ended December 31, 2012 was 16.3% compared to 15.9% for the quarter ended December 31, 2011.</w:t>
      </w:r>
    </w:p>
    <w:p>
      <w:pPr>
        <w:spacing w:after="0" w:line="31" w:lineRule="exact"/>
        <w:rPr>
          <w:rFonts w:ascii="Arial" w:cs="Arial" w:eastAsia="Arial" w:hAnsi="Arial"/>
          <w:sz w:val="16"/>
          <w:szCs w:val="16"/>
          <w:color w:val="auto"/>
        </w:rPr>
      </w:pPr>
    </w:p>
    <w:p>
      <w:pPr>
        <w:jc w:val="both"/>
        <w:ind w:left="900" w:right="1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income for the year ended December 31, 2012 was $41.8 million compared to $34.8 million for the year ended December 31, 2011. Net income for the quarter ended December 31, 2012 was $12.2 million compared to $9.6 million for the quarter ended December 31, 2011. Adjusted EBITDA for the year ended December 31, 2012 was $92.3 million compared to $73.8 million for the year ended December 31, 2011. Adjusted EBITDA for the quarter ended December 31, 2012 was $24.5 million compared to $21.5 million for the quarter ended December 31, 2011.</w:t>
      </w:r>
    </w:p>
    <w:p>
      <w:pPr>
        <w:spacing w:after="0" w:line="31" w:lineRule="exact"/>
        <w:rPr>
          <w:rFonts w:ascii="Arial" w:cs="Arial" w:eastAsia="Arial" w:hAnsi="Arial"/>
          <w:sz w:val="16"/>
          <w:szCs w:val="16"/>
          <w:color w:val="auto"/>
        </w:rPr>
      </w:pPr>
    </w:p>
    <w:p>
      <w:pPr>
        <w:ind w:left="900" w:right="340" w:hanging="325"/>
        <w:spacing w:after="0" w:line="323"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Diluted earnings per share for the year ended December 31, 2012 were $1.26 compared to $1.10 for the year ended December 31, 2011. Diluted earnings per share for the quarter ended December 31, 2012 were $0.36 compared to $0.29 for the quarter ended December 31, 2011. Adjusted diluted earnings per share for the year ended December 31, 2012 were $1.58 compared to $1.39 for the year ended December 31, 2011. Adjusted diluted earnings per share for the quarter ended December 31, 2012 were $0.44 compared to $0.37 for the quarter ended December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96" w:lineRule="exact"/>
        <w:rPr>
          <w:sz w:val="20"/>
          <w:szCs w:val="20"/>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ten new clients during the quarter, including five outsourcing clients and five transformation clients. EXL won forty one new clients in 2012, versus seventeen in 2011.</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outsourcing services relationships, including migrating 49 new processes in the fourth quarter of 2012.</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Recognized as a “Leader” by Everest Group in its market report, “A PEAK into the Leaders, Major Contenders, and Emerging Players of Insurance BPO,” as well as the largest provider of business process outsourcing services to the U.S. insurance industry.</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a strategic alliance with the Indian Institute of Management, Lucknow to offer a co-branded business management certification program in operational excellence and consulting.</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Appointed Leo Curran as Senior Vice President, Head of UK and Europe, and Anup Kumar as Senior Vice President, Head of Product Development and Operations Consulting.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Grew headcount as of December 31, 2012 to 21,049, compared to 18,884 as of December 31, 2011 and 20,095 as of September 30, 2012.</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attrition for the quarter ended December 31, 2012 was 30.4%, compared with 28.5% for the quarter ended September 30, 2012. Employee attrition for the year ended December 31, 2012 was 29.3%.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Partnered with BlackLine Systems to provide cloud-based financial close solutions.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Outlook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an Indian rupee to U.S. dollar exchange rate of 54, the Company is providing the following guidance for calendar year 2013:</w:t>
      </w:r>
    </w:p>
    <w:p>
      <w:pPr>
        <w:spacing w:after="0" w:line="11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$495 million to $505 million.</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$1.77 to $1.85.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 and Investor Day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EXL will host a conference call on Friday, March 1, 2013 at 8:00 a.m. (ET) to discuss the Company’s quarterly and annual results and discuss the Company’s operating performance and financial outlook. From 10:00 a.m. (ET) until approximately 12:30 p.m. (ET), EXL will host an investor day at the Nasdaq MarketSite in New York, NY to review the company’s strategy, achievements and growth outlook. The earnings conference call and investor day presentation will be available live via the internet by accessing the investor relations section of EXL’s website at ir.exlservice.com, where the accompanying investor-friendly spreadsheet of historical operating and financial data can also be accessed. Please go to the website at least fifteen minutes prior to the calls and investor day presentations to register, download and install any necessary audio software.</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listen to the conference call or investor day presentations via phone, please dial 1-877-303-6384 or 1-224-357-2191 and an operator will assist you. For those who cannot access the live broadcasts,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ExlService Holdings, Inc. (Nasdaq:EXLS) is a leading provider of outsourcing and transformation services. EXL primarily serves the needs of Global 1000 companies from global delivery centers in the insurance, healthcare, utilities, banking and financial services, transportation and logistics and travel sectors. EXL’s outsourcing services include a full spectrum of business process management services such as transaction processing and finance and accounting services. Transformation services enable continuous improvement of client processes by bringing together EXL’s capabilities in decision analytics, finance transformation and operations and process excellence services. Find additional information about EXL at </w:t>
      </w:r>
      <w:r>
        <w:rPr>
          <w:rFonts w:ascii="Arial" w:cs="Arial" w:eastAsia="Arial" w:hAnsi="Arial"/>
          <w:sz w:val="16"/>
          <w:szCs w:val="16"/>
          <w:u w:val="single" w:color="auto"/>
          <w:color w:val="auto"/>
        </w:rPr>
        <w:t>www.exlservice.com</w:t>
      </w:r>
      <w:r>
        <w:rPr>
          <w:rFonts w:ascii="Arial" w:cs="Arial" w:eastAsia="Arial" w:hAnsi="Arial"/>
          <w:sz w:val="16"/>
          <w:szCs w:val="16"/>
          <w:color w:val="auto"/>
        </w:rPr>
        <w:t>.</w:t>
      </w:r>
    </w:p>
    <w:p>
      <w:pPr>
        <w:spacing w:after="0" w:line="116"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 in the Company’s filings with the Securities and Exchange Commission, including the Company’s Annual Report on Form 10-K for the year ended December 31, 2011.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left="615"/>
              <w:spacing w:after="0" w:line="149" w:lineRule="exact"/>
              <w:rPr>
                <w:sz w:val="20"/>
                <w:szCs w:val="20"/>
                <w:color w:val="auto"/>
              </w:rPr>
            </w:pPr>
            <w:r>
              <w:rPr>
                <w:rFonts w:ascii="Arial" w:cs="Arial" w:eastAsia="Arial" w:hAnsi="Arial"/>
                <w:sz w:val="14"/>
                <w:szCs w:val="14"/>
                <w:b w:val="1"/>
                <w:bCs w:val="1"/>
                <w:color w:val="auto"/>
                <w:w w:val="91"/>
              </w:rPr>
              <w:t>(Audited)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5"/>
              </w:rPr>
              <w:t>Year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70,509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47,144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40,565</w:t>
            </w:r>
          </w:p>
        </w:tc>
        <w:tc>
          <w:tcPr>
            <w:tcW w:w="0" w:type="dxa"/>
            <w:vAlign w:val="bottom"/>
          </w:tcPr>
          <w:p>
            <w:pPr>
              <w:spacing w:after="0"/>
              <w:rPr>
                <w:sz w:val="1"/>
                <w:szCs w:val="1"/>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25,582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31,606</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income/(expense) :</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(loss)/gain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tax provision</w:t>
            </w: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0.36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Weighted-average number of shares used in computing earnings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31,968,386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30,264,805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32,297,414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31,266,183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33,171,105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31,546,144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33,514,446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32,623,251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jc w:val="right"/>
              <w:ind w:right="4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left="4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103,037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6,137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73,729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5,353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7,460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 income tax,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7,065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207,935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166,841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40,239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3,752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13,139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106,671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435,854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7,922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29,393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31,737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74,341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14,317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91,337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98,936</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100,000,000 shares authorized, 32,540,082 shares issued and 32,203,820 shares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outstanding as of December 31, 2012 and 31,496,461 shares issued and 31,173,064 shares outstanding as of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195,248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188,882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(36,647)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347,516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281,145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w w:val="97"/>
              </w:rPr>
              <w:t>Less: 336,262 shares as of December 31, 2012 and 323,397 shares as of December 31, 2011, held in treasury, at cost</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ExlService Holdings, Inc. stockholders’ equity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344,492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344,517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278,475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435,854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377,411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80"/>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 The Company believes that providing these adjusted measures may help investors better understand the Company’s underlying financial performance. Management also believes that these adjusted financial measures, when read in conjunction with the Company’s reported results, can provide useful supplemental information for investors analyzing period to period comparisons of the Company’s results and comparisons of the Company’s results with the results of other companies. The Company believes that it is unreasonably difficult to provide its financial outlook in accordance with GAAP for a number of reasons including, without limitation, the Company’s inability to predict its future stock-based compensation expense under ASC Topic 718 and the amortization of intangibles associated with further acquisitions. The Company also incurs significant non-cash charges for depreciation that may not be indicative of its ability to generate cash flow.</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Additionally, the Company provides certain information on a constant currency basis, which reflects a comparison of current period results translated at the prior period currency rates. This information is provided because the Company believes that it provides useful incremental information to investors regarding the Company’s operating performance.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reconciliation of these adjusted financial measures from GAAP measures for the year ended December 31, 2012 and December 31, 2011 and for the three months ended December 31, 2012, December 31, 2011 and September 30, 2012:</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100" w:type="dxa"/>
            <w:vAlign w:val="bottom"/>
            <w:gridSpan w:val="4"/>
          </w:tcPr>
          <w:p>
            <w:pPr>
              <w:jc w:val="right"/>
              <w:ind w:right="940"/>
              <w:spacing w:after="0" w:line="149" w:lineRule="exact"/>
              <w:rPr>
                <w:sz w:val="20"/>
                <w:szCs w:val="20"/>
                <w:color w:val="auto"/>
              </w:rPr>
            </w:pPr>
            <w:r>
              <w:rPr>
                <w:rFonts w:ascii="Arial" w:cs="Arial" w:eastAsia="Arial" w:hAnsi="Arial"/>
                <w:sz w:val="14"/>
                <w:szCs w:val="14"/>
                <w:b w:val="1"/>
                <w:bCs w:val="1"/>
                <w:color w:val="auto"/>
              </w:rPr>
              <w:t>Year Ended</w:t>
            </w:r>
          </w:p>
        </w:tc>
        <w:tc>
          <w:tcPr>
            <w:tcW w:w="2120" w:type="dxa"/>
            <w:vAlign w:val="bottom"/>
            <w:gridSpan w:val="5"/>
          </w:tcPr>
          <w:p>
            <w:pPr>
              <w:jc w:val="right"/>
              <w:ind w:right="680"/>
              <w:spacing w:after="0" w:line="149"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1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21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$41,836</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$34,780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$12,163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Income tax provision and other income (expense)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15,396</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 (GAAP)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$57,232</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$41,318</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$15,538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12,742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Stock-based compensation expense (a)</w:t>
            </w:r>
          </w:p>
        </w:tc>
        <w:tc>
          <w:tcPr>
            <w:tcW w:w="580" w:type="dxa"/>
            <w:vAlign w:val="bottom"/>
          </w:tcPr>
          <w:p>
            <w:pPr>
              <w:jc w:val="right"/>
              <w:spacing w:after="0"/>
              <w:rPr>
                <w:sz w:val="20"/>
                <w:szCs w:val="20"/>
                <w:color w:val="auto"/>
              </w:rPr>
            </w:pPr>
            <w:r>
              <w:rPr>
                <w:rFonts w:ascii="Arial" w:cs="Arial" w:eastAsia="Arial" w:hAnsi="Arial"/>
                <w:sz w:val="18"/>
                <w:szCs w:val="18"/>
                <w:color w:val="auto"/>
              </w:rPr>
              <w:t>9,416</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9,462</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Amortization of acquisition-related intangibles (b)</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72,286</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55,109</w:t>
            </w:r>
          </w:p>
        </w:tc>
        <w:tc>
          <w:tcPr>
            <w:tcW w:w="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19,180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16,302</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operating income margin %</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16.3%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15.3%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16.3%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15.9%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add: Depreciation</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19,985</w:t>
            </w:r>
          </w:p>
        </w:tc>
        <w:tc>
          <w:tcPr>
            <w:tcW w:w="4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(Non-GAAP)</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92,271</w:t>
            </w:r>
          </w:p>
        </w:tc>
        <w:tc>
          <w:tcPr>
            <w:tcW w:w="4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73,774</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24,516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21,506</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Adjusted EBITDA margin %</w:t>
            </w: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80" w:type="dxa"/>
            <w:vAlign w:val="bottom"/>
            <w:gridSpan w:val="2"/>
            <w:vMerge w:val="continue"/>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20.8%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20.5%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20.8%</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i w:val="1"/>
                <w:iCs w:val="1"/>
                <w:color w:val="auto"/>
              </w:rPr>
              <w:t>21.0%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22.3%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0"/>
              </w:rPr>
              <w:t>Three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5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8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57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41,836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34,780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12,163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add: Stock-based compensation expense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9,462</w:t>
            </w: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of acquisition-related intangibles (b)</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rPr>
              <w:t>subtract: Tax impact on stock-based compensation expense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(3,601)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(3,897)</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(974)</w:t>
            </w:r>
          </w:p>
        </w:tc>
        <w:tc>
          <w:tcPr>
            <w:tcW w:w="1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subtract: Tax impact on amortization of acquisition-related intangibles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52,515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43,889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14,900</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11,952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13,966</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0.42</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To exclude stock-based compensation expense under ASC Topic 718.</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To exclude amortization of acquisition-related intangibles.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1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2019-12-07T08:27:17Z</dcterms:created>
  <dcterms:modified xsi:type="dcterms:W3CDTF">2019-12-07T08:27:17Z</dcterms:modified>
</cp:coreProperties>
</file>