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Sections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May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On May 1, 2014, ExlService Holdings, Inc. (the “Company”) reported its results of operations for the three months ended March 31, 2014. A copy of the press release issued by the Company concerning the foregoing is furnished herewith as Exhibit 99.1 and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1, 2014 (furnished pursuant to Item 2.02)</w:t>
      </w:r>
    </w:p>
    <w:p>
      <w:pPr>
        <w:sectPr>
          <w:pgSz w:w="11900" w:h="16838" w:orient="portrait"/>
          <w:cols w:equalWidth="0" w:num="1">
            <w:col w:w="11080"/>
          </w:cols>
          <w:pgMar w:left="240" w:top="270" w:right="57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880" w:val="left"/>
          <w:tab w:leader="none" w:pos="802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V</w:t>
      </w:r>
      <w:r>
        <w:rPr>
          <w:rFonts w:ascii="Arial" w:cs="Arial" w:eastAsia="Arial" w:hAnsi="Arial"/>
          <w:sz w:val="14"/>
          <w:szCs w:val="14"/>
          <w:color w:val="auto"/>
        </w:rPr>
        <w:t>ISHAL</w:t>
      </w:r>
      <w:r>
        <w:rPr>
          <w:rFonts w:ascii="Arial" w:cs="Arial" w:eastAsia="Arial" w:hAnsi="Arial"/>
          <w:sz w:val="17"/>
          <w:szCs w:val="17"/>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Vishal Chhibbar</w:t>
      </w:r>
    </w:p>
    <w:p>
      <w:pPr>
        <w:jc w:val="center"/>
        <w:ind w:left="628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280"/>
        <w:spacing w:after="0" w:line="221" w:lineRule="auto"/>
        <w:rPr>
          <w:sz w:val="20"/>
          <w:szCs w:val="20"/>
          <w:color w:val="auto"/>
        </w:rPr>
      </w:pPr>
      <w:r>
        <w:rPr>
          <w:rFonts w:ascii="Arial" w:cs="Arial" w:eastAsia="Arial" w:hAnsi="Arial"/>
          <w:sz w:val="14"/>
          <w:szCs w:val="14"/>
          <w:b w:val="1"/>
          <w:bCs w:val="1"/>
          <w:color w:val="auto"/>
        </w:rPr>
        <w:t>(Duly Authorized Signatory, Principal Financial and</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ectPr>
          <w:pgSz w:w="11900" w:h="16838" w:orient="portrait"/>
          <w:cols w:equalWidth="0" w:num="1">
            <w:col w:w="10800"/>
          </w:cols>
          <w:pgMar w:left="240" w:top="270" w:right="8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1, 2014 (furnished pursuant to Item 2.02)</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2014 FIRST QUARTER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2014 First Quarter Revenues of $121.8 Million and Adjusted Diluted Earnings Per Share (EPS) of $0.50</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New York, NY – May 1, 2014 – ExlService Holdings, Inc. (NASDAQ: EXLS), a leading provider of outsourcing and transformation services, today announced its financial results for the first quarter of 2014.</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Rohit Kapoor, Vice Chairman and CEO, commented: “EXL had a solid first quarter, driven by strength in decision analytics revenues, particularly in risk and marketing analytics engagements tailored to the banking, insurance and healthcare industries. In outsourcing, certain industry verticals performed particularly well this quarter including life insurance, healthcare, banking and utilities. I am particularly pleased with the significant ongoing process migrations across newly acquired and existing strategic clients that took place in the first quarter.</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EXL’s targeted industry verticals, clients are actively looking for innovative solution ideas that integrate decision analytics and operations management in long-term annuity arrangements. We are making strong progress in strengthening our Business EXLerator Framework across operations management engagements to infuse business process automation, analytics, and benchmarking in a manner that generates differentiated value for EXL’s clients.”</w:t>
      </w:r>
    </w:p>
    <w:p>
      <w:pPr>
        <w:spacing w:after="0" w:line="14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Vishal Chhibbar, CFO, commented: “In the first quarter, EXL achieved revenues of $121.8 million, or $124.3 million excluding $2.5 million of reimbursement of transition and disentanglement costs for a large client that, as previously disclosed, is transitioning its business. Excluding these costs, constant currency revenues grew 13% year-over-year, driven by 12% growth in outsourcing and 17% growth in transformation services. In the first quarter EXL had adjusted diluted earnings per share of $0.50, up 25% year-over-year.</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2014, we are reiterating our revenue guidance of $480 million to $500 million and adjusted diluted EPS of $1.70 to $1.80. Our revenue and adjusted EPS guidance exclude the impact of the reimbursement of transition and disentanglement costs for a disclosed client issue.”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 First Quarter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for the quarter ended March 31, 2014 were $121.8 million compared to $116.0 million for the quarter ended March 31, 2013 and</w:t>
      </w:r>
    </w:p>
    <w:p>
      <w:pPr>
        <w:spacing w:after="0" w:line="34" w:lineRule="exact"/>
        <w:rPr>
          <w:rFonts w:ascii="Arial" w:cs="Arial" w:eastAsia="Arial" w:hAnsi="Arial"/>
          <w:sz w:val="17"/>
          <w:szCs w:val="17"/>
          <w:color w:val="auto"/>
        </w:rPr>
      </w:pPr>
    </w:p>
    <w:p>
      <w:pPr>
        <w:ind w:left="900" w:right="100"/>
        <w:spacing w:after="0" w:line="292" w:lineRule="auto"/>
        <w:rPr>
          <w:rFonts w:ascii="Arial" w:cs="Arial" w:eastAsia="Arial" w:hAnsi="Arial"/>
          <w:sz w:val="17"/>
          <w:szCs w:val="17"/>
          <w:color w:val="auto"/>
        </w:rPr>
      </w:pPr>
      <w:r>
        <w:rPr>
          <w:rFonts w:ascii="Arial" w:cs="Arial" w:eastAsia="Arial" w:hAnsi="Arial"/>
          <w:sz w:val="16"/>
          <w:szCs w:val="16"/>
          <w:color w:val="auto"/>
        </w:rPr>
        <w:t>$124.1 million for the quarter ended December 31, 2013. Revenues for the quarter ended March 31, 2014 were reduced by approximately $2.5 million due to the reimbursement of transition and disentanglement costs tied to a previously disclosed client issue. Outsourcing services revenues for the quarter ended March 31, 2014 were $100.1 million compared to $97.6 million for the quarter ended March 31, 2013 and $100.4 million for the quarter ended December 31, 2013. Transformation services revenues for the quarter ended March 31, 2014 were $21.7 million compared to $18.4 million for the quarter ended March 31, 2013 and $23.7 million for the quarter ended December 31, 2013.</w:t>
      </w:r>
    </w:p>
    <w:p>
      <w:pPr>
        <w:spacing w:after="0" w:line="68" w:lineRule="exact"/>
        <w:rPr>
          <w:rFonts w:ascii="Arial" w:cs="Arial" w:eastAsia="Arial" w:hAnsi="Arial"/>
          <w:sz w:val="17"/>
          <w:szCs w:val="17"/>
          <w:color w:val="auto"/>
        </w:rPr>
      </w:pPr>
    </w:p>
    <w:p>
      <w:pPr>
        <w:ind w:left="900" w:hanging="325"/>
        <w:spacing w:after="0" w:line="30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March 31, 2014 was 38.5% compared to 37.1% for the quarter ended March 31, 2013 and 42.0% for the quarter ended December 31, 2013. Outsourcing services gross margin for the quarter ended March 31, 2014 was 41.2% compared to 39.0% for the quarter ended March 31, 2013 and 43.4% for the quarter ended December 31, 2013. Transformation services gross margin for the quarter ended March 31, 2014 was 26.2% compared to 27.1% for the quarter ended March 31, 2013 and 35.7% for the quarter ended December 31, 2013.</w:t>
      </w:r>
    </w:p>
    <w:p>
      <w:pPr>
        <w:spacing w:after="0" w:line="59" w:lineRule="exact"/>
        <w:rPr>
          <w:rFonts w:ascii="Arial" w:cs="Arial" w:eastAsia="Arial" w:hAnsi="Arial"/>
          <w:sz w:val="16"/>
          <w:szCs w:val="16"/>
          <w:color w:val="auto"/>
        </w:rPr>
      </w:pPr>
    </w:p>
    <w:p>
      <w:pPr>
        <w:ind w:left="900" w:right="16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March 31, 2014 was 12.7% compared to 10.4% for the quarter ended March 31, 2013 and 18.5% for the quarter ended December 31, 2013. Adjusted operating margin for the quarter ended March 31, 2014 was 19.0% compared to 15.0% for the quarter ended March 31, 2013 and 21.9% for the quarter ended December 31, 2013.</w:t>
      </w:r>
    </w:p>
    <w:p>
      <w:pPr>
        <w:spacing w:after="0" w:line="86" w:lineRule="exact"/>
        <w:rPr>
          <w:rFonts w:ascii="Arial" w:cs="Arial" w:eastAsia="Arial" w:hAnsi="Arial"/>
          <w:sz w:val="18"/>
          <w:szCs w:val="18"/>
          <w:color w:val="auto"/>
        </w:rPr>
      </w:pPr>
    </w:p>
    <w:p>
      <w:pPr>
        <w:ind w:left="900" w:right="80" w:hanging="325"/>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for the quarter ended March 31, 2014 was $11.1 million compared to $9.8 million for the quarter ended March 31, 2013 and $15.9 million for the quarter ended December 31, 2013. Adjusted EBITDA for the quarter ended March 31, 2014 was $28.5 million compared to $22.3 million for the quarter ended March 31, 2013 and $31.8 million for the quarter ended December 31, 2013.</w:t>
      </w:r>
    </w:p>
    <w:p>
      <w:pPr>
        <w:spacing w:after="0" w:line="70" w:lineRule="exact"/>
        <w:rPr>
          <w:rFonts w:ascii="Arial" w:cs="Arial" w:eastAsia="Arial" w:hAnsi="Arial"/>
          <w:sz w:val="17"/>
          <w:szCs w:val="17"/>
          <w:color w:val="auto"/>
        </w:rPr>
      </w:pPr>
    </w:p>
    <w:p>
      <w:pPr>
        <w:ind w:left="900" w:right="16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for the quarter ended March 31, 2014 were $0.33 compared to $0.29 for the quarter ended March 31, 2013 and $0.47 for the quarter ended December 31, 2013. Adjusted diluted earnings per share for the quarter ended March 31, 2014 were $0.50 compared to $0.40 for the quarter ended March 31, 2013 and $0.56 for the quarter ended December 31,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35" w:lineRule="exact"/>
        <w:rPr>
          <w:sz w:val="20"/>
          <w:szCs w:val="20"/>
          <w:color w:val="auto"/>
        </w:rPr>
      </w:pPr>
    </w:p>
    <w:p>
      <w:pPr>
        <w:ind w:left="900" w:right="4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Successfully implemented EXL Landa’s CareRadius medical management suite with two leading BlueCross BlueShield health plans whom together serve more than 7.2 million customers.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Selected by Oxford Life family of companies for consolidation and end-to-end processing of life, annuity &amp; Medicare Supplement products on EXL LifePRO</w:t>
      </w:r>
      <w:r>
        <w:rPr>
          <w:rFonts w:ascii="Arial" w:cs="Arial" w:eastAsia="Arial" w:hAnsi="Arial"/>
          <w:sz w:val="15"/>
          <w:szCs w:val="15"/>
          <w:color w:val="auto"/>
        </w:rPr>
        <w: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the appointment of Nancy Saltzman in the role of EVP, General Counsel &amp; Company Secretary.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Hired a Chief Actuarial Officer to focus on clinical analytics capability development within the healthcare vertical.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Positioned in the “Winner’s Circle” in HfS Research’s Blueprint Report for Insurance BPO.</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our delivery footprint with the establishment of a new Analytics Center of Excellence in Mumbai, India focused on providing decision analytics services to the banking and financial services vertical.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five new clients during the first quarter, including three transformation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including migrating 25 new processes in the first quarter of 2014.</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headcount as of March 31, 2014 of 22,800 (including employees under managed services), compared to 21,350 as of March 31, 2013 and 22,200 as of December 31, 2013.</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employee attrition for the quarter ended March 31, 2014 of 28.8%, compared with 23.6% for the quarter ended March 31, 2013 and 25.0% for the quarter ended December 31,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Outlook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current visibility and an Indian rupee to U.S. dollar exchange rate of 61, the Company is reiterating its guidance for calendar year 2014. Guidance excludes the impact of the reimbursement of transition and disentanglement costs for a disclosed client issue:</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$480 million to $500 million.</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$1.70 to $1.80.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ExlService Holdings, Inc. will host a conference call on Thursday, May 1, 2014 at 8:00 a.m. (ET) to discuss the Company’s quarterly and annual operating and financial results. The conference call will be available live via the internet by accessing the investor relations section of EXL’s website at </w:t>
      </w:r>
      <w:r>
        <w:rPr>
          <w:rFonts w:ascii="Arial" w:cs="Arial" w:eastAsia="Arial" w:hAnsi="Arial"/>
          <w:sz w:val="17"/>
          <w:szCs w:val="17"/>
          <w:u w:val="single" w:color="auto"/>
          <w:color w:val="auto"/>
        </w:rPr>
        <w:t>ir.exlservice.com</w:t>
      </w:r>
      <w:r>
        <w:rPr>
          <w:rFonts w:ascii="Arial" w:cs="Arial" w:eastAsia="Arial" w:hAnsi="Arial"/>
          <w:sz w:val="17"/>
          <w:szCs w:val="17"/>
          <w:color w:val="auto"/>
        </w:rPr>
        <w:t>,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listen to the conference call via phone, please dial 1-877-303-6384 or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2013.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74,922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72,913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43,093</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10,232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income/(expense) :</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 provision</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4,465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Basic</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32,523,490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32,521,481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33,428,544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33,719,794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60" w:type="dxa"/>
            <w:vAlign w:val="bottom"/>
          </w:tcPr>
          <w:p>
            <w:pPr>
              <w:jc w:val="right"/>
              <w:ind w:right="313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143,692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7,169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77,737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12,955</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257,947</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44,031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32,643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108,216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21,489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18,897</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478,011</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9,520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29,575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62,994</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19,107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83,323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97,258</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100,000,000 shares authorized, 33,822,673 shares issued and 32,634,288 shares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as of March 31, 2014 and 33,342,312 shares issued and 32,172,183 shares outstanding as of</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2013</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220,370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248,126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(48,741)</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419,789</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w w:val="98"/>
              </w:rPr>
              <w:t>Less: 1,188,385 shares as of March 31, 2014 and 1,170,129 shares as of December 31, 2013, held in treasury, at cost</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(25,101)</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394,688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366,174</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478,011</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566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 The Company believes that providing these adjusted measures may help investors better understand the Company’s underlying financial performance. Management also believes that these adjusted financial measures, when read in conjunction with the Company’s reported results, can provide useful supplemental information for investors analyzing period to period comparisons of the Company’s results and comparisons of the Company’s results with the results of other companies. The Company believes that it is unreasonably difficult to provide its financial outlook in accordance with GAAP for a number of reasons including, without limitation, the Company’s inability to predict its future stock-based compensation expense under ASC Topic 718, the amortization of intangibles associated with further acquisitions, and the uncertainty around the reimbursement of transition and disentanglement costs for a disclosed client issue. The Company also incurs significant non-cash charges for depreciation that may not be indicative of the Company’s ability to generate cash flow.</w:t>
      </w:r>
    </w:p>
    <w:p>
      <w:pPr>
        <w:spacing w:after="0" w:line="18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Additionally, the Company provides certain information on a constant currency basis, which reflects a comparison of current period results translated at the prior period currency rates. This information is provided because the Company believes that it provides useful incremental information to investors regarding the Company’s operating performance.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quarter ended March 31,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2013, the three months ended December 31,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121,797</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116,006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add: Reimbursement of transition and disentanglement costs (a)</w:t>
            </w: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2,471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92"/>
              </w:rPr>
              <w:t>124,268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6"/>
              </w:rPr>
              <w:t>116,006</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124,474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subtract: Cost of revenues (GAAP)</w:t>
            </w: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(74,922)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(72,913)</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subtract: Operating expenses (GAAP)</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(31,388)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(30,988)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(29,098)</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(Non- GAAP)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17,958</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12,105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Stock-based compensation expense (b)</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add: Amortization of acquisition-related intangibles (c)</w:t>
            </w: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1,634</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23,670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17,384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27,222</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operating income margin as a % of Revenues (Non-GAAP)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19.0%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rPr>
              <w:t>15.0%</w:t>
            </w: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Depreciation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4,878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28,490</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22,262</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EBITDA margin as a % of Revenues (Non-GAAP)</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i w:val="1"/>
                <w:iCs w:val="1"/>
                <w:color w:val="auto"/>
              </w:rPr>
              <w:t>22.9%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19.2%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25.5%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reimbursement of transition and disentanglement costs for a disclosed client issue.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0" w:name="page11"/>
    <w:bookmarkEnd w:id="10"/>
    <w:p>
      <w:pPr>
        <w:jc w:val="center"/>
        <w:ind w:left="1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7" w:lineRule="exact"/>
        <w:rPr>
          <w:sz w:val="20"/>
          <w:szCs w:val="20"/>
          <w:color w:val="auto"/>
        </w:rPr>
      </w:pPr>
    </w:p>
    <w:p>
      <w:pPr>
        <w:jc w:val="center"/>
        <w:ind w:left="1840"/>
        <w:spacing w:after="0"/>
        <w:rPr>
          <w:sz w:val="20"/>
          <w:szCs w:val="20"/>
          <w:color w:val="auto"/>
        </w:rPr>
      </w:pPr>
      <w:r>
        <w:rPr>
          <w:rFonts w:ascii="Arial" w:cs="Arial" w:eastAsia="Arial" w:hAnsi="Arial"/>
          <w:sz w:val="18"/>
          <w:szCs w:val="18"/>
          <w:color w:val="auto"/>
        </w:rPr>
        <w:t>(Amounts in thousands, except per share data)</w:t>
      </w:r>
    </w:p>
    <w:p>
      <w:pPr>
        <w:spacing w:after="0" w:line="229"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Three Months Ended</w:t>
      </w:r>
    </w:p>
    <w:p>
      <w:pPr>
        <w:jc w:val="center"/>
        <w:ind w:left="77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7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11,147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7820" w:type="dxa"/>
            <w:vAlign w:val="bottom"/>
          </w:tcPr>
          <w:p>
            <w:pPr>
              <w:ind w:left="360"/>
              <w:spacing w:after="0"/>
              <w:rPr>
                <w:sz w:val="20"/>
                <w:szCs w:val="20"/>
                <w:color w:val="auto"/>
              </w:rPr>
            </w:pPr>
            <w:r>
              <w:rPr>
                <w:rFonts w:ascii="Arial" w:cs="Arial" w:eastAsia="Arial" w:hAnsi="Arial"/>
                <w:sz w:val="18"/>
                <w:szCs w:val="18"/>
                <w:color w:val="auto"/>
              </w:rPr>
              <w:t>add: Stock-based compensation expense (a)</w:t>
            </w: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4,176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tcPr>
          <w:p>
            <w:pPr>
              <w:ind w:left="360"/>
              <w:spacing w:after="0"/>
              <w:rPr>
                <w:sz w:val="20"/>
                <w:szCs w:val="20"/>
                <w:color w:val="auto"/>
              </w:rPr>
            </w:pPr>
            <w:r>
              <w:rPr>
                <w:rFonts w:ascii="Arial" w:cs="Arial" w:eastAsia="Arial" w:hAnsi="Arial"/>
                <w:sz w:val="18"/>
                <w:szCs w:val="18"/>
                <w:color w:val="auto"/>
              </w:rPr>
              <w:t>add: Amortization of acquisition-related intangibles (b)</w:t>
            </w: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1,536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tcPr>
          <w:p>
            <w:pPr>
              <w:ind w:left="360"/>
              <w:spacing w:after="0"/>
              <w:rPr>
                <w:sz w:val="20"/>
                <w:szCs w:val="20"/>
                <w:color w:val="auto"/>
              </w:rPr>
            </w:pPr>
            <w:r>
              <w:rPr>
                <w:rFonts w:ascii="Arial" w:cs="Arial" w:eastAsia="Arial" w:hAnsi="Arial"/>
                <w:sz w:val="18"/>
                <w:szCs w:val="18"/>
                <w:color w:val="auto"/>
              </w:rPr>
              <w:t>add: reimbursement of transition and disentanglement costs (c)</w:t>
            </w: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2,471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820" w:type="dxa"/>
            <w:vAlign w:val="bottom"/>
          </w:tcPr>
          <w:p>
            <w:pPr>
              <w:ind w:left="360"/>
              <w:spacing w:after="0"/>
              <w:rPr>
                <w:sz w:val="20"/>
                <w:szCs w:val="20"/>
                <w:color w:val="auto"/>
              </w:rPr>
            </w:pPr>
            <w:r>
              <w:rPr>
                <w:rFonts w:ascii="Arial" w:cs="Arial" w:eastAsia="Arial" w:hAnsi="Arial"/>
                <w:sz w:val="18"/>
                <w:szCs w:val="18"/>
                <w:color w:val="auto"/>
              </w:rPr>
              <w:t>subtract: Tax impact on stock-based compensation expense</w:t>
            </w:r>
          </w:p>
        </w:tc>
        <w:tc>
          <w:tcPr>
            <w:tcW w:w="1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w w:val="94"/>
              </w:rPr>
              <w:t>(1,596)</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(1,396)</w:t>
            </w:r>
          </w:p>
        </w:tc>
        <w:tc>
          <w:tcPr>
            <w:tcW w:w="0" w:type="dxa"/>
            <w:vAlign w:val="bottom"/>
          </w:tcPr>
          <w:p>
            <w:pPr>
              <w:spacing w:after="0"/>
              <w:rPr>
                <w:sz w:val="1"/>
                <w:szCs w:val="1"/>
                <w:color w:val="auto"/>
              </w:rPr>
            </w:pPr>
          </w:p>
        </w:tc>
      </w:tr>
      <w:tr>
        <w:trPr>
          <w:trHeight w:val="310"/>
        </w:trPr>
        <w:tc>
          <w:tcPr>
            <w:tcW w:w="7820" w:type="dxa"/>
            <w:vAlign w:val="bottom"/>
          </w:tcPr>
          <w:p>
            <w:pPr>
              <w:ind w:left="36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subtract: Tax impact on reimbursement of transition and disentanglement costs</w:t>
            </w:r>
          </w:p>
        </w:tc>
        <w:tc>
          <w:tcPr>
            <w:tcW w:w="100" w:type="dxa"/>
            <w:vAlign w:val="bottom"/>
          </w:tcPr>
          <w:p>
            <w:pPr>
              <w:spacing w:after="0"/>
              <w:rPr>
                <w:sz w:val="20"/>
                <w:szCs w:val="20"/>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Adjusted net income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16,625</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Adjusted diluted earnings per share (Non-GAAP)</w:t>
            </w: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8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0.50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-1220470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-1640205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the impact of the reimbursement of transition and disentanglement costs for a disclosed client issue.</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805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b w:val="1"/>
          <w:bCs w:val="1"/>
          <w:color w:val="auto"/>
        </w:rPr>
        <w:t>2013</w:t>
      </w:r>
    </w:p>
    <w:p>
      <w:pPr>
        <w:spacing w:after="0" w:line="9" w:lineRule="exact"/>
        <w:rPr>
          <w:sz w:val="20"/>
          <w:szCs w:val="20"/>
          <w:color w:val="auto"/>
        </w:rPr>
      </w:pPr>
    </w:p>
    <w:p>
      <w:pPr>
        <w:ind w:left="780" w:hanging="778"/>
        <w:spacing w:after="0"/>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15,859</w:t>
      </w:r>
    </w:p>
    <w:p>
      <w:pPr>
        <w:spacing w:after="0" w:line="101"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2,360</w:t>
      </w:r>
    </w:p>
    <w:p>
      <w:pPr>
        <w:spacing w:after="0" w:line="117"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8"/>
          <w:szCs w:val="18"/>
          <w:color w:val="auto"/>
        </w:rPr>
        <w:t>1,536</w:t>
      </w:r>
    </w:p>
    <w:p>
      <w:pPr>
        <w:spacing w:after="0" w:line="11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351</w:t>
      </w:r>
    </w:p>
    <w:p>
      <w:pPr>
        <w:spacing w:after="0" w:line="117"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7"/>
          <w:szCs w:val="17"/>
          <w:color w:val="auto"/>
        </w:rPr>
        <w:t>(900)</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058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ind w:left="780" w:hanging="778"/>
        <w:spacing w:after="0"/>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18,903</w:t>
      </w:r>
    </w:p>
    <w:p>
      <w:pPr>
        <w:spacing w:after="0" w:line="63" w:lineRule="exact"/>
        <w:rPr>
          <w:rFonts w:ascii="Arial" w:cs="Arial" w:eastAsia="Arial" w:hAnsi="Arial"/>
          <w:sz w:val="18"/>
          <w:szCs w:val="18"/>
          <w:b w:val="1"/>
          <w:bCs w:val="1"/>
          <w:color w:val="auto"/>
        </w:rPr>
      </w:pPr>
    </w:p>
    <w:p>
      <w:pPr>
        <w:ind w:left="960" w:hanging="958"/>
        <w:spacing w:after="0"/>
        <w:tabs>
          <w:tab w:leader="none" w:pos="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805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-136525</wp:posOffset>
            </wp:positionV>
            <wp:extent cx="805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sectPr>
      <w:pgSz w:w="11900" w:h="16838" w:orient="portrait"/>
      <w:cols w:equalWidth="0" w:num="2">
        <w:col w:w="9580" w:space="460"/>
        <w:col w:w="134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1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2019-12-07T07:19:56Z</dcterms:created>
  <dcterms:modified xsi:type="dcterms:W3CDTF">2019-12-07T07:19:56Z</dcterms:modified>
</cp:coreProperties>
</file>