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05/30/2017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4"/>
              </w:rPr>
              <w:t>3,000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9.59</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17,977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05/30/2017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4"/>
              </w:rPr>
              <w:t>4,122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52.2</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13,855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0000FF"/>
                <w:w w:val="93"/>
              </w:rPr>
              <w:t>3,000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05/30/2017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3,000</w:t>
            </w:r>
          </w:p>
        </w:tc>
        <w:tc>
          <w:tcPr>
            <w:tcW w:w="780" w:type="dxa"/>
            <w:vAlign w:val="bottom"/>
            <w:gridSpan w:val="2"/>
            <w:vMerge w:val="continue"/>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06/01/2019</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9" w:lineRule="exact"/>
              <w:rPr>
                <w:sz w:val="20"/>
                <w:szCs w:val="20"/>
                <w:color w:val="auto"/>
              </w:rPr>
            </w:pPr>
            <w:r>
              <w:rPr>
                <w:rFonts w:ascii="Arial" w:cs="Arial" w:eastAsia="Arial" w:hAnsi="Arial"/>
                <w:sz w:val="14"/>
                <w:szCs w:val="14"/>
                <w:color w:val="0000FF"/>
                <w:w w:val="83"/>
              </w:rPr>
              <w:t>45,000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w w:val="97"/>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30, 2017 the reporting person exercised previously issued options to purchase an aggregate of 3,000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 2009, the reporting person was granted 100,000 stock options. 10 percent of these options became vested and exercisable on June 1, 2010, an additional 20 percent became vested and exercisable on June 1, 2011, an additional 30 percent became vested and exercisable on June 1, 2012, and the balance of 40 percent became vested and exercisable on June 1,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2019-12-04T01:06:19Z</dcterms:created>
  <dcterms:modified xsi:type="dcterms:W3CDTF">2019-12-04T01:06:19Z</dcterms:modified>
</cp:coreProperties>
</file>