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03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038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Bloom William 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03/19/2014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46"/>
        <w:spacing w:after="0"/>
        <w:rPr>
          <w:sz w:val="20"/>
          <w:szCs w:val="20"/>
          <w:color w:val="auto"/>
        </w:rPr>
      </w:pPr>
      <w:r>
        <w:rPr>
          <w:rFonts w:ascii="Arial" w:cs="Arial" w:eastAsia="Arial" w:hAnsi="Arial"/>
          <w:sz w:val="17"/>
          <w:szCs w:val="17"/>
          <w:color w:val="0000FF"/>
        </w:rPr>
        <w:t>Pres., Global Client Services</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ind w:left="500"/>
              <w:spacing w:after="0" w:line="132"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50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ind w:left="600"/>
              <w:spacing w:after="0"/>
              <w:rPr>
                <w:sz w:val="20"/>
                <w:szCs w:val="20"/>
                <w:color w:val="auto"/>
              </w:rPr>
            </w:pPr>
            <w:r>
              <w:rPr>
                <w:rFonts w:ascii="Arial" w:cs="Arial" w:eastAsia="Arial" w:hAnsi="Arial"/>
                <w:sz w:val="17"/>
                <w:szCs w:val="17"/>
                <w:color w:val="0000FF"/>
              </w:rPr>
              <w:t>03/19/2014</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2"/>
              </w:rPr>
              <w:t>21,000</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17.75</w:t>
            </w:r>
          </w:p>
        </w:tc>
        <w:tc>
          <w:tcPr>
            <w:tcW w:w="180" w:type="dxa"/>
            <w:vAlign w:val="bottom"/>
          </w:tcPr>
          <w:p>
            <w:pPr>
              <w:spacing w:after="0"/>
              <w:rPr>
                <w:sz w:val="22"/>
                <w:szCs w:val="22"/>
                <w:color w:val="auto"/>
              </w:rPr>
            </w:pPr>
          </w:p>
        </w:tc>
        <w:tc>
          <w:tcPr>
            <w:tcW w:w="1240" w:type="dxa"/>
            <w:vAlign w:val="bottom"/>
            <w:gridSpan w:val="2"/>
            <w:vMerge w:val="restart"/>
          </w:tcPr>
          <w:p>
            <w:pPr>
              <w:ind w:left="360"/>
              <w:spacing w:after="0"/>
              <w:rPr>
                <w:sz w:val="20"/>
                <w:szCs w:val="20"/>
                <w:color w:val="auto"/>
              </w:rPr>
            </w:pPr>
            <w:r>
              <w:rPr>
                <w:rFonts w:ascii="Arial" w:cs="Arial" w:eastAsia="Arial" w:hAnsi="Arial"/>
                <w:sz w:val="17"/>
                <w:szCs w:val="17"/>
                <w:color w:val="0000FF"/>
              </w:rPr>
              <w:t>41,551</w:t>
            </w:r>
          </w:p>
        </w:tc>
        <w:tc>
          <w:tcPr>
            <w:tcW w:w="26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ind w:left="600"/>
              <w:spacing w:after="0"/>
              <w:rPr>
                <w:sz w:val="20"/>
                <w:szCs w:val="20"/>
                <w:color w:val="auto"/>
              </w:rPr>
            </w:pPr>
            <w:r>
              <w:rPr>
                <w:rFonts w:ascii="Arial" w:cs="Arial" w:eastAsia="Arial" w:hAnsi="Arial"/>
                <w:sz w:val="17"/>
                <w:szCs w:val="17"/>
                <w:color w:val="0000FF"/>
              </w:rPr>
              <w:t>03/19/2014</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2"/>
              </w:rPr>
              <w:t>21,000</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29.6423</w:t>
            </w:r>
            <w:r>
              <w:rPr>
                <w:rFonts w:ascii="Arial" w:cs="Arial" w:eastAsia="Arial" w:hAnsi="Arial"/>
                <w:sz w:val="22"/>
                <w:szCs w:val="22"/>
                <w:color w:val="008000"/>
                <w:w w:val="90"/>
                <w:vertAlign w:val="superscript"/>
              </w:rPr>
              <w:t>(3)</w:t>
            </w:r>
          </w:p>
        </w:tc>
        <w:tc>
          <w:tcPr>
            <w:tcW w:w="1240" w:type="dxa"/>
            <w:vAlign w:val="bottom"/>
            <w:gridSpan w:val="2"/>
            <w:vMerge w:val="restart"/>
          </w:tcPr>
          <w:p>
            <w:pPr>
              <w:ind w:left="360"/>
              <w:spacing w:after="0"/>
              <w:rPr>
                <w:sz w:val="20"/>
                <w:szCs w:val="20"/>
                <w:color w:val="auto"/>
              </w:rPr>
            </w:pPr>
            <w:r>
              <w:rPr>
                <w:rFonts w:ascii="Arial" w:cs="Arial" w:eastAsia="Arial" w:hAnsi="Arial"/>
                <w:sz w:val="17"/>
                <w:szCs w:val="17"/>
                <w:color w:val="0000FF"/>
              </w:rPr>
              <w:t>20,551</w:t>
            </w:r>
          </w:p>
        </w:tc>
        <w:tc>
          <w:tcPr>
            <w:tcW w:w="26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540" w:type="dxa"/>
            <w:vAlign w:val="bottom"/>
            <w:tcBorders>
              <w:bottom w:val="single" w:sz="8" w:color="2C2C2C"/>
            </w:tcBorders>
            <w:gridSpan w:val="11"/>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1"/>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spacing w:after="0"/>
              <w:rPr>
                <w:sz w:val="12"/>
                <w:szCs w:val="12"/>
                <w:color w:val="auto"/>
              </w:rPr>
            </w:pPr>
          </w:p>
        </w:tc>
        <w:tc>
          <w:tcPr>
            <w:tcW w:w="56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21,000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17.75</w:t>
            </w:r>
          </w:p>
        </w:tc>
        <w:tc>
          <w:tcPr>
            <w:tcW w:w="1180" w:type="dxa"/>
            <w:vAlign w:val="bottom"/>
          </w:tcPr>
          <w:p>
            <w:pPr>
              <w:ind w:left="260"/>
              <w:spacing w:after="0" w:line="148" w:lineRule="exact"/>
              <w:rPr>
                <w:sz w:val="20"/>
                <w:szCs w:val="20"/>
                <w:color w:val="auto"/>
              </w:rPr>
            </w:pPr>
            <w:r>
              <w:rPr>
                <w:rFonts w:ascii="Arial" w:cs="Arial" w:eastAsia="Arial" w:hAnsi="Arial"/>
                <w:sz w:val="13"/>
                <w:szCs w:val="13"/>
                <w:color w:val="0000FF"/>
              </w:rPr>
              <w:t>03/19/2014</w:t>
            </w:r>
          </w:p>
        </w:tc>
        <w:tc>
          <w:tcPr>
            <w:tcW w:w="10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ind w:left="320"/>
              <w:spacing w:after="0" w:line="148" w:lineRule="exact"/>
              <w:rPr>
                <w:sz w:val="20"/>
                <w:szCs w:val="20"/>
                <w:color w:val="auto"/>
              </w:rPr>
            </w:pPr>
            <w:r>
              <w:rPr>
                <w:rFonts w:ascii="Arial" w:cs="Arial" w:eastAsia="Arial" w:hAnsi="Arial"/>
                <w:sz w:val="13"/>
                <w:szCs w:val="13"/>
                <w:color w:val="0000FF"/>
                <w:w w:val="95"/>
              </w:rPr>
              <w:t>21,000</w:t>
            </w:r>
          </w:p>
        </w:tc>
        <w:tc>
          <w:tcPr>
            <w:tcW w:w="820" w:type="dxa"/>
            <w:vAlign w:val="bottom"/>
            <w:vMerge w:val="continue"/>
          </w:tcPr>
          <w:p>
            <w:pPr>
              <w:spacing w:after="0"/>
              <w:rPr>
                <w:sz w:val="12"/>
                <w:szCs w:val="12"/>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3"/>
                <w:szCs w:val="13"/>
                <w:color w:val="0000FF"/>
                <w:w w:val="92"/>
              </w:rPr>
              <w:t>07/12/2020</w:t>
            </w:r>
          </w:p>
        </w:tc>
        <w:tc>
          <w:tcPr>
            <w:tcW w:w="560" w:type="dxa"/>
            <w:vAlign w:val="bottom"/>
          </w:tcPr>
          <w:p>
            <w:pPr>
              <w:ind w:left="60"/>
              <w:spacing w:after="0" w:line="148" w:lineRule="exact"/>
              <w:rPr>
                <w:sz w:val="20"/>
                <w:szCs w:val="20"/>
                <w:color w:val="auto"/>
              </w:rPr>
            </w:pPr>
            <w:r>
              <w:rPr>
                <w:rFonts w:ascii="Arial" w:cs="Arial" w:eastAsia="Arial" w:hAnsi="Arial"/>
                <w:sz w:val="13"/>
                <w:szCs w:val="13"/>
                <w:color w:val="0000FF"/>
                <w:w w:val="89"/>
              </w:rPr>
              <w:t>par value</w:t>
            </w: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00"/>
              <w:spacing w:after="0" w:line="148" w:lineRule="exact"/>
              <w:rPr>
                <w:sz w:val="20"/>
                <w:szCs w:val="20"/>
                <w:color w:val="auto"/>
              </w:rPr>
            </w:pPr>
            <w:r>
              <w:rPr>
                <w:rFonts w:ascii="Arial" w:cs="Arial" w:eastAsia="Arial" w:hAnsi="Arial"/>
                <w:sz w:val="13"/>
                <w:szCs w:val="13"/>
                <w:color w:val="0000FF"/>
                <w:w w:val="89"/>
              </w:rPr>
              <w:t>124,000</w:t>
            </w:r>
          </w:p>
        </w:tc>
        <w:tc>
          <w:tcPr>
            <w:tcW w:w="26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w w:val="83"/>
              </w:rPr>
              <w:t>per share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19, 2014 the reporting person exercised previously issued options to purchase an aggregate of 21,000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$29.41 to $29.87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24,000 of these options are currently vested and exercisable and the balance of 100,000 will vest on July 12, 2014.</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03/20/2014</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32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2019-12-16T13:33:54Z</dcterms:created>
  <dcterms:modified xsi:type="dcterms:W3CDTF">2019-12-16T13:33:54Z</dcterms:modified>
</cp:coreProperties>
</file>