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6769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7697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02/16/2023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4"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4"/>
        <w:spacing w:after="0"/>
        <w:rPr>
          <w:sz w:val="20"/>
          <w:szCs w:val="20"/>
          <w:color w:val="auto"/>
        </w:rPr>
      </w:pPr>
      <w:r>
        <w:rPr>
          <w:rFonts w:ascii="Arial" w:cs="Arial" w:eastAsia="Arial" w:hAnsi="Arial"/>
          <w:sz w:val="17"/>
          <w:szCs w:val="17"/>
          <w:color w:val="0000FF"/>
        </w:rPr>
        <w:t>CEO &amp; Vice Chairman</w:t>
      </w:r>
    </w:p>
    <w:p>
      <w:pPr>
        <w:spacing w:after="0" w:line="265" w:lineRule="exact"/>
        <w:rPr>
          <w:sz w:val="24"/>
          <w:szCs w:val="24"/>
          <w:color w:val="auto"/>
        </w:rPr>
      </w:pPr>
    </w:p>
    <w:p>
      <w:pPr>
        <w:sectPr>
          <w:pgSz w:w="11900" w:h="16838" w:orient="portrait"/>
          <w:cols w:equalWidth="0" w:num="3">
            <w:col w:w="3180" w:space="720"/>
            <w:col w:w="3106" w:space="720"/>
            <w:col w:w="3354"/>
          </w:cols>
          <w:pgMar w:left="460" w:top="222" w:right="359" w:bottom="0" w:gutter="0" w:footer="0" w:header="0"/>
          <w:type w:val="continuous"/>
        </w:sectPr>
      </w:pP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tcBorders>
              <w:right w:val="single" w:sz="8" w:color="9A9A9A"/>
            </w:tcBorders>
            <w:shd w:val="clear" w:color="auto" w:fill="9A9A9A"/>
          </w:tcPr>
          <w:p>
            <w:pPr>
              <w:spacing w:after="0"/>
              <w:rPr>
                <w:sz w:val="2"/>
                <w:szCs w:val="2"/>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80" w:type="dxa"/>
            <w:vAlign w:val="bottom"/>
            <w:gridSpan w:val="7"/>
            <w:vMerge w:val="continue"/>
          </w:tcPr>
          <w:p>
            <w:pPr>
              <w:spacing w:after="0"/>
              <w:rPr>
                <w:sz w:val="11"/>
                <w:szCs w:val="11"/>
                <w:color w:val="auto"/>
              </w:rPr>
            </w:pPr>
          </w:p>
        </w:tc>
        <w:tc>
          <w:tcPr>
            <w:tcW w:w="36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4"/>
          </w:tcPr>
          <w:p>
            <w:pPr>
              <w:ind w:left="300"/>
              <w:spacing w:after="0" w:line="148" w:lineRule="exact"/>
              <w:rPr>
                <w:sz w:val="20"/>
                <w:szCs w:val="20"/>
                <w:color w:val="auto"/>
              </w:rPr>
            </w:pPr>
            <w:r>
              <w:rPr>
                <w:rFonts w:ascii="Arial" w:cs="Arial" w:eastAsia="Arial" w:hAnsi="Arial"/>
                <w:sz w:val="13"/>
                <w:szCs w:val="13"/>
                <w:color w:val="auto"/>
              </w:rPr>
              <w:t>Line)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20"/>
              <w:spacing w:after="0"/>
              <w:rPr>
                <w:sz w:val="20"/>
                <w:szCs w:val="20"/>
                <w:color w:val="auto"/>
              </w:rPr>
            </w:pPr>
            <w:r>
              <w:rPr>
                <w:rFonts w:ascii="Arial" w:cs="Arial" w:eastAsia="Arial" w:hAnsi="Arial"/>
                <w:sz w:val="17"/>
                <w:szCs w:val="17"/>
                <w:color w:val="0000FF"/>
              </w:rPr>
              <w:t>10022</w:t>
            </w: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30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6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02/16/2023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6,291</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ind w:left="160"/>
              <w:spacing w:after="0" w:line="312"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(1)</w:t>
            </w:r>
          </w:p>
        </w:tc>
        <w:tc>
          <w:tcPr>
            <w:tcW w:w="13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7"/>
              </w:rPr>
              <w:t>207,610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rPr>
              <w:t>Common Stock, par value $0.001 per</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7"/>
              </w:rPr>
              <w:t>133,185</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r>
              <w:rPr>
                <w:rFonts w:ascii="Arial" w:cs="Arial" w:eastAsia="Arial" w:hAnsi="Arial"/>
                <w:sz w:val="21"/>
                <w:szCs w:val="21"/>
                <w:color w:val="008000"/>
                <w:vertAlign w:val="superscript"/>
              </w:rPr>
              <w:t>(2)</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gridSpan w:val="2"/>
            <w:vMerge w:val="continue"/>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40,219</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7"/>
              </w:rPr>
              <w:t>177,134</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0" w:type="dxa"/>
            <w:vAlign w:val="bottom"/>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0" w:type="dxa"/>
            <w:vAlign w:val="bottom"/>
            <w:gridSpan w:val="9"/>
          </w:tcPr>
          <w:p>
            <w:pPr>
              <w:ind w:left="1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6,291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Stock</w:t>
            </w:r>
          </w:p>
        </w:tc>
        <w:tc>
          <w:tcPr>
            <w:tcW w:w="620" w:type="dxa"/>
            <w:vAlign w:val="bottom"/>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ind w:left="240"/>
              <w:spacing w:after="0" w:line="139" w:lineRule="exact"/>
              <w:rPr>
                <w:sz w:val="20"/>
                <w:szCs w:val="20"/>
                <w:color w:val="auto"/>
              </w:rPr>
            </w:pPr>
            <w:r>
              <w:rPr>
                <w:rFonts w:ascii="Arial" w:cs="Arial" w:eastAsia="Arial" w:hAnsi="Arial"/>
                <w:sz w:val="13"/>
                <w:szCs w:val="13"/>
                <w:color w:val="0000FF"/>
              </w:rPr>
              <w:t>02/16/2023</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ind w:left="100"/>
              <w:spacing w:after="0" w:line="139"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39" w:lineRule="exact"/>
              <w:rPr>
                <w:sz w:val="20"/>
                <w:szCs w:val="20"/>
                <w:color w:val="auto"/>
              </w:rPr>
            </w:pPr>
            <w:r>
              <w:rPr>
                <w:rFonts w:ascii="Arial" w:cs="Arial" w:eastAsia="Arial" w:hAnsi="Arial"/>
                <w:sz w:val="13"/>
                <w:szCs w:val="13"/>
                <w:color w:val="0000FF"/>
              </w:rPr>
              <w:t>6,291</w:t>
            </w: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(7)</w:t>
            </w:r>
          </w:p>
        </w:tc>
        <w:tc>
          <w:tcPr>
            <w:tcW w:w="680" w:type="dxa"/>
            <w:vAlign w:val="bottom"/>
          </w:tcPr>
          <w:p>
            <w:pPr>
              <w:ind w:left="240"/>
              <w:spacing w:after="0"/>
              <w:rPr>
                <w:sz w:val="20"/>
                <w:szCs w:val="20"/>
                <w:color w:val="auto"/>
              </w:rPr>
            </w:pPr>
            <w:r>
              <w:rPr>
                <w:rFonts w:ascii="Arial" w:cs="Arial" w:eastAsia="Arial" w:hAnsi="Arial"/>
                <w:sz w:val="11"/>
                <w:szCs w:val="11"/>
                <w:color w:val="008000"/>
              </w:rPr>
              <w:t>(7)</w:t>
            </w: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tcPr>
          <w:p>
            <w:pPr>
              <w:ind w:left="240"/>
              <w:spacing w:after="0" w:line="139" w:lineRule="exact"/>
              <w:rPr>
                <w:sz w:val="20"/>
                <w:szCs w:val="20"/>
                <w:color w:val="auto"/>
              </w:rPr>
            </w:pPr>
            <w:r>
              <w:rPr>
                <w:rFonts w:ascii="Arial" w:cs="Arial" w:eastAsia="Arial" w:hAnsi="Arial"/>
                <w:sz w:val="13"/>
                <w:szCs w:val="13"/>
                <w:color w:val="0000FF"/>
              </w:rPr>
              <w:t>18,873</w:t>
            </w:r>
          </w:p>
        </w:tc>
        <w:tc>
          <w:tcPr>
            <w:tcW w:w="560" w:type="dxa"/>
            <w:vAlign w:val="bottom"/>
          </w:tcPr>
          <w:p>
            <w:pPr>
              <w:ind w:left="360"/>
              <w:spacing w:after="0" w:line="139"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line="170" w:lineRule="exact"/>
              <w:rPr>
                <w:sz w:val="20"/>
                <w:szCs w:val="20"/>
                <w:color w:val="auto"/>
              </w:rPr>
            </w:pPr>
            <w:r>
              <w:rPr>
                <w:rFonts w:ascii="Arial" w:cs="Arial" w:eastAsia="Arial" w:hAnsi="Arial"/>
                <w:sz w:val="12"/>
                <w:szCs w:val="12"/>
                <w:color w:val="0000FF"/>
              </w:rPr>
              <w:t>Units</w:t>
            </w:r>
            <w:r>
              <w:rPr>
                <w:rFonts w:ascii="Arial" w:cs="Arial" w:eastAsia="Arial" w:hAnsi="Arial"/>
                <w:sz w:val="19"/>
                <w:szCs w:val="19"/>
                <w:color w:val="008000"/>
                <w:vertAlign w:val="superscript"/>
              </w:rPr>
              <w:t>(1)</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Arial" w:cs="Arial" w:eastAsia="Arial" w:hAnsi="Arial"/>
          <w:sz w:val="13"/>
          <w:szCs w:val="13"/>
          <w:color w:val="0000FF"/>
        </w:rPr>
        <w:t>per share</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16, 2022, the reporting person was granted 25,164 restricted stock units, vesting in four annual installments beginning on the first anniversary of the grant date. 25 percent of the restricted stock units became vested on February 16, 2023, an additional twenty-five percent of the restricted stock units will vest on February 16, 2024, an additional twenty-five percent of the restricted stock units will vest on February 16, 2025; and the remaining balance of twenty-five percent of the restricted stock units will vest on February 16, 2026.</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2023-02-21T17:02:54Z</dcterms:created>
  <dcterms:modified xsi:type="dcterms:W3CDTF">2023-02-21T17:02:54Z</dcterms:modified>
</cp:coreProperties>
</file>