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457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4573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958"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Kini Narasimha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350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04/19/2007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23"/>
        <w:spacing w:after="0"/>
        <w:rPr>
          <w:sz w:val="20"/>
          <w:szCs w:val="20"/>
          <w:color w:val="auto"/>
        </w:rPr>
      </w:pPr>
      <w:r>
        <w:rPr>
          <w:rFonts w:ascii="Arial" w:cs="Arial" w:eastAsia="Arial" w:hAnsi="Arial"/>
          <w:sz w:val="18"/>
          <w:szCs w:val="18"/>
          <w:color w:val="0000FF"/>
        </w:rPr>
        <w:t>VP, Advis. Serv. of EXL Inc.</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958"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958"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1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32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8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32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8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2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04/19/2007</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760" w:type="dxa"/>
            <w:vAlign w:val="bottom"/>
            <w:tcBorders>
              <w:bottom w:val="single" w:sz="8" w:color="2C2C2C"/>
            </w:tcBorders>
          </w:tcPr>
          <w:p>
            <w:pPr>
              <w:jc w:val="right"/>
              <w:ind w:right="64"/>
              <w:spacing w:after="0"/>
              <w:rPr>
                <w:sz w:val="20"/>
                <w:szCs w:val="20"/>
                <w:color w:val="auto"/>
              </w:rPr>
            </w:pPr>
            <w:r>
              <w:rPr>
                <w:rFonts w:ascii="Arial" w:cs="Arial" w:eastAsia="Arial" w:hAnsi="Arial"/>
                <w:sz w:val="18"/>
                <w:szCs w:val="18"/>
                <w:color w:val="0000FF"/>
              </w:rPr>
              <w:t>5,500</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18.6769</w:t>
            </w:r>
          </w:p>
        </w:tc>
        <w:tc>
          <w:tcPr>
            <w:tcW w:w="116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36,198</w:t>
            </w:r>
          </w:p>
        </w:tc>
        <w:tc>
          <w:tcPr>
            <w:tcW w:w="96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04/20/2007</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Arial" w:cs="Arial" w:eastAsia="Arial" w:hAnsi="Arial"/>
                <w:sz w:val="27"/>
                <w:szCs w:val="27"/>
                <w:color w:val="0000FF"/>
                <w:w w:val="84"/>
                <w:vertAlign w:val="subscript"/>
              </w:rPr>
              <w:t>M</w:t>
            </w:r>
            <w:r>
              <w:rPr>
                <w:rFonts w:ascii="Arial" w:cs="Arial" w:eastAsia="Arial" w:hAnsi="Arial"/>
                <w:sz w:val="11"/>
                <w:szCs w:val="11"/>
                <w:color w:val="008000"/>
                <w:w w:val="84"/>
              </w:rPr>
              <w:t>(2)</w:t>
            </w:r>
          </w:p>
        </w:tc>
        <w:tc>
          <w:tcPr>
            <w:tcW w:w="760" w:type="dxa"/>
            <w:vAlign w:val="bottom"/>
            <w:tcBorders>
              <w:bottom w:val="single" w:sz="8" w:color="2C2C2C"/>
            </w:tcBorders>
          </w:tcPr>
          <w:p>
            <w:pPr>
              <w:jc w:val="right"/>
              <w:ind w:right="64"/>
              <w:spacing w:after="0"/>
              <w:rPr>
                <w:sz w:val="20"/>
                <w:szCs w:val="20"/>
                <w:color w:val="auto"/>
              </w:rPr>
            </w:pPr>
            <w:r>
              <w:rPr>
                <w:rFonts w:ascii="Arial" w:cs="Arial" w:eastAsia="Arial" w:hAnsi="Arial"/>
                <w:sz w:val="18"/>
                <w:szCs w:val="18"/>
                <w:color w:val="0000FF"/>
              </w:rPr>
              <w:t>2,500</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A</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9</w:t>
            </w:r>
          </w:p>
        </w:tc>
        <w:tc>
          <w:tcPr>
            <w:tcW w:w="116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38,698</w:t>
            </w:r>
          </w:p>
        </w:tc>
        <w:tc>
          <w:tcPr>
            <w:tcW w:w="96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04/20/2007</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Arial" w:cs="Arial" w:eastAsia="Arial" w:hAnsi="Arial"/>
                <w:sz w:val="27"/>
                <w:szCs w:val="27"/>
                <w:color w:val="0000FF"/>
                <w:w w:val="84"/>
                <w:vertAlign w:val="subscript"/>
              </w:rPr>
              <w:t>M</w:t>
            </w:r>
            <w:r>
              <w:rPr>
                <w:rFonts w:ascii="Arial" w:cs="Arial" w:eastAsia="Arial" w:hAnsi="Arial"/>
                <w:sz w:val="11"/>
                <w:szCs w:val="11"/>
                <w:color w:val="008000"/>
                <w:w w:val="84"/>
              </w:rPr>
              <w:t>(2)</w:t>
            </w:r>
          </w:p>
        </w:tc>
        <w:tc>
          <w:tcPr>
            <w:tcW w:w="760" w:type="dxa"/>
            <w:vAlign w:val="bottom"/>
            <w:tcBorders>
              <w:bottom w:val="single" w:sz="8" w:color="2C2C2C"/>
            </w:tcBorders>
          </w:tcPr>
          <w:p>
            <w:pPr>
              <w:jc w:val="right"/>
              <w:ind w:right="64"/>
              <w:spacing w:after="0"/>
              <w:rPr>
                <w:sz w:val="20"/>
                <w:szCs w:val="20"/>
                <w:color w:val="auto"/>
              </w:rPr>
            </w:pPr>
            <w:r>
              <w:rPr>
                <w:rFonts w:ascii="Arial" w:cs="Arial" w:eastAsia="Arial" w:hAnsi="Arial"/>
                <w:sz w:val="18"/>
                <w:szCs w:val="18"/>
                <w:color w:val="0000FF"/>
              </w:rPr>
              <w:t>5,000</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A</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11.875</w:t>
            </w:r>
            <w:r>
              <w:rPr>
                <w:rFonts w:ascii="Arial" w:cs="Arial" w:eastAsia="Arial" w:hAnsi="Arial"/>
                <w:sz w:val="22"/>
                <w:szCs w:val="22"/>
                <w:color w:val="008000"/>
                <w:w w:val="84"/>
                <w:vertAlign w:val="superscript"/>
              </w:rPr>
              <w:t>(3)</w:t>
            </w:r>
          </w:p>
        </w:tc>
        <w:tc>
          <w:tcPr>
            <w:tcW w:w="116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43,698</w:t>
            </w:r>
          </w:p>
        </w:tc>
        <w:tc>
          <w:tcPr>
            <w:tcW w:w="96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32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04/20/2007</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760" w:type="dxa"/>
            <w:vAlign w:val="bottom"/>
            <w:tcBorders>
              <w:bottom w:val="single" w:sz="8" w:color="2C2C2C"/>
            </w:tcBorders>
          </w:tcPr>
          <w:p>
            <w:pPr>
              <w:jc w:val="right"/>
              <w:ind w:right="64"/>
              <w:spacing w:after="0"/>
              <w:rPr>
                <w:sz w:val="20"/>
                <w:szCs w:val="20"/>
                <w:color w:val="auto"/>
              </w:rPr>
            </w:pPr>
            <w:r>
              <w:rPr>
                <w:rFonts w:ascii="Arial" w:cs="Arial" w:eastAsia="Arial" w:hAnsi="Arial"/>
                <w:sz w:val="18"/>
                <w:szCs w:val="18"/>
                <w:color w:val="0000FF"/>
              </w:rPr>
              <w:t>7,500</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20</w:t>
            </w:r>
          </w:p>
        </w:tc>
        <w:tc>
          <w:tcPr>
            <w:tcW w:w="116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36,198</w:t>
            </w:r>
          </w:p>
        </w:tc>
        <w:tc>
          <w:tcPr>
            <w:tcW w:w="96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20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88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Stock,</w:t>
            </w: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9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Options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restart"/>
          </w:tcPr>
          <w:p>
            <w:pPr>
              <w:ind w:left="80"/>
              <w:spacing w:after="0" w:line="230" w:lineRule="exact"/>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(2)</w:t>
            </w: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7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2,500</w:t>
            </w: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vMerge w:val="restart"/>
          </w:tcPr>
          <w:p>
            <w:pPr>
              <w:jc w:val="center"/>
              <w:ind w:right="25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9</w:t>
            </w:r>
          </w:p>
        </w:tc>
        <w:tc>
          <w:tcPr>
            <w:tcW w:w="1140" w:type="dxa"/>
            <w:vAlign w:val="bottom"/>
            <w:vMerge w:val="restart"/>
          </w:tcPr>
          <w:p>
            <w:pPr>
              <w:jc w:val="right"/>
              <w:ind w:right="197"/>
              <w:spacing w:after="0" w:line="149" w:lineRule="exact"/>
              <w:rPr>
                <w:sz w:val="20"/>
                <w:szCs w:val="20"/>
                <w:color w:val="auto"/>
              </w:rPr>
            </w:pPr>
            <w:r>
              <w:rPr>
                <w:rFonts w:ascii="Arial" w:cs="Arial" w:eastAsia="Arial" w:hAnsi="Arial"/>
                <w:sz w:val="14"/>
                <w:szCs w:val="14"/>
                <w:color w:val="0000FF"/>
              </w:rPr>
              <w:t>04/20/2007</w:t>
            </w:r>
          </w:p>
        </w:tc>
        <w:tc>
          <w:tcPr>
            <w:tcW w:w="114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500" w:type="dxa"/>
            <w:vAlign w:val="bottom"/>
            <w:vMerge w:val="restart"/>
          </w:tcPr>
          <w:p>
            <w:pPr>
              <w:ind w:left="100"/>
              <w:spacing w:after="0" w:line="149" w:lineRule="exact"/>
              <w:rPr>
                <w:sz w:val="20"/>
                <w:szCs w:val="20"/>
                <w:color w:val="auto"/>
              </w:rPr>
            </w:pPr>
            <w:r>
              <w:rPr>
                <w:rFonts w:ascii="Arial" w:cs="Arial" w:eastAsia="Arial" w:hAnsi="Arial"/>
                <w:sz w:val="14"/>
                <w:szCs w:val="14"/>
                <w:color w:val="0000FF"/>
              </w:rPr>
              <w:t>2,500</w:t>
            </w:r>
          </w:p>
        </w:tc>
        <w:tc>
          <w:tcPr>
            <w:tcW w:w="2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6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w w:val="94"/>
              </w:rPr>
              <w:t>06/18/2014</w:t>
            </w:r>
          </w:p>
        </w:tc>
        <w:tc>
          <w:tcPr>
            <w:tcW w:w="70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par value</w:t>
            </w:r>
          </w:p>
        </w:tc>
        <w:tc>
          <w:tcPr>
            <w:tcW w:w="560" w:type="dxa"/>
            <w:vAlign w:val="bottom"/>
            <w:vMerge w:val="continue"/>
          </w:tcPr>
          <w:p>
            <w:pPr>
              <w:spacing w:after="0"/>
              <w:rPr>
                <w:sz w:val="5"/>
                <w:szCs w:val="5"/>
                <w:color w:val="auto"/>
              </w:rPr>
            </w:pPr>
          </w:p>
        </w:tc>
        <w:tc>
          <w:tcPr>
            <w:tcW w:w="72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vMerge w:val="restart"/>
          </w:tcPr>
          <w:p>
            <w:pPr>
              <w:jc w:val="right"/>
              <w:ind w:right="278"/>
              <w:spacing w:after="0" w:line="149" w:lineRule="exact"/>
              <w:rPr>
                <w:sz w:val="20"/>
                <w:szCs w:val="20"/>
                <w:color w:val="auto"/>
              </w:rPr>
            </w:pPr>
            <w:r>
              <w:rPr>
                <w:rFonts w:ascii="Arial" w:cs="Arial" w:eastAsia="Arial" w:hAnsi="Arial"/>
                <w:sz w:val="14"/>
                <w:szCs w:val="14"/>
                <w:color w:val="0000FF"/>
              </w:rPr>
              <w:t>2,500</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(right to</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vMerge w:val="restart"/>
          </w:tcPr>
          <w:p>
            <w:pPr>
              <w:ind w:left="140"/>
              <w:spacing w:after="0" w:line="149" w:lineRule="exact"/>
              <w:rPr>
                <w:sz w:val="20"/>
                <w:szCs w:val="20"/>
                <w:color w:val="auto"/>
              </w:rPr>
            </w:pPr>
            <w:r>
              <w:rPr>
                <w:rFonts w:ascii="Arial" w:cs="Arial" w:eastAsia="Arial" w:hAnsi="Arial"/>
                <w:sz w:val="14"/>
                <w:szCs w:val="14"/>
                <w:color w:val="0000FF"/>
              </w:rPr>
              <w:t>$0.001</w:t>
            </w: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9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buy)</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vMerge w:val="restart"/>
          </w:tcPr>
          <w:p>
            <w:pPr>
              <w:ind w:left="80"/>
              <w:spacing w:after="0"/>
              <w:rPr>
                <w:sz w:val="20"/>
                <w:szCs w:val="20"/>
                <w:color w:val="auto"/>
              </w:rPr>
            </w:pPr>
            <w:r>
              <w:rPr>
                <w:rFonts w:ascii="Arial" w:cs="Arial" w:eastAsia="Arial" w:hAnsi="Arial"/>
                <w:sz w:val="14"/>
                <w:szCs w:val="14"/>
                <w:color w:val="0000FF"/>
              </w:rPr>
              <w:t>per share</w:t>
            </w: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Stock,</w:t>
            </w: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9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Options</w:t>
            </w:r>
          </w:p>
        </w:tc>
        <w:tc>
          <w:tcPr>
            <w:tcW w:w="820" w:type="dxa"/>
            <w:vAlign w:val="bottom"/>
            <w:vMerge w:val="restart"/>
          </w:tcPr>
          <w:p>
            <w:pPr>
              <w:jc w:val="center"/>
              <w:ind w:right="3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11.875</w:t>
            </w:r>
            <w:r>
              <w:rPr>
                <w:rFonts w:ascii="Arial" w:cs="Arial" w:eastAsia="Arial" w:hAnsi="Arial"/>
                <w:sz w:val="22"/>
                <w:szCs w:val="22"/>
                <w:color w:val="008000"/>
                <w:vertAlign w:val="superscript"/>
              </w:rPr>
              <w:t>(3)</w:t>
            </w: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restart"/>
          </w:tcPr>
          <w:p>
            <w:pPr>
              <w:ind w:left="80"/>
              <w:spacing w:after="0" w:line="281" w:lineRule="exact"/>
              <w:rPr>
                <w:sz w:val="20"/>
                <w:szCs w:val="20"/>
                <w:color w:val="auto"/>
              </w:rPr>
            </w:pPr>
            <w:r>
              <w:rPr>
                <w:rFonts w:ascii="Arial" w:cs="Arial" w:eastAsia="Arial" w:hAnsi="Arial"/>
                <w:sz w:val="27"/>
                <w:szCs w:val="27"/>
                <w:color w:val="0000FF"/>
                <w:vertAlign w:val="subscript"/>
              </w:rPr>
              <w:t>M</w:t>
            </w:r>
            <w:r>
              <w:rPr>
                <w:rFonts w:ascii="Arial" w:cs="Arial" w:eastAsia="Arial" w:hAnsi="Arial"/>
                <w:sz w:val="11"/>
                <w:szCs w:val="11"/>
                <w:color w:val="008000"/>
              </w:rPr>
              <w:t>(2)</w:t>
            </w: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7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5,000</w:t>
            </w: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140" w:type="dxa"/>
            <w:vAlign w:val="bottom"/>
            <w:vMerge w:val="restart"/>
          </w:tcPr>
          <w:p>
            <w:pPr>
              <w:jc w:val="right"/>
              <w:ind w:right="197"/>
              <w:spacing w:after="0"/>
              <w:rPr>
                <w:sz w:val="20"/>
                <w:szCs w:val="20"/>
                <w:color w:val="auto"/>
              </w:rPr>
            </w:pPr>
            <w:r>
              <w:rPr>
                <w:rFonts w:ascii="Arial" w:cs="Arial" w:eastAsia="Arial" w:hAnsi="Arial"/>
                <w:sz w:val="14"/>
                <w:szCs w:val="14"/>
                <w:color w:val="0000FF"/>
              </w:rPr>
              <w:t>04/20/2007</w:t>
            </w:r>
          </w:p>
        </w:tc>
        <w:tc>
          <w:tcPr>
            <w:tcW w:w="114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500" w:type="dxa"/>
            <w:vAlign w:val="bottom"/>
            <w:vMerge w:val="restart"/>
          </w:tcPr>
          <w:p>
            <w:pPr>
              <w:ind w:left="100"/>
              <w:spacing w:after="0"/>
              <w:rPr>
                <w:sz w:val="20"/>
                <w:szCs w:val="20"/>
                <w:color w:val="auto"/>
              </w:rPr>
            </w:pPr>
            <w:r>
              <w:rPr>
                <w:rFonts w:ascii="Arial" w:cs="Arial" w:eastAsia="Arial" w:hAnsi="Arial"/>
                <w:sz w:val="14"/>
                <w:szCs w:val="14"/>
                <w:color w:val="0000FF"/>
              </w:rPr>
              <w:t>5,000</w:t>
            </w:r>
          </w:p>
        </w:tc>
        <w:tc>
          <w:tcPr>
            <w:tcW w:w="2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60" w:type="dxa"/>
            <w:vAlign w:val="bottom"/>
            <w:vMerge w:val="restart"/>
          </w:tcPr>
          <w:p>
            <w:pPr>
              <w:ind w:left="80"/>
              <w:spacing w:after="0"/>
              <w:rPr>
                <w:sz w:val="20"/>
                <w:szCs w:val="20"/>
                <w:color w:val="auto"/>
              </w:rPr>
            </w:pPr>
            <w:r>
              <w:rPr>
                <w:rFonts w:ascii="Arial" w:cs="Arial" w:eastAsia="Arial" w:hAnsi="Arial"/>
                <w:sz w:val="14"/>
                <w:szCs w:val="14"/>
                <w:color w:val="0000FF"/>
                <w:w w:val="94"/>
              </w:rPr>
              <w:t>09/29/2015</w:t>
            </w:r>
          </w:p>
        </w:tc>
        <w:tc>
          <w:tcPr>
            <w:tcW w:w="700" w:type="dxa"/>
            <w:vAlign w:val="bottom"/>
            <w:vMerge w:val="restart"/>
          </w:tcPr>
          <w:p>
            <w:pPr>
              <w:ind w:left="80"/>
              <w:spacing w:after="0"/>
              <w:rPr>
                <w:sz w:val="20"/>
                <w:szCs w:val="20"/>
                <w:color w:val="auto"/>
              </w:rPr>
            </w:pPr>
            <w:r>
              <w:rPr>
                <w:rFonts w:ascii="Arial" w:cs="Arial" w:eastAsia="Arial" w:hAnsi="Arial"/>
                <w:sz w:val="14"/>
                <w:szCs w:val="14"/>
                <w:color w:val="0000FF"/>
              </w:rPr>
              <w:t>par value</w:t>
            </w:r>
          </w:p>
        </w:tc>
        <w:tc>
          <w:tcPr>
            <w:tcW w:w="560" w:type="dxa"/>
            <w:vAlign w:val="bottom"/>
            <w:vMerge w:val="continue"/>
          </w:tcPr>
          <w:p>
            <w:pPr>
              <w:spacing w:after="0"/>
              <w:rPr>
                <w:sz w:val="5"/>
                <w:szCs w:val="5"/>
                <w:color w:val="auto"/>
              </w:rPr>
            </w:pPr>
          </w:p>
        </w:tc>
        <w:tc>
          <w:tcPr>
            <w:tcW w:w="72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vMerge w:val="restart"/>
          </w:tcPr>
          <w:p>
            <w:pPr>
              <w:jc w:val="right"/>
              <w:ind w:right="238"/>
              <w:spacing w:after="0"/>
              <w:rPr>
                <w:sz w:val="20"/>
                <w:szCs w:val="20"/>
                <w:color w:val="auto"/>
              </w:rPr>
            </w:pPr>
            <w:r>
              <w:rPr>
                <w:rFonts w:ascii="Arial" w:cs="Arial" w:eastAsia="Arial" w:hAnsi="Arial"/>
                <w:sz w:val="14"/>
                <w:szCs w:val="14"/>
                <w:color w:val="0000FF"/>
              </w:rPr>
              <w:t>15,000</w:t>
            </w:r>
          </w:p>
        </w:tc>
        <w:tc>
          <w:tcPr>
            <w:tcW w:w="76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2"/>
        </w:trPr>
        <w:tc>
          <w:tcPr>
            <w:tcW w:w="720" w:type="dxa"/>
            <w:vAlign w:val="bottom"/>
          </w:tcPr>
          <w:p>
            <w:pPr>
              <w:ind w:left="60"/>
              <w:spacing w:after="0" w:line="93" w:lineRule="exact"/>
              <w:rPr>
                <w:sz w:val="20"/>
                <w:szCs w:val="20"/>
                <w:color w:val="auto"/>
              </w:rPr>
            </w:pPr>
            <w:r>
              <w:rPr>
                <w:rFonts w:ascii="Arial" w:cs="Arial" w:eastAsia="Arial" w:hAnsi="Arial"/>
                <w:sz w:val="10"/>
                <w:szCs w:val="10"/>
                <w:color w:val="0000FF"/>
              </w:rPr>
              <w:t>(right to</w:t>
            </w:r>
          </w:p>
        </w:tc>
        <w:tc>
          <w:tcPr>
            <w:tcW w:w="82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80" w:type="dxa"/>
        <w:tblCellMar>
          <w:top w:w="0" w:type="dxa"/>
          <w:left w:w="0" w:type="dxa"/>
          <w:bottom w:w="0" w:type="dxa"/>
          <w:right w:w="0" w:type="dxa"/>
        </w:tblCellMar>
      </w:tblPr>
      <w:tr>
        <w:trPr>
          <w:trHeight w:val="137"/>
        </w:trPr>
        <w:tc>
          <w:tcPr>
            <w:tcW w:w="3640" w:type="dxa"/>
            <w:vAlign w:val="bottom"/>
            <w:vMerge w:val="restart"/>
          </w:tcPr>
          <w:p>
            <w:pPr>
              <w:spacing w:after="0"/>
              <w:rPr>
                <w:sz w:val="20"/>
                <w:szCs w:val="20"/>
                <w:color w:val="auto"/>
              </w:rPr>
            </w:pPr>
            <w:r>
              <w:rPr>
                <w:rFonts w:ascii="Arial" w:cs="Arial" w:eastAsia="Arial" w:hAnsi="Arial"/>
                <w:sz w:val="14"/>
                <w:szCs w:val="14"/>
                <w:color w:val="0000FF"/>
              </w:rPr>
              <w:t>buy)</w:t>
            </w:r>
          </w:p>
        </w:tc>
        <w:tc>
          <w:tcPr>
            <w:tcW w:w="3860" w:type="dxa"/>
            <w:vAlign w:val="bottom"/>
          </w:tcPr>
          <w:p>
            <w:pPr>
              <w:jc w:val="right"/>
              <w:spacing w:after="0" w:line="137" w:lineRule="exact"/>
              <w:rPr>
                <w:sz w:val="20"/>
                <w:szCs w:val="20"/>
                <w:color w:val="auto"/>
              </w:rPr>
            </w:pPr>
            <w:r>
              <w:rPr>
                <w:rFonts w:ascii="Arial" w:cs="Arial" w:eastAsia="Arial" w:hAnsi="Arial"/>
                <w:sz w:val="14"/>
                <w:szCs w:val="14"/>
                <w:color w:val="0000FF"/>
              </w:rPr>
              <w:t>$0.001</w:t>
            </w:r>
          </w:p>
        </w:tc>
        <w:tc>
          <w:tcPr>
            <w:tcW w:w="0" w:type="dxa"/>
            <w:vAlign w:val="bottom"/>
          </w:tcPr>
          <w:p>
            <w:pPr>
              <w:spacing w:after="0"/>
              <w:rPr>
                <w:sz w:val="1"/>
                <w:szCs w:val="1"/>
                <w:color w:val="auto"/>
              </w:rPr>
            </w:pPr>
          </w:p>
        </w:tc>
      </w:tr>
      <w:tr>
        <w:trPr>
          <w:trHeight w:val="91"/>
        </w:trPr>
        <w:tc>
          <w:tcPr>
            <w:tcW w:w="3640" w:type="dxa"/>
            <w:vAlign w:val="bottom"/>
            <w:vMerge w:val="continue"/>
          </w:tcPr>
          <w:p>
            <w:pPr>
              <w:spacing w:after="0"/>
              <w:rPr>
                <w:sz w:val="7"/>
                <w:szCs w:val="7"/>
                <w:color w:val="auto"/>
              </w:rPr>
            </w:pPr>
          </w:p>
        </w:tc>
        <w:tc>
          <w:tcPr>
            <w:tcW w:w="3860" w:type="dxa"/>
            <w:vAlign w:val="bottom"/>
            <w:vMerge w:val="restart"/>
          </w:tcPr>
          <w:p>
            <w:pPr>
              <w:jc w:val="center"/>
              <w:ind w:left="3312"/>
              <w:spacing w:after="0"/>
              <w:rPr>
                <w:sz w:val="20"/>
                <w:szCs w:val="20"/>
                <w:color w:val="auto"/>
              </w:rPr>
            </w:pPr>
            <w:r>
              <w:rPr>
                <w:rFonts w:ascii="Arial" w:cs="Arial" w:eastAsia="Arial" w:hAnsi="Arial"/>
                <w:sz w:val="14"/>
                <w:szCs w:val="14"/>
                <w:color w:val="0000FF"/>
                <w:w w:val="81"/>
              </w:rPr>
              <w:t>per share</w:t>
            </w:r>
          </w:p>
        </w:tc>
        <w:tc>
          <w:tcPr>
            <w:tcW w:w="0" w:type="dxa"/>
            <w:vAlign w:val="bottom"/>
          </w:tcPr>
          <w:p>
            <w:pPr>
              <w:spacing w:after="0"/>
              <w:rPr>
                <w:sz w:val="1"/>
                <w:szCs w:val="1"/>
                <w:color w:val="auto"/>
              </w:rPr>
            </w:pPr>
          </w:p>
        </w:tc>
      </w:tr>
      <w:tr>
        <w:trPr>
          <w:trHeight w:val="81"/>
        </w:trPr>
        <w:tc>
          <w:tcPr>
            <w:tcW w:w="3640" w:type="dxa"/>
            <w:vAlign w:val="bottom"/>
          </w:tcPr>
          <w:p>
            <w:pPr>
              <w:spacing w:after="0"/>
              <w:rPr>
                <w:sz w:val="7"/>
                <w:szCs w:val="7"/>
                <w:color w:val="auto"/>
              </w:rPr>
            </w:pPr>
          </w:p>
        </w:tc>
        <w:tc>
          <w:tcPr>
            <w:tcW w:w="3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April 20, 2007, the reporting person exercised previously issued options to purchase an aggregate of 7,500 shares of common stock of ExlService Holdings, Inc.</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 the reporting person's Form 3 filed October 19, 2006, the exercise price of these options was rounded to $11.88.</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2,500 of these options are currently vested, 1,250 of these options will vest on June 18, 2007 and 1,250 of these options will vest on June 18, 2008.</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5,000 of these options are currently vested, 5,000 of these options vest on September 29, 2007, 5,000 of these options vest on September 29, 2008 and 5,000 of these options vest on September 29, 2009.</w:t>
      </w:r>
    </w:p>
    <w:p>
      <w:pPr>
        <w:spacing w:after="0" w:line="57"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Lazbart Oseni</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04/20/2007</w:t>
            </w:r>
          </w:p>
        </w:tc>
      </w:tr>
      <w:tr>
        <w:trPr>
          <w:trHeight w:val="20"/>
        </w:trPr>
        <w:tc>
          <w:tcPr>
            <w:tcW w:w="120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95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3631"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2019-12-16T13:56:45Z</dcterms:created>
  <dcterms:modified xsi:type="dcterms:W3CDTF">2019-12-16T13:56:45Z</dcterms:modified>
</cp:coreProperties>
</file>