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EXLSERVICE HOLDINGS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#302081104</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#302081104</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1,358,461</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4,923,903</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4,923,903</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14.990%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HC</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#302081104</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Edward C. Johnson 3d</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4,923,903</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4,923,903</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14.990%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#302081104</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4,923,903</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4,923,903</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14.990%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EXLSERVICE HOLDINGS INC</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350 Park Avenue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10th Floor</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NY 10022</w:t>
            </w:r>
          </w:p>
        </w:tc>
      </w:tr>
      <w:tr>
        <w:trPr>
          <w:trHeight w:val="608"/>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FMR LLC</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302081104</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bl>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or (c) and the</w:t>
      </w:r>
    </w:p>
    <w:p>
      <w:pPr>
        <w:spacing w:after="0" w:line="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person filing, FMR LLC, is a parent holding company in accordance with Section 240.13d-1(b)(1)(ii)(G). (Note: See Exhibit 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84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Ownership</w:t>
            </w: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1640" w:type="dxa"/>
            <w:vAlign w:val="bottom"/>
          </w:tcPr>
          <w:p>
            <w:pPr>
              <w:spacing w:after="0"/>
              <w:rPr>
                <w:sz w:val="24"/>
                <w:szCs w:val="24"/>
                <w:color w:val="auto"/>
              </w:rPr>
            </w:pPr>
          </w:p>
        </w:tc>
        <w:tc>
          <w:tcPr>
            <w:tcW w:w="1420" w:type="dxa"/>
            <w:vAlign w:val="bottom"/>
          </w:tcPr>
          <w:p>
            <w:pPr>
              <w:ind w:left="900"/>
              <w:spacing w:after="0"/>
              <w:rPr>
                <w:sz w:val="20"/>
                <w:szCs w:val="20"/>
                <w:color w:val="auto"/>
              </w:rPr>
            </w:pPr>
            <w:r>
              <w:rPr>
                <w:rFonts w:ascii="Courier New" w:cs="Courier New" w:eastAsia="Courier New" w:hAnsi="Courier New"/>
                <w:sz w:val="18"/>
                <w:szCs w:val="18"/>
                <w:color w:val="auto"/>
              </w:rPr>
              <w:t>(a)</w:t>
            </w:r>
          </w:p>
        </w:tc>
        <w:tc>
          <w:tcPr>
            <w:tcW w:w="36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4,923,903</w:t>
            </w:r>
          </w:p>
        </w:tc>
      </w:tr>
      <w:tr>
        <w:trPr>
          <w:trHeight w:val="405"/>
        </w:trPr>
        <w:tc>
          <w:tcPr>
            <w:tcW w:w="1640" w:type="dxa"/>
            <w:vAlign w:val="bottom"/>
          </w:tcPr>
          <w:p>
            <w:pPr>
              <w:spacing w:after="0"/>
              <w:rPr>
                <w:sz w:val="24"/>
                <w:szCs w:val="24"/>
                <w:color w:val="auto"/>
              </w:rPr>
            </w:pPr>
          </w:p>
        </w:tc>
        <w:tc>
          <w:tcPr>
            <w:tcW w:w="1420" w:type="dxa"/>
            <w:vAlign w:val="bottom"/>
          </w:tcPr>
          <w:p>
            <w:pPr>
              <w:ind w:left="900"/>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14.990%</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tbl>
      <w:tblPr>
        <w:tblLayout w:type="fixed"/>
        <w:tblInd w:w="0" w:type="dxa"/>
        <w:tblCellMar>
          <w:top w:w="0" w:type="dxa"/>
          <w:left w:w="0" w:type="dxa"/>
          <w:bottom w:w="0" w:type="dxa"/>
          <w:right w:w="0" w:type="dxa"/>
        </w:tblCellMar>
      </w:tblP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1,358,461</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4,923,903</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134"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4"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4"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134"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134"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134"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2015</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Scott C. Goebel</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spacing w:after="0" w:line="4"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5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p>
      <w:pPr>
        <w:sectPr>
          <w:pgSz w:w="11900" w:h="16838" w:orient="portrait"/>
          <w:cols w:equalWidth="0" w:num="1">
            <w:col w:w="10219"/>
          </w:cols>
          <w:pgMar w:left="240" w:top="136" w:right="1440" w:bottom="134"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INVESTMENTS MONEY MANAGEMENT, INC.</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238" w:lineRule="auto"/>
        <w:tabs>
          <w:tab w:leader="none" w:pos="4200" w:val="left"/>
        </w:tabs>
        <w:rPr>
          <w:sz w:val="20"/>
          <w:szCs w:val="20"/>
          <w:color w:val="auto"/>
        </w:rPr>
      </w:pPr>
      <w:r>
        <w:rPr>
          <w:rFonts w:ascii="Courier New" w:cs="Courier New" w:eastAsia="Courier New" w:hAnsi="Courier New"/>
          <w:sz w:val="18"/>
          <w:szCs w:val="18"/>
          <w:color w:val="auto"/>
        </w:rPr>
        <w:t>PYRAMIS GLOBAL ADVISORS TRUST COMPANY</w:t>
      </w:r>
      <w:r>
        <w:rPr>
          <w:sz w:val="20"/>
          <w:szCs w:val="20"/>
          <w:color w:val="auto"/>
        </w:rPr>
        <w:tab/>
      </w:r>
      <w:r>
        <w:rPr>
          <w:rFonts w:ascii="Courier New" w:cs="Courier New" w:eastAsia="Courier New" w:hAnsi="Courier New"/>
          <w:sz w:val="18"/>
          <w:szCs w:val="18"/>
          <w:color w:val="auto"/>
        </w:rPr>
        <w:t>BK</w:t>
      </w:r>
    </w:p>
    <w:p>
      <w:pPr>
        <w:spacing w:after="0"/>
        <w:tabs>
          <w:tab w:leader="none" w:pos="3360" w:val="left"/>
        </w:tabs>
        <w:rPr>
          <w:sz w:val="20"/>
          <w:szCs w:val="20"/>
          <w:color w:val="auto"/>
        </w:rPr>
      </w:pPr>
      <w:r>
        <w:rPr>
          <w:rFonts w:ascii="Courier New" w:cs="Courier New" w:eastAsia="Courier New" w:hAnsi="Courier New"/>
          <w:sz w:val="18"/>
          <w:szCs w:val="18"/>
          <w:color w:val="auto"/>
        </w:rPr>
        <w:t>PYRAMIS GLOBAL ADVISORS, LLC</w:t>
      </w:r>
      <w:r>
        <w:rPr>
          <w:sz w:val="20"/>
          <w:szCs w:val="20"/>
          <w:color w:val="auto"/>
        </w:rPr>
        <w:tab/>
      </w:r>
      <w:r>
        <w:rPr>
          <w:rFonts w:ascii="Courier New" w:cs="Courier New" w:eastAsia="Courier New" w:hAnsi="Courier New"/>
          <w:sz w:val="18"/>
          <w:szCs w:val="18"/>
          <w:color w:val="auto"/>
        </w:rPr>
        <w:t>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808" w:lineRule="exact"/>
        <w:rPr>
          <w:sz w:val="20"/>
          <w:szCs w:val="20"/>
          <w:color w:val="auto"/>
        </w:rPr>
      </w:pPr>
    </w:p>
    <w:p>
      <w:pPr>
        <w:sectPr>
          <w:pgSz w:w="11900" w:h="16838" w:orient="portrait"/>
          <w:cols w:equalWidth="0" w:num="2">
            <w:col w:w="4540" w:space="520"/>
            <w:col w:w="5159"/>
          </w:cols>
          <w:pgMar w:left="240" w:top="136" w:right="1440" w:bottom="0" w:gutter="0" w:footer="0" w:header="0"/>
          <w:type w:val="continuous"/>
        </w:sectPr>
      </w:pPr>
    </w:p>
    <w:p>
      <w:pPr>
        <w:spacing w:after="0" w:line="209"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419" w:firstLine="1685"/>
        <w:spacing w:after="0" w:line="236" w:lineRule="auto"/>
        <w:rPr>
          <w:sz w:val="20"/>
          <w:szCs w:val="20"/>
          <w:color w:val="auto"/>
        </w:rPr>
      </w:pPr>
      <w:r>
        <w:rPr>
          <w:rFonts w:ascii="Courier New" w:cs="Courier New" w:eastAsia="Courier New" w:hAnsi="Courier New"/>
          <w:sz w:val="18"/>
          <w:szCs w:val="18"/>
          <w:color w:val="auto"/>
        </w:rPr>
        <w:t>Edward C. Johnson 3d is a Director and the Chairman of FMR LLC and Abigail P. Johnson is a Director, the Vice Chairman, the Chief Executive Officer and the President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68" w:lineRule="auto"/>
        <w:rPr>
          <w:sz w:val="20"/>
          <w:szCs w:val="20"/>
          <w:color w:val="auto"/>
        </w:rPr>
      </w:pPr>
      <w:r>
        <w:rPr>
          <w:rFonts w:ascii="Courier New" w:cs="Courier New" w:eastAsia="Courier New" w:hAnsi="Courier New"/>
          <w:sz w:val="16"/>
          <w:szCs w:val="16"/>
          <w:color w:val="auto"/>
        </w:rPr>
        <w:t>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235" w:lineRule="auto"/>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Edward C. Johnson 3d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2015, agree and consent to the joint filing on their behalf of this Schedule 13G in connection with their beneficial ownership of the COMMON STOCK of EXLSERVICE HOLDINGS INC at December 31, 2014.</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ectPr>
          <w:pgSz w:w="11900" w:h="16838" w:orient="portrait"/>
          <w:cols w:equalWidth="0" w:num="1">
            <w:col w:w="10219"/>
          </w:cols>
          <w:pgMar w:left="240" w:top="136" w:right="1440" w:bottom="0" w:gutter="0" w:footer="0" w:header="0"/>
          <w:type w:val="continuous"/>
        </w:sectPr>
      </w:pPr>
    </w:p>
    <w:bookmarkStart w:id="3" w:name="page4"/>
    <w:bookmarkEnd w:id="3"/>
    <w:p>
      <w:pPr>
        <w:ind w:right="17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April 24, 2014,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51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2019-12-08T12:29:26Z</dcterms:created>
  <dcterms:modified xsi:type="dcterms:W3CDTF">2019-12-08T12:29:26Z</dcterms:modified>
</cp:coreProperties>
</file>