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14, 2020, ExlService Holdings, Inc. (the “Company”) provided an update to its previously issued 2020 guidance and preliminary guidance regarding the third quarter of 2020. A copy of the press release issued by the Company concerning the foregoing is furnished herewith as Exhibit 99.1 and is incorporated herein by reference. The information provided in Item 7.01 of this report, including Exhibit 99.1, shall not be deemed to be “filed” for purposes of Section 18 of the Securities Exchange Act of 1934, as amended.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60" w:type="dxa"/>
            <w:vAlign w:val="bottom"/>
          </w:tcPr>
          <w:p>
            <w:pPr>
              <w:spacing w:after="0"/>
              <w:rPr>
                <w:sz w:val="20"/>
                <w:szCs w:val="20"/>
                <w:color w:val="auto"/>
              </w:rPr>
            </w:pPr>
          </w:p>
        </w:tc>
      </w:tr>
      <w:tr>
        <w:trPr>
          <w:trHeight w:val="391"/>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434"/>
        </w:trPr>
        <w:tc>
          <w:tcPr>
            <w:tcW w:w="88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720" w:type="dxa"/>
            <w:vAlign w:val="bottom"/>
          </w:tcPr>
          <w:p>
            <w:pPr>
              <w:spacing w:after="0"/>
              <w:rPr>
                <w:sz w:val="24"/>
                <w:szCs w:val="24"/>
                <w:color w:val="auto"/>
              </w:rPr>
            </w:pPr>
          </w:p>
        </w:tc>
        <w:tc>
          <w:tcPr>
            <w:tcW w:w="9640" w:type="dxa"/>
            <w:vAlign w:val="bottom"/>
            <w:gridSpan w:val="3"/>
          </w:tcPr>
          <w:p>
            <w:pPr>
              <w:ind w:left="1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14, 2020 (furnished pursuant to Item 7.01)</w:t>
              </w:r>
            </w:hyperlink>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675"/>
        </w:trPr>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September 14,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Ajay Ayyappan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Ajay Ayyappan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UPDATES 2020 GUIDANCE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NY – September 14, 2020 - ExlService Holdings, Inc. (NASDAQ: EXLS), a leading operations management and analytics company, today announced an update to its 2020 guidance issued on August 6, 2020 and preliminary guidance regarding the third quarter of 2020.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EXL expects full year revenue to be in the range of $945 million to $955 million and adjusted diluted EPS (non-GAAP) to be in the range of $3.35 to $3.45. Our previously issued 2020 guidance included revenue of $922 million to $938 million and adjusted diluted EPS of $2.60 to $2.80. In addition, for the third quarter of 2020, we expect revenue to be at least $239 million and adjusted diluted EPS to be at least $1.00. See below for information regarding the use of our non-GAAP financial measures.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Rohit Kapoor, Vice Chairman and Chief Executive Officer, said, “While there continues to be considerable uncertainty in the market as a result of the COVID-19 pandemic, EXL’s business over the past few months has rebounded better than initially expected. As a result, we have greater confidence in expected performance for the remainder of the year. The demand for our services in Analytics has grown very well as our clients’ need for data analytics has accelerated. We are also seeing faster decision making in operations management, including new logos and expansions with current clients.”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Maurizio Nicolelli, Chief Financial Officer, noted that, “Initiatives undertaken to align our cost structure to the changing business environment and some one-time benefits have helped margin growth for 2020. Based on the improving strength of the business, at this time we also believe it is prudent to accelerate our stock repurchase program. In December 2019, we had announced a stock repurchase program of up to $200 million beginning January 1, 2020 through December 31, 2022. As part of that $200 million program, we are now targeting to repurchase up to $80 million for calendar year 2020, subject to market conditions, versus our original intention of repurchasing $40 million. EXL had approximately $335.6 million of cash and short-term investments as of its last interim balance sheet date of June 30, 2020 and we do not believe the increased repurchase activity precludes us from investing in our business or pursuing strategic acquisitions or other initiatives.”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more than 31,600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Times New Roman" w:cs="Times New Roman" w:eastAsia="Times New Roman" w:hAnsi="Times New Roman"/>
          <w:sz w:val="18"/>
          <w:szCs w:val="18"/>
          <w:u w:val="single" w:color="auto"/>
          <w:color w:val="0000FF"/>
        </w:rPr>
        <w:t>www.exlservice.com.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Continuing Note Regarding Forward-Looking Statements </w:t>
      </w:r>
      <w:r>
        <w:rPr>
          <w:rFonts w:ascii="Times New Roman" w:cs="Times New Roman" w:eastAsia="Times New Roman" w:hAnsi="Times New Roman"/>
          <w:sz w:val="18"/>
          <w:szCs w:val="18"/>
          <w:i w:val="1"/>
          <w:iCs w:val="1"/>
          <w:color w:val="auto"/>
        </w:rPr>
        <w:t>This press release contains forward-looking statements. You should not place undue 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pandemic, are discussed in more detail in EXL’s filings with the Securities and Exchange Commission, including EXL’s Annual Report on Form 10-K and EXL’s Quarterly Report on Form 10-Q for the quarter ended June 30, 2020.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financial measures in accordance with U.S. generally accepted accounting principles (GAAP), EXL has included in this release certain financial measures that are considered non-GAAP financial measures, including the following: adjusted diluted earnings per share.</w:t>
      </w:r>
    </w:p>
    <w:p>
      <w:pPr>
        <w:spacing w:after="0" w:line="16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quantitative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Steven N. Barlow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88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596-7684 </w:t>
      </w:r>
      <w:r>
        <w:rPr>
          <w:rFonts w:ascii="Times New Roman" w:cs="Times New Roman" w:eastAsia="Times New Roman" w:hAnsi="Times New Roman"/>
          <w:sz w:val="17"/>
          <w:szCs w:val="17"/>
          <w:u w:val="single" w:color="auto"/>
          <w:color w:val="0000FF"/>
        </w:rPr>
        <w:t>ir@exlservice.com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9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2020-09-14T15:58:54Z</dcterms:created>
  <dcterms:modified xsi:type="dcterms:W3CDTF">2020-09-14T15:58:54Z</dcterms:modified>
</cp:coreProperties>
</file>