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Kapoor Rohit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 PARK AVENUE,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05/11/2015</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0" w:right="239" w:bottom="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80" w:type="dxa"/>
            <w:vAlign w:val="bottom"/>
            <w:gridSpan w:val="5"/>
            <w:vMerge w:val="continue"/>
          </w:tcPr>
          <w:p>
            <w:pPr>
              <w:spacing w:after="0"/>
              <w:rPr>
                <w:sz w:val="10"/>
                <w:szCs w:val="10"/>
                <w:color w:val="auto"/>
              </w:rPr>
            </w:pPr>
          </w:p>
        </w:tc>
        <w:tc>
          <w:tcPr>
            <w:tcW w:w="38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ind w:left="460"/>
              <w:spacing w:after="0"/>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10017</w:t>
            </w: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18"/>
                <w:szCs w:val="18"/>
                <w:color w:val="0000FF"/>
              </w:rPr>
              <w:t>05/11/2015</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0000FF"/>
              </w:rPr>
              <w:t>26,300</w:t>
            </w:r>
          </w:p>
        </w:tc>
        <w:tc>
          <w:tcPr>
            <w:tcW w:w="5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35.05</w:t>
            </w:r>
            <w:r>
              <w:rPr>
                <w:rFonts w:ascii="Times New Roman" w:cs="Times New Roman" w:eastAsia="Times New Roman" w:hAnsi="Times New Roman"/>
                <w:sz w:val="22"/>
                <w:szCs w:val="22"/>
                <w:color w:val="008000"/>
                <w:vertAlign w:val="superscript"/>
              </w:rPr>
              <w:t>(2)</w:t>
            </w:r>
          </w:p>
        </w:tc>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0000FF"/>
              </w:rPr>
              <w:t>374,718</w:t>
            </w: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35"/>
                <w:szCs w:val="35"/>
                <w:color w:val="0000FF"/>
                <w:vertAlign w:val="subscript"/>
              </w:rPr>
              <w:t>D</w:t>
            </w:r>
            <w:r>
              <w:rPr>
                <w:rFonts w:ascii="Times New Roman" w:cs="Times New Roman" w:eastAsia="Times New Roman" w:hAnsi="Times New Roman"/>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3" w:lineRule="exact"/>
        <w:rPr>
          <w:sz w:val="24"/>
          <w:szCs w:val="24"/>
          <w:color w:val="auto"/>
        </w:rPr>
      </w:pPr>
    </w:p>
    <w:p>
      <w:pPr>
        <w:sectPr>
          <w:pgSz w:w="11900" w:h="16838" w:orient="portrait"/>
          <w:cols w:equalWidth="0" w:num="1">
            <w:col w:w="11420"/>
          </w:cols>
          <w:pgMar w:left="240" w:top="220" w:right="2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6"/>
          <w:szCs w:val="16"/>
          <w:color w:val="0000FF"/>
        </w:rPr>
        <w:t>Common Stock, par value $0.001 per</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0000FF"/>
        </w:rPr>
        <w:t>share</w:t>
      </w:r>
    </w:p>
    <w:p>
      <w:pPr>
        <w:spacing w:after="0" w:line="13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 par value $0.001 per</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0000FF"/>
        </w:rPr>
        <w:t>share</w:t>
      </w:r>
    </w:p>
    <w:p>
      <w:pPr>
        <w:spacing w:after="0" w:line="13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 par value $0.001 per</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0000FF"/>
        </w:rPr>
        <w:t>share</w:t>
      </w:r>
    </w:p>
    <w:p>
      <w:pPr>
        <w:spacing w:after="0" w:line="13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 par value $0.001 per</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0000FF"/>
        </w:rPr>
        <w:t>share</w:t>
      </w:r>
    </w:p>
    <w:p>
      <w:pPr>
        <w:spacing w:after="0" w:line="13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 par value $0.001 per</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8"/>
                <w:szCs w:val="18"/>
                <w:color w:val="0000FF"/>
                <w:w w:val="99"/>
              </w:rPr>
              <w:t>126,183</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w:t>
            </w:r>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91"/>
              </w:rPr>
              <w:t>Footnote</w:t>
            </w:r>
            <w:r>
              <w:rPr>
                <w:rFonts w:ascii="Times New Roman" w:cs="Times New Roman" w:eastAsia="Times New Roman" w:hAnsi="Times New Roman"/>
                <w:sz w:val="22"/>
                <w:szCs w:val="22"/>
                <w:color w:val="008000"/>
                <w:w w:val="91"/>
                <w:vertAlign w:val="superscript"/>
              </w:rPr>
              <w:t>(4)</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9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8"/>
                <w:szCs w:val="18"/>
                <w:color w:val="0000FF"/>
                <w:w w:val="99"/>
              </w:rPr>
              <w:t>333,185</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w:t>
            </w:r>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91"/>
              </w:rPr>
              <w:t>Footnote</w:t>
            </w:r>
            <w:r>
              <w:rPr>
                <w:rFonts w:ascii="Times New Roman" w:cs="Times New Roman" w:eastAsia="Times New Roman" w:hAnsi="Times New Roman"/>
                <w:sz w:val="22"/>
                <w:szCs w:val="22"/>
                <w:color w:val="008000"/>
                <w:w w:val="91"/>
                <w:vertAlign w:val="superscript"/>
              </w:rPr>
              <w:t>(5)</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9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8"/>
                <w:szCs w:val="18"/>
                <w:color w:val="0000FF"/>
                <w:w w:val="99"/>
              </w:rPr>
              <w:t>177,134</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w:t>
            </w:r>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91"/>
              </w:rPr>
              <w:t>Footnote</w:t>
            </w:r>
            <w:r>
              <w:rPr>
                <w:rFonts w:ascii="Times New Roman" w:cs="Times New Roman" w:eastAsia="Times New Roman" w:hAnsi="Times New Roman"/>
                <w:sz w:val="22"/>
                <w:szCs w:val="22"/>
                <w:color w:val="008000"/>
                <w:w w:val="91"/>
                <w:vertAlign w:val="superscript"/>
              </w:rPr>
              <w:t>(6)</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9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8"/>
                <w:szCs w:val="18"/>
                <w:color w:val="0000FF"/>
              </w:rPr>
              <w:t>84,000</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w:t>
            </w:r>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91"/>
              </w:rPr>
              <w:t>Footnote</w:t>
            </w:r>
            <w:r>
              <w:rPr>
                <w:rFonts w:ascii="Times New Roman" w:cs="Times New Roman" w:eastAsia="Times New Roman" w:hAnsi="Times New Roman"/>
                <w:sz w:val="22"/>
                <w:szCs w:val="22"/>
                <w:color w:val="008000"/>
                <w:w w:val="91"/>
                <w:vertAlign w:val="superscript"/>
              </w:rPr>
              <w:t>(7)</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9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8"/>
                <w:szCs w:val="18"/>
                <w:color w:val="0000FF"/>
              </w:rPr>
              <w:t>84,000</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w:t>
            </w:r>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91"/>
              </w:rPr>
              <w:t>Footnote</w:t>
            </w:r>
            <w:r>
              <w:rPr>
                <w:rFonts w:ascii="Times New Roman" w:cs="Times New Roman" w:eastAsia="Times New Roman" w:hAnsi="Times New Roman"/>
                <w:sz w:val="22"/>
                <w:szCs w:val="22"/>
                <w:color w:val="008000"/>
                <w:w w:val="91"/>
                <w:vertAlign w:val="superscript"/>
              </w:rPr>
              <w:t>(8)</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sectPr>
          <w:pgSz w:w="11900" w:h="16838" w:orient="portrait"/>
          <w:cols w:equalWidth="0" w:num="2">
            <w:col w:w="7960" w:space="720"/>
            <w:col w:w="2740"/>
          </w:cols>
          <w:pgMar w:left="240" w:top="220"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sale was made pursuant to a 10b5-1 plan previously entered into by the reporting person.</w:t>
      </w:r>
    </w:p>
    <w:p>
      <w:pPr>
        <w:spacing w:after="0" w:line="41" w:lineRule="exact"/>
        <w:rPr>
          <w:rFonts w:ascii="Times New Roman" w:cs="Times New Roman" w:eastAsia="Times New Roman" w:hAnsi="Times New Roman"/>
          <w:sz w:val="14"/>
          <w:szCs w:val="14"/>
          <w:color w:val="008000"/>
        </w:rPr>
      </w:pPr>
    </w:p>
    <w:p>
      <w:pPr>
        <w:jc w:val="both"/>
        <w:ind w:left="40" w:right="80" w:firstLine="9"/>
        <w:spacing w:after="0" w:line="305"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executed in multiple trades at prices ranging from $34.95 to $35.22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Rohit Kapoor.</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Rohit Kapoor 2013 Grantor Retained Annuity Trust.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Rohit Kapoor 2012 Family Trust.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Rohit Kapoor 2005 Grantor Retained Annuity Trust.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Rohit Kapoor Spousal Lifetime Access Trust.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05/13/2015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2019-12-08T12:00:41Z</dcterms:created>
  <dcterms:modified xsi:type="dcterms:W3CDTF">2019-12-08T12:00:41Z</dcterms:modified>
</cp:coreProperties>
</file>