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UNITED STATES</w:t>
      </w:r>
    </w:p>
    <w:p>
      <w:pPr>
        <w:jc w:val="center"/>
        <w:ind w:right="-1100"/>
        <w:spacing w:after="0" w:line="239" w:lineRule="auto"/>
        <w:rPr>
          <w:sz w:val="20"/>
          <w:szCs w:val="20"/>
          <w:color w:val="auto"/>
        </w:rPr>
      </w:pPr>
      <w:r>
        <w:rPr>
          <w:rFonts w:ascii="Calibri" w:cs="Calibri" w:eastAsia="Calibri" w:hAnsi="Calibri"/>
          <w:sz w:val="31"/>
          <w:szCs w:val="31"/>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Calibri" w:cs="Calibri" w:eastAsia="Calibri" w:hAnsi="Calibri"/>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304"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SCHEDULE 14A</w:t>
      </w:r>
    </w:p>
    <w:p>
      <w:pPr>
        <w:spacing w:after="0" w:line="121"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Securites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99" w:lineRule="exact"/>
        <w:rPr>
          <w:sz w:val="24"/>
          <w:szCs w:val="24"/>
          <w:color w:val="auto"/>
        </w:rPr>
      </w:pPr>
    </w:p>
    <w:p>
      <w:pPr>
        <w:ind w:left="320"/>
        <w:spacing w:after="0" w:line="208" w:lineRule="exact"/>
        <w:tabs>
          <w:tab w:leader="none" w:pos="3200" w:val="left"/>
        </w:tabs>
        <w:rPr>
          <w:sz w:val="20"/>
          <w:szCs w:val="20"/>
          <w:color w:val="auto"/>
        </w:rPr>
      </w:pPr>
      <w:r>
        <w:rPr>
          <w:rFonts w:ascii="Calibri" w:cs="Calibri" w:eastAsia="Calibri" w:hAnsi="Calibri"/>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Calibri" w:cs="Calibri" w:eastAsia="Calibri" w:hAnsi="Calibri"/>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0"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Check the appropriate box:</w:t>
      </w:r>
    </w:p>
    <w:p>
      <w:pPr>
        <w:spacing w:after="0" w:line="118" w:lineRule="exact"/>
        <w:rPr>
          <w:sz w:val="24"/>
          <w:szCs w:val="24"/>
          <w:color w:val="auto"/>
        </w:rPr>
      </w:pPr>
    </w:p>
    <w:p>
      <w:pPr>
        <w:ind w:left="840" w:hanging="524"/>
        <w:spacing w:after="0"/>
        <w:tabs>
          <w:tab w:leader="none" w:pos="8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105" w:lineRule="exact"/>
        <w:rPr>
          <w:sz w:val="24"/>
          <w:szCs w:val="24"/>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Confdental, for Use of the Commission Only (as permited by Rule 14a-6(e)(2))</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104" w:lineRule="exact"/>
        <w:rPr>
          <w:rFonts w:ascii="MS PGothic" w:cs="MS PGothic" w:eastAsia="MS PGothic" w:hAnsi="MS PGothic"/>
          <w:sz w:val="17"/>
          <w:szCs w:val="17"/>
          <w:color w:val="auto"/>
        </w:rPr>
      </w:pPr>
    </w:p>
    <w:p>
      <w:pPr>
        <w:ind w:left="840" w:hanging="524"/>
        <w:spacing w:after="0"/>
        <w:tabs>
          <w:tab w:leader="none" w:pos="8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Rule 240.14a-12</w:t>
      </w:r>
    </w:p>
    <w:p>
      <w:pPr>
        <w:spacing w:after="0" w:line="82" w:lineRule="exact"/>
        <w:rPr>
          <w:sz w:val="24"/>
          <w:szCs w:val="24"/>
          <w:color w:val="auto"/>
        </w:rPr>
      </w:pPr>
    </w:p>
    <w:p>
      <w:pPr>
        <w:jc w:val="center"/>
        <w:ind w:right="-1100"/>
        <w:spacing w:after="0"/>
        <w:rPr>
          <w:sz w:val="20"/>
          <w:szCs w:val="20"/>
          <w:color w:val="auto"/>
        </w:rPr>
      </w:pPr>
      <w:r>
        <w:rPr>
          <w:rFonts w:ascii="Calibri" w:cs="Calibri" w:eastAsia="Calibri" w:hAnsi="Calibri"/>
          <w:sz w:val="38"/>
          <w:szCs w:val="38"/>
          <w:b w:val="1"/>
          <w:bCs w:val="1"/>
          <w:color w:val="auto"/>
        </w:rPr>
        <w:t>ExlService Holdings, Inc.</w:t>
      </w:r>
    </w:p>
    <w:p>
      <w:pPr>
        <w:spacing w:after="0" w:line="14" w:lineRule="exact"/>
        <w:rPr>
          <w:sz w:val="24"/>
          <w:szCs w:val="24"/>
          <w:color w:val="auto"/>
        </w:rPr>
      </w:pPr>
    </w:p>
    <w:p>
      <w:pPr>
        <w:jc w:val="center"/>
        <w:ind w:right="-110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107" w:lineRule="exact"/>
        <w:rPr>
          <w:sz w:val="24"/>
          <w:szCs w:val="24"/>
          <w:color w:val="auto"/>
        </w:rPr>
      </w:pPr>
    </w:p>
    <w:p>
      <w:pPr>
        <w:ind w:left="3580"/>
        <w:spacing w:after="0"/>
        <w:rPr>
          <w:sz w:val="20"/>
          <w:szCs w:val="20"/>
          <w:color w:val="auto"/>
        </w:rPr>
      </w:pPr>
      <w:r>
        <w:rPr>
          <w:rFonts w:ascii="Calibri" w:cs="Calibri" w:eastAsia="Calibri" w:hAnsi="Calibri"/>
          <w:sz w:val="14"/>
          <w:szCs w:val="14"/>
          <w:b w:val="1"/>
          <w:bCs w:val="1"/>
          <w:color w:val="auto"/>
        </w:rPr>
        <w:t>(Name of Person(s) Filing Proxy Statement, if other than the Registrant)</w:t>
      </w:r>
    </w:p>
    <w:p>
      <w:pPr>
        <w:spacing w:after="0" w:line="100"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Payment of Filing Fee (Check the appropriate box):</w:t>
      </w:r>
    </w:p>
    <w:p>
      <w:pPr>
        <w:spacing w:after="0" w:line="118" w:lineRule="exact"/>
        <w:rPr>
          <w:sz w:val="24"/>
          <w:szCs w:val="24"/>
          <w:color w:val="auto"/>
        </w:rPr>
      </w:pPr>
    </w:p>
    <w:p>
      <w:pPr>
        <w:ind w:left="860" w:hanging="544"/>
        <w:spacing w:after="0"/>
        <w:tabs>
          <w:tab w:leader="none" w:pos="86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spacing w:after="0" w:line="53" w:lineRule="exact"/>
        <w:rPr>
          <w:sz w:val="24"/>
          <w:szCs w:val="24"/>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52" w:lineRule="exact"/>
        <w:rPr>
          <w:rFonts w:ascii="MS PGothic" w:cs="MS PGothic" w:eastAsia="MS PGothic" w:hAnsi="MS PGothic"/>
          <w:sz w:val="17"/>
          <w:szCs w:val="17"/>
          <w:color w:val="auto"/>
        </w:rPr>
      </w:pPr>
    </w:p>
    <w:p>
      <w:pPr>
        <w:ind w:left="860" w:hanging="544"/>
        <w:spacing w:after="0"/>
        <w:tabs>
          <w:tab w:leader="none" w:pos="86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97155</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138430</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F4338"/>
        </w:rPr>
        <w:t>PRELIMINARY PROXY STATEMENT—SUBJECT TO COMPLETION</w:t>
      </w:r>
    </w:p>
    <w:p>
      <w:pPr>
        <w:spacing w:after="0" w:line="144"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1"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-59055</wp:posOffset>
            </wp:positionV>
            <wp:extent cx="60325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0" cy="231140"/>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17"/>
          <w:szCs w:val="17"/>
          <w:b w:val="1"/>
          <w:bCs w:val="1"/>
          <w:color w:val="auto"/>
        </w:rPr>
        <w:t>(212) 277-7100</w:t>
      </w:r>
    </w:p>
    <w:p>
      <w:pPr>
        <w:spacing w:after="0" w:line="26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2022 was a year marked by disrupton and transformaton. At EXL, we viewed this as an opportunity. We developed innovatve solutons to harness our clients’ data and gain a compettve advantage. Their successes led to our success.</w:t>
      </w:r>
    </w:p>
    <w:p>
      <w:pPr>
        <w:spacing w:after="0" w:line="211"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Our headline earnings numbers tell part of the story. In 2022, we generated strong growth across both Analytcs and Digital Operatons and Solutons. Our 2022 revenue was 1.41 billion, representng growth of 26% over 2021. We also grew adjusted EPS to $6.02, up 25% from $4.83 in 2021.</w:t>
      </w:r>
    </w:p>
    <w:p>
      <w:pPr>
        <w:spacing w:after="0" w:line="211"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Our achievements in 2022 are rooted in our unique data-driven capabilites to improve our clients’ operatons through digital solutons, enable beter decision-making through advanced analytcs, and embed intelligence in their workfows through machine learning, AI and automaton. Every business today is being challenged to do more with less while customer expectatons for speed, personalizaton and seamless integraton contnue to expand. EXL harnesses the power of data to help our clients meet those challenges. These data-driven eforts help our clients react faster, reduce costs and build stronger customer experiences. Going forward, we believe this strategy will contnue to grow the success of our clients and our success.</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ability to execute this strategy is a testament to our talented and steadily growing team of more than 45,400 people, as well as our culture of learning, diversity and experience. Our employees’ creatvity and dedicaton allow EXL to meet market demand and keep pace with our clients’ evolving requirements. In 2022, our employees contnued to enhance their expertse, collectvely investng more than 509,000 hours in developing their professional skills, functonal and leadership capabilites and domain expertse. We achieved more than 8,000 specializatons across key areas, such as cloud, analytcs and artfcial intelligence soluton architecture, among others.</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 xml:space="preserve">This year’s Proxy Statement contnues to highlight progress on our environmental, social and governance (ESG) eforts, which we view as integral to our corporate strategy. In 2022, we made strides toward our transiton to sustainable energy and gave back to more than 14,000 people in our communites around the world through volunteering in our signature community engagement initatves, </w:t>
      </w:r>
      <w:r>
        <w:rPr>
          <w:rFonts w:ascii="Calibri" w:cs="Calibri" w:eastAsia="Calibri" w:hAnsi="Calibri"/>
          <w:sz w:val="17"/>
          <w:szCs w:val="17"/>
          <w:i w:val="1"/>
          <w:iCs w:val="1"/>
          <w:color w:val="auto"/>
        </w:rPr>
        <w:t>Skills to Win</w:t>
      </w:r>
      <w:r>
        <w:rPr>
          <w:rFonts w:ascii="Calibri" w:cs="Calibri" w:eastAsia="Calibri" w:hAnsi="Calibri"/>
          <w:sz w:val="17"/>
          <w:szCs w:val="17"/>
          <w:color w:val="auto"/>
        </w:rPr>
        <w:t xml:space="preserve"> and </w:t>
      </w:r>
      <w:r>
        <w:rPr>
          <w:rFonts w:ascii="Calibri" w:cs="Calibri" w:eastAsia="Calibri" w:hAnsi="Calibri"/>
          <w:sz w:val="17"/>
          <w:szCs w:val="17"/>
          <w:i w:val="1"/>
          <w:iCs w:val="1"/>
          <w:color w:val="auto"/>
        </w:rPr>
        <w:t>Educaton as a Foundaton</w:t>
      </w:r>
      <w:r>
        <w:rPr>
          <w:rFonts w:ascii="Calibri" w:cs="Calibri" w:eastAsia="Calibri" w:hAnsi="Calibri"/>
          <w:sz w:val="17"/>
          <w:szCs w:val="17"/>
          <w:color w:val="auto"/>
        </w:rPr>
        <w:t xml:space="preserve">. We also helped our clients make their businesses more sustainable through the use of cloud services, digital operatons and solutons resultng in paper reducton and analytcs to meet compliance and risk objectves. We contnuously improve on our corporate governance – in 2022, by allocatng formal oversight over ESG-related controls and disclosures to our Audit Commitee, and by carrying through our board refreshment philosophy to promote the diversity of backgrounds, skills and professional experience among our directors necessary to oversee our evolving corporate strategy, while contnuing to hold regular conversatons with our stockholders on governance-related topics through our stockholder engagement program. We are proud of this progress, and the external recognitons we received for these eforts, including for the second year as one of America’s Most Responsible Companies by </w:t>
      </w:r>
      <w:r>
        <w:rPr>
          <w:rFonts w:ascii="Calibri" w:cs="Calibri" w:eastAsia="Calibri" w:hAnsi="Calibri"/>
          <w:sz w:val="17"/>
          <w:szCs w:val="17"/>
          <w:i w:val="1"/>
          <w:iCs w:val="1"/>
          <w:color w:val="auto"/>
        </w:rPr>
        <w:t>Newsweek</w:t>
      </w:r>
      <w:r>
        <w:rPr>
          <w:rFonts w:ascii="Calibri" w:cs="Calibri" w:eastAsia="Calibri" w:hAnsi="Calibri"/>
          <w:sz w:val="17"/>
          <w:szCs w:val="17"/>
          <w:color w:val="auto"/>
        </w:rPr>
        <w:t xml:space="preserve"> and Statsta, Inc., and for the second year as one of </w:t>
      </w:r>
      <w:r>
        <w:rPr>
          <w:rFonts w:ascii="Calibri" w:cs="Calibri" w:eastAsia="Calibri" w:hAnsi="Calibri"/>
          <w:sz w:val="17"/>
          <w:szCs w:val="17"/>
          <w:i w:val="1"/>
          <w:iCs w:val="1"/>
          <w:color w:val="auto"/>
        </w:rPr>
        <w:t>Barron’s</w:t>
      </w:r>
      <w:r>
        <w:rPr>
          <w:rFonts w:ascii="Calibri" w:cs="Calibri" w:eastAsia="Calibri" w:hAnsi="Calibri"/>
          <w:sz w:val="17"/>
          <w:szCs w:val="17"/>
          <w:color w:val="auto"/>
        </w:rPr>
        <w:t xml:space="preserve"> 100 Most Sustainable Companies and a Gold ratng from EcoVadis. You can read more about our commitment to ESG issues on our website, in our Sustainability Report and in the “Sustainability” secton of this Proxy Statement.</w:t>
      </w:r>
    </w:p>
    <w:p>
      <w:pPr>
        <w:spacing w:after="0" w:line="131" w:lineRule="exact"/>
        <w:rPr>
          <w:sz w:val="20"/>
          <w:szCs w:val="20"/>
          <w:color w:val="auto"/>
        </w:rPr>
      </w:pPr>
    </w:p>
    <w:p>
      <w:pPr>
        <w:ind w:left="420"/>
        <w:spacing w:after="0"/>
        <w:tabs>
          <w:tab w:leader="none" w:pos="820" w:val="left"/>
          <w:tab w:leader="none" w:pos="1160" w:val="left"/>
        </w:tabs>
        <w:rPr>
          <w:sz w:val="20"/>
          <w:szCs w:val="20"/>
          <w:color w:val="auto"/>
        </w:rPr>
      </w:pPr>
      <w:r>
        <w:rPr>
          <w:rFonts w:ascii="Calibri" w:cs="Calibri" w:eastAsia="Calibri" w:hAnsi="Calibri"/>
          <w:sz w:val="17"/>
          <w:szCs w:val="17"/>
          <w:b w:val="1"/>
          <w:bCs w:val="1"/>
          <w:color w:val="auto"/>
        </w:rPr>
        <w:t>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8"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Finally, we would like to thank Anne Minto and Clyde Ostler who will be retring from our board of directors following our 2023 Annual Meetng of Stockholders. Anne served on EXL’s board for 10 years and Clyde has been on our board since 2007. Both have played key roles in guiding our company to its current positon. We would also like to welcome Andreas Fibig, a seasoned global executve with a strong record of innovaton across industries and geographies, who joined EXL’s board as an independent director in January 2023, and is standing for reelecton at the 2023 Annual Meetng of Stockholders.</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behalf of the board of directors of ExlService Holdings, Inc., we are pleased to invite you to the 2023 Annual Meetng of Stockholders, which will be held on June 20, 2023. We look forward to sharing more about our Company at the Annual Meetng. We encourage you to carefully read the atached 2023 Annual Meetng of Stockholders and Proxy Statement, which contains important informaton about the maters to be voted upon and instructons on how you can vote your shares.</w:t>
      </w:r>
    </w:p>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Your vote is important to us. Please vote as soon as possible whether or not you plan to partcipate in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board of directors and management look forward to your atendance at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1990725" cy="93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0725" cy="933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361315</wp:posOffset>
            </wp:positionV>
            <wp:extent cx="1379855" cy="793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793115"/>
                    </a:xfrm>
                    <a:prstGeom prst="rect">
                      <a:avLst/>
                    </a:prstGeom>
                    <a:noFill/>
                  </pic:spPr>
                </pic:pic>
              </a:graphicData>
            </a:graphic>
          </wp:anchor>
        </w:drawing>
      </w:r>
    </w:p>
    <w:p>
      <w:pPr>
        <w:sectPr>
          <w:pgSz w:w="11900" w:h="16838" w:orient="portrait"/>
          <w:cols w:equalWidth="0" w:num="1">
            <w:col w:w="10900"/>
          </w:cols>
          <w:pgMar w:left="320" w:top="47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0"/>
        <w:spacing w:after="0"/>
        <w:rPr>
          <w:sz w:val="20"/>
          <w:szCs w:val="20"/>
          <w:color w:val="auto"/>
        </w:rPr>
      </w:pPr>
      <w:r>
        <w:rPr>
          <w:rFonts w:ascii="Calibri" w:cs="Calibri" w:eastAsia="Calibri" w:hAnsi="Calibri"/>
          <w:sz w:val="16"/>
          <w:szCs w:val="16"/>
          <w:b w:val="1"/>
          <w:bCs w:val="1"/>
          <w:color w:val="auto"/>
        </w:rPr>
        <w:t>Vikram Pandit</w:t>
      </w:r>
    </w:p>
    <w:p>
      <w:pPr>
        <w:spacing w:after="0" w:line="1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Rohit Kapoor</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Vice Chairman and CEO</w:t>
      </w:r>
    </w:p>
    <w:p>
      <w:pPr>
        <w:spacing w:after="0" w:line="210" w:lineRule="exact"/>
        <w:rPr>
          <w:sz w:val="20"/>
          <w:szCs w:val="20"/>
          <w:color w:val="auto"/>
        </w:rPr>
      </w:pPr>
    </w:p>
    <w:p>
      <w:pPr>
        <w:sectPr>
          <w:pgSz w:w="11900" w:h="16838" w:orient="portrait"/>
          <w:cols w:equalWidth="0" w:num="2">
            <w:col w:w="6340" w:space="720"/>
            <w:col w:w="3840"/>
          </w:cols>
          <w:pgMar w:left="320" w:top="471" w:right="679" w:bottom="1440" w:gutter="0" w:footer="0" w:header="0"/>
          <w:type w:val="continuous"/>
        </w:sectPr>
      </w:pPr>
    </w:p>
    <w:p>
      <w:pPr>
        <w:spacing w:after="0" w:line="317" w:lineRule="exact"/>
        <w:rPr>
          <w:sz w:val="20"/>
          <w:szCs w:val="20"/>
          <w:color w:val="auto"/>
        </w:rPr>
      </w:pPr>
    </w:p>
    <w:p>
      <w:pPr>
        <w:ind w:left="8260"/>
        <w:spacing w:after="0"/>
        <w:tabs>
          <w:tab w:leader="none" w:pos="10240" w:val="left"/>
          <w:tab w:leader="none" w:pos="106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5"/>
          <w:szCs w:val="15"/>
          <w:b w:val="1"/>
          <w:bCs w:val="1"/>
          <w:color w:val="auto"/>
        </w:rPr>
        <w:t>3</w:t>
      </w:r>
    </w:p>
    <w:p>
      <w:pPr>
        <w:sectPr>
          <w:pgSz w:w="11900" w:h="16838" w:orient="portrait"/>
          <w:cols w:equalWidth="0" w:num="1">
            <w:col w:w="10900"/>
          </w:cols>
          <w:pgMar w:left="320" w:top="471" w:right="6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Notce of 2023 Annual Meetng of Stockholders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580"/>
        <w:spacing w:after="0" w:line="239" w:lineRule="auto"/>
        <w:rPr>
          <w:sz w:val="20"/>
          <w:szCs w:val="20"/>
          <w:color w:val="auto"/>
        </w:rPr>
      </w:pPr>
      <w:r>
        <w:rPr>
          <w:rFonts w:ascii="Calibri" w:cs="Calibri" w:eastAsia="Calibri" w:hAnsi="Calibri"/>
          <w:sz w:val="17"/>
          <w:szCs w:val="17"/>
          <w:color w:val="auto"/>
        </w:rPr>
        <w:t>You are cordially invited to the 2023 Annual Meetng of Stockholders of ExlService Holdings, Inc., a Delaware corporaton (the “Company”), for the purposes of votng on the following maters:</w:t>
      </w:r>
    </w:p>
    <w:p>
      <w:pPr>
        <w:spacing w:after="0" w:line="327" w:lineRule="exact"/>
        <w:rPr>
          <w:sz w:val="20"/>
          <w:szCs w:val="20"/>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electon of seven members of the board of directors of the Company;</w:t>
      </w:r>
    </w:p>
    <w:p>
      <w:pPr>
        <w:spacing w:after="0" w:line="119" w:lineRule="exact"/>
        <w:rPr>
          <w:rFonts w:ascii="Calibri" w:cs="Calibri" w:eastAsia="Calibri" w:hAnsi="Calibri"/>
          <w:sz w:val="17"/>
          <w:szCs w:val="17"/>
          <w:color w:val="auto"/>
        </w:rPr>
      </w:pPr>
    </w:p>
    <w:p>
      <w:pPr>
        <w:ind w:left="1140" w:right="240" w:hanging="407"/>
        <w:spacing w:after="0" w:line="239" w:lineRule="auto"/>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ratfcaton of the appointment of Deloite &amp; Touche LLP as the independent registered public accountng frm of the Company for fscal year 2023;</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approval, on a non-binding advisory basis, of the compensaton of the named executve ofcers of the Company;</w:t>
      </w:r>
    </w:p>
    <w:p>
      <w:pPr>
        <w:spacing w:after="0" w:line="119" w:lineRule="exact"/>
        <w:rPr>
          <w:rFonts w:ascii="Calibri" w:cs="Calibri" w:eastAsia="Calibri" w:hAnsi="Calibri"/>
          <w:sz w:val="17"/>
          <w:szCs w:val="17"/>
          <w:color w:val="auto"/>
        </w:rPr>
      </w:pPr>
    </w:p>
    <w:p>
      <w:pPr>
        <w:ind w:left="1140" w:right="200" w:hanging="407"/>
        <w:spacing w:after="0" w:line="239" w:lineRule="auto"/>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determinaton, on a non-binding advisory basis, of how frequently the stockholders should hold a non-binding advisory vote to approve the compensaton of the named executve ofcers of the Company;</w:t>
      </w:r>
    </w:p>
    <w:p>
      <w:pPr>
        <w:spacing w:after="0" w:line="120" w:lineRule="exact"/>
        <w:rPr>
          <w:rFonts w:ascii="Calibri" w:cs="Calibri" w:eastAsia="Calibri" w:hAnsi="Calibri"/>
          <w:sz w:val="17"/>
          <w:szCs w:val="17"/>
          <w:color w:val="auto"/>
        </w:rPr>
      </w:pPr>
    </w:p>
    <w:p>
      <w:pPr>
        <w:ind w:left="1140" w:right="480" w:hanging="407"/>
        <w:spacing w:after="0" w:line="239" w:lineRule="auto"/>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approval of an amendment to our Amended and Restated Certfcate of Incorporaton to efect a 5-for-1 “forward” stock split with a corresponding increase in the authorized number of shares of our common stock;</w:t>
      </w:r>
    </w:p>
    <w:p>
      <w:pPr>
        <w:spacing w:after="0" w:line="120" w:lineRule="exact"/>
        <w:rPr>
          <w:rFonts w:ascii="Calibri" w:cs="Calibri" w:eastAsia="Calibri" w:hAnsi="Calibri"/>
          <w:sz w:val="17"/>
          <w:szCs w:val="17"/>
          <w:color w:val="auto"/>
        </w:rPr>
      </w:pPr>
    </w:p>
    <w:p>
      <w:pPr>
        <w:ind w:left="1140" w:hanging="407"/>
        <w:spacing w:after="0" w:line="239" w:lineRule="auto"/>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approval of an amendment to our Amended and Restated Certfcate of Incorporaton to allow for the removal of directors with or without cause by the afrmatve vote of holders of a majority of the total outstanding shares of common stock; and</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transacton of such other business as may properly come before the Annual Meetng or any adjournment or postponement thereof.</w:t>
      </w:r>
    </w:p>
    <w:p>
      <w:pPr>
        <w:spacing w:after="0" w:line="288" w:lineRule="exact"/>
        <w:rPr>
          <w:sz w:val="20"/>
          <w:szCs w:val="20"/>
          <w:color w:val="auto"/>
        </w:rPr>
      </w:pPr>
    </w:p>
    <w:p>
      <w:pPr>
        <w:jc w:val="both"/>
        <w:ind w:left="320" w:right="140"/>
        <w:spacing w:after="0" w:line="262" w:lineRule="auto"/>
        <w:rPr>
          <w:sz w:val="20"/>
          <w:szCs w:val="20"/>
          <w:color w:val="auto"/>
        </w:rPr>
      </w:pPr>
      <w:r>
        <w:rPr>
          <w:rFonts w:ascii="Calibri" w:cs="Calibri" w:eastAsia="Calibri" w:hAnsi="Calibri"/>
          <w:sz w:val="16"/>
          <w:szCs w:val="16"/>
          <w:color w:val="auto"/>
        </w:rPr>
        <w:t>We will hold our Annual Meetng in virtual format only, via live audio webcast (rather than at any physical locaton) on June 20, 2023 at 8:30 AM, Eastern Time. Our virtual meetng platorm will allow for full partcipaton as if you were atending physically. You or your proxyholder may partcipate, vote, and examine our stockholder list at the Annual Meetng by visitng www.virtualshareholdermeetng.com/EXLS2023 and using your 16-digit control number.</w:t>
      </w:r>
    </w:p>
    <w:p>
      <w:pPr>
        <w:spacing w:after="0" w:line="25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you are a stockholder of record at the close of business on April 21, 2023, the record date for the Annual Meetng, you are enttled to vote at the Annual Meetng. A list of stockholders as of the record date will be available for examinaton for any purpose germane to the Annual Meetng, during ordinary business hours, at the Company’s executve ofces at 320 Park Avenue, 29</w:t>
      </w:r>
      <w:r>
        <w:rPr>
          <w:rFonts w:ascii="Calibri" w:cs="Calibri" w:eastAsia="Calibri" w:hAnsi="Calibri"/>
          <w:sz w:val="13"/>
          <w:szCs w:val="13"/>
          <w:color w:val="auto"/>
        </w:rPr>
        <w:t>th</w:t>
      </w:r>
      <w:r>
        <w:rPr>
          <w:rFonts w:ascii="Calibri" w:cs="Calibri" w:eastAsia="Calibri" w:hAnsi="Calibri"/>
          <w:sz w:val="17"/>
          <w:szCs w:val="17"/>
          <w:color w:val="auto"/>
        </w:rPr>
        <w:t xml:space="preserve"> Floor, New York, New York 10022, for a period of 10 days prior to the date of the Annual Meetng and at the Annual Meetng itself. If our corporate headquarters are closed during the 10 days prior to the Annual Meetng, you may send a writen request to the Corporate Secretary at our corporate headquarters, and we will arrange a method for you to inspect the list. The list of stockholders will also be available during the Annual Meetng at www.virtualshareholdermeetng.com/EXLS2023.</w:t>
      </w:r>
    </w:p>
    <w:p>
      <w:pPr>
        <w:spacing w:after="0" w:line="316"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b w:val="1"/>
          <w:bCs w:val="1"/>
          <w:color w:val="auto"/>
        </w:rPr>
        <w:t>Please note the technical requirements for virtual atendance at the Annual Meetng, as described in the enclosed Proxy Statement beginning on page 128 under the heading “Annual Meetng Q&amp;A.”</w:t>
      </w:r>
    </w:p>
    <w:p>
      <w:pPr>
        <w:spacing w:after="0" w:line="211"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Pursuant to rules promulgated by the Securites and Exchange Commission, we are providing access to our proxy materials over the Internet. On or about April 28, 2023, we will mail a Notce of Internet Availability of Proxy Materials (the “Internet Notce”) to each of our stockholders of record and benefcial owners at the close of business on the record date. On the date of mailing of the</w:t>
      </w:r>
    </w:p>
    <w:p>
      <w:pPr>
        <w:spacing w:after="0" w:line="129" w:lineRule="exact"/>
        <w:rPr>
          <w:sz w:val="20"/>
          <w:szCs w:val="20"/>
          <w:color w:val="auto"/>
        </w:rPr>
      </w:pPr>
    </w:p>
    <w:p>
      <w:pPr>
        <w:ind w:left="420"/>
        <w:spacing w:after="0"/>
        <w:tabs>
          <w:tab w:leader="none" w:pos="820" w:val="left"/>
          <w:tab w:leader="none" w:pos="1160" w:val="left"/>
        </w:tabs>
        <w:rPr>
          <w:sz w:val="20"/>
          <w:szCs w:val="20"/>
          <w:color w:val="auto"/>
        </w:rPr>
      </w:pPr>
      <w:r>
        <w:rPr>
          <w:rFonts w:ascii="Calibri" w:cs="Calibri" w:eastAsia="Calibri" w:hAnsi="Calibri"/>
          <w:sz w:val="17"/>
          <w:szCs w:val="17"/>
          <w:b w:val="1"/>
          <w:bCs w:val="1"/>
          <w:color w:val="auto"/>
        </w:rPr>
        <w:t>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8"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Internet Notce, all stockholders and benefcial owners will have the ability to access all of the proxy materials on a website referred to in the Internet Notce. These proxy materials will be available free of charge.</w:t>
      </w: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expect to atend the Annual Meetng, the Company encourages you to promptly vote and submit your proxy (i) by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Votng by proxy will not deprive you of the right to atend the Annual Meetng or to vote your shares. You can revoke a proxy at any tme before it is exercised by votng at the Annual Meetng, by delivering a subsequent proxy or by notfying the inspector of electons in writng of such revocaton prior to the Annual Meetng.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27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20320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28,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260"/>
        <w:spacing w:after="0"/>
        <w:tabs>
          <w:tab w:leader="none" w:pos="10240" w:val="left"/>
          <w:tab w:leader="none" w:pos="106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5"/>
          <w:szCs w:val="15"/>
          <w:b w:val="1"/>
          <w:bCs w:val="1"/>
          <w:color w:val="auto"/>
        </w:rPr>
        <w:t>5</w:t>
      </w:r>
    </w:p>
    <w:p>
      <w:pPr>
        <w:sectPr>
          <w:pgSz w:w="11900" w:h="16838" w:orient="portrait"/>
          <w:cols w:equalWidth="0" w:num="1">
            <w:col w:w="10880"/>
          </w:cols>
          <w:pgMar w:left="320" w:top="471"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2023 Proxy Statement</w:t>
      </w: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28"/>
          <w:szCs w:val="28"/>
          <w:b w:val="1"/>
          <w:bCs w:val="1"/>
          <w:color w:val="auto"/>
        </w:rPr>
        <w:t>Table of contents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Borders>
              <w:bottom w:val="single" w:sz="8" w:color="0000EE"/>
            </w:tcBorders>
            <w:gridSpan w:val="12"/>
          </w:tcPr>
          <w:p>
            <w:pPr>
              <w:spacing w:after="0"/>
              <w:rPr>
                <w:sz w:val="20"/>
                <w:szCs w:val="20"/>
                <w:color w:val="auto"/>
              </w:rPr>
            </w:pPr>
            <w:r>
              <w:rPr>
                <w:rFonts w:ascii="Calibri" w:cs="Calibri" w:eastAsia="Calibri" w:hAnsi="Calibri"/>
                <w:sz w:val="16"/>
                <w:szCs w:val="16"/>
                <w:b w:val="1"/>
                <w:bCs w:val="1"/>
                <w:color w:val="0000EE"/>
                <w:w w:val="96"/>
              </w:rPr>
              <w:t>2023 Proxy Statement Summary</w:t>
            </w:r>
          </w:p>
        </w:tc>
        <w:tc>
          <w:tcPr>
            <w:tcW w:w="5540" w:type="dxa"/>
            <w:vAlign w:val="bottom"/>
            <w:gridSpan w:val="15"/>
          </w:tcPr>
          <w:p>
            <w:pPr>
              <w:spacing w:after="0"/>
              <w:rPr>
                <w:sz w:val="16"/>
                <w:szCs w:val="16"/>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7</w:t>
            </w:r>
          </w:p>
        </w:tc>
      </w:tr>
      <w:tr>
        <w:trPr>
          <w:trHeight w:val="279"/>
        </w:trPr>
        <w:tc>
          <w:tcPr>
            <w:tcW w:w="1460" w:type="dxa"/>
            <w:vAlign w:val="bottom"/>
            <w:tcBorders>
              <w:bottom w:val="single" w:sz="8" w:color="0000EE"/>
            </w:tcBorders>
            <w:gridSpan w:val="7"/>
          </w:tcPr>
          <w:p>
            <w:pPr>
              <w:spacing w:after="0"/>
              <w:rPr>
                <w:sz w:val="20"/>
                <w:szCs w:val="20"/>
                <w:color w:val="auto"/>
              </w:rPr>
            </w:pPr>
            <w:r>
              <w:rPr>
                <w:rFonts w:ascii="Calibri" w:cs="Calibri" w:eastAsia="Calibri" w:hAnsi="Calibri"/>
                <w:sz w:val="16"/>
                <w:szCs w:val="16"/>
                <w:b w:val="1"/>
                <w:bCs w:val="1"/>
                <w:color w:val="0000EE"/>
                <w:w w:val="97"/>
              </w:rPr>
              <w:t>Our board of directors</w:t>
            </w:r>
          </w:p>
        </w:tc>
        <w:tc>
          <w:tcPr>
            <w:tcW w:w="616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20</w:t>
            </w:r>
          </w:p>
        </w:tc>
      </w:tr>
      <w:tr>
        <w:trPr>
          <w:trHeight w:val="279"/>
        </w:trPr>
        <w:tc>
          <w:tcPr>
            <w:tcW w:w="1440" w:type="dxa"/>
            <w:vAlign w:val="bottom"/>
            <w:tcBorders>
              <w:bottom w:val="single" w:sz="8" w:color="0000EE"/>
            </w:tcBorders>
            <w:gridSpan w:val="6"/>
          </w:tcPr>
          <w:p>
            <w:pPr>
              <w:spacing w:after="0"/>
              <w:rPr>
                <w:sz w:val="20"/>
                <w:szCs w:val="20"/>
                <w:color w:val="auto"/>
              </w:rPr>
            </w:pPr>
            <w:r>
              <w:rPr>
                <w:rFonts w:ascii="Calibri" w:cs="Calibri" w:eastAsia="Calibri" w:hAnsi="Calibri"/>
                <w:sz w:val="16"/>
                <w:szCs w:val="16"/>
                <w:b w:val="1"/>
                <w:bCs w:val="1"/>
                <w:color w:val="0000EE"/>
                <w:w w:val="95"/>
              </w:rPr>
              <w:t>Corporate governance</w:t>
            </w:r>
          </w:p>
        </w:tc>
        <w:tc>
          <w:tcPr>
            <w:tcW w:w="6180" w:type="dxa"/>
            <w:vAlign w:val="bottom"/>
            <w:gridSpan w:val="21"/>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30</w:t>
            </w:r>
          </w:p>
        </w:tc>
      </w:tr>
      <w:tr>
        <w:trPr>
          <w:trHeight w:val="279"/>
        </w:trPr>
        <w:tc>
          <w:tcPr>
            <w:tcW w:w="880" w:type="dxa"/>
            <w:vAlign w:val="bottom"/>
            <w:tcBorders>
              <w:bottom w:val="single" w:sz="8" w:color="0000EE"/>
            </w:tcBorders>
            <w:gridSpan w:val="3"/>
          </w:tcPr>
          <w:p>
            <w:pPr>
              <w:spacing w:after="0"/>
              <w:rPr>
                <w:sz w:val="20"/>
                <w:szCs w:val="20"/>
                <w:color w:val="auto"/>
              </w:rPr>
            </w:pPr>
            <w:r>
              <w:rPr>
                <w:rFonts w:ascii="Calibri" w:cs="Calibri" w:eastAsia="Calibri" w:hAnsi="Calibri"/>
                <w:sz w:val="16"/>
                <w:szCs w:val="16"/>
                <w:b w:val="1"/>
                <w:bCs w:val="1"/>
                <w:color w:val="0000EE"/>
                <w:w w:val="95"/>
              </w:rPr>
              <w:t>Sustainability</w:t>
            </w:r>
          </w:p>
        </w:tc>
        <w:tc>
          <w:tcPr>
            <w:tcW w:w="6740" w:type="dxa"/>
            <w:vAlign w:val="bottom"/>
            <w:gridSpan w:val="24"/>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48</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Our executve ofcers</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61</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Executve compensaton</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7460" w:type="dxa"/>
            <w:vAlign w:val="bottom"/>
            <w:gridSpan w:val="26"/>
          </w:tcPr>
          <w:p>
            <w:pPr>
              <w:spacing w:after="0"/>
              <w:rPr>
                <w:sz w:val="20"/>
                <w:szCs w:val="20"/>
                <w:color w:val="auto"/>
              </w:rPr>
            </w:pPr>
            <w:r>
              <w:rPr>
                <w:rFonts w:ascii="Calibri" w:cs="Calibri" w:eastAsia="Calibri" w:hAnsi="Calibri"/>
                <w:sz w:val="16"/>
                <w:szCs w:val="16"/>
                <w:color w:val="0000EE"/>
              </w:rPr>
              <w:t>Compensaton Discussion and Analysis</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0"/>
        </w:trPr>
        <w:tc>
          <w:tcPr>
            <w:tcW w:w="1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3700" w:type="dxa"/>
            <w:vAlign w:val="bottom"/>
            <w:tcBorders>
              <w:bottom w:val="single" w:sz="8" w:color="0000EE"/>
            </w:tcBorders>
            <w:gridSpan w:val="16"/>
          </w:tcPr>
          <w:p>
            <w:pPr>
              <w:spacing w:after="0"/>
              <w:rPr>
                <w:sz w:val="20"/>
                <w:szCs w:val="20"/>
                <w:color w:val="auto"/>
              </w:rPr>
            </w:pPr>
            <w:r>
              <w:rPr>
                <w:rFonts w:ascii="Calibri" w:cs="Calibri" w:eastAsia="Calibri" w:hAnsi="Calibri"/>
                <w:sz w:val="16"/>
                <w:szCs w:val="16"/>
                <w:color w:val="0000EE"/>
                <w:w w:val="98"/>
              </w:rPr>
              <w:t>Compensaton and Talent Management Commitee Report</w:t>
            </w:r>
          </w:p>
        </w:tc>
        <w:tc>
          <w:tcPr>
            <w:tcW w:w="37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86</w:t>
            </w:r>
          </w:p>
        </w:tc>
      </w:tr>
      <w:tr>
        <w:trPr>
          <w:trHeight w:val="279"/>
        </w:trPr>
        <w:tc>
          <w:tcPr>
            <w:tcW w:w="160" w:type="dxa"/>
            <w:vAlign w:val="bottom"/>
          </w:tcPr>
          <w:p>
            <w:pPr>
              <w:spacing w:after="0"/>
              <w:rPr>
                <w:sz w:val="24"/>
                <w:szCs w:val="24"/>
                <w:color w:val="auto"/>
              </w:rPr>
            </w:pPr>
          </w:p>
        </w:tc>
        <w:tc>
          <w:tcPr>
            <w:tcW w:w="7460" w:type="dxa"/>
            <w:vAlign w:val="bottom"/>
            <w:gridSpan w:val="26"/>
          </w:tcPr>
          <w:p>
            <w:pPr>
              <w:spacing w:after="0"/>
              <w:rPr>
                <w:sz w:val="20"/>
                <w:szCs w:val="20"/>
                <w:color w:val="auto"/>
              </w:rPr>
            </w:pPr>
            <w:r>
              <w:rPr>
                <w:rFonts w:ascii="Calibri" w:cs="Calibri" w:eastAsia="Calibri" w:hAnsi="Calibri"/>
                <w:sz w:val="16"/>
                <w:szCs w:val="16"/>
                <w:color w:val="0000EE"/>
              </w:rPr>
              <w:t>Summary compensaton table for fscal year 2022</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87</w:t>
            </w:r>
          </w:p>
        </w:tc>
      </w:tr>
      <w:tr>
        <w:trPr>
          <w:trHeight w:val="20"/>
        </w:trPr>
        <w:tc>
          <w:tcPr>
            <w:tcW w:w="1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Stock ownership of directors, executve ofcers and certain benefcial owners</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79"/>
        </w:trPr>
        <w:tc>
          <w:tcPr>
            <w:tcW w:w="4980" w:type="dxa"/>
            <w:vAlign w:val="bottom"/>
            <w:tcBorders>
              <w:top w:val="single" w:sz="8" w:color="0000EE"/>
            </w:tcBorders>
            <w:gridSpan w:val="18"/>
          </w:tcPr>
          <w:p>
            <w:pPr>
              <w:spacing w:after="0"/>
              <w:rPr>
                <w:sz w:val="20"/>
                <w:szCs w:val="20"/>
                <w:color w:val="auto"/>
              </w:rPr>
            </w:pPr>
            <w:r>
              <w:rPr>
                <w:rFonts w:ascii="Calibri" w:cs="Calibri" w:eastAsia="Calibri" w:hAnsi="Calibri"/>
                <w:sz w:val="16"/>
                <w:szCs w:val="16"/>
                <w:b w:val="1"/>
                <w:bCs w:val="1"/>
                <w:color w:val="0000EE"/>
              </w:rPr>
              <w:t>Certain relatonships and related person transactons</w:t>
            </w:r>
          </w:p>
        </w:tc>
        <w:tc>
          <w:tcPr>
            <w:tcW w:w="26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9"/>
        </w:trPr>
        <w:tc>
          <w:tcPr>
            <w:tcW w:w="1580" w:type="dxa"/>
            <w:vAlign w:val="bottom"/>
            <w:tcBorders>
              <w:top w:val="single" w:sz="8" w:color="0000EE"/>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8"/>
              </w:rPr>
              <w:t>Audit Commitee Report</w:t>
            </w:r>
          </w:p>
        </w:tc>
        <w:tc>
          <w:tcPr>
            <w:tcW w:w="1840" w:type="dxa"/>
            <w:vAlign w:val="bottom"/>
            <w:tcBorders>
              <w:top w:val="single" w:sz="8" w:color="0000EE"/>
            </w:tcBorders>
            <w:gridSpan w:val="7"/>
          </w:tcPr>
          <w:p>
            <w:pPr>
              <w:spacing w:after="0"/>
              <w:rPr>
                <w:sz w:val="24"/>
                <w:szCs w:val="24"/>
                <w:color w:val="auto"/>
              </w:rPr>
            </w:pPr>
          </w:p>
        </w:tc>
        <w:tc>
          <w:tcPr>
            <w:tcW w:w="420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Proposal 1 — Electon of directors</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115</w:t>
            </w:r>
          </w:p>
        </w:tc>
      </w:tr>
      <w:tr>
        <w:trPr>
          <w:trHeight w:val="20"/>
        </w:trPr>
        <w:tc>
          <w:tcPr>
            <w:tcW w:w="9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Proposal 2 — Ratfcaton of the appointment of independent registered public accountng frm</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117</w:t>
            </w:r>
          </w:p>
        </w:tc>
      </w:tr>
      <w:tr>
        <w:trPr>
          <w:trHeight w:val="279"/>
        </w:trPr>
        <w:tc>
          <w:tcPr>
            <w:tcW w:w="5040" w:type="dxa"/>
            <w:vAlign w:val="bottom"/>
            <w:tcBorders>
              <w:top w:val="single" w:sz="8" w:color="0000EE"/>
              <w:bottom w:val="single" w:sz="8" w:color="0000EE"/>
            </w:tcBorders>
            <w:gridSpan w:val="20"/>
          </w:tcPr>
          <w:p>
            <w:pPr>
              <w:spacing w:after="0"/>
              <w:rPr>
                <w:sz w:val="20"/>
                <w:szCs w:val="20"/>
                <w:color w:val="auto"/>
              </w:rPr>
            </w:pPr>
            <w:r>
              <w:rPr>
                <w:rFonts w:ascii="Calibri" w:cs="Calibri" w:eastAsia="Calibri" w:hAnsi="Calibri"/>
                <w:sz w:val="16"/>
                <w:szCs w:val="16"/>
                <w:b w:val="1"/>
                <w:bCs w:val="1"/>
                <w:color w:val="0000EE"/>
                <w:w w:val="98"/>
              </w:rPr>
              <w:t>Proposal 3 — Advisory (non-binding) vote to approve executve compensaton</w:t>
            </w:r>
          </w:p>
        </w:tc>
        <w:tc>
          <w:tcPr>
            <w:tcW w:w="1080" w:type="dxa"/>
            <w:vAlign w:val="bottom"/>
            <w:tcBorders>
              <w:top w:val="single" w:sz="8" w:color="0000EE"/>
            </w:tcBorders>
          </w:tcPr>
          <w:p>
            <w:pPr>
              <w:spacing w:after="0"/>
              <w:rPr>
                <w:sz w:val="24"/>
                <w:szCs w:val="24"/>
                <w:color w:val="auto"/>
              </w:rPr>
            </w:pPr>
          </w:p>
        </w:tc>
        <w:tc>
          <w:tcPr>
            <w:tcW w:w="15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119</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w w:val="99"/>
              </w:rPr>
              <w:t>Proposal 4 — Advisory (non-binding) vote on how frequently stockholders should vote to approve compensaton of</w:t>
            </w:r>
          </w:p>
        </w:tc>
        <w:tc>
          <w:tcPr>
            <w:tcW w:w="300" w:type="dxa"/>
            <w:vAlign w:val="bottom"/>
          </w:tcPr>
          <w:p>
            <w:pPr>
              <w:spacing w:after="0"/>
              <w:rPr>
                <w:sz w:val="24"/>
                <w:szCs w:val="24"/>
                <w:color w:val="auto"/>
              </w:rPr>
            </w:pPr>
          </w:p>
        </w:tc>
      </w:tr>
      <w:tr>
        <w:trPr>
          <w:trHeight w:val="175"/>
        </w:trPr>
        <w:tc>
          <w:tcPr>
            <w:tcW w:w="160" w:type="dxa"/>
            <w:vAlign w:val="bottom"/>
            <w:tcBorders>
              <w:top w:val="single" w:sz="8" w:color="0000EE"/>
            </w:tcBorders>
          </w:tcPr>
          <w:p>
            <w:pPr>
              <w:spacing w:after="0"/>
              <w:rPr>
                <w:sz w:val="15"/>
                <w:szCs w:val="15"/>
                <w:color w:val="auto"/>
              </w:rPr>
            </w:pPr>
          </w:p>
        </w:tc>
        <w:tc>
          <w:tcPr>
            <w:tcW w:w="1860" w:type="dxa"/>
            <w:vAlign w:val="bottom"/>
            <w:tcBorders>
              <w:top w:val="single" w:sz="8" w:color="0000EE"/>
              <w:bottom w:val="single" w:sz="8" w:color="0000EE"/>
            </w:tcBorders>
            <w:gridSpan w:val="10"/>
          </w:tcPr>
          <w:p>
            <w:pPr>
              <w:spacing w:after="0" w:line="175" w:lineRule="exact"/>
              <w:rPr>
                <w:sz w:val="20"/>
                <w:szCs w:val="20"/>
                <w:color w:val="auto"/>
              </w:rPr>
            </w:pPr>
            <w:r>
              <w:rPr>
                <w:rFonts w:ascii="Calibri" w:cs="Calibri" w:eastAsia="Calibri" w:hAnsi="Calibri"/>
                <w:sz w:val="16"/>
                <w:szCs w:val="16"/>
                <w:b w:val="1"/>
                <w:bCs w:val="1"/>
                <w:color w:val="0000EE"/>
              </w:rPr>
              <w:t>the named executve ofcers</w:t>
            </w:r>
          </w:p>
        </w:tc>
        <w:tc>
          <w:tcPr>
            <w:tcW w:w="5420" w:type="dxa"/>
            <w:vAlign w:val="bottom"/>
            <w:tcBorders>
              <w:top w:val="single" w:sz="8" w:color="0000EE"/>
            </w:tcBorders>
            <w:gridSpan w:val="12"/>
          </w:tcPr>
          <w:p>
            <w:pPr>
              <w:spacing w:after="0"/>
              <w:rPr>
                <w:sz w:val="15"/>
                <w:szCs w:val="15"/>
                <w:color w:val="auto"/>
              </w:rPr>
            </w:pPr>
          </w:p>
        </w:tc>
        <w:tc>
          <w:tcPr>
            <w:tcW w:w="180" w:type="dxa"/>
            <w:vAlign w:val="bottom"/>
            <w:gridSpan w:val="4"/>
          </w:tcPr>
          <w:p>
            <w:pPr>
              <w:spacing w:after="0"/>
              <w:rPr>
                <w:sz w:val="15"/>
                <w:szCs w:val="15"/>
                <w:color w:val="auto"/>
              </w:rPr>
            </w:pPr>
          </w:p>
        </w:tc>
        <w:tc>
          <w:tcPr>
            <w:tcW w:w="300" w:type="dxa"/>
            <w:vAlign w:val="bottom"/>
          </w:tcPr>
          <w:p>
            <w:pPr>
              <w:jc w:val="right"/>
              <w:spacing w:after="0" w:line="175" w:lineRule="exact"/>
              <w:rPr>
                <w:sz w:val="20"/>
                <w:szCs w:val="20"/>
                <w:color w:val="auto"/>
              </w:rPr>
            </w:pPr>
            <w:r>
              <w:rPr>
                <w:rFonts w:ascii="Calibri" w:cs="Calibri" w:eastAsia="Calibri" w:hAnsi="Calibri"/>
                <w:sz w:val="16"/>
                <w:szCs w:val="16"/>
                <w:color w:val="auto"/>
              </w:rPr>
              <w:t>121</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w w:val="99"/>
              </w:rPr>
              <w:t>Proposal 5 — Approval of an Amendment to our Amended and Restated Certfcate of Incorporaton to efect a 5-for-</w:t>
            </w:r>
          </w:p>
        </w:tc>
        <w:tc>
          <w:tcPr>
            <w:tcW w:w="300" w:type="dxa"/>
            <w:vAlign w:val="bottom"/>
          </w:tcPr>
          <w:p>
            <w:pPr>
              <w:spacing w:after="0"/>
              <w:rPr>
                <w:sz w:val="24"/>
                <w:szCs w:val="24"/>
                <w:color w:val="auto"/>
              </w:rPr>
            </w:pPr>
          </w:p>
        </w:tc>
      </w:tr>
      <w:tr>
        <w:trPr>
          <w:trHeight w:val="175"/>
        </w:trPr>
        <w:tc>
          <w:tcPr>
            <w:tcW w:w="160" w:type="dxa"/>
            <w:vAlign w:val="bottom"/>
            <w:tcBorders>
              <w:top w:val="single" w:sz="8" w:color="0000EE"/>
            </w:tcBorders>
          </w:tcPr>
          <w:p>
            <w:pPr>
              <w:spacing w:after="0"/>
              <w:rPr>
                <w:sz w:val="15"/>
                <w:szCs w:val="15"/>
                <w:color w:val="auto"/>
              </w:rPr>
            </w:pPr>
          </w:p>
        </w:tc>
        <w:tc>
          <w:tcPr>
            <w:tcW w:w="7140" w:type="dxa"/>
            <w:vAlign w:val="bottom"/>
            <w:tcBorders>
              <w:top w:val="single" w:sz="8" w:color="0000EE"/>
              <w:bottom w:val="single" w:sz="8" w:color="0000EE"/>
            </w:tcBorders>
            <w:gridSpan w:val="21"/>
          </w:tcPr>
          <w:p>
            <w:pPr>
              <w:spacing w:after="0" w:line="175" w:lineRule="exact"/>
              <w:rPr>
                <w:sz w:val="20"/>
                <w:szCs w:val="20"/>
                <w:color w:val="auto"/>
              </w:rPr>
            </w:pPr>
            <w:r>
              <w:rPr>
                <w:rFonts w:ascii="Calibri" w:cs="Calibri" w:eastAsia="Calibri" w:hAnsi="Calibri"/>
                <w:sz w:val="16"/>
                <w:szCs w:val="16"/>
                <w:b w:val="1"/>
                <w:bCs w:val="1"/>
                <w:color w:val="0000EE"/>
                <w:w w:val="96"/>
              </w:rPr>
              <w:t>1 “forward” stock split with a corresponding increase in the authorized number of shares of our common stock</w:t>
            </w:r>
          </w:p>
        </w:tc>
        <w:tc>
          <w:tcPr>
            <w:tcW w:w="220" w:type="dxa"/>
            <w:vAlign w:val="bottom"/>
            <w:tcBorders>
              <w:top w:val="single" w:sz="8" w:color="0000EE"/>
            </w:tcBorders>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300" w:type="dxa"/>
            <w:vAlign w:val="bottom"/>
          </w:tcPr>
          <w:p>
            <w:pPr>
              <w:jc w:val="right"/>
              <w:spacing w:after="0" w:line="175" w:lineRule="exact"/>
              <w:rPr>
                <w:sz w:val="20"/>
                <w:szCs w:val="20"/>
                <w:color w:val="auto"/>
              </w:rPr>
            </w:pPr>
            <w:r>
              <w:rPr>
                <w:rFonts w:ascii="Calibri" w:cs="Calibri" w:eastAsia="Calibri" w:hAnsi="Calibri"/>
                <w:sz w:val="16"/>
                <w:szCs w:val="16"/>
                <w:color w:val="auto"/>
              </w:rPr>
              <w:t>122</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Proposal 6 — Approval of an Amendment to our Amended and Restated Certfcate of Incorporaton to allow for the</w:t>
            </w:r>
          </w:p>
        </w:tc>
        <w:tc>
          <w:tcPr>
            <w:tcW w:w="300" w:type="dxa"/>
            <w:vAlign w:val="bottom"/>
          </w:tcPr>
          <w:p>
            <w:pPr>
              <w:spacing w:after="0"/>
              <w:rPr>
                <w:sz w:val="24"/>
                <w:szCs w:val="2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3280" w:type="dxa"/>
            <w:vAlign w:val="bottom"/>
            <w:gridSpan w:val="9"/>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7460" w:type="dxa"/>
            <w:vAlign w:val="bottom"/>
            <w:gridSpan w:val="26"/>
          </w:tcPr>
          <w:p>
            <w:pPr>
              <w:spacing w:after="0" w:line="175" w:lineRule="exact"/>
              <w:rPr>
                <w:sz w:val="20"/>
                <w:szCs w:val="20"/>
                <w:color w:val="auto"/>
              </w:rPr>
            </w:pPr>
            <w:r>
              <w:rPr>
                <w:rFonts w:ascii="Calibri" w:cs="Calibri" w:eastAsia="Calibri" w:hAnsi="Calibri"/>
                <w:sz w:val="16"/>
                <w:szCs w:val="16"/>
                <w:b w:val="1"/>
                <w:bCs w:val="1"/>
                <w:color w:val="0000EE"/>
                <w:w w:val="99"/>
              </w:rPr>
              <w:t>removal of directors with or without cause by the afrmatve vote of holders of a majority of the total outstanding</w:t>
            </w:r>
          </w:p>
        </w:tc>
        <w:tc>
          <w:tcPr>
            <w:tcW w:w="300" w:type="dxa"/>
            <w:vAlign w:val="bottom"/>
          </w:tcPr>
          <w:p>
            <w:pPr>
              <w:spacing w:after="0"/>
              <w:rPr>
                <w:sz w:val="15"/>
                <w:szCs w:val="15"/>
                <w:color w:val="auto"/>
              </w:rPr>
            </w:pPr>
          </w:p>
        </w:tc>
      </w:tr>
      <w:tr>
        <w:trPr>
          <w:trHeight w:val="175"/>
        </w:trPr>
        <w:tc>
          <w:tcPr>
            <w:tcW w:w="160" w:type="dxa"/>
            <w:vAlign w:val="bottom"/>
          </w:tcPr>
          <w:p>
            <w:pPr>
              <w:spacing w:after="0"/>
              <w:rPr>
                <w:sz w:val="15"/>
                <w:szCs w:val="15"/>
                <w:color w:val="auto"/>
              </w:rPr>
            </w:pPr>
          </w:p>
        </w:tc>
        <w:tc>
          <w:tcPr>
            <w:tcW w:w="1560" w:type="dxa"/>
            <w:vAlign w:val="bottom"/>
            <w:tcBorders>
              <w:top w:val="single" w:sz="8" w:color="0000EE"/>
              <w:bottom w:val="single" w:sz="8" w:color="0000EE"/>
            </w:tcBorders>
            <w:gridSpan w:val="9"/>
          </w:tcPr>
          <w:p>
            <w:pPr>
              <w:spacing w:after="0" w:line="175" w:lineRule="exact"/>
              <w:rPr>
                <w:sz w:val="20"/>
                <w:szCs w:val="20"/>
                <w:color w:val="auto"/>
              </w:rPr>
            </w:pPr>
            <w:r>
              <w:rPr>
                <w:rFonts w:ascii="Calibri" w:cs="Calibri" w:eastAsia="Calibri" w:hAnsi="Calibri"/>
                <w:sz w:val="16"/>
                <w:szCs w:val="16"/>
                <w:b w:val="1"/>
                <w:bCs w:val="1"/>
                <w:color w:val="0000EE"/>
                <w:w w:val="95"/>
              </w:rPr>
              <w:t>shares of common stock</w:t>
            </w:r>
          </w:p>
        </w:tc>
        <w:tc>
          <w:tcPr>
            <w:tcW w:w="5820" w:type="dxa"/>
            <w:vAlign w:val="bottom"/>
            <w:tcBorders>
              <w:top w:val="single" w:sz="8" w:color="0000EE"/>
            </w:tcBorders>
            <w:gridSpan w:val="16"/>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line="175" w:lineRule="exact"/>
              <w:rPr>
                <w:sz w:val="20"/>
                <w:szCs w:val="20"/>
                <w:color w:val="auto"/>
              </w:rPr>
            </w:pPr>
            <w:r>
              <w:rPr>
                <w:rFonts w:ascii="Calibri" w:cs="Calibri" w:eastAsia="Calibri" w:hAnsi="Calibri"/>
                <w:sz w:val="16"/>
                <w:szCs w:val="16"/>
                <w:color w:val="auto"/>
              </w:rPr>
              <w:t>125</w:t>
            </w: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Miscellaneous</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126</w:t>
            </w:r>
          </w:p>
        </w:tc>
      </w:tr>
      <w:tr>
        <w:trPr>
          <w:trHeight w:val="20"/>
        </w:trPr>
        <w:tc>
          <w:tcPr>
            <w:tcW w:w="9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3600" w:type="dxa"/>
            <w:vAlign w:val="bottom"/>
            <w:gridSpan w:val="14"/>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9"/>
        </w:trPr>
        <w:tc>
          <w:tcPr>
            <w:tcW w:w="7620" w:type="dxa"/>
            <w:vAlign w:val="bottom"/>
            <w:gridSpan w:val="27"/>
          </w:tcPr>
          <w:p>
            <w:pPr>
              <w:spacing w:after="0"/>
              <w:rPr>
                <w:sz w:val="20"/>
                <w:szCs w:val="20"/>
                <w:color w:val="auto"/>
              </w:rPr>
            </w:pPr>
            <w:r>
              <w:rPr>
                <w:rFonts w:ascii="Calibri" w:cs="Calibri" w:eastAsia="Calibri" w:hAnsi="Calibri"/>
                <w:sz w:val="16"/>
                <w:szCs w:val="16"/>
                <w:b w:val="1"/>
                <w:bCs w:val="1"/>
                <w:color w:val="0000EE"/>
              </w:rPr>
              <w:t>Stockholder proposals and director nominatons for the 2024 Annual Meetng</w:t>
            </w:r>
          </w:p>
        </w:tc>
        <w:tc>
          <w:tcPr>
            <w:tcW w:w="300" w:type="dxa"/>
            <w:vAlign w:val="bottom"/>
          </w:tcPr>
          <w:p>
            <w:pPr>
              <w:jc w:val="right"/>
              <w:spacing w:after="0"/>
              <w:rPr>
                <w:sz w:val="20"/>
                <w:szCs w:val="20"/>
                <w:color w:val="auto"/>
              </w:rPr>
            </w:pPr>
            <w:r>
              <w:rPr>
                <w:rFonts w:ascii="Calibri" w:cs="Calibri" w:eastAsia="Calibri" w:hAnsi="Calibri"/>
                <w:sz w:val="16"/>
                <w:szCs w:val="16"/>
                <w:color w:val="auto"/>
              </w:rPr>
              <w:t>126</w:t>
            </w:r>
          </w:p>
        </w:tc>
      </w:tr>
      <w:tr>
        <w:trPr>
          <w:trHeight w:val="279"/>
        </w:trPr>
        <w:tc>
          <w:tcPr>
            <w:tcW w:w="5000" w:type="dxa"/>
            <w:vAlign w:val="bottom"/>
            <w:tcBorders>
              <w:top w:val="single" w:sz="8" w:color="0000EE"/>
            </w:tcBorders>
            <w:gridSpan w:val="19"/>
          </w:tcPr>
          <w:p>
            <w:pPr>
              <w:spacing w:after="0"/>
              <w:rPr>
                <w:sz w:val="20"/>
                <w:szCs w:val="20"/>
                <w:color w:val="auto"/>
              </w:rPr>
            </w:pPr>
            <w:r>
              <w:rPr>
                <w:rFonts w:ascii="Calibri" w:cs="Calibri" w:eastAsia="Calibri" w:hAnsi="Calibri"/>
                <w:sz w:val="16"/>
                <w:szCs w:val="16"/>
                <w:b w:val="1"/>
                <w:bCs w:val="1"/>
                <w:color w:val="0000EE"/>
              </w:rPr>
              <w:t>Annual Meetng Q&amp;A</w:t>
            </w:r>
          </w:p>
        </w:tc>
        <w:tc>
          <w:tcPr>
            <w:tcW w:w="26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128</w:t>
            </w:r>
          </w:p>
        </w:tc>
      </w:tr>
      <w:tr>
        <w:trPr>
          <w:trHeight w:val="279"/>
        </w:trPr>
        <w:tc>
          <w:tcPr>
            <w:tcW w:w="1400" w:type="dxa"/>
            <w:vAlign w:val="bottom"/>
            <w:tcBorders>
              <w:top w:val="single" w:sz="8" w:color="0000EE"/>
            </w:tcBorders>
            <w:gridSpan w:val="5"/>
          </w:tcPr>
          <w:p>
            <w:pPr>
              <w:spacing w:after="0"/>
              <w:rPr>
                <w:sz w:val="20"/>
                <w:szCs w:val="20"/>
                <w:color w:val="auto"/>
              </w:rPr>
            </w:pPr>
            <w:r>
              <w:rPr>
                <w:rFonts w:ascii="Calibri" w:cs="Calibri" w:eastAsia="Calibri" w:hAnsi="Calibri"/>
                <w:sz w:val="16"/>
                <w:szCs w:val="16"/>
                <w:b w:val="1"/>
                <w:bCs w:val="1"/>
                <w:color w:val="0000EE"/>
              </w:rPr>
              <w:t>Other maters</w:t>
            </w:r>
          </w:p>
        </w:tc>
        <w:tc>
          <w:tcPr>
            <w:tcW w:w="622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16"/>
                <w:szCs w:val="16"/>
                <w:color w:val="auto"/>
              </w:rPr>
              <w:t>134</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720" w:type="dxa"/>
            <w:vAlign w:val="bottom"/>
            <w:gridSpan w:val="2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29"/>
        </w:trPr>
        <w:tc>
          <w:tcPr>
            <w:tcW w:w="360" w:type="dxa"/>
            <w:vAlign w:val="bottom"/>
            <w:gridSpan w:val="2"/>
          </w:tcPr>
          <w:p>
            <w:pPr>
              <w:ind w:left="100"/>
              <w:spacing w:after="0"/>
              <w:rPr>
                <w:sz w:val="20"/>
                <w:szCs w:val="20"/>
                <w:color w:val="auto"/>
              </w:rPr>
            </w:pPr>
            <w:r>
              <w:rPr>
                <w:rFonts w:ascii="Calibri" w:cs="Calibri" w:eastAsia="Calibri" w:hAnsi="Calibri"/>
                <w:sz w:val="17"/>
                <w:szCs w:val="17"/>
                <w:b w:val="1"/>
                <w:bCs w:val="1"/>
                <w:color w:val="auto"/>
              </w:rPr>
              <w:t>6</w:t>
            </w:r>
          </w:p>
        </w:tc>
        <w:tc>
          <w:tcPr>
            <w:tcW w:w="7260" w:type="dxa"/>
            <w:vAlign w:val="bottom"/>
            <w:gridSpan w:val="25"/>
          </w:tcPr>
          <w:p>
            <w:pPr>
              <w:ind w:left="1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300" w:type="dxa"/>
            <w:vAlign w:val="bottom"/>
          </w:tcPr>
          <w:p>
            <w:pPr>
              <w:spacing w:after="0"/>
              <w:rPr>
                <w:sz w:val="24"/>
                <w:szCs w:val="24"/>
                <w:color w:val="auto"/>
              </w:rPr>
            </w:pPr>
          </w:p>
        </w:tc>
      </w:tr>
    </w:tbl>
    <w:p>
      <w:pPr>
        <w:sectPr>
          <w:pgSz w:w="11900" w:h="16838" w:orient="portrait"/>
          <w:cols w:equalWidth="0" w:num="1">
            <w:col w:w="10139"/>
          </w:cols>
          <w:pgMar w:left="320" w:top="47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ectPr>
          <w:pgSz w:w="11900" w:h="16838" w:orient="portrait"/>
          <w:cols w:equalWidth="0" w:num="1">
            <w:col w:w="10940"/>
          </w:cols>
          <w:pgMar w:left="320" w:top="471" w:right="639" w:bottom="10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2023 Proxy Statement summary</w:t>
      </w:r>
    </w:p>
    <w:p>
      <w:pPr>
        <w:spacing w:after="0" w:line="26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w:t>
      </w:r>
    </w:p>
    <w:p>
      <w:pPr>
        <w:spacing w:after="0" w:line="120" w:lineRule="exact"/>
        <w:rPr>
          <w:sz w:val="20"/>
          <w:szCs w:val="20"/>
          <w:color w:val="auto"/>
        </w:rPr>
      </w:pPr>
    </w:p>
    <w:p>
      <w:pPr>
        <w:ind w:left="320" w:right="60"/>
        <w:spacing w:after="0" w:line="236" w:lineRule="auto"/>
        <w:rPr>
          <w:sz w:val="20"/>
          <w:szCs w:val="20"/>
          <w:color w:val="auto"/>
        </w:rPr>
      </w:pPr>
      <w:r>
        <w:rPr>
          <w:rFonts w:ascii="Calibri" w:cs="Calibri" w:eastAsia="Calibri" w:hAnsi="Calibri"/>
          <w:sz w:val="14"/>
          <w:szCs w:val="14"/>
          <w:color w:val="auto"/>
        </w:rPr>
        <w:t>Below is a summary of select components of this Proxy Statement, including informaton regarding this year’s stockholder meetng, nominees for our board of directors, summary of our business, performance highlights and selectve executve compensaton informaton. This summary does not contain all of the informaton that you should consider prior to submitng your proxy, and you should review the entre Proxy Statement and our Annual Report on Form 10-K for the fscal year ended December 31, 2022 (the “2022 Form 10-K”). We refer to the fscal year ended December 31, 2022 as “fscal year 2022,” “fscal 2022,” and “2022.”</w:t>
      </w:r>
    </w:p>
    <w:p>
      <w:pPr>
        <w:spacing w:after="0" w:line="304" w:lineRule="exact"/>
        <w:rPr>
          <w:sz w:val="20"/>
          <w:szCs w:val="20"/>
          <w:color w:val="auto"/>
        </w:rPr>
      </w:pPr>
    </w:p>
    <w:p>
      <w:pPr>
        <w:ind w:left="320"/>
        <w:spacing w:after="0"/>
        <w:rPr>
          <w:sz w:val="20"/>
          <w:szCs w:val="20"/>
          <w:color w:val="auto"/>
        </w:rPr>
      </w:pPr>
      <w:r>
        <w:rPr>
          <w:rFonts w:ascii="Calibri" w:cs="Calibri" w:eastAsia="Calibri" w:hAnsi="Calibri"/>
          <w:sz w:val="23"/>
          <w:szCs w:val="23"/>
          <w:color w:val="auto"/>
        </w:rPr>
        <w:t>Meetng agenda, votng maters and recommendatons*</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780" w:type="dxa"/>
            <w:vAlign w:val="bottom"/>
          </w:tcPr>
          <w:p>
            <w:pPr>
              <w:spacing w:after="0"/>
              <w:rPr>
                <w:sz w:val="20"/>
                <w:szCs w:val="20"/>
                <w:color w:val="auto"/>
              </w:rPr>
            </w:pPr>
            <w:r>
              <w:rPr>
                <w:rFonts w:ascii="Calibri" w:cs="Calibri" w:eastAsia="Calibri" w:hAnsi="Calibri"/>
                <w:sz w:val="16"/>
                <w:szCs w:val="16"/>
                <w:b w:val="1"/>
                <w:bCs w:val="1"/>
                <w:color w:val="FB4E0B"/>
              </w:rPr>
              <w:t>Votng proposal item</w:t>
            </w:r>
          </w:p>
        </w:tc>
        <w:tc>
          <w:tcPr>
            <w:tcW w:w="3320" w:type="dxa"/>
            <w:vAlign w:val="bottom"/>
          </w:tcPr>
          <w:p>
            <w:pPr>
              <w:ind w:left="160"/>
              <w:spacing w:after="0"/>
              <w:rPr>
                <w:sz w:val="20"/>
                <w:szCs w:val="20"/>
                <w:color w:val="auto"/>
              </w:rPr>
            </w:pPr>
            <w:r>
              <w:rPr>
                <w:rFonts w:ascii="Calibri" w:cs="Calibri" w:eastAsia="Calibri" w:hAnsi="Calibri"/>
                <w:sz w:val="17"/>
                <w:szCs w:val="17"/>
                <w:b w:val="1"/>
                <w:bCs w:val="1"/>
                <w:color w:val="FB4E0B"/>
              </w:rPr>
              <w:t>Board vote recommendaton</w:t>
            </w:r>
          </w:p>
        </w:tc>
      </w:tr>
      <w:tr>
        <w:trPr>
          <w:trHeight w:val="94"/>
        </w:trPr>
        <w:tc>
          <w:tcPr>
            <w:tcW w:w="3780" w:type="dxa"/>
            <w:vAlign w:val="bottom"/>
            <w:tcBorders>
              <w:bottom w:val="single" w:sz="8" w:color="FB4E0B"/>
            </w:tcBorders>
          </w:tcPr>
          <w:p>
            <w:pPr>
              <w:spacing w:after="0"/>
              <w:rPr>
                <w:sz w:val="8"/>
                <w:szCs w:val="8"/>
                <w:color w:val="auto"/>
              </w:rPr>
            </w:pPr>
          </w:p>
        </w:tc>
        <w:tc>
          <w:tcPr>
            <w:tcW w:w="3320" w:type="dxa"/>
            <w:vAlign w:val="bottom"/>
            <w:tcBorders>
              <w:bottom w:val="single" w:sz="8" w:color="FB4E0B"/>
            </w:tcBorders>
          </w:tcPr>
          <w:p>
            <w:pPr>
              <w:spacing w:after="0"/>
              <w:rPr>
                <w:sz w:val="8"/>
                <w:szCs w:val="8"/>
                <w:color w:val="auto"/>
              </w:rPr>
            </w:pPr>
          </w:p>
        </w:tc>
      </w:tr>
      <w:tr>
        <w:trPr>
          <w:trHeight w:val="245"/>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1. Electon of directors</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the electon of each nominee</w:t>
            </w:r>
          </w:p>
        </w:tc>
      </w:tr>
      <w:tr>
        <w:trPr>
          <w:trHeight w:val="166"/>
        </w:trPr>
        <w:tc>
          <w:tcPr>
            <w:tcW w:w="3780" w:type="dxa"/>
            <w:vAlign w:val="bottom"/>
          </w:tcPr>
          <w:p>
            <w:pPr>
              <w:spacing w:after="0"/>
              <w:rPr>
                <w:sz w:val="14"/>
                <w:szCs w:val="14"/>
                <w:color w:val="auto"/>
              </w:rPr>
            </w:pPr>
          </w:p>
        </w:tc>
        <w:tc>
          <w:tcPr>
            <w:tcW w:w="3320" w:type="dxa"/>
            <w:vAlign w:val="bottom"/>
          </w:tcPr>
          <w:p>
            <w:pPr>
              <w:ind w:left="160"/>
              <w:spacing w:after="0" w:line="166" w:lineRule="exact"/>
              <w:rPr>
                <w:sz w:val="20"/>
                <w:szCs w:val="20"/>
                <w:color w:val="auto"/>
              </w:rPr>
            </w:pPr>
            <w:r>
              <w:rPr>
                <w:rFonts w:ascii="Calibri" w:cs="Calibri" w:eastAsia="Calibri" w:hAnsi="Calibri"/>
                <w:sz w:val="14"/>
                <w:szCs w:val="14"/>
                <w:color w:val="FB4E0B"/>
              </w:rPr>
              <w:t>(</w:t>
            </w:r>
            <w:r>
              <w:rPr>
                <w:rFonts w:ascii="Calibri" w:cs="Calibri" w:eastAsia="Calibri" w:hAnsi="Calibri"/>
                <w:sz w:val="14"/>
                <w:szCs w:val="14"/>
                <w:i w:val="1"/>
                <w:iCs w:val="1"/>
                <w:color w:val="FB4E0B"/>
              </w:rPr>
              <w:t>pg. 115</w:t>
            </w:r>
            <w:r>
              <w:rPr>
                <w:rFonts w:ascii="Calibri" w:cs="Calibri" w:eastAsia="Calibri" w:hAnsi="Calibri"/>
                <w:sz w:val="14"/>
                <w:szCs w:val="14"/>
                <w:color w:val="FB4E0B"/>
              </w:rPr>
              <w:t>)</w:t>
            </w:r>
          </w:p>
        </w:tc>
      </w:tr>
      <w:tr>
        <w:trPr>
          <w:trHeight w:val="394"/>
        </w:trPr>
        <w:tc>
          <w:tcPr>
            <w:tcW w:w="3780" w:type="dxa"/>
            <w:vAlign w:val="bottom"/>
          </w:tcPr>
          <w:p>
            <w:pPr>
              <w:spacing w:after="0"/>
              <w:rPr>
                <w:sz w:val="20"/>
                <w:szCs w:val="20"/>
                <w:color w:val="auto"/>
              </w:rPr>
            </w:pPr>
            <w:r>
              <w:rPr>
                <w:rFonts w:ascii="Calibri" w:cs="Calibri" w:eastAsia="Calibri" w:hAnsi="Calibri"/>
                <w:sz w:val="16"/>
                <w:szCs w:val="16"/>
                <w:i w:val="1"/>
                <w:iCs w:val="1"/>
                <w:color w:val="auto"/>
              </w:rPr>
              <w:t>Required vote: Afrmatve vote of a majority of votes cast</w:t>
            </w:r>
          </w:p>
        </w:tc>
        <w:tc>
          <w:tcPr>
            <w:tcW w:w="3320" w:type="dxa"/>
            <w:vAlign w:val="bottom"/>
          </w:tcPr>
          <w:p>
            <w:pPr>
              <w:spacing w:after="0"/>
              <w:rPr>
                <w:sz w:val="24"/>
                <w:szCs w:val="24"/>
                <w:color w:val="auto"/>
              </w:rPr>
            </w:pPr>
          </w:p>
        </w:tc>
      </w:tr>
      <w:tr>
        <w:trPr>
          <w:trHeight w:val="274"/>
        </w:trPr>
        <w:tc>
          <w:tcPr>
            <w:tcW w:w="3780" w:type="dxa"/>
            <w:vAlign w:val="bottom"/>
            <w:tcBorders>
              <w:bottom w:val="single" w:sz="8" w:color="auto"/>
            </w:tcBorders>
          </w:tcPr>
          <w:p>
            <w:pPr>
              <w:spacing w:after="0"/>
              <w:rPr>
                <w:sz w:val="23"/>
                <w:szCs w:val="23"/>
                <w:color w:val="auto"/>
              </w:rPr>
            </w:pPr>
          </w:p>
        </w:tc>
        <w:tc>
          <w:tcPr>
            <w:tcW w:w="3320" w:type="dxa"/>
            <w:vAlign w:val="bottom"/>
            <w:tcBorders>
              <w:bottom w:val="single" w:sz="8" w:color="auto"/>
            </w:tcBorders>
          </w:tcPr>
          <w:p>
            <w:pPr>
              <w:spacing w:after="0"/>
              <w:rPr>
                <w:sz w:val="23"/>
                <w:szCs w:val="23"/>
                <w:color w:val="auto"/>
              </w:rPr>
            </w:pPr>
          </w:p>
        </w:tc>
      </w:tr>
      <w:tr>
        <w:trPr>
          <w:trHeight w:val="252"/>
        </w:trPr>
        <w:tc>
          <w:tcPr>
            <w:tcW w:w="3780" w:type="dxa"/>
            <w:vAlign w:val="bottom"/>
          </w:tcPr>
          <w:p>
            <w:pPr>
              <w:spacing w:after="0"/>
              <w:rPr>
                <w:sz w:val="20"/>
                <w:szCs w:val="20"/>
                <w:color w:val="auto"/>
              </w:rPr>
            </w:pPr>
            <w:r>
              <w:rPr>
                <w:rFonts w:ascii="Calibri" w:cs="Calibri" w:eastAsia="Calibri" w:hAnsi="Calibri"/>
                <w:sz w:val="16"/>
                <w:szCs w:val="16"/>
                <w:b w:val="1"/>
                <w:bCs w:val="1"/>
                <w:color w:val="auto"/>
              </w:rPr>
              <w:t>2. Ratfcaton of appointment of independent</w:t>
            </w:r>
          </w:p>
        </w:tc>
        <w:tc>
          <w:tcPr>
            <w:tcW w:w="3320" w:type="dxa"/>
            <w:vAlign w:val="bottom"/>
          </w:tcPr>
          <w:p>
            <w:pPr>
              <w:ind w:left="160"/>
              <w:spacing w:after="0"/>
              <w:rPr>
                <w:sz w:val="20"/>
                <w:szCs w:val="20"/>
                <w:color w:val="auto"/>
              </w:rPr>
            </w:pP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117</w:t>
            </w:r>
            <w:r>
              <w:rPr>
                <w:rFonts w:ascii="Calibri" w:cs="Calibri" w:eastAsia="Calibri" w:hAnsi="Calibri"/>
                <w:sz w:val="14"/>
                <w:szCs w:val="14"/>
                <w:color w:val="FB4E0B"/>
              </w:rPr>
              <w:t>)</w:t>
            </w:r>
          </w:p>
        </w:tc>
      </w:tr>
      <w:tr>
        <w:trPr>
          <w:trHeight w:val="195"/>
        </w:trPr>
        <w:tc>
          <w:tcPr>
            <w:tcW w:w="3780" w:type="dxa"/>
            <w:vAlign w:val="bottom"/>
          </w:tcPr>
          <w:p>
            <w:pPr>
              <w:ind w:left="160"/>
              <w:spacing w:after="0"/>
              <w:rPr>
                <w:sz w:val="20"/>
                <w:szCs w:val="20"/>
                <w:color w:val="auto"/>
              </w:rPr>
            </w:pPr>
            <w:r>
              <w:rPr>
                <w:rFonts w:ascii="Calibri" w:cs="Calibri" w:eastAsia="Calibri" w:hAnsi="Calibri"/>
                <w:sz w:val="16"/>
                <w:szCs w:val="16"/>
                <w:b w:val="1"/>
                <w:bCs w:val="1"/>
                <w:color w:val="auto"/>
              </w:rPr>
              <w:t>registered public accountng frm</w:t>
            </w:r>
          </w:p>
        </w:tc>
        <w:tc>
          <w:tcPr>
            <w:tcW w:w="33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-923925</wp:posOffset>
            </wp:positionV>
            <wp:extent cx="148590"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-229870</wp:posOffset>
            </wp:positionV>
            <wp:extent cx="148590" cy="148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p>
      <w:pPr>
        <w:ind w:left="320"/>
        <w:spacing w:after="0"/>
        <w:tabs>
          <w:tab w:leader="none" w:pos="4240" w:val="left"/>
        </w:tabs>
        <w:rPr>
          <w:sz w:val="20"/>
          <w:szCs w:val="20"/>
          <w:color w:val="auto"/>
        </w:rPr>
      </w:pPr>
      <w:r>
        <w:rPr>
          <w:rFonts w:ascii="Calibri" w:cs="Calibri" w:eastAsia="Calibri" w:hAnsi="Calibri"/>
          <w:sz w:val="16"/>
          <w:szCs w:val="16"/>
          <w:b w:val="1"/>
          <w:bCs w:val="1"/>
          <w:color w:val="auto"/>
        </w:rPr>
        <w:t>3. Advisory (non-binding) Say-on-Pay vote to</w:t>
      </w:r>
      <w:r>
        <w:rPr>
          <w:sz w:val="20"/>
          <w:szCs w:val="20"/>
          <w:color w:val="auto"/>
        </w:rPr>
        <w:tab/>
      </w:r>
      <w:r>
        <w:rPr>
          <w:rFonts w:ascii="Calibri" w:cs="Calibri" w:eastAsia="Calibri" w:hAnsi="Calibri"/>
          <w:sz w:val="14"/>
          <w:szCs w:val="14"/>
          <w:b w:val="1"/>
          <w:bCs w:val="1"/>
          <w:color w:val="FB4E0B"/>
        </w:rPr>
        <w:t xml:space="preserve">FOR </w:t>
      </w:r>
      <w:r>
        <w:rPr>
          <w:rFonts w:ascii="Calibri" w:cs="Calibri" w:eastAsia="Calibri" w:hAnsi="Calibri"/>
          <w:sz w:val="14"/>
          <w:szCs w:val="14"/>
          <w:color w:val="FB4E0B"/>
        </w:rPr>
        <w:t>(</w:t>
      </w:r>
      <w:r>
        <w:rPr>
          <w:rFonts w:ascii="Calibri" w:cs="Calibri" w:eastAsia="Calibri" w:hAnsi="Calibri"/>
          <w:sz w:val="14"/>
          <w:szCs w:val="14"/>
          <w:i w:val="1"/>
          <w:iCs w:val="1"/>
          <w:color w:val="FB4E0B"/>
        </w:rPr>
        <w:t>pg. 119</w:t>
      </w:r>
      <w:r>
        <w:rPr>
          <w:rFonts w:ascii="Calibri" w:cs="Calibri" w:eastAsia="Calibri" w:hAnsi="Calibri"/>
          <w:sz w:val="14"/>
          <w:szCs w:val="14"/>
          <w:color w:val="FB4E0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-106045</wp:posOffset>
            </wp:positionV>
            <wp:extent cx="1485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ind w:left="480"/>
        <w:spacing w:after="0"/>
        <w:rPr>
          <w:sz w:val="20"/>
          <w:szCs w:val="20"/>
          <w:color w:val="auto"/>
        </w:rPr>
      </w:pPr>
      <w:r>
        <w:rPr>
          <w:rFonts w:ascii="Calibri" w:cs="Calibri" w:eastAsia="Calibri" w:hAnsi="Calibri"/>
          <w:sz w:val="16"/>
          <w:szCs w:val="16"/>
          <w:b w:val="1"/>
          <w:bCs w:val="1"/>
          <w:color w:val="auto"/>
        </w:rPr>
        <w:t>approve executve compensaton</w:t>
      </w:r>
    </w:p>
    <w:p>
      <w:pPr>
        <w:spacing w:after="0" w:line="21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40" w:type="dxa"/>
            <w:vAlign w:val="bottom"/>
          </w:tcPr>
          <w:p>
            <w:pPr>
              <w:spacing w:after="0"/>
              <w:rPr>
                <w:sz w:val="20"/>
                <w:szCs w:val="20"/>
                <w:color w:val="auto"/>
              </w:rPr>
            </w:pPr>
            <w:r>
              <w:rPr>
                <w:rFonts w:ascii="Calibri" w:cs="Calibri" w:eastAsia="Calibri" w:hAnsi="Calibri"/>
                <w:sz w:val="16"/>
                <w:szCs w:val="16"/>
                <w:b w:val="1"/>
                <w:bCs w:val="1"/>
                <w:color w:val="auto"/>
              </w:rPr>
              <w:t>4. Advisory (non-binding) Say-on-Frequency vote on</w:t>
            </w:r>
          </w:p>
        </w:tc>
        <w:tc>
          <w:tcPr>
            <w:tcW w:w="1540" w:type="dxa"/>
            <w:vAlign w:val="bottom"/>
          </w:tcPr>
          <w:p>
            <w:pPr>
              <w:ind w:left="300"/>
              <w:spacing w:after="0"/>
              <w:rPr>
                <w:sz w:val="20"/>
                <w:szCs w:val="20"/>
                <w:color w:val="auto"/>
              </w:rPr>
            </w:pPr>
            <w:r>
              <w:rPr>
                <w:rFonts w:ascii="Calibri" w:cs="Calibri" w:eastAsia="Calibri" w:hAnsi="Calibri"/>
                <w:sz w:val="14"/>
                <w:szCs w:val="14"/>
                <w:b w:val="1"/>
                <w:bCs w:val="1"/>
                <w:color w:val="FB4E0B"/>
                <w:w w:val="97"/>
              </w:rPr>
              <w:t xml:space="preserve">EVERY YEAR </w:t>
            </w:r>
            <w:r>
              <w:rPr>
                <w:rFonts w:ascii="Calibri" w:cs="Calibri" w:eastAsia="Calibri" w:hAnsi="Calibri"/>
                <w:sz w:val="14"/>
                <w:szCs w:val="14"/>
                <w:color w:val="FB4E0B"/>
                <w:w w:val="97"/>
              </w:rPr>
              <w:t>(</w:t>
            </w:r>
            <w:r>
              <w:rPr>
                <w:rFonts w:ascii="Calibri" w:cs="Calibri" w:eastAsia="Calibri" w:hAnsi="Calibri"/>
                <w:sz w:val="14"/>
                <w:szCs w:val="14"/>
                <w:i w:val="1"/>
                <w:iCs w:val="1"/>
                <w:color w:val="FB4E0B"/>
                <w:w w:val="97"/>
              </w:rPr>
              <w:t>pg. 121</w:t>
            </w:r>
            <w:r>
              <w:rPr>
                <w:rFonts w:ascii="Calibri" w:cs="Calibri" w:eastAsia="Calibri" w:hAnsi="Calibri"/>
                <w:sz w:val="14"/>
                <w:szCs w:val="14"/>
                <w:color w:val="FB4E0B"/>
                <w:w w:val="97"/>
              </w:rPr>
              <w:t>)</w:t>
            </w:r>
          </w:p>
        </w:tc>
      </w:tr>
      <w:tr>
        <w:trPr>
          <w:trHeight w:val="195"/>
        </w:trPr>
        <w:tc>
          <w:tcPr>
            <w:tcW w:w="3640" w:type="dxa"/>
            <w:vAlign w:val="bottom"/>
          </w:tcPr>
          <w:p>
            <w:pPr>
              <w:ind w:left="160"/>
              <w:spacing w:after="0"/>
              <w:rPr>
                <w:sz w:val="20"/>
                <w:szCs w:val="20"/>
                <w:color w:val="auto"/>
              </w:rPr>
            </w:pPr>
            <w:r>
              <w:rPr>
                <w:rFonts w:ascii="Calibri" w:cs="Calibri" w:eastAsia="Calibri" w:hAnsi="Calibri"/>
                <w:sz w:val="16"/>
                <w:szCs w:val="16"/>
                <w:b w:val="1"/>
                <w:bCs w:val="1"/>
                <w:color w:val="auto"/>
              </w:rPr>
              <w:t>the frequency of the Say-on-Pay vote</w:t>
            </w:r>
          </w:p>
        </w:tc>
        <w:tc>
          <w:tcPr>
            <w:tcW w:w="1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-229870</wp:posOffset>
            </wp:positionV>
            <wp:extent cx="156845" cy="14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845" cy="140335"/>
                    </a:xfrm>
                    <a:prstGeom prst="rect">
                      <a:avLst/>
                    </a:prstGeom>
                    <a:noFill/>
                  </pic:spPr>
                </pic:pic>
              </a:graphicData>
            </a:graphic>
          </wp:anchor>
        </w:drawing>
      </w:r>
    </w:p>
    <w:p>
      <w:pPr>
        <w:spacing w:after="0" w:line="198" w:lineRule="exact"/>
        <w:rPr>
          <w:sz w:val="20"/>
          <w:szCs w:val="20"/>
          <w:color w:val="auto"/>
        </w:rPr>
      </w:pPr>
    </w:p>
    <w:p>
      <w:pPr>
        <w:ind w:left="320" w:right="60"/>
        <w:spacing w:after="0" w:line="233" w:lineRule="auto"/>
        <w:rPr>
          <w:sz w:val="20"/>
          <w:szCs w:val="20"/>
          <w:color w:val="auto"/>
        </w:rPr>
      </w:pPr>
      <w:r>
        <w:rPr>
          <w:rFonts w:ascii="Calibri" w:cs="Calibri" w:eastAsia="Calibri" w:hAnsi="Calibri"/>
          <w:sz w:val="16"/>
          <w:szCs w:val="16"/>
          <w:i w:val="1"/>
          <w:iCs w:val="1"/>
          <w:color w:val="auto"/>
        </w:rPr>
        <w:t>Required vote: The opton receiving the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174625</wp:posOffset>
            </wp:positionV>
            <wp:extent cx="4510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80" w:type="dxa"/>
            <w:vAlign w:val="bottom"/>
          </w:tcPr>
          <w:p>
            <w:pPr>
              <w:spacing w:after="0"/>
              <w:rPr>
                <w:sz w:val="20"/>
                <w:szCs w:val="20"/>
                <w:color w:val="auto"/>
              </w:rPr>
            </w:pPr>
            <w:r>
              <w:rPr>
                <w:rFonts w:ascii="Calibri" w:cs="Calibri" w:eastAsia="Calibri" w:hAnsi="Calibri"/>
                <w:sz w:val="16"/>
                <w:szCs w:val="16"/>
                <w:b w:val="1"/>
                <w:bCs w:val="1"/>
                <w:color w:val="auto"/>
              </w:rPr>
              <w:t>5. Charter amendment to efect a 5-for-1 “forward”</w:t>
            </w:r>
          </w:p>
        </w:tc>
        <w:tc>
          <w:tcPr>
            <w:tcW w:w="1040" w:type="dxa"/>
            <w:vAlign w:val="bottom"/>
          </w:tcPr>
          <w:p>
            <w:pPr>
              <w:ind w:left="260"/>
              <w:spacing w:after="0"/>
              <w:rPr>
                <w:sz w:val="20"/>
                <w:szCs w:val="20"/>
                <w:color w:val="auto"/>
              </w:rPr>
            </w:pPr>
            <w:r>
              <w:rPr>
                <w:rFonts w:ascii="Calibri" w:cs="Calibri" w:eastAsia="Calibri" w:hAnsi="Calibri"/>
                <w:sz w:val="14"/>
                <w:szCs w:val="14"/>
                <w:b w:val="1"/>
                <w:bCs w:val="1"/>
                <w:color w:val="FB4E0B"/>
                <w:w w:val="97"/>
              </w:rPr>
              <w:t xml:space="preserve">FOR </w:t>
            </w:r>
            <w:r>
              <w:rPr>
                <w:rFonts w:ascii="Calibri" w:cs="Calibri" w:eastAsia="Calibri" w:hAnsi="Calibri"/>
                <w:sz w:val="14"/>
                <w:szCs w:val="14"/>
                <w:color w:val="FB4E0B"/>
                <w:w w:val="97"/>
              </w:rPr>
              <w:t>(</w:t>
            </w:r>
            <w:r>
              <w:rPr>
                <w:rFonts w:ascii="Calibri" w:cs="Calibri" w:eastAsia="Calibri" w:hAnsi="Calibri"/>
                <w:sz w:val="14"/>
                <w:szCs w:val="14"/>
                <w:i w:val="1"/>
                <w:iCs w:val="1"/>
                <w:color w:val="FB4E0B"/>
                <w:w w:val="97"/>
              </w:rPr>
              <w:t>pg. 122</w:t>
            </w:r>
            <w:r>
              <w:rPr>
                <w:rFonts w:ascii="Calibri" w:cs="Calibri" w:eastAsia="Calibri" w:hAnsi="Calibri"/>
                <w:sz w:val="14"/>
                <w:szCs w:val="14"/>
                <w:color w:val="FB4E0B"/>
                <w:w w:val="97"/>
              </w:rPr>
              <w:t>)</w:t>
            </w:r>
          </w:p>
        </w:tc>
      </w:tr>
      <w:tr>
        <w:trPr>
          <w:trHeight w:val="195"/>
        </w:trPr>
        <w:tc>
          <w:tcPr>
            <w:tcW w:w="3680" w:type="dxa"/>
            <w:vAlign w:val="bottom"/>
          </w:tcPr>
          <w:p>
            <w:pPr>
              <w:ind w:left="160"/>
              <w:spacing w:after="0"/>
              <w:rPr>
                <w:sz w:val="20"/>
                <w:szCs w:val="20"/>
                <w:color w:val="auto"/>
              </w:rPr>
            </w:pPr>
            <w:r>
              <w:rPr>
                <w:rFonts w:ascii="Calibri" w:cs="Calibri" w:eastAsia="Calibri" w:hAnsi="Calibri"/>
                <w:sz w:val="16"/>
                <w:szCs w:val="16"/>
                <w:b w:val="1"/>
                <w:bCs w:val="1"/>
                <w:color w:val="auto"/>
              </w:rPr>
              <w:t>stock split with a corresponding increase in the</w:t>
            </w:r>
          </w:p>
        </w:tc>
        <w:tc>
          <w:tcPr>
            <w:tcW w:w="1040" w:type="dxa"/>
            <w:vAlign w:val="bottom"/>
          </w:tcPr>
          <w:p>
            <w:pPr>
              <w:spacing w:after="0"/>
              <w:rPr>
                <w:sz w:val="16"/>
                <w:szCs w:val="16"/>
                <w:color w:val="auto"/>
              </w:rPr>
            </w:pPr>
          </w:p>
        </w:tc>
      </w:tr>
      <w:tr>
        <w:trPr>
          <w:trHeight w:val="195"/>
        </w:trPr>
        <w:tc>
          <w:tcPr>
            <w:tcW w:w="3680" w:type="dxa"/>
            <w:vAlign w:val="bottom"/>
          </w:tcPr>
          <w:p>
            <w:pPr>
              <w:ind w:left="160"/>
              <w:spacing w:after="0"/>
              <w:rPr>
                <w:sz w:val="20"/>
                <w:szCs w:val="20"/>
                <w:color w:val="auto"/>
              </w:rPr>
            </w:pPr>
            <w:r>
              <w:rPr>
                <w:rFonts w:ascii="Calibri" w:cs="Calibri" w:eastAsia="Calibri" w:hAnsi="Calibri"/>
                <w:sz w:val="16"/>
                <w:szCs w:val="16"/>
                <w:b w:val="1"/>
                <w:bCs w:val="1"/>
                <w:color w:val="auto"/>
              </w:rPr>
              <w:t>authorized number of shares of our common stock</w:t>
            </w:r>
          </w:p>
        </w:tc>
        <w:tc>
          <w:tcPr>
            <w:tcW w:w="1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-353695</wp:posOffset>
            </wp:positionV>
            <wp:extent cx="148590" cy="148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88" w:lineRule="exact"/>
        <w:rPr>
          <w:sz w:val="20"/>
          <w:szCs w:val="20"/>
          <w:color w:val="auto"/>
        </w:rPr>
      </w:pPr>
    </w:p>
    <w:p>
      <w:pPr>
        <w:ind w:left="320"/>
        <w:spacing w:after="0"/>
        <w:rPr>
          <w:sz w:val="20"/>
          <w:szCs w:val="20"/>
          <w:color w:val="auto"/>
        </w:rPr>
      </w:pPr>
      <w:r>
        <w:rPr>
          <w:rFonts w:ascii="Calibri" w:cs="Calibri" w:eastAsia="Calibri" w:hAnsi="Calibri"/>
          <w:sz w:val="16"/>
          <w:szCs w:val="16"/>
          <w:i w:val="1"/>
          <w:iCs w:val="1"/>
          <w:color w:val="auto"/>
        </w:rPr>
        <w:t>Required vote: Afrmatve vote of a majority of the outstanding shares of our common stock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173990</wp:posOffset>
            </wp:positionV>
            <wp:extent cx="4510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660" w:type="dxa"/>
            <w:vAlign w:val="bottom"/>
          </w:tcPr>
          <w:p>
            <w:pPr>
              <w:spacing w:after="0"/>
              <w:rPr>
                <w:sz w:val="20"/>
                <w:szCs w:val="20"/>
                <w:color w:val="auto"/>
              </w:rPr>
            </w:pPr>
            <w:r>
              <w:rPr>
                <w:rFonts w:ascii="Calibri" w:cs="Calibri" w:eastAsia="Calibri" w:hAnsi="Calibri"/>
                <w:sz w:val="16"/>
                <w:szCs w:val="16"/>
                <w:b w:val="1"/>
                <w:bCs w:val="1"/>
                <w:color w:val="auto"/>
              </w:rPr>
              <w:t>6. Charter amendment to allow removal of directors</w:t>
            </w:r>
          </w:p>
        </w:tc>
        <w:tc>
          <w:tcPr>
            <w:tcW w:w="1060" w:type="dxa"/>
            <w:vAlign w:val="bottom"/>
          </w:tcPr>
          <w:p>
            <w:pPr>
              <w:ind w:left="280"/>
              <w:spacing w:after="0"/>
              <w:rPr>
                <w:sz w:val="20"/>
                <w:szCs w:val="20"/>
                <w:color w:val="auto"/>
              </w:rPr>
            </w:pPr>
            <w:r>
              <w:rPr>
                <w:rFonts w:ascii="Calibri" w:cs="Calibri" w:eastAsia="Calibri" w:hAnsi="Calibri"/>
                <w:sz w:val="14"/>
                <w:szCs w:val="14"/>
                <w:b w:val="1"/>
                <w:bCs w:val="1"/>
                <w:color w:val="FB4E0B"/>
                <w:w w:val="97"/>
              </w:rPr>
              <w:t xml:space="preserve">FOR </w:t>
            </w:r>
            <w:r>
              <w:rPr>
                <w:rFonts w:ascii="Calibri" w:cs="Calibri" w:eastAsia="Calibri" w:hAnsi="Calibri"/>
                <w:sz w:val="14"/>
                <w:szCs w:val="14"/>
                <w:color w:val="FB4E0B"/>
                <w:w w:val="97"/>
              </w:rPr>
              <w:t>(</w:t>
            </w:r>
            <w:r>
              <w:rPr>
                <w:rFonts w:ascii="Calibri" w:cs="Calibri" w:eastAsia="Calibri" w:hAnsi="Calibri"/>
                <w:sz w:val="14"/>
                <w:szCs w:val="14"/>
                <w:i w:val="1"/>
                <w:iCs w:val="1"/>
                <w:color w:val="FB4E0B"/>
                <w:w w:val="97"/>
              </w:rPr>
              <w:t>pg. 125</w:t>
            </w:r>
            <w:r>
              <w:rPr>
                <w:rFonts w:ascii="Calibri" w:cs="Calibri" w:eastAsia="Calibri" w:hAnsi="Calibri"/>
                <w:sz w:val="14"/>
                <w:szCs w:val="14"/>
                <w:color w:val="FB4E0B"/>
                <w:w w:val="97"/>
              </w:rPr>
              <w:t>)</w:t>
            </w:r>
          </w:p>
        </w:tc>
      </w:tr>
      <w:tr>
        <w:trPr>
          <w:trHeight w:val="195"/>
        </w:trPr>
        <w:tc>
          <w:tcPr>
            <w:tcW w:w="3660" w:type="dxa"/>
            <w:vAlign w:val="bottom"/>
          </w:tcPr>
          <w:p>
            <w:pPr>
              <w:ind w:left="160"/>
              <w:spacing w:after="0"/>
              <w:rPr>
                <w:sz w:val="20"/>
                <w:szCs w:val="20"/>
                <w:color w:val="auto"/>
              </w:rPr>
            </w:pPr>
            <w:r>
              <w:rPr>
                <w:rFonts w:ascii="Calibri" w:cs="Calibri" w:eastAsia="Calibri" w:hAnsi="Calibri"/>
                <w:sz w:val="16"/>
                <w:szCs w:val="16"/>
                <w:b w:val="1"/>
                <w:bCs w:val="1"/>
                <w:color w:val="auto"/>
              </w:rPr>
              <w:t>with or without cause by the afrmatve vote of</w:t>
            </w:r>
          </w:p>
        </w:tc>
        <w:tc>
          <w:tcPr>
            <w:tcW w:w="1060" w:type="dxa"/>
            <w:vAlign w:val="bottom"/>
          </w:tcPr>
          <w:p>
            <w:pPr>
              <w:spacing w:after="0"/>
              <w:rPr>
                <w:sz w:val="16"/>
                <w:szCs w:val="16"/>
                <w:color w:val="auto"/>
              </w:rPr>
            </w:pPr>
          </w:p>
        </w:tc>
      </w:tr>
      <w:tr>
        <w:trPr>
          <w:trHeight w:val="195"/>
        </w:trPr>
        <w:tc>
          <w:tcPr>
            <w:tcW w:w="3660" w:type="dxa"/>
            <w:vAlign w:val="bottom"/>
          </w:tcPr>
          <w:p>
            <w:pPr>
              <w:ind w:left="160"/>
              <w:spacing w:after="0"/>
              <w:rPr>
                <w:sz w:val="20"/>
                <w:szCs w:val="20"/>
                <w:color w:val="auto"/>
              </w:rPr>
            </w:pPr>
            <w:r>
              <w:rPr>
                <w:rFonts w:ascii="Calibri" w:cs="Calibri" w:eastAsia="Calibri" w:hAnsi="Calibri"/>
                <w:sz w:val="16"/>
                <w:szCs w:val="16"/>
                <w:b w:val="1"/>
                <w:bCs w:val="1"/>
                <w:color w:val="auto"/>
              </w:rPr>
              <w:t>holders of a majority of the total outstanding</w:t>
            </w:r>
          </w:p>
        </w:tc>
        <w:tc>
          <w:tcPr>
            <w:tcW w:w="1060" w:type="dxa"/>
            <w:vAlign w:val="bottom"/>
          </w:tcPr>
          <w:p>
            <w:pPr>
              <w:spacing w:after="0"/>
              <w:rPr>
                <w:sz w:val="16"/>
                <w:szCs w:val="16"/>
                <w:color w:val="auto"/>
              </w:rPr>
            </w:pPr>
          </w:p>
        </w:tc>
      </w:tr>
      <w:tr>
        <w:trPr>
          <w:trHeight w:val="195"/>
        </w:trPr>
        <w:tc>
          <w:tcPr>
            <w:tcW w:w="3660" w:type="dxa"/>
            <w:vAlign w:val="bottom"/>
          </w:tcPr>
          <w:p>
            <w:pPr>
              <w:ind w:left="160"/>
              <w:spacing w:after="0"/>
              <w:rPr>
                <w:sz w:val="20"/>
                <w:szCs w:val="20"/>
                <w:color w:val="auto"/>
              </w:rPr>
            </w:pPr>
            <w:r>
              <w:rPr>
                <w:rFonts w:ascii="Calibri" w:cs="Calibri" w:eastAsia="Calibri" w:hAnsi="Calibri"/>
                <w:sz w:val="16"/>
                <w:szCs w:val="16"/>
                <w:b w:val="1"/>
                <w:bCs w:val="1"/>
                <w:color w:val="auto"/>
              </w:rPr>
              <w:t>shares of common stock</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-478155</wp:posOffset>
            </wp:positionV>
            <wp:extent cx="148590" cy="148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8" w:lineRule="exact"/>
        <w:rPr>
          <w:sz w:val="20"/>
          <w:szCs w:val="20"/>
          <w:color w:val="auto"/>
        </w:rPr>
      </w:pPr>
    </w:p>
    <w:p>
      <w:pPr>
        <w:ind w:left="320" w:right="220"/>
        <w:spacing w:after="0" w:line="233" w:lineRule="auto"/>
        <w:rPr>
          <w:sz w:val="20"/>
          <w:szCs w:val="20"/>
          <w:color w:val="auto"/>
        </w:rPr>
      </w:pPr>
      <w:r>
        <w:rPr>
          <w:rFonts w:ascii="Calibri" w:cs="Calibri" w:eastAsia="Calibri" w:hAnsi="Calibri"/>
          <w:sz w:val="16"/>
          <w:szCs w:val="16"/>
          <w:i w:val="1"/>
          <w:iCs w:val="1"/>
          <w:color w:val="auto"/>
        </w:rPr>
        <w:t>Required vote: Afrmatve vote of at least 66 2/3% of the outstanding shares of our common stock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45104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314" w:lineRule="exact"/>
        <w:rPr>
          <w:sz w:val="20"/>
          <w:szCs w:val="20"/>
          <w:color w:val="auto"/>
        </w:rPr>
      </w:pPr>
    </w:p>
    <w:p>
      <w:pPr>
        <w:ind w:left="320" w:right="400" w:firstLine="1"/>
        <w:spacing w:after="0" w:line="251" w:lineRule="auto"/>
        <w:tabs>
          <w:tab w:leader="none" w:pos="414"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Virtual atendance at our Annual Meetng will consttute presence in person for purposes of quorum and votng at the Annual Meetng.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267335</wp:posOffset>
            </wp:positionV>
            <wp:extent cx="2015490" cy="291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1549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Annual meetng informaton</w:t>
      </w:r>
    </w:p>
    <w:p>
      <w:pPr>
        <w:spacing w:after="0" w:line="231"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Time and date:</w:t>
      </w:r>
    </w:p>
    <w:p>
      <w:pPr>
        <w:spacing w:after="0" w:line="22" w:lineRule="exact"/>
        <w:rPr>
          <w:sz w:val="20"/>
          <w:szCs w:val="20"/>
          <w:color w:val="auto"/>
        </w:rPr>
      </w:pPr>
    </w:p>
    <w:p>
      <w:pPr>
        <w:ind w:left="340"/>
        <w:spacing w:after="0"/>
        <w:rPr>
          <w:sz w:val="20"/>
          <w:szCs w:val="20"/>
          <w:color w:val="auto"/>
        </w:rPr>
      </w:pPr>
      <w:r>
        <w:rPr>
          <w:rFonts w:ascii="Calibri" w:cs="Calibri" w:eastAsia="Calibri" w:hAnsi="Calibri"/>
          <w:sz w:val="16"/>
          <w:szCs w:val="16"/>
          <w:color w:val="auto"/>
        </w:rPr>
        <w:t>8:30 AM (Eastern Time)</w:t>
      </w:r>
    </w:p>
    <w:p>
      <w:pPr>
        <w:ind w:left="340"/>
        <w:spacing w:after="0"/>
        <w:rPr>
          <w:sz w:val="20"/>
          <w:szCs w:val="20"/>
          <w:color w:val="auto"/>
        </w:rPr>
      </w:pPr>
      <w:r>
        <w:rPr>
          <w:rFonts w:ascii="Calibri" w:cs="Calibri" w:eastAsia="Calibri" w:hAnsi="Calibri"/>
          <w:sz w:val="16"/>
          <w:szCs w:val="16"/>
          <w:color w:val="auto"/>
        </w:rPr>
        <w:t>June 20, 2023</w:t>
      </w:r>
    </w:p>
    <w:p>
      <w:pPr>
        <w:spacing w:after="0" w:line="252"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Record date:</w:t>
      </w:r>
    </w:p>
    <w:p>
      <w:pPr>
        <w:spacing w:after="0" w:line="22" w:lineRule="exact"/>
        <w:rPr>
          <w:sz w:val="20"/>
          <w:szCs w:val="20"/>
          <w:color w:val="auto"/>
        </w:rPr>
      </w:pPr>
    </w:p>
    <w:p>
      <w:pPr>
        <w:ind w:left="340"/>
        <w:spacing w:after="0"/>
        <w:rPr>
          <w:sz w:val="20"/>
          <w:szCs w:val="20"/>
          <w:color w:val="auto"/>
        </w:rPr>
      </w:pPr>
      <w:r>
        <w:rPr>
          <w:rFonts w:ascii="Calibri" w:cs="Calibri" w:eastAsia="Calibri" w:hAnsi="Calibri"/>
          <w:sz w:val="16"/>
          <w:szCs w:val="16"/>
          <w:color w:val="auto"/>
        </w:rPr>
        <w:t>April 21, 2023</w:t>
      </w:r>
    </w:p>
    <w:p>
      <w:pPr>
        <w:spacing w:after="0" w:line="317"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Place:</w:t>
      </w:r>
    </w:p>
    <w:p>
      <w:pPr>
        <w:spacing w:after="0" w:line="32" w:lineRule="exact"/>
        <w:rPr>
          <w:sz w:val="20"/>
          <w:szCs w:val="20"/>
          <w:color w:val="auto"/>
        </w:rPr>
      </w:pPr>
    </w:p>
    <w:p>
      <w:pPr>
        <w:ind w:left="340" w:right="1100"/>
        <w:spacing w:after="0" w:line="233" w:lineRule="auto"/>
        <w:rPr>
          <w:sz w:val="20"/>
          <w:szCs w:val="20"/>
          <w:color w:val="auto"/>
        </w:rPr>
      </w:pPr>
      <w:r>
        <w:rPr>
          <w:rFonts w:ascii="Calibri" w:cs="Calibri" w:eastAsia="Calibri" w:hAnsi="Calibri"/>
          <w:sz w:val="16"/>
          <w:szCs w:val="16"/>
          <w:color w:val="auto"/>
        </w:rPr>
        <w:t>Virtual format only via live audio webcast</w:t>
      </w:r>
    </w:p>
    <w:p>
      <w:pPr>
        <w:spacing w:after="0" w:line="318"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Votng:</w:t>
      </w:r>
    </w:p>
    <w:p>
      <w:pPr>
        <w:spacing w:after="0" w:line="32" w:lineRule="exact"/>
        <w:rPr>
          <w:sz w:val="20"/>
          <w:szCs w:val="20"/>
          <w:color w:val="auto"/>
        </w:rPr>
      </w:pPr>
    </w:p>
    <w:p>
      <w:pPr>
        <w:ind w:left="340" w:right="1220"/>
        <w:spacing w:after="0" w:line="235" w:lineRule="auto"/>
        <w:rPr>
          <w:sz w:val="20"/>
          <w:szCs w:val="20"/>
          <w:color w:val="auto"/>
        </w:rPr>
      </w:pPr>
      <w:r>
        <w:rPr>
          <w:rFonts w:ascii="Calibri" w:cs="Calibri" w:eastAsia="Calibri" w:hAnsi="Calibri"/>
          <w:sz w:val="16"/>
          <w:szCs w:val="16"/>
          <w:color w:val="auto"/>
        </w:rPr>
        <w:t>Stockholders as of the Record Date are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472440</wp:posOffset>
            </wp:positionV>
            <wp:extent cx="2015490" cy="3585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15490" cy="358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Votng methods</w:t>
      </w:r>
    </w:p>
    <w:p>
      <w:pPr>
        <w:spacing w:after="0" w:line="231"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Internet (pre-meetng):</w:t>
      </w:r>
    </w:p>
    <w:p>
      <w:pPr>
        <w:spacing w:after="0" w:line="22" w:lineRule="exact"/>
        <w:rPr>
          <w:sz w:val="20"/>
          <w:szCs w:val="20"/>
          <w:color w:val="auto"/>
        </w:rPr>
      </w:pPr>
    </w:p>
    <w:p>
      <w:pPr>
        <w:ind w:left="340"/>
        <w:spacing w:after="0"/>
        <w:rPr>
          <w:sz w:val="20"/>
          <w:szCs w:val="20"/>
          <w:color w:val="auto"/>
        </w:rPr>
      </w:pPr>
      <w:r>
        <w:rPr>
          <w:rFonts w:ascii="Calibri" w:cs="Calibri" w:eastAsia="Calibri" w:hAnsi="Calibri"/>
          <w:sz w:val="16"/>
          <w:szCs w:val="16"/>
          <w:i w:val="1"/>
          <w:iCs w:val="1"/>
          <w:color w:val="auto"/>
        </w:rPr>
        <w:t>www.proxyvote.com</w:t>
      </w:r>
    </w:p>
    <w:p>
      <w:pPr>
        <w:spacing w:after="0" w:line="252"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Mail:</w:t>
      </w:r>
    </w:p>
    <w:p>
      <w:pPr>
        <w:spacing w:after="0" w:line="32" w:lineRule="exact"/>
        <w:rPr>
          <w:sz w:val="20"/>
          <w:szCs w:val="20"/>
          <w:color w:val="auto"/>
        </w:rPr>
      </w:pPr>
    </w:p>
    <w:p>
      <w:pPr>
        <w:ind w:left="340" w:right="1120"/>
        <w:spacing w:after="0" w:line="233" w:lineRule="auto"/>
        <w:rPr>
          <w:sz w:val="20"/>
          <w:szCs w:val="20"/>
          <w:color w:val="auto"/>
        </w:rPr>
      </w:pPr>
      <w:r>
        <w:rPr>
          <w:rFonts w:ascii="Calibri" w:cs="Calibri" w:eastAsia="Calibri" w:hAnsi="Calibri"/>
          <w:sz w:val="16"/>
          <w:szCs w:val="16"/>
          <w:color w:val="auto"/>
        </w:rPr>
        <w:t>Follow instructons on the Internet notce</w:t>
      </w:r>
    </w:p>
    <w:p>
      <w:pPr>
        <w:spacing w:after="0" w:line="331"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Phone:</w:t>
      </w:r>
    </w:p>
    <w:p>
      <w:pPr>
        <w:spacing w:after="0" w:line="32" w:lineRule="exact"/>
        <w:rPr>
          <w:sz w:val="20"/>
          <w:szCs w:val="20"/>
          <w:color w:val="auto"/>
        </w:rPr>
      </w:pPr>
    </w:p>
    <w:p>
      <w:pPr>
        <w:ind w:left="340" w:right="920"/>
        <w:spacing w:after="0" w:line="233" w:lineRule="auto"/>
        <w:rPr>
          <w:sz w:val="20"/>
          <w:szCs w:val="20"/>
          <w:color w:val="auto"/>
        </w:rPr>
      </w:pPr>
      <w:r>
        <w:rPr>
          <w:rFonts w:ascii="Calibri" w:cs="Calibri" w:eastAsia="Calibri" w:hAnsi="Calibri"/>
          <w:sz w:val="16"/>
          <w:szCs w:val="16"/>
          <w:color w:val="auto"/>
        </w:rPr>
        <w:t>Call the number listed on the Internet notce</w:t>
      </w:r>
    </w:p>
    <w:p>
      <w:pPr>
        <w:spacing w:after="0" w:line="318" w:lineRule="exact"/>
        <w:rPr>
          <w:sz w:val="20"/>
          <w:szCs w:val="20"/>
          <w:color w:val="auto"/>
        </w:rPr>
      </w:pPr>
    </w:p>
    <w:p>
      <w:pPr>
        <w:ind w:left="340"/>
        <w:spacing w:after="0"/>
        <w:rPr>
          <w:sz w:val="20"/>
          <w:szCs w:val="20"/>
          <w:color w:val="auto"/>
        </w:rPr>
      </w:pPr>
      <w:r>
        <w:rPr>
          <w:rFonts w:ascii="Calibri" w:cs="Calibri" w:eastAsia="Calibri" w:hAnsi="Calibri"/>
          <w:sz w:val="17"/>
          <w:szCs w:val="17"/>
          <w:b w:val="1"/>
          <w:bCs w:val="1"/>
          <w:color w:val="auto"/>
        </w:rPr>
        <w:t>Electronically:</w:t>
      </w:r>
    </w:p>
    <w:p>
      <w:pPr>
        <w:spacing w:after="0" w:line="32" w:lineRule="exact"/>
        <w:rPr>
          <w:sz w:val="20"/>
          <w:szCs w:val="20"/>
          <w:color w:val="auto"/>
        </w:rPr>
      </w:pPr>
    </w:p>
    <w:p>
      <w:pPr>
        <w:ind w:left="340" w:right="1040"/>
        <w:spacing w:after="0" w:line="233" w:lineRule="auto"/>
        <w:rPr>
          <w:sz w:val="20"/>
          <w:szCs w:val="20"/>
          <w:color w:val="auto"/>
        </w:rPr>
      </w:pPr>
      <w:r>
        <w:rPr>
          <w:rFonts w:ascii="Calibri" w:cs="Calibri" w:eastAsia="Calibri" w:hAnsi="Calibri"/>
          <w:sz w:val="16"/>
          <w:szCs w:val="16"/>
          <w:color w:val="auto"/>
        </w:rPr>
        <w:t>Atend the Annual Meetng and vote electronically</w:t>
      </w:r>
    </w:p>
    <w:p>
      <w:pPr>
        <w:spacing w:after="0" w:line="256" w:lineRule="exact"/>
        <w:rPr>
          <w:sz w:val="20"/>
          <w:szCs w:val="20"/>
          <w:color w:val="auto"/>
        </w:rPr>
      </w:pPr>
    </w:p>
    <w:p>
      <w:pPr>
        <w:ind w:right="280"/>
        <w:spacing w:after="0" w:line="280" w:lineRule="auto"/>
        <w:rPr>
          <w:sz w:val="20"/>
          <w:szCs w:val="20"/>
          <w:color w:val="auto"/>
        </w:rPr>
      </w:pPr>
      <w:r>
        <w:rPr>
          <w:rFonts w:ascii="Calibri" w:cs="Calibri" w:eastAsia="Calibri" w:hAnsi="Calibri"/>
          <w:sz w:val="12"/>
          <w:szCs w:val="12"/>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See page 129 for additonal details.</w:t>
      </w:r>
    </w:p>
    <w:p>
      <w:pPr>
        <w:spacing w:after="0" w:line="1926" w:lineRule="exact"/>
        <w:rPr>
          <w:sz w:val="20"/>
          <w:szCs w:val="20"/>
          <w:color w:val="auto"/>
        </w:rPr>
      </w:pPr>
    </w:p>
    <w:p>
      <w:pPr>
        <w:sectPr>
          <w:pgSz w:w="11900" w:h="16838" w:orient="portrait"/>
          <w:cols w:equalWidth="0" w:num="2">
            <w:col w:w="7420" w:space="420"/>
            <w:col w:w="3100"/>
          </w:cols>
          <w:pgMar w:left="320" w:top="471" w:right="639" w:bottom="1040" w:gutter="0" w:footer="0" w:header="0"/>
          <w:type w:val="continuous"/>
        </w:sectPr>
      </w:pPr>
    </w:p>
    <w:p>
      <w:pPr>
        <w:spacing w:after="0" w:line="241" w:lineRule="exact"/>
        <w:rPr>
          <w:sz w:val="20"/>
          <w:szCs w:val="20"/>
          <w:color w:val="auto"/>
        </w:rPr>
      </w:pPr>
    </w:p>
    <w:p>
      <w:pPr>
        <w:ind w:left="8180"/>
        <w:spacing w:after="0"/>
        <w:tabs>
          <w:tab w:leader="none" w:pos="9780" w:val="left"/>
          <w:tab w:leader="none" w:pos="1016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7</w:t>
      </w:r>
    </w:p>
    <w:p>
      <w:pPr>
        <w:sectPr>
          <w:pgSz w:w="11900" w:h="16838" w:orient="portrait"/>
          <w:cols w:equalWidth="0" w:num="1">
            <w:col w:w="10940"/>
          </w:cols>
          <w:pgMar w:left="320" w:top="471" w:right="639" w:bottom="10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Our business</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are a leading data analytcs and digital operatons and solutons company that partners with clients to improve business outcomes and unlock growth. By bringing together deep domain expertse with robust data, powerful analytcs, cloud, artfcial intelligence (“AI”) and machine learning (“ML”), we create agile, scalable solutons and execute complex operatons for the world’s leading corporatons in industries including insurance, healthcare, banking and fnancial services, media, and retail, among others. Focused on driving faster decision making and transforming operatng models, EXL was founded on the core values of innovaton, collaboraton, excellence, integrity and respect. Headquartered in New York, our team is over 45,400 strong, with more than 50 ofces spanning six contnents.</w:t>
      </w:r>
    </w:p>
    <w:p>
      <w:pPr>
        <w:spacing w:after="0" w:line="236"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Company 3 year performance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3"/>
          </w:tcPr>
          <w:p>
            <w:pPr>
              <w:ind w:left="60"/>
              <w:spacing w:after="0"/>
              <w:rPr>
                <w:sz w:val="20"/>
                <w:szCs w:val="20"/>
                <w:color w:val="auto"/>
              </w:rPr>
            </w:pPr>
            <w:r>
              <w:rPr>
                <w:rFonts w:ascii="Calibri" w:cs="Calibri" w:eastAsia="Calibri" w:hAnsi="Calibri"/>
                <w:sz w:val="17"/>
                <w:szCs w:val="17"/>
                <w:b w:val="1"/>
                <w:bCs w:val="1"/>
                <w:color w:val="FB4E0B"/>
                <w:w w:val="99"/>
              </w:rPr>
              <w:t>Revenue (Year-over-year growth %)</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17"/>
        </w:trPr>
        <w:tc>
          <w:tcPr>
            <w:tcW w:w="4080" w:type="dxa"/>
            <w:vAlign w:val="bottom"/>
            <w:gridSpan w:val="2"/>
          </w:tcPr>
          <w:p>
            <w:pPr>
              <w:ind w:left="20"/>
              <w:spacing w:after="0"/>
              <w:rPr>
                <w:sz w:val="20"/>
                <w:szCs w:val="20"/>
                <w:color w:val="auto"/>
              </w:rPr>
            </w:pPr>
            <w:r>
              <w:rPr>
                <w:rFonts w:ascii="Calibri" w:cs="Calibri" w:eastAsia="Calibri" w:hAnsi="Calibri"/>
                <w:sz w:val="14"/>
                <w:szCs w:val="14"/>
                <w:b w:val="1"/>
                <w:bCs w:val="1"/>
                <w:i w:val="1"/>
                <w:iCs w:val="1"/>
                <w:color w:val="auto"/>
              </w:rPr>
              <w:t>Revenue by segment informaton ($ in millions)</w:t>
            </w:r>
          </w:p>
        </w:tc>
        <w:tc>
          <w:tcPr>
            <w:tcW w:w="2060" w:type="dxa"/>
            <w:vAlign w:val="bottom"/>
            <w:gridSpan w:val="2"/>
          </w:tcPr>
          <w:p>
            <w:pPr>
              <w:jc w:val="right"/>
              <w:ind w:right="473"/>
              <w:spacing w:after="0"/>
              <w:rPr>
                <w:sz w:val="20"/>
                <w:szCs w:val="20"/>
                <w:color w:val="auto"/>
              </w:rPr>
            </w:pPr>
            <w:r>
              <w:rPr>
                <w:rFonts w:ascii="Calibri" w:cs="Calibri" w:eastAsia="Calibri" w:hAnsi="Calibri"/>
                <w:sz w:val="17"/>
                <w:szCs w:val="17"/>
                <w:b w:val="1"/>
                <w:bCs w:val="1"/>
                <w:color w:val="auto"/>
              </w:rPr>
              <w:t>2020 YOY%</w:t>
            </w:r>
          </w:p>
        </w:tc>
        <w:tc>
          <w:tcPr>
            <w:tcW w:w="1580" w:type="dxa"/>
            <w:vAlign w:val="bottom"/>
          </w:tcPr>
          <w:p>
            <w:pPr>
              <w:jc w:val="right"/>
              <w:spacing w:after="0"/>
              <w:rPr>
                <w:sz w:val="20"/>
                <w:szCs w:val="20"/>
                <w:color w:val="auto"/>
              </w:rPr>
            </w:pPr>
            <w:r>
              <w:rPr>
                <w:rFonts w:ascii="Calibri" w:cs="Calibri" w:eastAsia="Calibri" w:hAnsi="Calibri"/>
                <w:sz w:val="17"/>
                <w:szCs w:val="17"/>
                <w:b w:val="1"/>
                <w:bCs w:val="1"/>
                <w:color w:val="auto"/>
              </w:rPr>
              <w:t>2021 YOY%</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jc w:val="right"/>
              <w:ind w:right="573"/>
              <w:spacing w:after="0"/>
              <w:rPr>
                <w:sz w:val="20"/>
                <w:szCs w:val="20"/>
                <w:color w:val="auto"/>
              </w:rPr>
            </w:pPr>
            <w:r>
              <w:rPr>
                <w:rFonts w:ascii="Calibri" w:cs="Calibri" w:eastAsia="Calibri" w:hAnsi="Calibri"/>
                <w:sz w:val="17"/>
                <w:szCs w:val="17"/>
                <w:b w:val="1"/>
                <w:bCs w:val="1"/>
                <w:color w:val="auto"/>
              </w:rPr>
              <w:t>2022 YOY%</w:t>
            </w:r>
          </w:p>
        </w:tc>
      </w:tr>
      <w:tr>
        <w:trPr>
          <w:trHeight w:val="44"/>
        </w:trPr>
        <w:tc>
          <w:tcPr>
            <w:tcW w:w="960" w:type="dxa"/>
            <w:vAlign w:val="bottom"/>
            <w:tcBorders>
              <w:bottom w:val="single" w:sz="8" w:color="BABABA"/>
            </w:tcBorders>
          </w:tcPr>
          <w:p>
            <w:pPr>
              <w:spacing w:after="0"/>
              <w:rPr>
                <w:sz w:val="3"/>
                <w:szCs w:val="3"/>
                <w:color w:val="auto"/>
              </w:rPr>
            </w:pPr>
          </w:p>
        </w:tc>
        <w:tc>
          <w:tcPr>
            <w:tcW w:w="3120" w:type="dxa"/>
            <w:vAlign w:val="bottom"/>
            <w:tcBorders>
              <w:bottom w:val="single" w:sz="8" w:color="BABABA"/>
            </w:tcBorders>
          </w:tcPr>
          <w:p>
            <w:pPr>
              <w:spacing w:after="0"/>
              <w:rPr>
                <w:sz w:val="3"/>
                <w:szCs w:val="3"/>
                <w:color w:val="auto"/>
              </w:rPr>
            </w:pPr>
          </w:p>
        </w:tc>
        <w:tc>
          <w:tcPr>
            <w:tcW w:w="1140" w:type="dxa"/>
            <w:vAlign w:val="bottom"/>
            <w:tcBorders>
              <w:bottom w:val="single" w:sz="8" w:color="BABABA"/>
            </w:tcBorders>
          </w:tcPr>
          <w:p>
            <w:pPr>
              <w:spacing w:after="0"/>
              <w:rPr>
                <w:sz w:val="3"/>
                <w:szCs w:val="3"/>
                <w:color w:val="auto"/>
              </w:rPr>
            </w:pPr>
          </w:p>
        </w:tc>
        <w:tc>
          <w:tcPr>
            <w:tcW w:w="920" w:type="dxa"/>
            <w:vAlign w:val="bottom"/>
            <w:tcBorders>
              <w:bottom w:val="single" w:sz="8" w:color="BABABA"/>
            </w:tcBorders>
          </w:tcPr>
          <w:p>
            <w:pPr>
              <w:spacing w:after="0"/>
              <w:rPr>
                <w:sz w:val="3"/>
                <w:szCs w:val="3"/>
                <w:color w:val="auto"/>
              </w:rPr>
            </w:pPr>
          </w:p>
        </w:tc>
        <w:tc>
          <w:tcPr>
            <w:tcW w:w="1580" w:type="dxa"/>
            <w:vAlign w:val="bottom"/>
            <w:tcBorders>
              <w:bottom w:val="single" w:sz="8" w:color="BABABA"/>
            </w:tcBorders>
          </w:tcPr>
          <w:p>
            <w:pPr>
              <w:spacing w:after="0"/>
              <w:rPr>
                <w:sz w:val="3"/>
                <w:szCs w:val="3"/>
                <w:color w:val="auto"/>
              </w:rPr>
            </w:pPr>
          </w:p>
        </w:tc>
        <w:tc>
          <w:tcPr>
            <w:tcW w:w="640" w:type="dxa"/>
            <w:vAlign w:val="bottom"/>
            <w:tcBorders>
              <w:bottom w:val="single" w:sz="8" w:color="BABABA"/>
            </w:tcBorders>
          </w:tcPr>
          <w:p>
            <w:pPr>
              <w:spacing w:after="0"/>
              <w:rPr>
                <w:sz w:val="3"/>
                <w:szCs w:val="3"/>
                <w:color w:val="auto"/>
              </w:rPr>
            </w:pPr>
          </w:p>
        </w:tc>
        <w:tc>
          <w:tcPr>
            <w:tcW w:w="360" w:type="dxa"/>
            <w:vAlign w:val="bottom"/>
            <w:tcBorders>
              <w:bottom w:val="single" w:sz="8" w:color="BABABA"/>
            </w:tcBorders>
          </w:tcPr>
          <w:p>
            <w:pPr>
              <w:spacing w:after="0"/>
              <w:rPr>
                <w:sz w:val="3"/>
                <w:szCs w:val="3"/>
                <w:color w:val="auto"/>
              </w:rPr>
            </w:pPr>
          </w:p>
        </w:tc>
        <w:tc>
          <w:tcPr>
            <w:tcW w:w="940" w:type="dxa"/>
            <w:vAlign w:val="bottom"/>
            <w:tcBorders>
              <w:bottom w:val="single" w:sz="8" w:color="BABABA"/>
            </w:tcBorders>
          </w:tcPr>
          <w:p>
            <w:pPr>
              <w:spacing w:after="0"/>
              <w:rPr>
                <w:sz w:val="3"/>
                <w:szCs w:val="3"/>
                <w:color w:val="auto"/>
              </w:rPr>
            </w:pPr>
          </w:p>
        </w:tc>
        <w:tc>
          <w:tcPr>
            <w:tcW w:w="960" w:type="dxa"/>
            <w:vAlign w:val="bottom"/>
            <w:tcBorders>
              <w:bottom w:val="single" w:sz="8" w:color="BABABA"/>
            </w:tcBorders>
          </w:tcPr>
          <w:p>
            <w:pPr>
              <w:spacing w:after="0"/>
              <w:rPr>
                <w:sz w:val="3"/>
                <w:szCs w:val="3"/>
                <w:color w:val="auto"/>
              </w:rPr>
            </w:pPr>
          </w:p>
        </w:tc>
      </w:tr>
      <w:tr>
        <w:trPr>
          <w:trHeight w:val="199"/>
        </w:trPr>
        <w:tc>
          <w:tcPr>
            <w:tcW w:w="960" w:type="dxa"/>
            <w:vAlign w:val="bottom"/>
          </w:tcPr>
          <w:p>
            <w:pPr>
              <w:ind w:left="40"/>
              <w:spacing w:after="0" w:line="199" w:lineRule="exact"/>
              <w:rPr>
                <w:sz w:val="20"/>
                <w:szCs w:val="20"/>
                <w:color w:val="auto"/>
              </w:rPr>
            </w:pPr>
            <w:r>
              <w:rPr>
                <w:rFonts w:ascii="Calibri" w:cs="Calibri" w:eastAsia="Calibri" w:hAnsi="Calibri"/>
                <w:sz w:val="17"/>
                <w:szCs w:val="17"/>
                <w:color w:val="auto"/>
              </w:rPr>
              <w:t>Insurance</w:t>
            </w:r>
          </w:p>
        </w:tc>
        <w:tc>
          <w:tcPr>
            <w:tcW w:w="3120" w:type="dxa"/>
            <w:vAlign w:val="bottom"/>
            <w:tcBorders>
              <w:right w:val="single" w:sz="8" w:color="BABABA"/>
            </w:tcBorders>
          </w:tcPr>
          <w:p>
            <w:pPr>
              <w:spacing w:after="0"/>
              <w:rPr>
                <w:sz w:val="17"/>
                <w:szCs w:val="17"/>
                <w:color w:val="auto"/>
              </w:rPr>
            </w:pPr>
          </w:p>
        </w:tc>
        <w:tc>
          <w:tcPr>
            <w:tcW w:w="1140" w:type="dxa"/>
            <w:vAlign w:val="bottom"/>
          </w:tcPr>
          <w:p>
            <w:pPr>
              <w:jc w:val="right"/>
              <w:ind w:right="173"/>
              <w:spacing w:after="0" w:line="199" w:lineRule="exact"/>
              <w:rPr>
                <w:sz w:val="20"/>
                <w:szCs w:val="20"/>
                <w:color w:val="auto"/>
              </w:rPr>
            </w:pPr>
            <w:r>
              <w:rPr>
                <w:rFonts w:ascii="Calibri" w:cs="Calibri" w:eastAsia="Calibri" w:hAnsi="Calibri"/>
                <w:sz w:val="17"/>
                <w:szCs w:val="17"/>
                <w:color w:val="auto"/>
              </w:rPr>
              <w:t>$341.8</w:t>
            </w:r>
          </w:p>
        </w:tc>
        <w:tc>
          <w:tcPr>
            <w:tcW w:w="920" w:type="dxa"/>
            <w:vAlign w:val="bottom"/>
            <w:tcBorders>
              <w:right w:val="single" w:sz="8" w:color="BABABA"/>
            </w:tcBorders>
          </w:tcPr>
          <w:p>
            <w:pPr>
              <w:jc w:val="right"/>
              <w:ind w:right="113"/>
              <w:spacing w:after="0" w:line="199" w:lineRule="exact"/>
              <w:rPr>
                <w:sz w:val="20"/>
                <w:szCs w:val="20"/>
                <w:color w:val="auto"/>
              </w:rPr>
            </w:pPr>
            <w:r>
              <w:rPr>
                <w:rFonts w:ascii="Calibri" w:cs="Calibri" w:eastAsia="Calibri" w:hAnsi="Calibri"/>
                <w:sz w:val="17"/>
                <w:szCs w:val="17"/>
                <w:color w:val="auto"/>
              </w:rPr>
              <w:t>-1.3%</w:t>
            </w:r>
          </w:p>
        </w:tc>
        <w:tc>
          <w:tcPr>
            <w:tcW w:w="1580" w:type="dxa"/>
            <w:vAlign w:val="bottom"/>
          </w:tcPr>
          <w:p>
            <w:pPr>
              <w:jc w:val="right"/>
              <w:ind w:right="473"/>
              <w:spacing w:after="0" w:line="199" w:lineRule="exact"/>
              <w:rPr>
                <w:sz w:val="20"/>
                <w:szCs w:val="20"/>
                <w:color w:val="auto"/>
              </w:rPr>
            </w:pPr>
            <w:r>
              <w:rPr>
                <w:rFonts w:ascii="Calibri" w:cs="Calibri" w:eastAsia="Calibri" w:hAnsi="Calibri"/>
                <w:sz w:val="17"/>
                <w:szCs w:val="17"/>
                <w:color w:val="auto"/>
              </w:rPr>
              <w:t>$382.0</w:t>
            </w:r>
          </w:p>
        </w:tc>
        <w:tc>
          <w:tcPr>
            <w:tcW w:w="640" w:type="dxa"/>
            <w:vAlign w:val="bottom"/>
            <w:tcBorders>
              <w:right w:val="single" w:sz="8" w:color="BABABA"/>
            </w:tcBorders>
          </w:tcPr>
          <w:p>
            <w:pPr>
              <w:jc w:val="right"/>
              <w:ind w:right="113"/>
              <w:spacing w:after="0" w:line="199" w:lineRule="exact"/>
              <w:rPr>
                <w:sz w:val="20"/>
                <w:szCs w:val="20"/>
                <w:color w:val="auto"/>
              </w:rPr>
            </w:pPr>
            <w:r>
              <w:rPr>
                <w:rFonts w:ascii="Calibri" w:cs="Calibri" w:eastAsia="Calibri" w:hAnsi="Calibri"/>
                <w:sz w:val="17"/>
                <w:szCs w:val="17"/>
                <w:color w:val="auto"/>
                <w:w w:val="99"/>
              </w:rPr>
              <w:t>11.8%</w:t>
            </w:r>
          </w:p>
        </w:tc>
        <w:tc>
          <w:tcPr>
            <w:tcW w:w="360" w:type="dxa"/>
            <w:vAlign w:val="bottom"/>
          </w:tcPr>
          <w:p>
            <w:pPr>
              <w:spacing w:after="0"/>
              <w:rPr>
                <w:sz w:val="17"/>
                <w:szCs w:val="17"/>
                <w:color w:val="auto"/>
              </w:rPr>
            </w:pPr>
          </w:p>
        </w:tc>
        <w:tc>
          <w:tcPr>
            <w:tcW w:w="940" w:type="dxa"/>
            <w:vAlign w:val="bottom"/>
          </w:tcPr>
          <w:p>
            <w:pPr>
              <w:jc w:val="right"/>
              <w:ind w:right="213"/>
              <w:spacing w:after="0" w:line="199" w:lineRule="exact"/>
              <w:rPr>
                <w:sz w:val="20"/>
                <w:szCs w:val="20"/>
                <w:color w:val="auto"/>
              </w:rPr>
            </w:pPr>
            <w:r>
              <w:rPr>
                <w:rFonts w:ascii="Calibri" w:cs="Calibri" w:eastAsia="Calibri" w:hAnsi="Calibri"/>
                <w:sz w:val="17"/>
                <w:szCs w:val="17"/>
                <w:color w:val="auto"/>
              </w:rPr>
              <w:t>$448.7</w:t>
            </w:r>
          </w:p>
        </w:tc>
        <w:tc>
          <w:tcPr>
            <w:tcW w:w="960" w:type="dxa"/>
            <w:vAlign w:val="bottom"/>
          </w:tcPr>
          <w:p>
            <w:pPr>
              <w:jc w:val="right"/>
              <w:ind w:right="93"/>
              <w:spacing w:after="0" w:line="199" w:lineRule="exact"/>
              <w:rPr>
                <w:sz w:val="20"/>
                <w:szCs w:val="20"/>
                <w:color w:val="auto"/>
              </w:rPr>
            </w:pPr>
            <w:r>
              <w:rPr>
                <w:rFonts w:ascii="Calibri" w:cs="Calibri" w:eastAsia="Calibri" w:hAnsi="Calibri"/>
                <w:sz w:val="17"/>
                <w:szCs w:val="17"/>
                <w:color w:val="auto"/>
              </w:rPr>
              <w:t>17.5%</w:t>
            </w:r>
          </w:p>
        </w:tc>
      </w:tr>
      <w:tr>
        <w:trPr>
          <w:trHeight w:val="239"/>
        </w:trPr>
        <w:tc>
          <w:tcPr>
            <w:tcW w:w="960" w:type="dxa"/>
            <w:vAlign w:val="bottom"/>
          </w:tcPr>
          <w:p>
            <w:pPr>
              <w:ind w:left="40"/>
              <w:spacing w:after="0"/>
              <w:rPr>
                <w:sz w:val="20"/>
                <w:szCs w:val="20"/>
                <w:color w:val="auto"/>
              </w:rPr>
            </w:pPr>
            <w:r>
              <w:rPr>
                <w:rFonts w:ascii="Calibri" w:cs="Calibri" w:eastAsia="Calibri" w:hAnsi="Calibri"/>
                <w:sz w:val="17"/>
                <w:szCs w:val="17"/>
                <w:color w:val="auto"/>
              </w:rPr>
              <w:t>Healthcare</w:t>
            </w:r>
          </w:p>
        </w:tc>
        <w:tc>
          <w:tcPr>
            <w:tcW w:w="3120" w:type="dxa"/>
            <w:vAlign w:val="bottom"/>
            <w:tcBorders>
              <w:right w:val="single" w:sz="8" w:color="BABABA"/>
            </w:tcBorders>
          </w:tcPr>
          <w:p>
            <w:pPr>
              <w:spacing w:after="0"/>
              <w:rPr>
                <w:sz w:val="20"/>
                <w:szCs w:val="20"/>
                <w:color w:val="auto"/>
              </w:rPr>
            </w:pPr>
          </w:p>
        </w:tc>
        <w:tc>
          <w:tcPr>
            <w:tcW w:w="1140" w:type="dxa"/>
            <w:vAlign w:val="bottom"/>
          </w:tcPr>
          <w:p>
            <w:pPr>
              <w:jc w:val="right"/>
              <w:ind w:right="173"/>
              <w:spacing w:after="0"/>
              <w:rPr>
                <w:sz w:val="20"/>
                <w:szCs w:val="20"/>
                <w:color w:val="auto"/>
              </w:rPr>
            </w:pPr>
            <w:r>
              <w:rPr>
                <w:rFonts w:ascii="Calibri" w:cs="Calibri" w:eastAsia="Calibri" w:hAnsi="Calibri"/>
                <w:sz w:val="17"/>
                <w:szCs w:val="17"/>
                <w:color w:val="auto"/>
              </w:rPr>
              <w:t>101.2</w:t>
            </w:r>
          </w:p>
        </w:tc>
        <w:tc>
          <w:tcPr>
            <w:tcW w:w="92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4.0%</w:t>
            </w:r>
          </w:p>
        </w:tc>
        <w:tc>
          <w:tcPr>
            <w:tcW w:w="1580" w:type="dxa"/>
            <w:vAlign w:val="bottom"/>
          </w:tcPr>
          <w:p>
            <w:pPr>
              <w:jc w:val="right"/>
              <w:ind w:right="473"/>
              <w:spacing w:after="0"/>
              <w:rPr>
                <w:sz w:val="20"/>
                <w:szCs w:val="20"/>
                <w:color w:val="auto"/>
              </w:rPr>
            </w:pPr>
            <w:r>
              <w:rPr>
                <w:rFonts w:ascii="Calibri" w:cs="Calibri" w:eastAsia="Calibri" w:hAnsi="Calibri"/>
                <w:sz w:val="17"/>
                <w:szCs w:val="17"/>
                <w:color w:val="auto"/>
              </w:rPr>
              <w:t>112.4</w:t>
            </w:r>
          </w:p>
        </w:tc>
        <w:tc>
          <w:tcPr>
            <w:tcW w:w="64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w w:val="99"/>
              </w:rPr>
              <w:t>10.9%</w:t>
            </w:r>
          </w:p>
        </w:tc>
        <w:tc>
          <w:tcPr>
            <w:tcW w:w="360" w:type="dxa"/>
            <w:vAlign w:val="bottom"/>
          </w:tcPr>
          <w:p>
            <w:pPr>
              <w:spacing w:after="0"/>
              <w:rPr>
                <w:sz w:val="20"/>
                <w:szCs w:val="20"/>
                <w:color w:val="auto"/>
              </w:rPr>
            </w:pPr>
          </w:p>
        </w:tc>
        <w:tc>
          <w:tcPr>
            <w:tcW w:w="940" w:type="dxa"/>
            <w:vAlign w:val="bottom"/>
          </w:tcPr>
          <w:p>
            <w:pPr>
              <w:jc w:val="right"/>
              <w:ind w:right="213"/>
              <w:spacing w:after="0"/>
              <w:rPr>
                <w:sz w:val="20"/>
                <w:szCs w:val="20"/>
                <w:color w:val="auto"/>
              </w:rPr>
            </w:pPr>
            <w:r>
              <w:rPr>
                <w:rFonts w:ascii="Calibri" w:cs="Calibri" w:eastAsia="Calibri" w:hAnsi="Calibri"/>
                <w:sz w:val="17"/>
                <w:szCs w:val="17"/>
                <w:color w:val="auto"/>
              </w:rPr>
              <w:t>97.4</w:t>
            </w:r>
          </w:p>
        </w:tc>
        <w:tc>
          <w:tcPr>
            <w:tcW w:w="960" w:type="dxa"/>
            <w:vAlign w:val="bottom"/>
          </w:tcPr>
          <w:p>
            <w:pPr>
              <w:jc w:val="right"/>
              <w:ind w:right="93"/>
              <w:spacing w:after="0"/>
              <w:rPr>
                <w:sz w:val="20"/>
                <w:szCs w:val="20"/>
                <w:color w:val="auto"/>
              </w:rPr>
            </w:pPr>
            <w:r>
              <w:rPr>
                <w:rFonts w:ascii="Calibri" w:cs="Calibri" w:eastAsia="Calibri" w:hAnsi="Calibri"/>
                <w:sz w:val="17"/>
                <w:szCs w:val="17"/>
                <w:color w:val="auto"/>
              </w:rPr>
              <w:t>-13.4%</w:t>
            </w:r>
          </w:p>
        </w:tc>
      </w:tr>
      <w:tr>
        <w:trPr>
          <w:trHeight w:val="260"/>
        </w:trPr>
        <w:tc>
          <w:tcPr>
            <w:tcW w:w="4080" w:type="dxa"/>
            <w:vAlign w:val="bottom"/>
            <w:tcBorders>
              <w:right w:val="single" w:sz="8" w:color="BABABA"/>
            </w:tcBorders>
            <w:gridSpan w:val="2"/>
          </w:tcPr>
          <w:p>
            <w:pPr>
              <w:ind w:left="40"/>
              <w:spacing w:after="0"/>
              <w:rPr>
                <w:sz w:val="20"/>
                <w:szCs w:val="20"/>
                <w:color w:val="auto"/>
              </w:rPr>
            </w:pPr>
            <w:r>
              <w:rPr>
                <w:rFonts w:ascii="Calibri" w:cs="Calibri" w:eastAsia="Calibri" w:hAnsi="Calibri"/>
                <w:sz w:val="17"/>
                <w:szCs w:val="17"/>
                <w:color w:val="auto"/>
              </w:rPr>
              <w:t>Emerging Business</w:t>
            </w:r>
          </w:p>
        </w:tc>
        <w:tc>
          <w:tcPr>
            <w:tcW w:w="1140" w:type="dxa"/>
            <w:vAlign w:val="bottom"/>
          </w:tcPr>
          <w:p>
            <w:pPr>
              <w:jc w:val="right"/>
              <w:ind w:right="173"/>
              <w:spacing w:after="0"/>
              <w:rPr>
                <w:sz w:val="20"/>
                <w:szCs w:val="20"/>
                <w:color w:val="auto"/>
              </w:rPr>
            </w:pPr>
            <w:r>
              <w:rPr>
                <w:rFonts w:ascii="Calibri" w:cs="Calibri" w:eastAsia="Calibri" w:hAnsi="Calibri"/>
                <w:sz w:val="17"/>
                <w:szCs w:val="17"/>
                <w:color w:val="auto"/>
              </w:rPr>
              <w:t>152.7</w:t>
            </w:r>
          </w:p>
        </w:tc>
        <w:tc>
          <w:tcPr>
            <w:tcW w:w="92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-19.7%</w:t>
            </w:r>
          </w:p>
        </w:tc>
        <w:tc>
          <w:tcPr>
            <w:tcW w:w="1580" w:type="dxa"/>
            <w:vAlign w:val="bottom"/>
          </w:tcPr>
          <w:p>
            <w:pPr>
              <w:jc w:val="right"/>
              <w:ind w:right="473"/>
              <w:spacing w:after="0"/>
              <w:rPr>
                <w:sz w:val="20"/>
                <w:szCs w:val="20"/>
                <w:color w:val="auto"/>
              </w:rPr>
            </w:pPr>
            <w:r>
              <w:rPr>
                <w:rFonts w:ascii="Calibri" w:cs="Calibri" w:eastAsia="Calibri" w:hAnsi="Calibri"/>
                <w:sz w:val="17"/>
                <w:szCs w:val="17"/>
                <w:color w:val="auto"/>
              </w:rPr>
              <w:t>167.2</w:t>
            </w:r>
          </w:p>
        </w:tc>
        <w:tc>
          <w:tcPr>
            <w:tcW w:w="64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9.5%</w:t>
            </w:r>
          </w:p>
        </w:tc>
        <w:tc>
          <w:tcPr>
            <w:tcW w:w="360" w:type="dxa"/>
            <w:vAlign w:val="bottom"/>
          </w:tcPr>
          <w:p>
            <w:pPr>
              <w:spacing w:after="0"/>
              <w:rPr>
                <w:sz w:val="22"/>
                <w:szCs w:val="22"/>
                <w:color w:val="auto"/>
              </w:rPr>
            </w:pPr>
          </w:p>
        </w:tc>
        <w:tc>
          <w:tcPr>
            <w:tcW w:w="940" w:type="dxa"/>
            <w:vAlign w:val="bottom"/>
          </w:tcPr>
          <w:p>
            <w:pPr>
              <w:jc w:val="right"/>
              <w:ind w:right="213"/>
              <w:spacing w:after="0"/>
              <w:rPr>
                <w:sz w:val="20"/>
                <w:szCs w:val="20"/>
                <w:color w:val="auto"/>
              </w:rPr>
            </w:pPr>
            <w:r>
              <w:rPr>
                <w:rFonts w:ascii="Calibri" w:cs="Calibri" w:eastAsia="Calibri" w:hAnsi="Calibri"/>
                <w:sz w:val="17"/>
                <w:szCs w:val="17"/>
                <w:color w:val="auto"/>
              </w:rPr>
              <w:t>218.6</w:t>
            </w:r>
          </w:p>
        </w:tc>
        <w:tc>
          <w:tcPr>
            <w:tcW w:w="960" w:type="dxa"/>
            <w:vAlign w:val="bottom"/>
          </w:tcPr>
          <w:p>
            <w:pPr>
              <w:jc w:val="right"/>
              <w:ind w:right="93"/>
              <w:spacing w:after="0"/>
              <w:rPr>
                <w:sz w:val="20"/>
                <w:szCs w:val="20"/>
                <w:color w:val="auto"/>
              </w:rPr>
            </w:pPr>
            <w:r>
              <w:rPr>
                <w:rFonts w:ascii="Calibri" w:cs="Calibri" w:eastAsia="Calibri" w:hAnsi="Calibri"/>
                <w:sz w:val="17"/>
                <w:szCs w:val="17"/>
                <w:color w:val="auto"/>
              </w:rPr>
              <w:t>30.7%</w:t>
            </w:r>
          </w:p>
        </w:tc>
      </w:tr>
      <w:tr>
        <w:trPr>
          <w:trHeight w:val="260"/>
        </w:trPr>
        <w:tc>
          <w:tcPr>
            <w:tcW w:w="960" w:type="dxa"/>
            <w:vAlign w:val="bottom"/>
          </w:tcPr>
          <w:p>
            <w:pPr>
              <w:ind w:left="40"/>
              <w:spacing w:after="0"/>
              <w:rPr>
                <w:sz w:val="20"/>
                <w:szCs w:val="20"/>
                <w:color w:val="auto"/>
              </w:rPr>
            </w:pPr>
            <w:r>
              <w:rPr>
                <w:rFonts w:ascii="Calibri" w:cs="Calibri" w:eastAsia="Calibri" w:hAnsi="Calibri"/>
                <w:sz w:val="17"/>
                <w:szCs w:val="17"/>
                <w:color w:val="auto"/>
              </w:rPr>
              <w:t>Analytcs</w:t>
            </w:r>
          </w:p>
        </w:tc>
        <w:tc>
          <w:tcPr>
            <w:tcW w:w="3120" w:type="dxa"/>
            <w:vAlign w:val="bottom"/>
            <w:tcBorders>
              <w:right w:val="single" w:sz="8" w:color="BABABA"/>
            </w:tcBorders>
          </w:tcPr>
          <w:p>
            <w:pPr>
              <w:spacing w:after="0"/>
              <w:rPr>
                <w:sz w:val="22"/>
                <w:szCs w:val="22"/>
                <w:color w:val="auto"/>
              </w:rPr>
            </w:pPr>
          </w:p>
        </w:tc>
        <w:tc>
          <w:tcPr>
            <w:tcW w:w="1140" w:type="dxa"/>
            <w:vAlign w:val="bottom"/>
          </w:tcPr>
          <w:p>
            <w:pPr>
              <w:jc w:val="right"/>
              <w:ind w:right="173"/>
              <w:spacing w:after="0"/>
              <w:rPr>
                <w:sz w:val="20"/>
                <w:szCs w:val="20"/>
                <w:color w:val="auto"/>
              </w:rPr>
            </w:pPr>
            <w:r>
              <w:rPr>
                <w:rFonts w:ascii="Calibri" w:cs="Calibri" w:eastAsia="Calibri" w:hAnsi="Calibri"/>
                <w:sz w:val="17"/>
                <w:szCs w:val="17"/>
                <w:color w:val="auto"/>
              </w:rPr>
              <w:t>362.7</w:t>
            </w:r>
          </w:p>
        </w:tc>
        <w:tc>
          <w:tcPr>
            <w:tcW w:w="92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1.5%</w:t>
            </w:r>
          </w:p>
        </w:tc>
        <w:tc>
          <w:tcPr>
            <w:tcW w:w="1580" w:type="dxa"/>
            <w:vAlign w:val="bottom"/>
          </w:tcPr>
          <w:p>
            <w:pPr>
              <w:jc w:val="right"/>
              <w:ind w:right="473"/>
              <w:spacing w:after="0"/>
              <w:rPr>
                <w:sz w:val="20"/>
                <w:szCs w:val="20"/>
                <w:color w:val="auto"/>
              </w:rPr>
            </w:pPr>
            <w:r>
              <w:rPr>
                <w:rFonts w:ascii="Calibri" w:cs="Calibri" w:eastAsia="Calibri" w:hAnsi="Calibri"/>
                <w:sz w:val="17"/>
                <w:szCs w:val="17"/>
                <w:color w:val="auto"/>
              </w:rPr>
              <w:t>460.7</w:t>
            </w:r>
          </w:p>
        </w:tc>
        <w:tc>
          <w:tcPr>
            <w:tcW w:w="64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w w:val="99"/>
              </w:rPr>
              <w:t>27.0%</w:t>
            </w:r>
          </w:p>
        </w:tc>
        <w:tc>
          <w:tcPr>
            <w:tcW w:w="360" w:type="dxa"/>
            <w:vAlign w:val="bottom"/>
          </w:tcPr>
          <w:p>
            <w:pPr>
              <w:spacing w:after="0"/>
              <w:rPr>
                <w:sz w:val="22"/>
                <w:szCs w:val="22"/>
                <w:color w:val="auto"/>
              </w:rPr>
            </w:pPr>
          </w:p>
        </w:tc>
        <w:tc>
          <w:tcPr>
            <w:tcW w:w="940" w:type="dxa"/>
            <w:vAlign w:val="bottom"/>
          </w:tcPr>
          <w:p>
            <w:pPr>
              <w:jc w:val="right"/>
              <w:ind w:right="213"/>
              <w:spacing w:after="0"/>
              <w:rPr>
                <w:sz w:val="20"/>
                <w:szCs w:val="20"/>
                <w:color w:val="auto"/>
              </w:rPr>
            </w:pPr>
            <w:r>
              <w:rPr>
                <w:rFonts w:ascii="Calibri" w:cs="Calibri" w:eastAsia="Calibri" w:hAnsi="Calibri"/>
                <w:sz w:val="17"/>
                <w:szCs w:val="17"/>
                <w:color w:val="auto"/>
              </w:rPr>
              <w:t>647.3</w:t>
            </w:r>
          </w:p>
        </w:tc>
        <w:tc>
          <w:tcPr>
            <w:tcW w:w="960" w:type="dxa"/>
            <w:vAlign w:val="bottom"/>
          </w:tcPr>
          <w:p>
            <w:pPr>
              <w:jc w:val="right"/>
              <w:ind w:right="93"/>
              <w:spacing w:after="0"/>
              <w:rPr>
                <w:sz w:val="20"/>
                <w:szCs w:val="20"/>
                <w:color w:val="auto"/>
              </w:rPr>
            </w:pPr>
            <w:r>
              <w:rPr>
                <w:rFonts w:ascii="Calibri" w:cs="Calibri" w:eastAsia="Calibri" w:hAnsi="Calibri"/>
                <w:sz w:val="17"/>
                <w:szCs w:val="17"/>
                <w:color w:val="auto"/>
              </w:rPr>
              <w:t>40.5%</w:t>
            </w:r>
          </w:p>
        </w:tc>
      </w:tr>
      <w:tr>
        <w:trPr>
          <w:trHeight w:val="75"/>
        </w:trPr>
        <w:tc>
          <w:tcPr>
            <w:tcW w:w="960" w:type="dxa"/>
            <w:vAlign w:val="bottom"/>
            <w:tcBorders>
              <w:bottom w:val="single" w:sz="8" w:color="BABABA"/>
            </w:tcBorders>
          </w:tcPr>
          <w:p>
            <w:pPr>
              <w:spacing w:after="0"/>
              <w:rPr>
                <w:sz w:val="6"/>
                <w:szCs w:val="6"/>
                <w:color w:val="auto"/>
              </w:rPr>
            </w:pPr>
          </w:p>
        </w:tc>
        <w:tc>
          <w:tcPr>
            <w:tcW w:w="3120" w:type="dxa"/>
            <w:vAlign w:val="bottom"/>
            <w:tcBorders>
              <w:bottom w:val="single" w:sz="8" w:color="BABABA"/>
              <w:right w:val="single" w:sz="8" w:color="BABABA"/>
            </w:tcBorders>
          </w:tcPr>
          <w:p>
            <w:pPr>
              <w:spacing w:after="0"/>
              <w:rPr>
                <w:sz w:val="6"/>
                <w:szCs w:val="6"/>
                <w:color w:val="auto"/>
              </w:rPr>
            </w:pPr>
          </w:p>
        </w:tc>
        <w:tc>
          <w:tcPr>
            <w:tcW w:w="1140" w:type="dxa"/>
            <w:vAlign w:val="bottom"/>
            <w:tcBorders>
              <w:bottom w:val="single" w:sz="8" w:color="BABABA"/>
            </w:tcBorders>
          </w:tcPr>
          <w:p>
            <w:pPr>
              <w:spacing w:after="0"/>
              <w:rPr>
                <w:sz w:val="6"/>
                <w:szCs w:val="6"/>
                <w:color w:val="auto"/>
              </w:rPr>
            </w:pPr>
          </w:p>
        </w:tc>
        <w:tc>
          <w:tcPr>
            <w:tcW w:w="920" w:type="dxa"/>
            <w:vAlign w:val="bottom"/>
            <w:tcBorders>
              <w:bottom w:val="single" w:sz="8" w:color="BABABA"/>
              <w:right w:val="single" w:sz="8" w:color="BABABA"/>
            </w:tcBorders>
          </w:tcPr>
          <w:p>
            <w:pPr>
              <w:spacing w:after="0"/>
              <w:rPr>
                <w:sz w:val="6"/>
                <w:szCs w:val="6"/>
                <w:color w:val="auto"/>
              </w:rPr>
            </w:pPr>
          </w:p>
        </w:tc>
        <w:tc>
          <w:tcPr>
            <w:tcW w:w="1580" w:type="dxa"/>
            <w:vAlign w:val="bottom"/>
            <w:tcBorders>
              <w:bottom w:val="single" w:sz="8" w:color="BABABA"/>
            </w:tcBorders>
          </w:tcPr>
          <w:p>
            <w:pPr>
              <w:spacing w:after="0"/>
              <w:rPr>
                <w:sz w:val="6"/>
                <w:szCs w:val="6"/>
                <w:color w:val="auto"/>
              </w:rPr>
            </w:pPr>
          </w:p>
        </w:tc>
        <w:tc>
          <w:tcPr>
            <w:tcW w:w="640" w:type="dxa"/>
            <w:vAlign w:val="bottom"/>
            <w:tcBorders>
              <w:bottom w:val="single" w:sz="8" w:color="BABABA"/>
              <w:right w:val="single" w:sz="8" w:color="BABABA"/>
            </w:tcBorders>
          </w:tcPr>
          <w:p>
            <w:pPr>
              <w:spacing w:after="0"/>
              <w:rPr>
                <w:sz w:val="6"/>
                <w:szCs w:val="6"/>
                <w:color w:val="auto"/>
              </w:rPr>
            </w:pPr>
          </w:p>
        </w:tc>
        <w:tc>
          <w:tcPr>
            <w:tcW w:w="360" w:type="dxa"/>
            <w:vAlign w:val="bottom"/>
            <w:tcBorders>
              <w:bottom w:val="single" w:sz="8" w:color="BABABA"/>
            </w:tcBorders>
          </w:tcPr>
          <w:p>
            <w:pPr>
              <w:spacing w:after="0"/>
              <w:rPr>
                <w:sz w:val="6"/>
                <w:szCs w:val="6"/>
                <w:color w:val="auto"/>
              </w:rPr>
            </w:pPr>
          </w:p>
        </w:tc>
        <w:tc>
          <w:tcPr>
            <w:tcW w:w="940" w:type="dxa"/>
            <w:vAlign w:val="bottom"/>
            <w:tcBorders>
              <w:bottom w:val="single" w:sz="8" w:color="BABABA"/>
            </w:tcBorders>
          </w:tcPr>
          <w:p>
            <w:pPr>
              <w:spacing w:after="0"/>
              <w:rPr>
                <w:sz w:val="6"/>
                <w:szCs w:val="6"/>
                <w:color w:val="auto"/>
              </w:rPr>
            </w:pPr>
          </w:p>
        </w:tc>
        <w:tc>
          <w:tcPr>
            <w:tcW w:w="960" w:type="dxa"/>
            <w:vAlign w:val="bottom"/>
            <w:tcBorders>
              <w:bottom w:val="single" w:sz="8" w:color="BABABA"/>
            </w:tcBorders>
          </w:tcPr>
          <w:p>
            <w:pPr>
              <w:spacing w:after="0"/>
              <w:rPr>
                <w:sz w:val="6"/>
                <w:szCs w:val="6"/>
                <w:color w:val="auto"/>
              </w:rPr>
            </w:pPr>
          </w:p>
        </w:tc>
      </w:tr>
      <w:tr>
        <w:trPr>
          <w:trHeight w:val="199"/>
        </w:trPr>
        <w:tc>
          <w:tcPr>
            <w:tcW w:w="960" w:type="dxa"/>
            <w:vAlign w:val="bottom"/>
          </w:tcPr>
          <w:p>
            <w:pPr>
              <w:ind w:left="40"/>
              <w:spacing w:after="0" w:line="199" w:lineRule="exact"/>
              <w:rPr>
                <w:sz w:val="20"/>
                <w:szCs w:val="20"/>
                <w:color w:val="auto"/>
              </w:rPr>
            </w:pPr>
            <w:r>
              <w:rPr>
                <w:rFonts w:ascii="Calibri" w:cs="Calibri" w:eastAsia="Calibri" w:hAnsi="Calibri"/>
                <w:sz w:val="17"/>
                <w:szCs w:val="17"/>
                <w:b w:val="1"/>
                <w:bCs w:val="1"/>
                <w:color w:val="auto"/>
                <w:w w:val="97"/>
              </w:rPr>
              <w:t>Consolidated</w:t>
            </w:r>
          </w:p>
        </w:tc>
        <w:tc>
          <w:tcPr>
            <w:tcW w:w="3120" w:type="dxa"/>
            <w:vAlign w:val="bottom"/>
          </w:tcPr>
          <w:p>
            <w:pPr>
              <w:spacing w:after="0"/>
              <w:rPr>
                <w:sz w:val="17"/>
                <w:szCs w:val="17"/>
                <w:color w:val="auto"/>
              </w:rPr>
            </w:pPr>
          </w:p>
        </w:tc>
        <w:tc>
          <w:tcPr>
            <w:tcW w:w="1140" w:type="dxa"/>
            <w:vAlign w:val="bottom"/>
          </w:tcPr>
          <w:p>
            <w:pPr>
              <w:jc w:val="right"/>
              <w:ind w:right="173"/>
              <w:spacing w:after="0" w:line="199" w:lineRule="exact"/>
              <w:rPr>
                <w:sz w:val="20"/>
                <w:szCs w:val="20"/>
                <w:color w:val="auto"/>
              </w:rPr>
            </w:pPr>
            <w:r>
              <w:rPr>
                <w:rFonts w:ascii="Calibri" w:cs="Calibri" w:eastAsia="Calibri" w:hAnsi="Calibri"/>
                <w:sz w:val="17"/>
                <w:szCs w:val="17"/>
                <w:b w:val="1"/>
                <w:bCs w:val="1"/>
                <w:color w:val="auto"/>
              </w:rPr>
              <w:t>$958.4</w:t>
            </w:r>
          </w:p>
        </w:tc>
        <w:tc>
          <w:tcPr>
            <w:tcW w:w="920" w:type="dxa"/>
            <w:vAlign w:val="bottom"/>
          </w:tcPr>
          <w:p>
            <w:pPr>
              <w:jc w:val="right"/>
              <w:ind w:right="113"/>
              <w:spacing w:after="0" w:line="199" w:lineRule="exact"/>
              <w:rPr>
                <w:sz w:val="20"/>
                <w:szCs w:val="20"/>
                <w:color w:val="auto"/>
              </w:rPr>
            </w:pPr>
            <w:r>
              <w:rPr>
                <w:rFonts w:ascii="Calibri" w:cs="Calibri" w:eastAsia="Calibri" w:hAnsi="Calibri"/>
                <w:sz w:val="17"/>
                <w:szCs w:val="17"/>
                <w:b w:val="1"/>
                <w:bCs w:val="1"/>
                <w:color w:val="auto"/>
              </w:rPr>
              <w:t>-3.3%</w:t>
            </w:r>
          </w:p>
        </w:tc>
        <w:tc>
          <w:tcPr>
            <w:tcW w:w="1580" w:type="dxa"/>
            <w:vAlign w:val="bottom"/>
          </w:tcPr>
          <w:p>
            <w:pPr>
              <w:jc w:val="right"/>
              <w:ind w:right="473"/>
              <w:spacing w:after="0" w:line="199" w:lineRule="exact"/>
              <w:rPr>
                <w:sz w:val="20"/>
                <w:szCs w:val="20"/>
                <w:color w:val="auto"/>
              </w:rPr>
            </w:pPr>
            <w:r>
              <w:rPr>
                <w:rFonts w:ascii="Calibri" w:cs="Calibri" w:eastAsia="Calibri" w:hAnsi="Calibri"/>
                <w:sz w:val="17"/>
                <w:szCs w:val="17"/>
                <w:b w:val="1"/>
                <w:bCs w:val="1"/>
                <w:color w:val="auto"/>
              </w:rPr>
              <w:t>$1,112.3</w:t>
            </w:r>
          </w:p>
        </w:tc>
        <w:tc>
          <w:tcPr>
            <w:tcW w:w="640" w:type="dxa"/>
            <w:vAlign w:val="bottom"/>
          </w:tcPr>
          <w:p>
            <w:pPr>
              <w:jc w:val="right"/>
              <w:ind w:right="113"/>
              <w:spacing w:after="0" w:line="199" w:lineRule="exact"/>
              <w:rPr>
                <w:sz w:val="20"/>
                <w:szCs w:val="20"/>
                <w:color w:val="auto"/>
              </w:rPr>
            </w:pPr>
            <w:r>
              <w:rPr>
                <w:rFonts w:ascii="Calibri" w:cs="Calibri" w:eastAsia="Calibri" w:hAnsi="Calibri"/>
                <w:sz w:val="17"/>
                <w:szCs w:val="17"/>
                <w:b w:val="1"/>
                <w:bCs w:val="1"/>
                <w:color w:val="auto"/>
                <w:w w:val="98"/>
              </w:rPr>
              <w:t>17.1%</w:t>
            </w:r>
          </w:p>
        </w:tc>
        <w:tc>
          <w:tcPr>
            <w:tcW w:w="360" w:type="dxa"/>
            <w:vAlign w:val="bottom"/>
          </w:tcPr>
          <w:p>
            <w:pPr>
              <w:spacing w:after="0"/>
              <w:rPr>
                <w:sz w:val="17"/>
                <w:szCs w:val="17"/>
                <w:color w:val="auto"/>
              </w:rPr>
            </w:pPr>
          </w:p>
        </w:tc>
        <w:tc>
          <w:tcPr>
            <w:tcW w:w="940" w:type="dxa"/>
            <w:vAlign w:val="bottom"/>
          </w:tcPr>
          <w:p>
            <w:pPr>
              <w:jc w:val="right"/>
              <w:ind w:right="213"/>
              <w:spacing w:after="0" w:line="199" w:lineRule="exact"/>
              <w:rPr>
                <w:sz w:val="20"/>
                <w:szCs w:val="20"/>
                <w:color w:val="auto"/>
              </w:rPr>
            </w:pPr>
            <w:r>
              <w:rPr>
                <w:rFonts w:ascii="Calibri" w:cs="Calibri" w:eastAsia="Calibri" w:hAnsi="Calibri"/>
                <w:sz w:val="17"/>
                <w:szCs w:val="17"/>
                <w:b w:val="1"/>
                <w:bCs w:val="1"/>
                <w:color w:val="auto"/>
              </w:rPr>
              <w:t>$1,412.0</w:t>
            </w:r>
          </w:p>
        </w:tc>
        <w:tc>
          <w:tcPr>
            <w:tcW w:w="960" w:type="dxa"/>
            <w:vAlign w:val="bottom"/>
          </w:tcPr>
          <w:p>
            <w:pPr>
              <w:jc w:val="right"/>
              <w:ind w:right="93"/>
              <w:spacing w:after="0" w:line="199" w:lineRule="exact"/>
              <w:rPr>
                <w:sz w:val="20"/>
                <w:szCs w:val="20"/>
                <w:color w:val="auto"/>
              </w:rPr>
            </w:pPr>
            <w:r>
              <w:rPr>
                <w:rFonts w:ascii="Calibri" w:cs="Calibri" w:eastAsia="Calibri" w:hAnsi="Calibri"/>
                <w:sz w:val="17"/>
                <w:szCs w:val="17"/>
                <w:b w:val="1"/>
                <w:bCs w:val="1"/>
                <w:color w:val="auto"/>
              </w:rPr>
              <w:t>25.8%</w:t>
            </w:r>
          </w:p>
        </w:tc>
      </w:tr>
      <w:tr>
        <w:trPr>
          <w:trHeight w:val="499"/>
        </w:trPr>
        <w:tc>
          <w:tcPr>
            <w:tcW w:w="960" w:type="dxa"/>
            <w:vAlign w:val="bottom"/>
          </w:tcPr>
          <w:p>
            <w:pPr>
              <w:ind w:left="640"/>
              <w:spacing w:after="0"/>
              <w:rPr>
                <w:sz w:val="20"/>
                <w:szCs w:val="20"/>
                <w:color w:val="auto"/>
              </w:rPr>
            </w:pPr>
            <w:r>
              <w:rPr>
                <w:rFonts w:ascii="Calibri" w:cs="Calibri" w:eastAsia="Calibri" w:hAnsi="Calibri"/>
                <w:sz w:val="17"/>
                <w:szCs w:val="17"/>
                <w:b w:val="1"/>
                <w:bCs w:val="1"/>
                <w:color w:val="auto"/>
              </w:rPr>
              <w:t>8</w:t>
            </w:r>
          </w:p>
        </w:tc>
        <w:tc>
          <w:tcPr>
            <w:tcW w:w="3120" w:type="dxa"/>
            <w:vAlign w:val="bottom"/>
          </w:tcPr>
          <w:p>
            <w:pPr>
              <w:ind w:left="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940"/>
          </w:cols>
          <w:pgMar w:left="320" w:top="471"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5328285" cy="6806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28285" cy="680656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60"/>
        <w:spacing w:after="0"/>
        <w:tabs>
          <w:tab w:leader="none" w:pos="10240" w:val="left"/>
          <w:tab w:leader="none" w:pos="106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5"/>
          <w:szCs w:val="15"/>
          <w:b w:val="1"/>
          <w:bCs w:val="1"/>
          <w:color w:val="auto"/>
        </w:rPr>
        <w:t>9</w:t>
      </w:r>
    </w:p>
    <w:p>
      <w:pPr>
        <w:sectPr>
          <w:pgSz w:w="11900" w:h="16838" w:orient="portrait"/>
          <w:cols w:equalWidth="0" w:num="1">
            <w:col w:w="10940"/>
          </w:cols>
          <w:pgMar w:left="320" w:top="471"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5328285" cy="6806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28285" cy="680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10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139"/>
          </w:cols>
          <w:pgMar w:left="320" w:top="47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graphs below compare our 1-year, 3-year and 5-year cumulatve total stockholder return (“TSR”) as of December 31, 2022 with the median TSR for companies comprising Nasdaq, S&amp;P 600 and our peer group.</w:t>
      </w:r>
    </w:p>
    <w:p>
      <w:pPr>
        <w:spacing w:after="0" w:line="236" w:lineRule="exact"/>
        <w:rPr>
          <w:sz w:val="20"/>
          <w:szCs w:val="20"/>
          <w:color w:val="auto"/>
        </w:rPr>
      </w:pPr>
    </w:p>
    <w:p>
      <w:pPr>
        <w:ind w:left="1800"/>
        <w:spacing w:after="0"/>
        <w:tabs>
          <w:tab w:leader="none" w:pos="5460" w:val="left"/>
          <w:tab w:leader="none" w:pos="8900" w:val="left"/>
        </w:tabs>
        <w:rPr>
          <w:sz w:val="20"/>
          <w:szCs w:val="20"/>
          <w:color w:val="auto"/>
        </w:rPr>
      </w:pPr>
      <w:r>
        <w:rPr>
          <w:rFonts w:ascii="Calibri" w:cs="Calibri" w:eastAsia="Calibri" w:hAnsi="Calibri"/>
          <w:sz w:val="17"/>
          <w:szCs w:val="17"/>
          <w:b w:val="1"/>
          <w:bCs w:val="1"/>
          <w:color w:val="auto"/>
        </w:rPr>
        <w:t>1-Year TSR</w:t>
      </w:r>
      <w:r>
        <w:rPr>
          <w:sz w:val="20"/>
          <w:szCs w:val="20"/>
          <w:color w:val="auto"/>
        </w:rPr>
        <w:tab/>
      </w:r>
      <w:r>
        <w:rPr>
          <w:rFonts w:ascii="Calibri" w:cs="Calibri" w:eastAsia="Calibri" w:hAnsi="Calibri"/>
          <w:sz w:val="17"/>
          <w:szCs w:val="17"/>
          <w:b w:val="1"/>
          <w:bCs w:val="1"/>
          <w:color w:val="auto"/>
        </w:rPr>
        <w:t>3-Year TSR</w:t>
      </w:r>
      <w:r>
        <w:rPr>
          <w:sz w:val="20"/>
          <w:szCs w:val="20"/>
          <w:color w:val="auto"/>
        </w:rPr>
        <w:tab/>
      </w:r>
      <w:r>
        <w:rPr>
          <w:rFonts w:ascii="Calibri" w:cs="Calibri" w:eastAsia="Calibri" w:hAnsi="Calibri"/>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163195</wp:posOffset>
            </wp:positionV>
            <wp:extent cx="6146165" cy="1255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4616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2023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11</w:t>
            </w:r>
          </w:p>
        </w:tc>
      </w:tr>
    </w:tbl>
    <w:p>
      <w:pPr>
        <w:sectPr>
          <w:pgSz w:w="11900" w:h="16838" w:orient="portrait"/>
          <w:cols w:equalWidth="0" w:num="1">
            <w:col w:w="10940"/>
          </w:cols>
          <w:pgMar w:left="320" w:top="471"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Corporate governance highlights</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following informaton is based on our board profle immediately following our Annual Meetng (assuming the electon of our seven director nominees), and refects current board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4708525" cy="6014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08525" cy="601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12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140"/>
          </w:cols>
          <w:pgMar w:left="320" w:top="471" w:right="1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5006340" cy="6740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06340" cy="674052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13</w:t>
      </w:r>
    </w:p>
    <w:p>
      <w:pPr>
        <w:sectPr>
          <w:pgSz w:w="11900" w:h="16838" w:orient="portrait"/>
          <w:cols w:equalWidth="0" w:num="1">
            <w:col w:w="10940"/>
          </w:cols>
          <w:pgMar w:left="320" w:top="471"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Nominees for electon as directors</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720" w:type="dxa"/>
            <w:vAlign w:val="bottom"/>
          </w:tcPr>
          <w:p>
            <w:pPr>
              <w:spacing w:after="0"/>
              <w:rPr>
                <w:sz w:val="18"/>
                <w:szCs w:val="18"/>
                <w:color w:val="auto"/>
              </w:rPr>
            </w:pPr>
          </w:p>
        </w:tc>
        <w:tc>
          <w:tcPr>
            <w:tcW w:w="1500" w:type="dxa"/>
            <w:vAlign w:val="bottom"/>
          </w:tcPr>
          <w:p>
            <w:pPr>
              <w:jc w:val="center"/>
              <w:ind w:left="1"/>
              <w:spacing w:after="0"/>
              <w:rPr>
                <w:sz w:val="20"/>
                <w:szCs w:val="20"/>
                <w:color w:val="auto"/>
              </w:rPr>
            </w:pPr>
            <w:r>
              <w:rPr>
                <w:rFonts w:ascii="Calibri" w:cs="Calibri" w:eastAsia="Calibri" w:hAnsi="Calibri"/>
                <w:sz w:val="17"/>
                <w:szCs w:val="17"/>
                <w:b w:val="1"/>
                <w:bCs w:val="1"/>
                <w:color w:val="FB4E0B"/>
              </w:rPr>
              <w:t>Director</w:t>
            </w:r>
          </w:p>
        </w:tc>
        <w:tc>
          <w:tcPr>
            <w:tcW w:w="5080" w:type="dxa"/>
            <w:vAlign w:val="bottom"/>
          </w:tcPr>
          <w:p>
            <w:pPr>
              <w:spacing w:after="0"/>
              <w:rPr>
                <w:sz w:val="18"/>
                <w:szCs w:val="18"/>
                <w:color w:val="auto"/>
              </w:rPr>
            </w:pPr>
          </w:p>
        </w:tc>
        <w:tc>
          <w:tcPr>
            <w:tcW w:w="2320" w:type="dxa"/>
            <w:vAlign w:val="bottom"/>
          </w:tcPr>
          <w:p>
            <w:pPr>
              <w:ind w:left="820"/>
              <w:spacing w:after="0"/>
              <w:rPr>
                <w:sz w:val="20"/>
                <w:szCs w:val="20"/>
                <w:color w:val="auto"/>
              </w:rPr>
            </w:pPr>
            <w:r>
              <w:rPr>
                <w:rFonts w:ascii="Calibri" w:cs="Calibri" w:eastAsia="Calibri" w:hAnsi="Calibri"/>
                <w:sz w:val="17"/>
                <w:szCs w:val="17"/>
                <w:b w:val="1"/>
                <w:bCs w:val="1"/>
                <w:color w:val="FB4E0B"/>
              </w:rPr>
              <w:t>Commitee</w:t>
            </w:r>
          </w:p>
        </w:tc>
      </w:tr>
      <w:tr>
        <w:trPr>
          <w:trHeight w:val="208"/>
        </w:trPr>
        <w:tc>
          <w:tcPr>
            <w:tcW w:w="172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Name</w:t>
            </w:r>
          </w:p>
        </w:tc>
        <w:tc>
          <w:tcPr>
            <w:tcW w:w="1500" w:type="dxa"/>
            <w:vAlign w:val="bottom"/>
          </w:tcPr>
          <w:p>
            <w:pPr>
              <w:jc w:val="center"/>
              <w:spacing w:after="0"/>
              <w:rPr>
                <w:sz w:val="20"/>
                <w:szCs w:val="20"/>
                <w:color w:val="auto"/>
              </w:rPr>
            </w:pPr>
            <w:r>
              <w:rPr>
                <w:rFonts w:ascii="Calibri" w:cs="Calibri" w:eastAsia="Calibri" w:hAnsi="Calibri"/>
                <w:sz w:val="17"/>
                <w:szCs w:val="17"/>
                <w:b w:val="1"/>
                <w:bCs w:val="1"/>
                <w:color w:val="FB4E0B"/>
              </w:rPr>
              <w:t>since</w:t>
            </w:r>
          </w:p>
        </w:tc>
        <w:tc>
          <w:tcPr>
            <w:tcW w:w="5080" w:type="dxa"/>
            <w:vAlign w:val="bottom"/>
          </w:tcPr>
          <w:p>
            <w:pPr>
              <w:ind w:left="1820"/>
              <w:spacing w:after="0"/>
              <w:rPr>
                <w:sz w:val="20"/>
                <w:szCs w:val="20"/>
                <w:color w:val="auto"/>
              </w:rPr>
            </w:pPr>
            <w:r>
              <w:rPr>
                <w:rFonts w:ascii="Calibri" w:cs="Calibri" w:eastAsia="Calibri" w:hAnsi="Calibri"/>
                <w:sz w:val="17"/>
                <w:szCs w:val="17"/>
                <w:b w:val="1"/>
                <w:bCs w:val="1"/>
                <w:color w:val="FB4E0B"/>
              </w:rPr>
              <w:t>Business Experience*</w:t>
            </w:r>
          </w:p>
        </w:tc>
        <w:tc>
          <w:tcPr>
            <w:tcW w:w="2320" w:type="dxa"/>
            <w:vAlign w:val="bottom"/>
          </w:tcPr>
          <w:p>
            <w:pPr>
              <w:ind w:left="760"/>
              <w:spacing w:after="0"/>
              <w:rPr>
                <w:sz w:val="20"/>
                <w:szCs w:val="20"/>
                <w:color w:val="auto"/>
              </w:rPr>
            </w:pPr>
            <w:r>
              <w:rPr>
                <w:rFonts w:ascii="Calibri" w:cs="Calibri" w:eastAsia="Calibri" w:hAnsi="Calibri"/>
                <w:sz w:val="17"/>
                <w:szCs w:val="17"/>
                <w:b w:val="1"/>
                <w:bCs w:val="1"/>
                <w:color w:val="FB4E0B"/>
              </w:rPr>
              <w:t>membership</w:t>
            </w:r>
          </w:p>
        </w:tc>
      </w:tr>
      <w:tr>
        <w:trPr>
          <w:trHeight w:val="94"/>
        </w:trPr>
        <w:tc>
          <w:tcPr>
            <w:tcW w:w="1720" w:type="dxa"/>
            <w:vAlign w:val="bottom"/>
            <w:tcBorders>
              <w:bottom w:val="single" w:sz="8" w:color="FB4E0B"/>
            </w:tcBorders>
          </w:tcPr>
          <w:p>
            <w:pPr>
              <w:spacing w:after="0"/>
              <w:rPr>
                <w:sz w:val="8"/>
                <w:szCs w:val="8"/>
                <w:color w:val="auto"/>
              </w:rPr>
            </w:pPr>
          </w:p>
        </w:tc>
        <w:tc>
          <w:tcPr>
            <w:tcW w:w="1500" w:type="dxa"/>
            <w:vAlign w:val="bottom"/>
            <w:tcBorders>
              <w:bottom w:val="single" w:sz="8" w:color="FB4E0B"/>
            </w:tcBorders>
          </w:tcPr>
          <w:p>
            <w:pPr>
              <w:spacing w:after="0"/>
              <w:rPr>
                <w:sz w:val="8"/>
                <w:szCs w:val="8"/>
                <w:color w:val="auto"/>
              </w:rPr>
            </w:pPr>
          </w:p>
        </w:tc>
        <w:tc>
          <w:tcPr>
            <w:tcW w:w="5080" w:type="dxa"/>
            <w:vAlign w:val="bottom"/>
            <w:tcBorders>
              <w:bottom w:val="single" w:sz="8" w:color="FB4E0B"/>
            </w:tcBorders>
          </w:tcPr>
          <w:p>
            <w:pPr>
              <w:spacing w:after="0"/>
              <w:rPr>
                <w:sz w:val="8"/>
                <w:szCs w:val="8"/>
                <w:color w:val="auto"/>
              </w:rPr>
            </w:pPr>
          </w:p>
        </w:tc>
        <w:tc>
          <w:tcPr>
            <w:tcW w:w="2320" w:type="dxa"/>
            <w:vAlign w:val="bottom"/>
            <w:tcBorders>
              <w:bottom w:val="single" w:sz="8" w:color="FB4E0B"/>
            </w:tcBorders>
          </w:tcPr>
          <w:p>
            <w:pPr>
              <w:spacing w:after="0"/>
              <w:rPr>
                <w:sz w:val="8"/>
                <w:szCs w:val="8"/>
                <w:color w:val="auto"/>
              </w:rPr>
            </w:pPr>
          </w:p>
        </w:tc>
      </w:tr>
      <w:tr>
        <w:trPr>
          <w:trHeight w:val="220"/>
        </w:trPr>
        <w:tc>
          <w:tcPr>
            <w:tcW w:w="172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October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Chairman and Chief Executve Ofcer of Orogen Group; former Chairman of</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Compensaton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2018</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TGG Group and former Chief Executve Ofcer of Citgroup Inc.</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Management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Commitee</w:t>
            </w:r>
          </w:p>
        </w:tc>
      </w:tr>
      <w:tr>
        <w:trPr>
          <w:trHeight w:val="442"/>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7"/>
              </w:rPr>
              <w:t>Vikram Pandit</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95"/>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i w:val="1"/>
                <w:iCs w:val="1"/>
                <w:color w:val="auto"/>
                <w:w w:val="96"/>
              </w:rPr>
              <w:t>Chairman</w:t>
            </w: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5"/>
              </w:rPr>
              <w:t>November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Co-founded the Company in 1999; Vice Chairman and CEO of the Company</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None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2002</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since 2012</w:t>
            </w:r>
          </w:p>
        </w:tc>
        <w:tc>
          <w:tcPr>
            <w:tcW w:w="2320" w:type="dxa"/>
            <w:vAlign w:val="bottom"/>
          </w:tcPr>
          <w:p>
            <w:pPr>
              <w:spacing w:after="0"/>
              <w:rPr>
                <w:sz w:val="16"/>
                <w:szCs w:val="16"/>
                <w:color w:val="auto"/>
              </w:rPr>
            </w:pPr>
          </w:p>
        </w:tc>
      </w:tr>
      <w:tr>
        <w:trPr>
          <w:trHeight w:val="833"/>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8"/>
              </w:rPr>
              <w:t>Rohit Kapoor</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95"/>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i w:val="1"/>
                <w:iCs w:val="1"/>
                <w:color w:val="auto"/>
                <w:w w:val="97"/>
              </w:rPr>
              <w:t>Vice Chairman</w:t>
            </w: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January 2023</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Chairman and CEO of Internatonal Flavors &amp; Fragrances</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Audit Commitee; Nominatng and</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Calibri" w:cs="Calibri" w:eastAsia="Calibri" w:hAnsi="Calibri"/>
                <w:sz w:val="16"/>
                <w:szCs w:val="16"/>
                <w:color w:val="auto"/>
              </w:rPr>
              <w:t>Governance Commitee</w:t>
            </w:r>
          </w:p>
        </w:tc>
      </w:tr>
      <w:tr>
        <w:trPr>
          <w:trHeight w:val="833"/>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7"/>
              </w:rPr>
              <w:t>Andreas Fibig</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8"/>
              </w:rPr>
              <w:t>December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Chairman and President of NASSCOM; various corporate leadership</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Compensaton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2013</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roles in the IT industry including at Wipro, Compaq,</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Management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Digital and HP</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Commitee</w:t>
            </w:r>
          </w:p>
        </w:tc>
      </w:tr>
      <w:tr>
        <w:trPr>
          <w:trHeight w:val="442"/>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Som Mital</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9"/>
              </w:rPr>
              <w:t>January</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Chief Financial Ofcer of Deloite Consultng; various leadership roles</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Audit Commitee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2021</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w w:val="97"/>
              </w:rPr>
              <w:t>in the fnancial services industry, including at Transamerica Life Companies and</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Compensaton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First Interstate Bank of California</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Management Commitee</w:t>
            </w:r>
          </w:p>
        </w:tc>
      </w:tr>
      <w:tr>
        <w:trPr>
          <w:trHeight w:val="637"/>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6"/>
              </w:rPr>
              <w:t>Kristy Pipes</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9"/>
              </w:rPr>
              <w:t>January</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w w:val="99"/>
              </w:rPr>
              <w:t>Founder and Chief Executve Ofcer of Pharmacord, LLC; former President and</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2016</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CEO of Omnicare Inc.</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Commitee (Chair); Audit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Commitee</w:t>
            </w:r>
          </w:p>
        </w:tc>
      </w:tr>
      <w:tr>
        <w:trPr>
          <w:trHeight w:val="637"/>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rPr>
              <w:t>Nitn Sahney</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172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08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r>
      <w:tr>
        <w:trPr>
          <w:trHeight w:val="213"/>
        </w:trPr>
        <w:tc>
          <w:tcPr>
            <w:tcW w:w="17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7"/>
              </w:rPr>
              <w:t>September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Chief Operatng Ofcer of Overture Services, Inc.; former President &amp;</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Compensaton and Talent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2018</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Chief Operatng Ofcer, PayMyBills; former Executve</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Management Commitee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w w:val="97"/>
              </w:rPr>
              <w:t>Vice President and Head of Consumer and Business Banking for First Interstate</w:t>
            </w:r>
          </w:p>
        </w:tc>
        <w:tc>
          <w:tcPr>
            <w:tcW w:w="2320" w:type="dxa"/>
            <w:vAlign w:val="bottom"/>
          </w:tcPr>
          <w:p>
            <w:pPr>
              <w:ind w:left="80"/>
              <w:spacing w:after="0"/>
              <w:rPr>
                <w:sz w:val="20"/>
                <w:szCs w:val="20"/>
                <w:color w:val="auto"/>
              </w:rPr>
            </w:pPr>
            <w:r>
              <w:rPr>
                <w:rFonts w:ascii="Calibri" w:cs="Calibri" w:eastAsia="Calibri" w:hAnsi="Calibri"/>
                <w:sz w:val="16"/>
                <w:szCs w:val="16"/>
                <w:color w:val="auto"/>
              </w:rPr>
              <w:t>Audit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of California</w:t>
            </w:r>
          </w:p>
        </w:tc>
        <w:tc>
          <w:tcPr>
            <w:tcW w:w="2320" w:type="dxa"/>
            <w:vAlign w:val="bottom"/>
          </w:tcPr>
          <w:p>
            <w:pPr>
              <w:spacing w:after="0"/>
              <w:rPr>
                <w:sz w:val="16"/>
                <w:szCs w:val="16"/>
                <w:color w:val="auto"/>
              </w:rPr>
            </w:pPr>
          </w:p>
        </w:tc>
      </w:tr>
      <w:tr>
        <w:trPr>
          <w:trHeight w:val="442"/>
        </w:trPr>
        <w:tc>
          <w:tcPr>
            <w:tcW w:w="172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6"/>
              </w:rPr>
              <w:t>Jaynie Studenmund</w:t>
            </w:r>
          </w:p>
        </w:tc>
        <w:tc>
          <w:tcPr>
            <w:tcW w:w="1500" w:type="dxa"/>
            <w:vAlign w:val="bottom"/>
            <w:tcBorders>
              <w:right w:val="single" w:sz="8" w:color="auto"/>
            </w:tcBorders>
          </w:tcPr>
          <w:p>
            <w:pPr>
              <w:spacing w:after="0"/>
              <w:rPr>
                <w:sz w:val="24"/>
                <w:szCs w:val="24"/>
                <w:color w:val="auto"/>
              </w:rPr>
            </w:pPr>
          </w:p>
        </w:tc>
        <w:tc>
          <w:tcPr>
            <w:tcW w:w="508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150"/>
        </w:trPr>
        <w:tc>
          <w:tcPr>
            <w:tcW w:w="1720" w:type="dxa"/>
            <w:vAlign w:val="bottom"/>
            <w:tcBorders>
              <w:bottom w:val="single" w:sz="8" w:color="FB4E0B"/>
              <w:right w:val="single" w:sz="8" w:color="auto"/>
            </w:tcBorders>
          </w:tcPr>
          <w:p>
            <w:pPr>
              <w:spacing w:after="0"/>
              <w:rPr>
                <w:sz w:val="13"/>
                <w:szCs w:val="13"/>
                <w:color w:val="auto"/>
              </w:rPr>
            </w:pPr>
          </w:p>
        </w:tc>
        <w:tc>
          <w:tcPr>
            <w:tcW w:w="1500" w:type="dxa"/>
            <w:vAlign w:val="bottom"/>
            <w:tcBorders>
              <w:bottom w:val="single" w:sz="8" w:color="FB4E0B"/>
              <w:right w:val="single" w:sz="8" w:color="auto"/>
            </w:tcBorders>
          </w:tcPr>
          <w:p>
            <w:pPr>
              <w:spacing w:after="0"/>
              <w:rPr>
                <w:sz w:val="13"/>
                <w:szCs w:val="13"/>
                <w:color w:val="auto"/>
              </w:rPr>
            </w:pPr>
          </w:p>
        </w:tc>
        <w:tc>
          <w:tcPr>
            <w:tcW w:w="5080" w:type="dxa"/>
            <w:vAlign w:val="bottom"/>
            <w:tcBorders>
              <w:bottom w:val="single" w:sz="8" w:color="FB4E0B"/>
              <w:right w:val="single" w:sz="8" w:color="auto"/>
            </w:tcBorders>
          </w:tcPr>
          <w:p>
            <w:pPr>
              <w:spacing w:after="0"/>
              <w:rPr>
                <w:sz w:val="13"/>
                <w:szCs w:val="13"/>
                <w:color w:val="auto"/>
              </w:rPr>
            </w:pPr>
          </w:p>
        </w:tc>
        <w:tc>
          <w:tcPr>
            <w:tcW w:w="2320" w:type="dxa"/>
            <w:vAlign w:val="bottom"/>
            <w:tcBorders>
              <w:bottom w:val="single" w:sz="8" w:color="FB4E0B"/>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-6318885</wp:posOffset>
            </wp:positionV>
            <wp:extent cx="661035" cy="652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-5327650</wp:posOffset>
            </wp:positionV>
            <wp:extent cx="661035" cy="652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-4336415</wp:posOffset>
            </wp:positionV>
            <wp:extent cx="661035" cy="652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-3469005</wp:posOffset>
            </wp:positionV>
            <wp:extent cx="661035" cy="652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-2601595</wp:posOffset>
            </wp:positionV>
            <wp:extent cx="661035" cy="652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-1734185</wp:posOffset>
            </wp:positionV>
            <wp:extent cx="661035" cy="652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-866775</wp:posOffset>
            </wp:positionV>
            <wp:extent cx="661035" cy="652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035" cy="65278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Calibri" w:cs="Calibri" w:eastAsia="Calibri" w:hAnsi="Calibri"/>
          <w:sz w:val="13"/>
          <w:szCs w:val="13"/>
          <w:color w:val="auto"/>
        </w:rPr>
        <w:t>* A complete list of each nominee’s business experience and directorships is listed below beginning on page 20.</w:t>
      </w:r>
    </w:p>
    <w:p>
      <w:pPr>
        <w:spacing w:after="0" w:line="13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14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nominees -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1489710</wp:posOffset>
            </wp:positionH>
            <wp:positionV relativeFrom="paragraph">
              <wp:posOffset>152400</wp:posOffset>
            </wp:positionV>
            <wp:extent cx="231140" cy="231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152400</wp:posOffset>
            </wp:positionV>
            <wp:extent cx="247650" cy="231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177165</wp:posOffset>
            </wp:positionV>
            <wp:extent cx="132080"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218440</wp:posOffset>
            </wp:positionV>
            <wp:extent cx="255905" cy="165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168910</wp:posOffset>
            </wp:positionV>
            <wp:extent cx="21463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168910</wp:posOffset>
            </wp:positionV>
            <wp:extent cx="239395"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395" cy="21463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144145</wp:posOffset>
            </wp:positionV>
            <wp:extent cx="239395" cy="239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152400</wp:posOffset>
            </wp:positionV>
            <wp:extent cx="231140" cy="2311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168910</wp:posOffset>
            </wp:positionV>
            <wp:extent cx="23114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168910</wp:posOffset>
            </wp:positionV>
            <wp:extent cx="206375"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375" cy="21463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185420</wp:posOffset>
            </wp:positionV>
            <wp:extent cx="231140" cy="198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140" cy="198120"/>
                    </a:xfrm>
                    <a:prstGeom prst="rect">
                      <a:avLst/>
                    </a:prstGeom>
                    <a:noFill/>
                  </pic:spPr>
                </pic:pic>
              </a:graphicData>
            </a:graphic>
          </wp:anchor>
        </w:drawing>
        <w:drawing>
          <wp:anchor simplePos="0" relativeHeight="251657728" behindDoc="1" locked="0" layoutInCell="0" allowOverlap="1">
            <wp:simplePos x="0" y="0"/>
            <wp:positionH relativeFrom="column">
              <wp:posOffset>6627495</wp:posOffset>
            </wp:positionH>
            <wp:positionV relativeFrom="paragraph">
              <wp:posOffset>177165</wp:posOffset>
            </wp:positionV>
            <wp:extent cx="231140"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1180" w:type="dxa"/>
            <w:vAlign w:val="bottom"/>
          </w:tcPr>
          <w:p>
            <w:pPr>
              <w:spacing w:after="0"/>
              <w:rPr>
                <w:sz w:val="11"/>
                <w:szCs w:val="11"/>
                <w:color w:val="auto"/>
              </w:rPr>
            </w:pPr>
          </w:p>
        </w:tc>
        <w:tc>
          <w:tcPr>
            <w:tcW w:w="1400" w:type="dxa"/>
            <w:vAlign w:val="bottom"/>
          </w:tcPr>
          <w:p>
            <w:pPr>
              <w:jc w:val="center"/>
              <w:ind w:left="572"/>
              <w:spacing w:after="0"/>
              <w:rPr>
                <w:sz w:val="20"/>
                <w:szCs w:val="20"/>
                <w:color w:val="auto"/>
              </w:rPr>
            </w:pPr>
            <w:r>
              <w:rPr>
                <w:rFonts w:ascii="Calibri" w:cs="Calibri" w:eastAsia="Calibri" w:hAnsi="Calibri"/>
                <w:sz w:val="11"/>
                <w:szCs w:val="11"/>
                <w:b w:val="1"/>
                <w:bCs w:val="1"/>
                <w:color w:val="auto"/>
              </w:rPr>
              <w:t>Finance</w:t>
            </w:r>
          </w:p>
        </w:tc>
        <w:tc>
          <w:tcPr>
            <w:tcW w:w="7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Calibri" w:cs="Calibri" w:eastAsia="Calibri" w:hAnsi="Calibri"/>
                <w:sz w:val="11"/>
                <w:szCs w:val="11"/>
                <w:b w:val="1"/>
                <w:bCs w:val="1"/>
                <w:color w:val="auto"/>
              </w:rPr>
              <w:t>Public</w:t>
            </w: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Digital</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Risk</w:t>
            </w:r>
          </w:p>
        </w:tc>
        <w:tc>
          <w:tcPr>
            <w:tcW w:w="920" w:type="dxa"/>
            <w:vAlign w:val="bottom"/>
          </w:tcPr>
          <w:p>
            <w:pPr>
              <w:jc w:val="center"/>
              <w:ind w:right="98"/>
              <w:spacing w:after="0"/>
              <w:rPr>
                <w:sz w:val="20"/>
                <w:szCs w:val="20"/>
                <w:color w:val="auto"/>
              </w:rPr>
            </w:pPr>
            <w:r>
              <w:rPr>
                <w:rFonts w:ascii="Calibri" w:cs="Calibri" w:eastAsia="Calibri" w:hAnsi="Calibri"/>
                <w:sz w:val="11"/>
                <w:szCs w:val="11"/>
                <w:b w:val="1"/>
                <w:bCs w:val="1"/>
                <w:color w:val="auto"/>
              </w:rPr>
              <w:t>Informaton</w:t>
            </w:r>
          </w:p>
        </w:tc>
        <w:tc>
          <w:tcPr>
            <w:tcW w:w="320" w:type="dxa"/>
            <w:vAlign w:val="bottom"/>
          </w:tcPr>
          <w:p>
            <w:pPr>
              <w:spacing w:after="0"/>
              <w:rPr>
                <w:sz w:val="11"/>
                <w:szCs w:val="11"/>
                <w:color w:val="auto"/>
              </w:rPr>
            </w:pPr>
          </w:p>
        </w:tc>
        <w:tc>
          <w:tcPr>
            <w:tcW w:w="740" w:type="dxa"/>
            <w:vAlign w:val="bottom"/>
          </w:tcPr>
          <w:p>
            <w:pPr>
              <w:jc w:val="center"/>
              <w:ind w:left="36"/>
              <w:spacing w:after="0"/>
              <w:rPr>
                <w:sz w:val="20"/>
                <w:szCs w:val="20"/>
                <w:color w:val="auto"/>
              </w:rPr>
            </w:pPr>
            <w:r>
              <w:rPr>
                <w:rFonts w:ascii="Calibri" w:cs="Calibri" w:eastAsia="Calibri" w:hAnsi="Calibri"/>
                <w:sz w:val="11"/>
                <w:szCs w:val="11"/>
                <w:b w:val="1"/>
                <w:bCs w:val="1"/>
                <w:color w:val="auto"/>
              </w:rPr>
              <w:t>Mergers</w:t>
            </w:r>
          </w:p>
        </w:tc>
      </w:tr>
      <w:tr>
        <w:trPr>
          <w:trHeight w:val="130"/>
        </w:trPr>
        <w:tc>
          <w:tcPr>
            <w:tcW w:w="1180" w:type="dxa"/>
            <w:vAlign w:val="bottom"/>
          </w:tcPr>
          <w:p>
            <w:pPr>
              <w:spacing w:after="0"/>
              <w:rPr>
                <w:sz w:val="11"/>
                <w:szCs w:val="11"/>
                <w:color w:val="auto"/>
              </w:rPr>
            </w:pPr>
          </w:p>
        </w:tc>
        <w:tc>
          <w:tcPr>
            <w:tcW w:w="1400" w:type="dxa"/>
            <w:vAlign w:val="bottom"/>
          </w:tcPr>
          <w:p>
            <w:pPr>
              <w:jc w:val="center"/>
              <w:ind w:left="592"/>
              <w:spacing w:after="0" w:line="130" w:lineRule="exact"/>
              <w:rPr>
                <w:sz w:val="20"/>
                <w:szCs w:val="20"/>
                <w:color w:val="auto"/>
              </w:rPr>
            </w:pPr>
            <w:r>
              <w:rPr>
                <w:rFonts w:ascii="Calibri" w:cs="Calibri" w:eastAsia="Calibri" w:hAnsi="Calibri"/>
                <w:sz w:val="11"/>
                <w:szCs w:val="11"/>
                <w:b w:val="1"/>
                <w:bCs w:val="1"/>
                <w:color w:val="auto"/>
              </w:rPr>
              <w:t>and</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Executve</w:t>
            </w:r>
          </w:p>
        </w:tc>
        <w:tc>
          <w:tcPr>
            <w:tcW w:w="7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company</w:t>
            </w:r>
          </w:p>
        </w:tc>
        <w:tc>
          <w:tcPr>
            <w:tcW w:w="58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Human capital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operatons</w:t>
            </w:r>
          </w:p>
        </w:tc>
        <w:tc>
          <w:tcPr>
            <w:tcW w:w="68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Global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oversight and</w:t>
            </w:r>
          </w:p>
        </w:tc>
        <w:tc>
          <w:tcPr>
            <w:tcW w:w="920" w:type="dxa"/>
            <w:vAlign w:val="bottom"/>
          </w:tcPr>
          <w:p>
            <w:pPr>
              <w:jc w:val="center"/>
              <w:ind w:right="78"/>
              <w:spacing w:after="0" w:line="130" w:lineRule="exact"/>
              <w:rPr>
                <w:sz w:val="20"/>
                <w:szCs w:val="20"/>
                <w:color w:val="auto"/>
              </w:rPr>
            </w:pPr>
            <w:r>
              <w:rPr>
                <w:rFonts w:ascii="Calibri" w:cs="Calibri" w:eastAsia="Calibri" w:hAnsi="Calibri"/>
                <w:sz w:val="11"/>
                <w:szCs w:val="11"/>
                <w:b w:val="1"/>
                <w:bCs w:val="1"/>
                <w:color w:val="auto"/>
              </w:rPr>
              <w:t>and cyber</w:t>
            </w:r>
          </w:p>
        </w:tc>
        <w:tc>
          <w:tcPr>
            <w:tcW w:w="320" w:type="dxa"/>
            <w:vAlign w:val="bottom"/>
          </w:tcPr>
          <w:p>
            <w:pPr>
              <w:spacing w:after="0"/>
              <w:rPr>
                <w:sz w:val="11"/>
                <w:szCs w:val="11"/>
                <w:color w:val="auto"/>
              </w:rPr>
            </w:pPr>
          </w:p>
        </w:tc>
        <w:tc>
          <w:tcPr>
            <w:tcW w:w="740" w:type="dxa"/>
            <w:vAlign w:val="bottom"/>
          </w:tcPr>
          <w:p>
            <w:pPr>
              <w:jc w:val="center"/>
              <w:ind w:left="36"/>
              <w:spacing w:after="0" w:line="130" w:lineRule="exact"/>
              <w:rPr>
                <w:sz w:val="20"/>
                <w:szCs w:val="20"/>
                <w:color w:val="auto"/>
              </w:rPr>
            </w:pPr>
            <w:r>
              <w:rPr>
                <w:rFonts w:ascii="Calibri" w:cs="Calibri" w:eastAsia="Calibri" w:hAnsi="Calibri"/>
                <w:sz w:val="11"/>
                <w:szCs w:val="11"/>
                <w:b w:val="1"/>
                <w:bCs w:val="1"/>
                <w:color w:val="auto"/>
                <w:w w:val="92"/>
              </w:rPr>
              <w:t>and</w:t>
            </w:r>
          </w:p>
        </w:tc>
      </w:tr>
      <w:tr>
        <w:trPr>
          <w:trHeight w:val="148"/>
        </w:trPr>
        <w:tc>
          <w:tcPr>
            <w:tcW w:w="1180" w:type="dxa"/>
            <w:vAlign w:val="bottom"/>
          </w:tcPr>
          <w:p>
            <w:pPr>
              <w:spacing w:after="0"/>
              <w:rPr>
                <w:sz w:val="12"/>
                <w:szCs w:val="12"/>
                <w:color w:val="auto"/>
              </w:rPr>
            </w:pPr>
          </w:p>
        </w:tc>
        <w:tc>
          <w:tcPr>
            <w:tcW w:w="1400" w:type="dxa"/>
            <w:vAlign w:val="bottom"/>
          </w:tcPr>
          <w:p>
            <w:pPr>
              <w:jc w:val="center"/>
              <w:ind w:left="592"/>
              <w:spacing w:after="0"/>
              <w:rPr>
                <w:sz w:val="20"/>
                <w:szCs w:val="20"/>
                <w:color w:val="auto"/>
              </w:rPr>
            </w:pPr>
            <w:r>
              <w:rPr>
                <w:rFonts w:ascii="Calibri" w:cs="Calibri" w:eastAsia="Calibri" w:hAnsi="Calibri"/>
                <w:sz w:val="11"/>
                <w:szCs w:val="11"/>
                <w:b w:val="1"/>
                <w:bCs w:val="1"/>
                <w:color w:val="auto"/>
              </w:rPr>
              <w:t>accountng</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leadership</w:t>
            </w:r>
          </w:p>
        </w:tc>
        <w:tc>
          <w:tcPr>
            <w:tcW w:w="760" w:type="dxa"/>
            <w:vAlign w:val="bottom"/>
          </w:tcPr>
          <w:p>
            <w:pPr>
              <w:jc w:val="center"/>
              <w:spacing w:after="0"/>
              <w:rPr>
                <w:sz w:val="20"/>
                <w:szCs w:val="20"/>
                <w:color w:val="auto"/>
              </w:rPr>
            </w:pPr>
            <w:r>
              <w:rPr>
                <w:rFonts w:ascii="Calibri" w:cs="Calibri" w:eastAsia="Calibri" w:hAnsi="Calibri"/>
                <w:sz w:val="11"/>
                <w:szCs w:val="11"/>
                <w:b w:val="1"/>
                <w:bCs w:val="1"/>
                <w:color w:val="auto"/>
              </w:rPr>
              <w:t>governance</w:t>
            </w:r>
          </w:p>
        </w:tc>
        <w:tc>
          <w:tcPr>
            <w:tcW w:w="580" w:type="dxa"/>
            <w:vAlign w:val="bottom"/>
          </w:tcPr>
          <w:p>
            <w:pPr>
              <w:jc w:val="center"/>
              <w:spacing w:after="0"/>
              <w:rPr>
                <w:sz w:val="20"/>
                <w:szCs w:val="20"/>
                <w:color w:val="auto"/>
              </w:rPr>
            </w:pPr>
            <w:r>
              <w:rPr>
                <w:rFonts w:ascii="Calibri" w:cs="Calibri" w:eastAsia="Calibri" w:hAnsi="Calibri"/>
                <w:sz w:val="11"/>
                <w:szCs w:val="11"/>
                <w:b w:val="1"/>
                <w:bCs w:val="1"/>
                <w:color w:val="auto"/>
              </w:rPr>
              <w:t>Analytcs</w:t>
            </w:r>
          </w:p>
        </w:tc>
        <w:tc>
          <w:tcPr>
            <w:tcW w:w="92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and solutons</w:t>
            </w: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rPr>
              <w:t>Marketng</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experience</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920" w:type="dxa"/>
            <w:vAlign w:val="bottom"/>
          </w:tcPr>
          <w:p>
            <w:pPr>
              <w:jc w:val="center"/>
              <w:ind w:right="98"/>
              <w:spacing w:after="0"/>
              <w:rPr>
                <w:sz w:val="20"/>
                <w:szCs w:val="20"/>
                <w:color w:val="auto"/>
              </w:rPr>
            </w:pPr>
            <w:r>
              <w:rPr>
                <w:rFonts w:ascii="Calibri" w:cs="Calibri" w:eastAsia="Calibri" w:hAnsi="Calibri"/>
                <w:sz w:val="11"/>
                <w:szCs w:val="11"/>
                <w:b w:val="1"/>
                <w:bCs w:val="1"/>
                <w:color w:val="auto"/>
                <w:w w:val="99"/>
              </w:rPr>
              <w:t>security</w:t>
            </w:r>
          </w:p>
        </w:tc>
        <w:tc>
          <w:tcPr>
            <w:tcW w:w="320" w:type="dxa"/>
            <w:vAlign w:val="bottom"/>
          </w:tcPr>
          <w:p>
            <w:pPr>
              <w:jc w:val="center"/>
              <w:ind w:right="34"/>
              <w:spacing w:after="0"/>
              <w:rPr>
                <w:sz w:val="20"/>
                <w:szCs w:val="20"/>
                <w:color w:val="auto"/>
              </w:rPr>
            </w:pPr>
            <w:r>
              <w:rPr>
                <w:rFonts w:ascii="Calibri" w:cs="Calibri" w:eastAsia="Calibri" w:hAnsi="Calibri"/>
                <w:sz w:val="11"/>
                <w:szCs w:val="11"/>
                <w:b w:val="1"/>
                <w:bCs w:val="1"/>
                <w:color w:val="auto"/>
              </w:rPr>
              <w:t>ESG</w:t>
            </w:r>
          </w:p>
        </w:tc>
        <w:tc>
          <w:tcPr>
            <w:tcW w:w="740" w:type="dxa"/>
            <w:vAlign w:val="bottom"/>
          </w:tcPr>
          <w:p>
            <w:pPr>
              <w:jc w:val="center"/>
              <w:ind w:left="36"/>
              <w:spacing w:after="0"/>
              <w:rPr>
                <w:sz w:val="20"/>
                <w:szCs w:val="20"/>
                <w:color w:val="auto"/>
              </w:rPr>
            </w:pPr>
            <w:r>
              <w:rPr>
                <w:rFonts w:ascii="Calibri" w:cs="Calibri" w:eastAsia="Calibri" w:hAnsi="Calibri"/>
                <w:sz w:val="11"/>
                <w:szCs w:val="11"/>
                <w:b w:val="1"/>
                <w:bCs w:val="1"/>
                <w:color w:val="auto"/>
              </w:rPr>
              <w:t>acquisitons</w:t>
            </w:r>
          </w:p>
        </w:tc>
      </w:tr>
      <w:tr>
        <w:trPr>
          <w:trHeight w:val="82"/>
        </w:trPr>
        <w:tc>
          <w:tcPr>
            <w:tcW w:w="1180" w:type="dxa"/>
            <w:vAlign w:val="bottom"/>
            <w:tcBorders>
              <w:bottom w:val="single" w:sz="8" w:color="FB4E0B"/>
            </w:tcBorders>
          </w:tcPr>
          <w:p>
            <w:pPr>
              <w:spacing w:after="0"/>
              <w:rPr>
                <w:sz w:val="7"/>
                <w:szCs w:val="7"/>
                <w:color w:val="auto"/>
              </w:rPr>
            </w:pPr>
          </w:p>
        </w:tc>
        <w:tc>
          <w:tcPr>
            <w:tcW w:w="140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760" w:type="dxa"/>
            <w:vAlign w:val="bottom"/>
            <w:tcBorders>
              <w:bottom w:val="single" w:sz="8" w:color="FB4E0B"/>
            </w:tcBorders>
          </w:tcPr>
          <w:p>
            <w:pPr>
              <w:spacing w:after="0"/>
              <w:rPr>
                <w:sz w:val="7"/>
                <w:szCs w:val="7"/>
                <w:color w:val="auto"/>
              </w:rPr>
            </w:pPr>
          </w:p>
        </w:tc>
        <w:tc>
          <w:tcPr>
            <w:tcW w:w="580" w:type="dxa"/>
            <w:vAlign w:val="bottom"/>
            <w:tcBorders>
              <w:bottom w:val="single" w:sz="8" w:color="FB4E0B"/>
            </w:tcBorders>
          </w:tcPr>
          <w:p>
            <w:pPr>
              <w:spacing w:after="0"/>
              <w:rPr>
                <w:sz w:val="7"/>
                <w:szCs w:val="7"/>
                <w:color w:val="auto"/>
              </w:rPr>
            </w:pPr>
          </w:p>
        </w:tc>
        <w:tc>
          <w:tcPr>
            <w:tcW w:w="92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68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920" w:type="dxa"/>
            <w:vAlign w:val="bottom"/>
            <w:tcBorders>
              <w:bottom w:val="single" w:sz="8" w:color="FB4E0B"/>
            </w:tcBorders>
          </w:tcPr>
          <w:p>
            <w:pPr>
              <w:spacing w:after="0"/>
              <w:rPr>
                <w:sz w:val="7"/>
                <w:szCs w:val="7"/>
                <w:color w:val="auto"/>
              </w:rPr>
            </w:pPr>
          </w:p>
        </w:tc>
        <w:tc>
          <w:tcPr>
            <w:tcW w:w="320" w:type="dxa"/>
            <w:vAlign w:val="bottom"/>
            <w:tcBorders>
              <w:bottom w:val="single" w:sz="8" w:color="FB4E0B"/>
            </w:tcBorders>
          </w:tcPr>
          <w:p>
            <w:pPr>
              <w:spacing w:after="0"/>
              <w:rPr>
                <w:sz w:val="7"/>
                <w:szCs w:val="7"/>
                <w:color w:val="auto"/>
              </w:rPr>
            </w:pPr>
          </w:p>
        </w:tc>
        <w:tc>
          <w:tcPr>
            <w:tcW w:w="740" w:type="dxa"/>
            <w:vAlign w:val="bottom"/>
            <w:tcBorders>
              <w:bottom w:val="single" w:sz="8" w:color="FB4E0B"/>
            </w:tcBorders>
          </w:tcPr>
          <w:p>
            <w:pPr>
              <w:spacing w:after="0"/>
              <w:rPr>
                <w:sz w:val="7"/>
                <w:szCs w:val="7"/>
                <w:color w:val="auto"/>
              </w:rPr>
            </w:pPr>
          </w:p>
        </w:tc>
      </w:tr>
      <w:tr>
        <w:trPr>
          <w:trHeight w:val="238"/>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Vikram Pandit</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Rohit Kapoor</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Andreas Fibig</w:t>
            </w:r>
          </w:p>
        </w:tc>
        <w:tc>
          <w:tcPr>
            <w:tcW w:w="140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center"/>
              <w:ind w:right="54"/>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Som Mital</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ind w:right="9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jc w:val="center"/>
              <w:ind w:right="54"/>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spacing w:after="0"/>
              <w:rPr>
                <w:sz w:val="20"/>
                <w:szCs w:val="20"/>
                <w:color w:val="auto"/>
              </w:rPr>
            </w:pP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Kristy Pipes</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ind w:right="9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Nitn Sahney</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180" w:type="dxa"/>
            <w:vAlign w:val="bottom"/>
            <w:tcBorders>
              <w:bottom w:val="single" w:sz="8" w:color="B2B2B2"/>
            </w:tcBorders>
          </w:tcPr>
          <w:p>
            <w:pPr>
              <w:spacing w:after="0"/>
              <w:rPr>
                <w:sz w:val="4"/>
                <w:szCs w:val="4"/>
                <w:color w:val="auto"/>
              </w:rPr>
            </w:pPr>
          </w:p>
        </w:tc>
        <w:tc>
          <w:tcPr>
            <w:tcW w:w="140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60" w:type="dxa"/>
            <w:vAlign w:val="bottom"/>
            <w:tcBorders>
              <w:bottom w:val="single" w:sz="8" w:color="B2B2B2"/>
            </w:tcBorders>
          </w:tcPr>
          <w:p>
            <w:pPr>
              <w:spacing w:after="0"/>
              <w:rPr>
                <w:sz w:val="4"/>
                <w:szCs w:val="4"/>
                <w:color w:val="auto"/>
              </w:rPr>
            </w:pPr>
          </w:p>
        </w:tc>
        <w:tc>
          <w:tcPr>
            <w:tcW w:w="58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920" w:type="dxa"/>
            <w:vAlign w:val="bottom"/>
            <w:tcBorders>
              <w:bottom w:val="single" w:sz="8" w:color="B2B2B2"/>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180" w:type="dxa"/>
            <w:vAlign w:val="bottom"/>
          </w:tcPr>
          <w:p>
            <w:pPr>
              <w:spacing w:after="0"/>
              <w:rPr>
                <w:sz w:val="20"/>
                <w:szCs w:val="20"/>
                <w:color w:val="auto"/>
              </w:rPr>
            </w:pPr>
            <w:r>
              <w:rPr>
                <w:rFonts w:ascii="Calibri" w:cs="Calibri" w:eastAsia="Calibri" w:hAnsi="Calibri"/>
                <w:sz w:val="14"/>
                <w:szCs w:val="14"/>
                <w:b w:val="1"/>
                <w:bCs w:val="1"/>
                <w:color w:val="auto"/>
              </w:rPr>
              <w:t>Jaynie Studenmund</w:t>
            </w:r>
          </w:p>
        </w:tc>
        <w:tc>
          <w:tcPr>
            <w:tcW w:w="1400" w:type="dxa"/>
            <w:vAlign w:val="bottom"/>
          </w:tcPr>
          <w:p>
            <w:pPr>
              <w:jc w:val="center"/>
              <w:ind w:left="572"/>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tcPr>
          <w:p>
            <w:pPr>
              <w:spacing w:after="0"/>
              <w:rPr>
                <w:sz w:val="20"/>
                <w:szCs w:val="20"/>
                <w:color w:val="auto"/>
              </w:rPr>
            </w:pPr>
          </w:p>
        </w:tc>
        <w:tc>
          <w:tcPr>
            <w:tcW w:w="320" w:type="dxa"/>
            <w:vAlign w:val="bottom"/>
          </w:tcPr>
          <w:p>
            <w:pPr>
              <w:jc w:val="center"/>
              <w:ind w:right="54"/>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
        </w:trPr>
        <w:tc>
          <w:tcPr>
            <w:tcW w:w="2580" w:type="dxa"/>
            <w:vAlign w:val="bottom"/>
            <w:tcBorders>
              <w:bottom w:val="single" w:sz="8" w:color="FB4E0B"/>
            </w:tcBorders>
            <w:gridSpan w:val="2"/>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760" w:type="dxa"/>
            <w:vAlign w:val="bottom"/>
            <w:tcBorders>
              <w:bottom w:val="single" w:sz="8" w:color="FB4E0B"/>
            </w:tcBorders>
          </w:tcPr>
          <w:p>
            <w:pPr>
              <w:spacing w:after="0"/>
              <w:rPr>
                <w:sz w:val="4"/>
                <w:szCs w:val="4"/>
                <w:color w:val="auto"/>
              </w:rPr>
            </w:pPr>
          </w:p>
        </w:tc>
        <w:tc>
          <w:tcPr>
            <w:tcW w:w="58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680" w:type="dxa"/>
            <w:vAlign w:val="bottom"/>
            <w:tcBorders>
              <w:bottom w:val="single" w:sz="8" w:color="FB4E0B"/>
            </w:tcBorders>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920" w:type="dxa"/>
            <w:vAlign w:val="bottom"/>
            <w:tcBorders>
              <w:bottom w:val="single" w:sz="8" w:color="FB4E0B"/>
            </w:tcBorders>
          </w:tcPr>
          <w:p>
            <w:pPr>
              <w:spacing w:after="0"/>
              <w:rPr>
                <w:sz w:val="4"/>
                <w:szCs w:val="4"/>
                <w:color w:val="auto"/>
              </w:rPr>
            </w:pPr>
          </w:p>
        </w:tc>
        <w:tc>
          <w:tcPr>
            <w:tcW w:w="320" w:type="dxa"/>
            <w:vAlign w:val="bottom"/>
            <w:tcBorders>
              <w:bottom w:val="single" w:sz="8" w:color="FB4E0B"/>
            </w:tcBorders>
          </w:tcPr>
          <w:p>
            <w:pPr>
              <w:spacing w:after="0"/>
              <w:rPr>
                <w:sz w:val="4"/>
                <w:szCs w:val="4"/>
                <w:color w:val="auto"/>
              </w:rPr>
            </w:pPr>
          </w:p>
        </w:tc>
        <w:tc>
          <w:tcPr>
            <w:tcW w:w="740" w:type="dxa"/>
            <w:vAlign w:val="bottom"/>
            <w:tcBorders>
              <w:bottom w:val="single" w:sz="8" w:color="FB4E0B"/>
            </w:tcBorders>
          </w:tcPr>
          <w:p>
            <w:pPr>
              <w:spacing w:after="0"/>
              <w:rPr>
                <w:sz w:val="4"/>
                <w:szCs w:val="4"/>
                <w:color w:val="auto"/>
              </w:rPr>
            </w:pPr>
          </w:p>
        </w:tc>
      </w:tr>
      <w:tr>
        <w:trPr>
          <w:trHeight w:val="410"/>
        </w:trPr>
        <w:tc>
          <w:tcPr>
            <w:tcW w:w="2580" w:type="dxa"/>
            <w:vAlign w:val="bottom"/>
            <w:gridSpan w:val="2"/>
          </w:tcPr>
          <w:p>
            <w:pPr>
              <w:spacing w:after="0"/>
              <w:rPr>
                <w:sz w:val="20"/>
                <w:szCs w:val="20"/>
                <w:color w:val="auto"/>
              </w:rPr>
            </w:pPr>
            <w:r>
              <w:rPr>
                <w:rFonts w:ascii="Calibri" w:cs="Calibri" w:eastAsia="Calibri" w:hAnsi="Calibri"/>
                <w:sz w:val="19"/>
                <w:szCs w:val="19"/>
                <w:b w:val="1"/>
                <w:bCs w:val="1"/>
                <w:color w:val="FB4E0B"/>
              </w:rPr>
              <w:t>Board statstcs*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8"/>
        </w:trPr>
        <w:tc>
          <w:tcPr>
            <w:tcW w:w="11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alibri" w:cs="Calibri" w:eastAsia="Calibri" w:hAnsi="Calibri"/>
                <w:sz w:val="19"/>
                <w:szCs w:val="19"/>
                <w:b w:val="1"/>
                <w:bCs w:val="1"/>
                <w:color w:val="FB4E0B"/>
              </w:rPr>
              <w:t>Board tenure</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Calibri" w:cs="Calibri" w:eastAsia="Calibri" w:hAnsi="Calibri"/>
                <w:sz w:val="19"/>
                <w:szCs w:val="19"/>
                <w:b w:val="1"/>
                <w:bCs w:val="1"/>
                <w:color w:val="FB4E0B"/>
              </w:rPr>
              <w:t>Gender diversity</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2"/>
          </w:tcPr>
          <w:p>
            <w:pPr>
              <w:ind w:left="460"/>
              <w:spacing w:after="0"/>
              <w:rPr>
                <w:sz w:val="20"/>
                <w:szCs w:val="20"/>
                <w:color w:val="auto"/>
              </w:rPr>
            </w:pPr>
            <w:r>
              <w:rPr>
                <w:rFonts w:ascii="Calibri" w:cs="Calibri" w:eastAsia="Calibri" w:hAnsi="Calibri"/>
                <w:sz w:val="19"/>
                <w:szCs w:val="19"/>
                <w:b w:val="1"/>
                <w:bCs w:val="1"/>
                <w:color w:val="FB4E0B"/>
              </w:rPr>
              <w:t>Age distributon</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168910</wp:posOffset>
            </wp:positionV>
            <wp:extent cx="1073785" cy="1073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3785" cy="1073785"/>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168910</wp:posOffset>
            </wp:positionV>
            <wp:extent cx="1057275" cy="1057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168910</wp:posOffset>
            </wp:positionV>
            <wp:extent cx="2098040" cy="1718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98040" cy="171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0"/>
        <w:spacing w:after="0"/>
        <w:tabs>
          <w:tab w:leader="none" w:pos="6420" w:val="left"/>
        </w:tabs>
        <w:rPr>
          <w:sz w:val="20"/>
          <w:szCs w:val="20"/>
          <w:color w:val="auto"/>
        </w:rPr>
      </w:pPr>
      <w:r>
        <w:rPr>
          <w:rFonts w:ascii="Calibri" w:cs="Calibri" w:eastAsia="Calibri" w:hAnsi="Calibri"/>
          <w:sz w:val="19"/>
          <w:szCs w:val="19"/>
          <w:b w:val="1"/>
          <w:bCs w:val="1"/>
          <w:color w:val="FB4E0B"/>
        </w:rPr>
        <w:t>Board independence</w:t>
      </w:r>
      <w:r>
        <w:rPr>
          <w:sz w:val="20"/>
          <w:szCs w:val="20"/>
          <w:color w:val="auto"/>
        </w:rPr>
        <w:tab/>
      </w:r>
      <w:r>
        <w:rPr>
          <w:rFonts w:ascii="Calibri" w:cs="Calibri" w:eastAsia="Calibri" w:hAnsi="Calibri"/>
          <w:sz w:val="19"/>
          <w:szCs w:val="19"/>
          <w:b w:val="1"/>
          <w:bCs w:val="1"/>
          <w:color w:val="FB4E0B"/>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1704340</wp:posOffset>
            </wp:positionH>
            <wp:positionV relativeFrom="paragraph">
              <wp:posOffset>168910</wp:posOffset>
            </wp:positionV>
            <wp:extent cx="1462405" cy="313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2405" cy="313690"/>
                    </a:xfrm>
                    <a:prstGeom prst="rect">
                      <a:avLst/>
                    </a:prstGeom>
                    <a:noFill/>
                  </pic:spPr>
                </pic:pic>
              </a:graphicData>
            </a:graphic>
          </wp:anchor>
        </w:drawing>
        <w:drawing>
          <wp:anchor simplePos="0" relativeHeight="251657728" behindDoc="1" locked="0" layoutInCell="0" allowOverlap="1">
            <wp:simplePos x="0" y="0"/>
            <wp:positionH relativeFrom="column">
              <wp:posOffset>4232275</wp:posOffset>
            </wp:positionH>
            <wp:positionV relativeFrom="paragraph">
              <wp:posOffset>168910</wp:posOffset>
            </wp:positionV>
            <wp:extent cx="1057275" cy="1057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Following our Annual Meetng, assuming electon of all nominees</w:t>
      </w:r>
    </w:p>
    <w:p>
      <w:pPr>
        <w:spacing w:after="0" w:line="293"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15</w:t>
      </w:r>
    </w:p>
    <w:p>
      <w:pPr>
        <w:sectPr>
          <w:pgSz w:w="11900" w:h="16838" w:orient="portrait"/>
          <w:cols w:equalWidth="0" w:num="1">
            <w:col w:w="10940"/>
          </w:cols>
          <w:pgMar w:left="320" w:top="471"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242570</wp:posOffset>
            </wp:positionV>
            <wp:extent cx="4055745" cy="2437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55745"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Sustainability</w:t>
      </w:r>
    </w:p>
    <w:p>
      <w:pPr>
        <w:spacing w:after="0" w:line="8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At EXL, we believe that there is always a beter way; we look deeper, fnd it, and make it happen. This purpose informs our corporate culture, which, in turn, is rooted in our fve core values. In line with our purpose, values and culture, we are commited to fnding a beter way through sustainability initatves that are key to our long-term strategy and beneft our stockholders, clients, employees and communites. See “Sustainability” beginning on page 48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147320</wp:posOffset>
            </wp:positionV>
            <wp:extent cx="4055745" cy="2858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55745" cy="285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16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2022 Compensaton highlights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Named Executve Ofcers</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20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7420" w:type="dxa"/>
            <w:vAlign w:val="bottom"/>
          </w:tcPr>
          <w:p>
            <w:pPr>
              <w:ind w:left="80"/>
              <w:spacing w:after="0"/>
              <w:rPr>
                <w:sz w:val="20"/>
                <w:szCs w:val="20"/>
                <w:color w:val="auto"/>
              </w:rPr>
            </w:pPr>
            <w:r>
              <w:rPr>
                <w:rFonts w:ascii="Calibri" w:cs="Calibri" w:eastAsia="Calibri" w:hAnsi="Calibri"/>
                <w:sz w:val="17"/>
                <w:szCs w:val="17"/>
                <w:b w:val="1"/>
                <w:bCs w:val="1"/>
                <w:color w:val="FB4E0B"/>
              </w:rPr>
              <w:t>Title</w:t>
            </w:r>
          </w:p>
        </w:tc>
      </w:tr>
      <w:tr>
        <w:trPr>
          <w:trHeight w:val="81"/>
        </w:trPr>
        <w:tc>
          <w:tcPr>
            <w:tcW w:w="3200" w:type="dxa"/>
            <w:vAlign w:val="bottom"/>
            <w:tcBorders>
              <w:bottom w:val="single" w:sz="8" w:color="FB4E0B"/>
            </w:tcBorders>
          </w:tcPr>
          <w:p>
            <w:pPr>
              <w:spacing w:after="0"/>
              <w:rPr>
                <w:sz w:val="7"/>
                <w:szCs w:val="7"/>
                <w:color w:val="auto"/>
              </w:rPr>
            </w:pPr>
          </w:p>
        </w:tc>
        <w:tc>
          <w:tcPr>
            <w:tcW w:w="7420" w:type="dxa"/>
            <w:vAlign w:val="bottom"/>
            <w:tcBorders>
              <w:bottom w:val="single" w:sz="8" w:color="FB4E0B"/>
            </w:tcBorders>
          </w:tcPr>
          <w:p>
            <w:pPr>
              <w:spacing w:after="0"/>
              <w:rPr>
                <w:sz w:val="7"/>
                <w:szCs w:val="7"/>
                <w:color w:val="auto"/>
              </w:rPr>
            </w:pPr>
          </w:p>
        </w:tc>
      </w:tr>
      <w:tr>
        <w:trPr>
          <w:trHeight w:val="276"/>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Vice Chairman and CEO</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CFO</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Business Head, Insurance</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Business Head, Analytcs</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Ankor Rai</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Chief Digital Ofcer</w:t>
            </w:r>
          </w:p>
        </w:tc>
      </w:tr>
      <w:tr>
        <w:trPr>
          <w:trHeight w:val="81"/>
        </w:trPr>
        <w:tc>
          <w:tcPr>
            <w:tcW w:w="3200" w:type="dxa"/>
            <w:vAlign w:val="bottom"/>
            <w:tcBorders>
              <w:bottom w:val="single" w:sz="8" w:color="FB4E0B"/>
              <w:right w:val="single" w:sz="8" w:color="auto"/>
            </w:tcBorders>
          </w:tcPr>
          <w:p>
            <w:pPr>
              <w:spacing w:after="0"/>
              <w:rPr>
                <w:sz w:val="7"/>
                <w:szCs w:val="7"/>
                <w:color w:val="auto"/>
              </w:rPr>
            </w:pPr>
          </w:p>
        </w:tc>
        <w:tc>
          <w:tcPr>
            <w:tcW w:w="7420" w:type="dxa"/>
            <w:vAlign w:val="bottom"/>
            <w:tcBorders>
              <w:bottom w:val="single" w:sz="8" w:color="FB4E0B"/>
            </w:tcBorders>
          </w:tcPr>
          <w:p>
            <w:pPr>
              <w:spacing w:after="0"/>
              <w:rPr>
                <w:sz w:val="7"/>
                <w:szCs w:val="7"/>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2022 Standard annual compensaton</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140" w:type="dxa"/>
            <w:vAlign w:val="bottom"/>
          </w:tcPr>
          <w:p>
            <w:pPr>
              <w:jc w:val="right"/>
              <w:ind w:right="333"/>
              <w:spacing w:after="0"/>
              <w:rPr>
                <w:sz w:val="20"/>
                <w:szCs w:val="20"/>
                <w:color w:val="auto"/>
              </w:rPr>
            </w:pPr>
            <w:r>
              <w:rPr>
                <w:rFonts w:ascii="Calibri" w:cs="Calibri" w:eastAsia="Calibri" w:hAnsi="Calibri"/>
                <w:sz w:val="17"/>
                <w:szCs w:val="17"/>
                <w:b w:val="1"/>
                <w:bCs w:val="1"/>
                <w:color w:val="FB4E0B"/>
              </w:rPr>
              <w:t>Rohit</w:t>
            </w:r>
          </w:p>
        </w:tc>
        <w:tc>
          <w:tcPr>
            <w:tcW w:w="1020" w:type="dxa"/>
            <w:vAlign w:val="bottom"/>
          </w:tcPr>
          <w:p>
            <w:pPr>
              <w:jc w:val="right"/>
              <w:ind w:right="153"/>
              <w:spacing w:after="0"/>
              <w:rPr>
                <w:sz w:val="20"/>
                <w:szCs w:val="20"/>
                <w:color w:val="auto"/>
              </w:rPr>
            </w:pPr>
            <w:r>
              <w:rPr>
                <w:rFonts w:ascii="Calibri" w:cs="Calibri" w:eastAsia="Calibri" w:hAnsi="Calibri"/>
                <w:sz w:val="17"/>
                <w:szCs w:val="17"/>
                <w:b w:val="1"/>
                <w:bCs w:val="1"/>
                <w:color w:val="FB4E0B"/>
              </w:rPr>
              <w:t>Maurizio</w:t>
            </w:r>
          </w:p>
        </w:tc>
        <w:tc>
          <w:tcPr>
            <w:tcW w:w="10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Vikas</w:t>
            </w:r>
          </w:p>
        </w:tc>
        <w:tc>
          <w:tcPr>
            <w:tcW w:w="10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Vivek</w:t>
            </w:r>
          </w:p>
        </w:tc>
        <w:tc>
          <w:tcPr>
            <w:tcW w:w="1060" w:type="dxa"/>
            <w:vAlign w:val="bottom"/>
          </w:tcPr>
          <w:p>
            <w:pPr>
              <w:spacing w:after="0"/>
              <w:rPr>
                <w:sz w:val="18"/>
                <w:szCs w:val="18"/>
                <w:color w:val="auto"/>
              </w:rPr>
            </w:pPr>
          </w:p>
        </w:tc>
      </w:tr>
      <w:tr>
        <w:trPr>
          <w:trHeight w:val="208"/>
        </w:trPr>
        <w:tc>
          <w:tcPr>
            <w:tcW w:w="5320" w:type="dxa"/>
            <w:vAlign w:val="bottom"/>
          </w:tcPr>
          <w:p>
            <w:pPr>
              <w:ind w:left="120"/>
              <w:spacing w:after="0"/>
              <w:rPr>
                <w:sz w:val="20"/>
                <w:szCs w:val="20"/>
                <w:color w:val="auto"/>
              </w:rPr>
            </w:pPr>
            <w:r>
              <w:rPr>
                <w:rFonts w:ascii="Calibri" w:cs="Calibri" w:eastAsia="Calibri" w:hAnsi="Calibri"/>
                <w:sz w:val="17"/>
                <w:szCs w:val="17"/>
                <w:b w:val="1"/>
                <w:bCs w:val="1"/>
                <w:color w:val="FB4E0B"/>
              </w:rPr>
              <w:t>Compensaton component</w:t>
            </w:r>
          </w:p>
        </w:tc>
        <w:tc>
          <w:tcPr>
            <w:tcW w:w="11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Kapoor</w:t>
            </w:r>
          </w:p>
        </w:tc>
        <w:tc>
          <w:tcPr>
            <w:tcW w:w="1020" w:type="dxa"/>
            <w:vAlign w:val="bottom"/>
          </w:tcPr>
          <w:p>
            <w:pPr>
              <w:jc w:val="right"/>
              <w:ind w:right="173"/>
              <w:spacing w:after="0"/>
              <w:rPr>
                <w:sz w:val="20"/>
                <w:szCs w:val="20"/>
                <w:color w:val="auto"/>
              </w:rPr>
            </w:pPr>
            <w:r>
              <w:rPr>
                <w:rFonts w:ascii="Calibri" w:cs="Calibri" w:eastAsia="Calibri" w:hAnsi="Calibri"/>
                <w:sz w:val="17"/>
                <w:szCs w:val="17"/>
                <w:b w:val="1"/>
                <w:bCs w:val="1"/>
                <w:color w:val="FB4E0B"/>
              </w:rPr>
              <w:t>Nicolelli</w:t>
            </w:r>
          </w:p>
        </w:tc>
        <w:tc>
          <w:tcPr>
            <w:tcW w:w="1040" w:type="dxa"/>
            <w:vAlign w:val="bottom"/>
          </w:tcPr>
          <w:p>
            <w:pPr>
              <w:jc w:val="right"/>
              <w:ind w:right="173"/>
              <w:spacing w:after="0"/>
              <w:rPr>
                <w:sz w:val="20"/>
                <w:szCs w:val="20"/>
                <w:color w:val="auto"/>
              </w:rPr>
            </w:pPr>
            <w:r>
              <w:rPr>
                <w:rFonts w:ascii="Calibri" w:cs="Calibri" w:eastAsia="Calibri" w:hAnsi="Calibri"/>
                <w:sz w:val="17"/>
                <w:szCs w:val="17"/>
                <w:b w:val="1"/>
                <w:bCs w:val="1"/>
                <w:color w:val="FB4E0B"/>
              </w:rPr>
              <w:t>Bhalla</w:t>
            </w:r>
            <w:r>
              <w:rPr>
                <w:rFonts w:ascii="Calibri" w:cs="Calibri" w:eastAsia="Calibri" w:hAnsi="Calibri"/>
                <w:sz w:val="13"/>
                <w:szCs w:val="13"/>
                <w:b w:val="1"/>
                <w:bCs w:val="1"/>
                <w:color w:val="FB4E0B"/>
              </w:rPr>
              <w:t>(3)</w:t>
            </w:r>
          </w:p>
        </w:tc>
        <w:tc>
          <w:tcPr>
            <w:tcW w:w="10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Jetley</w:t>
            </w:r>
          </w:p>
        </w:tc>
        <w:tc>
          <w:tcPr>
            <w:tcW w:w="1060" w:type="dxa"/>
            <w:vAlign w:val="bottom"/>
          </w:tcPr>
          <w:p>
            <w:pPr>
              <w:jc w:val="right"/>
              <w:ind w:right="133"/>
              <w:spacing w:after="0"/>
              <w:rPr>
                <w:sz w:val="20"/>
                <w:szCs w:val="20"/>
                <w:color w:val="auto"/>
              </w:rPr>
            </w:pPr>
            <w:r>
              <w:rPr>
                <w:rFonts w:ascii="Calibri" w:cs="Calibri" w:eastAsia="Calibri" w:hAnsi="Calibri"/>
                <w:sz w:val="17"/>
                <w:szCs w:val="17"/>
                <w:b w:val="1"/>
                <w:bCs w:val="1"/>
                <w:color w:val="FB4E0B"/>
              </w:rPr>
              <w:t>Ankor Rai</w:t>
            </w:r>
          </w:p>
        </w:tc>
      </w:tr>
      <w:tr>
        <w:trPr>
          <w:trHeight w:val="75"/>
        </w:trPr>
        <w:tc>
          <w:tcPr>
            <w:tcW w:w="5320" w:type="dxa"/>
            <w:vAlign w:val="bottom"/>
            <w:tcBorders>
              <w:bottom w:val="single" w:sz="8" w:color="BABABA"/>
            </w:tcBorders>
          </w:tcPr>
          <w:p>
            <w:pPr>
              <w:spacing w:after="0"/>
              <w:rPr>
                <w:sz w:val="6"/>
                <w:szCs w:val="6"/>
                <w:color w:val="auto"/>
              </w:rPr>
            </w:pPr>
          </w:p>
        </w:tc>
        <w:tc>
          <w:tcPr>
            <w:tcW w:w="1140" w:type="dxa"/>
            <w:vAlign w:val="bottom"/>
            <w:tcBorders>
              <w:bottom w:val="single" w:sz="8" w:color="BABABA"/>
            </w:tcBorders>
          </w:tcPr>
          <w:p>
            <w:pPr>
              <w:spacing w:after="0"/>
              <w:rPr>
                <w:sz w:val="6"/>
                <w:szCs w:val="6"/>
                <w:color w:val="auto"/>
              </w:rPr>
            </w:pPr>
          </w:p>
        </w:tc>
        <w:tc>
          <w:tcPr>
            <w:tcW w:w="1020" w:type="dxa"/>
            <w:vAlign w:val="bottom"/>
            <w:tcBorders>
              <w:bottom w:val="single" w:sz="8" w:color="BABABA"/>
            </w:tcBorders>
          </w:tcPr>
          <w:p>
            <w:pPr>
              <w:spacing w:after="0"/>
              <w:rPr>
                <w:sz w:val="6"/>
                <w:szCs w:val="6"/>
                <w:color w:val="auto"/>
              </w:rPr>
            </w:pPr>
          </w:p>
        </w:tc>
        <w:tc>
          <w:tcPr>
            <w:tcW w:w="1040" w:type="dxa"/>
            <w:vAlign w:val="bottom"/>
            <w:tcBorders>
              <w:bottom w:val="single" w:sz="8" w:color="BABABA"/>
            </w:tcBorders>
          </w:tcPr>
          <w:p>
            <w:pPr>
              <w:spacing w:after="0"/>
              <w:rPr>
                <w:sz w:val="6"/>
                <w:szCs w:val="6"/>
                <w:color w:val="auto"/>
              </w:rPr>
            </w:pPr>
          </w:p>
        </w:tc>
        <w:tc>
          <w:tcPr>
            <w:tcW w:w="1040" w:type="dxa"/>
            <w:vAlign w:val="bottom"/>
            <w:tcBorders>
              <w:bottom w:val="single" w:sz="8" w:color="BABABA"/>
            </w:tcBorders>
          </w:tcPr>
          <w:p>
            <w:pPr>
              <w:spacing w:after="0"/>
              <w:rPr>
                <w:sz w:val="6"/>
                <w:szCs w:val="6"/>
                <w:color w:val="auto"/>
              </w:rPr>
            </w:pPr>
          </w:p>
        </w:tc>
        <w:tc>
          <w:tcPr>
            <w:tcW w:w="1060" w:type="dxa"/>
            <w:vAlign w:val="bottom"/>
            <w:tcBorders>
              <w:bottom w:val="single" w:sz="8" w:color="BABABA"/>
            </w:tcBorders>
          </w:tcPr>
          <w:p>
            <w:pPr>
              <w:spacing w:after="0"/>
              <w:rPr>
                <w:sz w:val="6"/>
                <w:szCs w:val="6"/>
                <w:color w:val="auto"/>
              </w:rPr>
            </w:pPr>
          </w:p>
        </w:tc>
      </w:tr>
      <w:tr>
        <w:trPr>
          <w:trHeight w:val="217"/>
        </w:trPr>
        <w:tc>
          <w:tcPr>
            <w:tcW w:w="5320" w:type="dxa"/>
            <w:vAlign w:val="bottom"/>
            <w:tcBorders>
              <w:right w:val="single" w:sz="8" w:color="BABABA"/>
            </w:tcBorders>
          </w:tcPr>
          <w:p>
            <w:pPr>
              <w:ind w:left="140"/>
              <w:spacing w:after="0"/>
              <w:rPr>
                <w:sz w:val="20"/>
                <w:szCs w:val="20"/>
                <w:color w:val="auto"/>
              </w:rPr>
            </w:pPr>
            <w:r>
              <w:rPr>
                <w:rFonts w:ascii="Calibri" w:cs="Calibri" w:eastAsia="Calibri" w:hAnsi="Calibri"/>
                <w:sz w:val="17"/>
                <w:szCs w:val="17"/>
                <w:color w:val="auto"/>
              </w:rPr>
              <w:t>Salary</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$766,384</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$483,822</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$265,432</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$440,164</w:t>
            </w:r>
          </w:p>
        </w:tc>
        <w:tc>
          <w:tcPr>
            <w:tcW w:w="1060" w:type="dxa"/>
            <w:vAlign w:val="bottom"/>
          </w:tcPr>
          <w:p>
            <w:pPr>
              <w:jc w:val="right"/>
              <w:ind w:right="13"/>
              <w:spacing w:after="0"/>
              <w:rPr>
                <w:sz w:val="20"/>
                <w:szCs w:val="20"/>
                <w:color w:val="auto"/>
              </w:rPr>
            </w:pPr>
            <w:r>
              <w:rPr>
                <w:rFonts w:ascii="Calibri" w:cs="Calibri" w:eastAsia="Calibri" w:hAnsi="Calibri"/>
                <w:sz w:val="17"/>
                <w:szCs w:val="17"/>
                <w:color w:val="auto"/>
              </w:rPr>
              <w:t>$420,082</w:t>
            </w:r>
          </w:p>
        </w:tc>
      </w:tr>
      <w:tr>
        <w:trPr>
          <w:trHeight w:val="312"/>
        </w:trPr>
        <w:tc>
          <w:tcPr>
            <w:tcW w:w="5320" w:type="dxa"/>
            <w:vAlign w:val="bottom"/>
            <w:tcBorders>
              <w:right w:val="single" w:sz="8" w:color="BABABA"/>
            </w:tcBorders>
          </w:tcPr>
          <w:p>
            <w:pPr>
              <w:ind w:left="140"/>
              <w:spacing w:after="0"/>
              <w:rPr>
                <w:sz w:val="20"/>
                <w:szCs w:val="20"/>
                <w:color w:val="auto"/>
              </w:rPr>
            </w:pPr>
            <w:r>
              <w:rPr>
                <w:rFonts w:ascii="Calibri" w:cs="Calibri" w:eastAsia="Calibri" w:hAnsi="Calibri"/>
                <w:sz w:val="17"/>
                <w:szCs w:val="17"/>
                <w:color w:val="auto"/>
              </w:rPr>
              <w:t>Non-equity incentve plan compensaton</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1,829,887</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554,929</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357,340</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525,488</w:t>
            </w:r>
          </w:p>
        </w:tc>
        <w:tc>
          <w:tcPr>
            <w:tcW w:w="1060" w:type="dxa"/>
            <w:vAlign w:val="bottom"/>
          </w:tcPr>
          <w:p>
            <w:pPr>
              <w:jc w:val="right"/>
              <w:ind w:right="13"/>
              <w:spacing w:after="0"/>
              <w:rPr>
                <w:sz w:val="20"/>
                <w:szCs w:val="20"/>
                <w:color w:val="auto"/>
              </w:rPr>
            </w:pPr>
            <w:r>
              <w:rPr>
                <w:rFonts w:ascii="Calibri" w:cs="Calibri" w:eastAsia="Calibri" w:hAnsi="Calibri"/>
                <w:sz w:val="17"/>
                <w:szCs w:val="17"/>
                <w:color w:val="auto"/>
              </w:rPr>
              <w:t>481,822</w:t>
            </w:r>
          </w:p>
        </w:tc>
      </w:tr>
      <w:tr>
        <w:trPr>
          <w:trHeight w:val="312"/>
        </w:trPr>
        <w:tc>
          <w:tcPr>
            <w:tcW w:w="5320" w:type="dxa"/>
            <w:vAlign w:val="bottom"/>
            <w:tcBorders>
              <w:right w:val="single" w:sz="8" w:color="BABABA"/>
            </w:tcBorders>
          </w:tcPr>
          <w:p>
            <w:pPr>
              <w:ind w:left="140"/>
              <w:spacing w:after="0"/>
              <w:rPr>
                <w:sz w:val="20"/>
                <w:szCs w:val="20"/>
                <w:color w:val="auto"/>
              </w:rPr>
            </w:pPr>
            <w:r>
              <w:rPr>
                <w:rFonts w:ascii="Calibri" w:cs="Calibri" w:eastAsia="Calibri" w:hAnsi="Calibri"/>
                <w:sz w:val="17"/>
                <w:szCs w:val="17"/>
                <w:color w:val="auto"/>
              </w:rPr>
              <w:t xml:space="preserve">Equity awards </w:t>
            </w:r>
            <w:r>
              <w:rPr>
                <w:rFonts w:ascii="Calibri" w:cs="Calibri" w:eastAsia="Calibri" w:hAnsi="Calibri"/>
                <w:sz w:val="13"/>
                <w:szCs w:val="13"/>
                <w:color w:val="auto"/>
              </w:rPr>
              <w:t>(1)</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8,356,213</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1,810,865</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1,964,960</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1,862,689</w:t>
            </w:r>
          </w:p>
        </w:tc>
        <w:tc>
          <w:tcPr>
            <w:tcW w:w="1060" w:type="dxa"/>
            <w:vAlign w:val="bottom"/>
          </w:tcPr>
          <w:p>
            <w:pPr>
              <w:jc w:val="right"/>
              <w:ind w:right="33"/>
              <w:spacing w:after="0"/>
              <w:rPr>
                <w:sz w:val="20"/>
                <w:szCs w:val="20"/>
                <w:color w:val="auto"/>
              </w:rPr>
            </w:pPr>
            <w:r>
              <w:rPr>
                <w:rFonts w:ascii="Calibri" w:cs="Calibri" w:eastAsia="Calibri" w:hAnsi="Calibri"/>
                <w:sz w:val="17"/>
                <w:szCs w:val="17"/>
                <w:color w:val="auto"/>
              </w:rPr>
              <w:t>1,553,192</w:t>
            </w:r>
          </w:p>
        </w:tc>
      </w:tr>
      <w:tr>
        <w:trPr>
          <w:trHeight w:val="312"/>
        </w:trPr>
        <w:tc>
          <w:tcPr>
            <w:tcW w:w="5320" w:type="dxa"/>
            <w:vAlign w:val="bottom"/>
            <w:tcBorders>
              <w:right w:val="single" w:sz="8" w:color="BABABA"/>
            </w:tcBorders>
          </w:tcPr>
          <w:p>
            <w:pPr>
              <w:ind w:left="140"/>
              <w:spacing w:after="0"/>
              <w:rPr>
                <w:sz w:val="20"/>
                <w:szCs w:val="20"/>
                <w:color w:val="auto"/>
              </w:rPr>
            </w:pPr>
            <w:r>
              <w:rPr>
                <w:rFonts w:ascii="Calibri" w:cs="Calibri" w:eastAsia="Calibri" w:hAnsi="Calibri"/>
                <w:sz w:val="17"/>
                <w:szCs w:val="17"/>
                <w:color w:val="auto"/>
              </w:rPr>
              <w:t xml:space="preserve">Other compensaton </w:t>
            </w:r>
            <w:r>
              <w:rPr>
                <w:rFonts w:ascii="Calibri" w:cs="Calibri" w:eastAsia="Calibri" w:hAnsi="Calibri"/>
                <w:sz w:val="13"/>
                <w:szCs w:val="13"/>
                <w:color w:val="auto"/>
              </w:rPr>
              <w:t>(2)</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58,423</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9,654</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38,432</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9,654</w:t>
            </w:r>
          </w:p>
        </w:tc>
        <w:tc>
          <w:tcPr>
            <w:tcW w:w="1060" w:type="dxa"/>
            <w:vAlign w:val="bottom"/>
          </w:tcPr>
          <w:p>
            <w:pPr>
              <w:jc w:val="right"/>
              <w:ind w:right="13"/>
              <w:spacing w:after="0"/>
              <w:rPr>
                <w:sz w:val="20"/>
                <w:szCs w:val="20"/>
                <w:color w:val="auto"/>
              </w:rPr>
            </w:pPr>
            <w:r>
              <w:rPr>
                <w:rFonts w:ascii="Calibri" w:cs="Calibri" w:eastAsia="Calibri" w:hAnsi="Calibri"/>
                <w:sz w:val="17"/>
                <w:szCs w:val="17"/>
                <w:color w:val="auto"/>
              </w:rPr>
              <w:t>9,654</w:t>
            </w:r>
          </w:p>
        </w:tc>
      </w:tr>
      <w:tr>
        <w:trPr>
          <w:trHeight w:val="75"/>
        </w:trPr>
        <w:tc>
          <w:tcPr>
            <w:tcW w:w="5320" w:type="dxa"/>
            <w:vAlign w:val="bottom"/>
            <w:tcBorders>
              <w:bottom w:val="single" w:sz="8" w:color="BABABA"/>
              <w:right w:val="single" w:sz="8" w:color="BABABA"/>
            </w:tcBorders>
          </w:tcPr>
          <w:p>
            <w:pPr>
              <w:spacing w:after="0"/>
              <w:rPr>
                <w:sz w:val="6"/>
                <w:szCs w:val="6"/>
                <w:color w:val="auto"/>
              </w:rPr>
            </w:pPr>
          </w:p>
        </w:tc>
        <w:tc>
          <w:tcPr>
            <w:tcW w:w="1140" w:type="dxa"/>
            <w:vAlign w:val="bottom"/>
            <w:tcBorders>
              <w:bottom w:val="single" w:sz="8" w:color="BABABA"/>
              <w:right w:val="single" w:sz="8" w:color="BABABA"/>
            </w:tcBorders>
          </w:tcPr>
          <w:p>
            <w:pPr>
              <w:spacing w:after="0"/>
              <w:rPr>
                <w:sz w:val="6"/>
                <w:szCs w:val="6"/>
                <w:color w:val="auto"/>
              </w:rPr>
            </w:pPr>
          </w:p>
        </w:tc>
        <w:tc>
          <w:tcPr>
            <w:tcW w:w="1020" w:type="dxa"/>
            <w:vAlign w:val="bottom"/>
            <w:tcBorders>
              <w:bottom w:val="single" w:sz="8" w:color="BABABA"/>
              <w:right w:val="single" w:sz="8" w:color="BABABA"/>
            </w:tcBorders>
          </w:tcPr>
          <w:p>
            <w:pPr>
              <w:spacing w:after="0"/>
              <w:rPr>
                <w:sz w:val="6"/>
                <w:szCs w:val="6"/>
                <w:color w:val="auto"/>
              </w:rPr>
            </w:pPr>
          </w:p>
        </w:tc>
        <w:tc>
          <w:tcPr>
            <w:tcW w:w="1040" w:type="dxa"/>
            <w:vAlign w:val="bottom"/>
            <w:tcBorders>
              <w:bottom w:val="single" w:sz="8" w:color="BABABA"/>
              <w:right w:val="single" w:sz="8" w:color="BABABA"/>
            </w:tcBorders>
          </w:tcPr>
          <w:p>
            <w:pPr>
              <w:spacing w:after="0"/>
              <w:rPr>
                <w:sz w:val="6"/>
                <w:szCs w:val="6"/>
                <w:color w:val="auto"/>
              </w:rPr>
            </w:pPr>
          </w:p>
        </w:tc>
        <w:tc>
          <w:tcPr>
            <w:tcW w:w="1040" w:type="dxa"/>
            <w:vAlign w:val="bottom"/>
            <w:tcBorders>
              <w:bottom w:val="single" w:sz="8" w:color="BABABA"/>
              <w:right w:val="single" w:sz="8" w:color="BABABA"/>
            </w:tcBorders>
          </w:tcPr>
          <w:p>
            <w:pPr>
              <w:spacing w:after="0"/>
              <w:rPr>
                <w:sz w:val="6"/>
                <w:szCs w:val="6"/>
                <w:color w:val="auto"/>
              </w:rPr>
            </w:pPr>
          </w:p>
        </w:tc>
        <w:tc>
          <w:tcPr>
            <w:tcW w:w="1060" w:type="dxa"/>
            <w:vAlign w:val="bottom"/>
            <w:tcBorders>
              <w:bottom w:val="single" w:sz="8" w:color="BABABA"/>
            </w:tcBorders>
          </w:tcPr>
          <w:p>
            <w:pPr>
              <w:spacing w:after="0"/>
              <w:rPr>
                <w:sz w:val="6"/>
                <w:szCs w:val="6"/>
                <w:color w:val="auto"/>
              </w:rPr>
            </w:pPr>
          </w:p>
        </w:tc>
      </w:tr>
      <w:tr>
        <w:trPr>
          <w:trHeight w:val="217"/>
        </w:trPr>
        <w:tc>
          <w:tcPr>
            <w:tcW w:w="5320" w:type="dxa"/>
            <w:vAlign w:val="bottom"/>
          </w:tcPr>
          <w:p>
            <w:pPr>
              <w:ind w:left="140"/>
              <w:spacing w:after="0"/>
              <w:rPr>
                <w:sz w:val="20"/>
                <w:szCs w:val="20"/>
                <w:color w:val="auto"/>
              </w:rPr>
            </w:pPr>
            <w:r>
              <w:rPr>
                <w:rFonts w:ascii="Calibri" w:cs="Calibri" w:eastAsia="Calibri" w:hAnsi="Calibri"/>
                <w:sz w:val="17"/>
                <w:szCs w:val="17"/>
                <w:b w:val="1"/>
                <w:bCs w:val="1"/>
                <w:color w:val="auto"/>
              </w:rPr>
              <w:t>Total</w:t>
            </w:r>
          </w:p>
        </w:tc>
        <w:tc>
          <w:tcPr>
            <w:tcW w:w="11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$11,010,906</w:t>
            </w:r>
          </w:p>
        </w:tc>
        <w:tc>
          <w:tcPr>
            <w:tcW w:w="102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$2,859,270</w:t>
            </w:r>
          </w:p>
        </w:tc>
        <w:tc>
          <w:tcPr>
            <w:tcW w:w="10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$2,626,165</w:t>
            </w:r>
          </w:p>
        </w:tc>
        <w:tc>
          <w:tcPr>
            <w:tcW w:w="10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$2,837,996</w:t>
            </w:r>
          </w:p>
        </w:tc>
        <w:tc>
          <w:tcPr>
            <w:tcW w:w="1060" w:type="dxa"/>
            <w:vAlign w:val="bottom"/>
          </w:tcPr>
          <w:p>
            <w:pPr>
              <w:jc w:val="right"/>
              <w:ind w:right="13"/>
              <w:spacing w:after="0"/>
              <w:rPr>
                <w:sz w:val="20"/>
                <w:szCs w:val="20"/>
                <w:color w:val="auto"/>
              </w:rPr>
            </w:pPr>
            <w:r>
              <w:rPr>
                <w:rFonts w:ascii="Calibri" w:cs="Calibri" w:eastAsia="Calibri" w:hAnsi="Calibri"/>
                <w:sz w:val="17"/>
                <w:szCs w:val="17"/>
                <w:b w:val="1"/>
                <w:bCs w:val="1"/>
                <w:color w:val="auto"/>
              </w:rPr>
              <w:t>$2,464,750</w:t>
            </w:r>
          </w:p>
        </w:tc>
      </w:tr>
    </w:tbl>
    <w:p>
      <w:pPr>
        <w:spacing w:after="0" w:line="170" w:lineRule="exact"/>
        <w:rPr>
          <w:sz w:val="20"/>
          <w:szCs w:val="20"/>
          <w:color w:val="auto"/>
        </w:rPr>
      </w:pPr>
    </w:p>
    <w:p>
      <w:pPr>
        <w:ind w:left="500" w:hanging="184"/>
        <w:spacing w:after="0"/>
        <w:tabs>
          <w:tab w:leader="none" w:pos="50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Equity award values refect equity grants in 2022 based on the grant date fair value of awards in accordance with FASB ASC Topic 718.</w:t>
      </w:r>
    </w:p>
    <w:p>
      <w:pPr>
        <w:spacing w:after="0" w:line="117" w:lineRule="exact"/>
        <w:rPr>
          <w:rFonts w:ascii="Calibri" w:cs="Calibri" w:eastAsia="Calibri" w:hAnsi="Calibri"/>
          <w:sz w:val="13"/>
          <w:szCs w:val="13"/>
          <w:color w:val="auto"/>
        </w:rPr>
      </w:pPr>
    </w:p>
    <w:p>
      <w:pPr>
        <w:ind w:left="320" w:right="60" w:hanging="4"/>
        <w:spacing w:after="0" w:line="253" w:lineRule="auto"/>
        <w:tabs>
          <w:tab w:leader="none" w:pos="494"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For each named executve ofcer, this category includes, if applicable, his perquisites and personal benefts, hiring bonus, changes in pension value, Company-paid life insurance premiums and Company contributons to our 401(k) plan. A detailed discussion of the compensaton components for each named executve ofcer for fscal year 2022 is provided in the “Summary compensaton table for fscal year 2022” beginning on page 87.</w:t>
      </w:r>
    </w:p>
    <w:p>
      <w:pPr>
        <w:spacing w:after="0" w:line="106" w:lineRule="exact"/>
        <w:rPr>
          <w:rFonts w:ascii="Calibri" w:cs="Calibri" w:eastAsia="Calibri" w:hAnsi="Calibri"/>
          <w:sz w:val="13"/>
          <w:szCs w:val="13"/>
          <w:color w:val="auto"/>
        </w:rPr>
      </w:pPr>
    </w:p>
    <w:p>
      <w:pPr>
        <w:ind w:left="500" w:hanging="184"/>
        <w:spacing w:after="0"/>
        <w:tabs>
          <w:tab w:leader="none" w:pos="50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Mr. Bhalla is based in Delhi, India. Certain of his compensaton components, as described herein, are paid in Indian rupees (INR), and are converted for comparison purposes at 82.72 INR to 1</w:t>
      </w:r>
    </w:p>
    <w:p>
      <w:pPr>
        <w:spacing w:after="0" w:line="10"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U.S. Dollar (USD), which was the exchange rate on December 30, 2022.</w:t>
      </w:r>
    </w:p>
    <w:p>
      <w:pPr>
        <w:spacing w:after="0" w:line="200" w:lineRule="exact"/>
        <w:rPr>
          <w:sz w:val="20"/>
          <w:szCs w:val="20"/>
          <w:color w:val="auto"/>
        </w:rPr>
      </w:pPr>
    </w:p>
    <w:p>
      <w:pPr>
        <w:spacing w:after="0" w:line="254" w:lineRule="exact"/>
        <w:rPr>
          <w:sz w:val="20"/>
          <w:szCs w:val="20"/>
          <w:color w:val="auto"/>
        </w:rPr>
      </w:pPr>
    </w:p>
    <w:p>
      <w:pPr>
        <w:jc w:val="both"/>
        <w:ind w:left="320" w:right="160"/>
        <w:spacing w:after="0" w:line="239" w:lineRule="auto"/>
        <w:rPr>
          <w:sz w:val="20"/>
          <w:szCs w:val="20"/>
          <w:color w:val="auto"/>
        </w:rPr>
      </w:pPr>
      <w:r>
        <w:rPr>
          <w:rFonts w:ascii="Calibri" w:cs="Calibri" w:eastAsia="Calibri" w:hAnsi="Calibri"/>
          <w:sz w:val="17"/>
          <w:szCs w:val="17"/>
          <w:color w:val="auto"/>
        </w:rPr>
        <w:t>On an annual basis, we submit to our stockholders a vote to approve, on a non-binding advisory basis, the compensaton of our named executve ofcers as described in this Proxy Statement. We refer to this vote as “say-on-pay”. Please refer to our Compensaton Discussion and Analysis, beginning on page 63 for a complete descripton of our 2022 compensaton program.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Below are a few highlights of our executve compensaton:</w:t>
      </w:r>
    </w:p>
    <w:p>
      <w:pPr>
        <w:spacing w:after="0" w:line="235" w:lineRule="exact"/>
        <w:rPr>
          <w:sz w:val="20"/>
          <w:szCs w:val="20"/>
          <w:color w:val="auto"/>
        </w:rPr>
      </w:pPr>
    </w:p>
    <w:p>
      <w:pPr>
        <w:ind w:left="1140" w:hanging="407"/>
        <w:spacing w:after="0"/>
        <w:tabs>
          <w:tab w:leader="none" w:pos="1140"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philosophy: </w:t>
      </w:r>
      <w:r>
        <w:rPr>
          <w:rFonts w:ascii="Calibri" w:cs="Calibri" w:eastAsia="Calibri" w:hAnsi="Calibri"/>
          <w:sz w:val="17"/>
          <w:szCs w:val="17"/>
          <w:color w:val="auto"/>
        </w:rPr>
        <w:t>Our executve compensaton philosophy is focused on pay-for-performance and is designed to refect appropriate</w:t>
      </w:r>
    </w:p>
    <w:p>
      <w:pPr>
        <w:spacing w:after="0" w:line="2" w:lineRule="exact"/>
        <w:rPr>
          <w:rFonts w:ascii="Calibri" w:cs="Calibri" w:eastAsia="Calibri" w:hAnsi="Calibri"/>
          <w:sz w:val="17"/>
          <w:szCs w:val="17"/>
          <w:color w:val="auto"/>
        </w:rPr>
      </w:pPr>
    </w:p>
    <w:p>
      <w:pPr>
        <w:jc w:val="both"/>
        <w:ind w:left="1140" w:right="2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governance practces aligned with the needs of our business, and includes, among others, the following features: clawback policy; robust stock ownership guidelines for executves (and non-employee directors); limited perquisites; no tax gross-ups; and an ant-hedging and ant-pledging policy. See “Executve compensaton program, practces and policies” beginning on page 69 below.</w:t>
      </w:r>
    </w:p>
    <w:p>
      <w:pPr>
        <w:spacing w:after="0" w:line="298"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17</w:t>
      </w:r>
    </w:p>
    <w:p>
      <w:pPr>
        <w:sectPr>
          <w:pgSz w:w="11900" w:h="16838" w:orient="portrait"/>
          <w:cols w:equalWidth="0" w:num="1">
            <w:col w:w="10940"/>
          </w:cols>
          <w:pgMar w:left="320" w:top="471"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48" w:lineRule="exact"/>
        <w:rPr>
          <w:sz w:val="20"/>
          <w:szCs w:val="20"/>
          <w:color w:val="auto"/>
        </w:rPr>
      </w:pPr>
    </w:p>
    <w:p>
      <w:pPr>
        <w:ind w:left="1140" w:right="120" w:hanging="407"/>
        <w:spacing w:after="0" w:line="239" w:lineRule="auto"/>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99% Say-on-Pay approval of 2021 compensaton</w:t>
      </w:r>
      <w:r>
        <w:rPr>
          <w:rFonts w:ascii="Calibri" w:cs="Calibri" w:eastAsia="Calibri" w:hAnsi="Calibri"/>
          <w:sz w:val="17"/>
          <w:szCs w:val="17"/>
          <w:color w:val="auto"/>
        </w:rPr>
        <w:t>: At our 2022 Annual Meetng of Stockholders, our stockholders approved, on a non-binding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advisory basis, the compensaton paid to our named executve ofcers for fscal year 2021. Over 99% of the votes present in person or by proxy (excluding broker non-votes) voted in favor of fscal year 2021 compensaton.</w:t>
      </w:r>
    </w:p>
    <w:p>
      <w:pPr>
        <w:spacing w:after="0" w:line="69" w:lineRule="exact"/>
        <w:rPr>
          <w:rFonts w:ascii="Calibri" w:cs="Calibri" w:eastAsia="Calibri" w:hAnsi="Calibri"/>
          <w:sz w:val="17"/>
          <w:szCs w:val="17"/>
          <w:color w:val="auto"/>
        </w:rPr>
      </w:pPr>
    </w:p>
    <w:p>
      <w:pPr>
        <w:ind w:left="1140" w:right="140" w:hanging="407"/>
        <w:spacing w:after="0" w:line="239" w:lineRule="auto"/>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Annual incentve program based upon fnancial performance criteria</w:t>
      </w:r>
      <w:r>
        <w:rPr>
          <w:rFonts w:ascii="Calibri" w:cs="Calibri" w:eastAsia="Calibri" w:hAnsi="Calibri"/>
          <w:sz w:val="17"/>
          <w:szCs w:val="17"/>
          <w:color w:val="auto"/>
        </w:rPr>
        <w:t>: Our Compensaton and Talent Management Commitee approved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contnued use of our annual incentve program, which was based upon the following performance criteria for 2022:</w:t>
      </w:r>
    </w:p>
    <w:p>
      <w:pPr>
        <w:spacing w:after="0" w:line="66"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Company-wide metrics (75%)—Revenue and adjusted operatng proft margin (“AOPM”)</w:t>
      </w:r>
    </w:p>
    <w:p>
      <w:pPr>
        <w:spacing w:after="0" w:line="65"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–Individual metrics (25%)—Linked to areas of performance that are specifc to each executve</w:t>
      </w:r>
    </w:p>
    <w:p>
      <w:pPr>
        <w:spacing w:after="0" w:line="67" w:lineRule="exact"/>
        <w:rPr>
          <w:rFonts w:ascii="Calibri" w:cs="Calibri" w:eastAsia="Calibri" w:hAnsi="Calibri"/>
          <w:sz w:val="17"/>
          <w:szCs w:val="17"/>
          <w:color w:val="auto"/>
        </w:rPr>
      </w:pPr>
    </w:p>
    <w:p>
      <w:pPr>
        <w:ind w:left="1140" w:right="20" w:hanging="407"/>
        <w:spacing w:after="0"/>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Long-term equity incentve program: </w:t>
      </w:r>
      <w:r>
        <w:rPr>
          <w:rFonts w:ascii="Calibri" w:cs="Calibri" w:eastAsia="Calibri" w:hAnsi="Calibri"/>
          <w:sz w:val="17"/>
          <w:szCs w:val="17"/>
          <w:color w:val="auto"/>
        </w:rPr>
        <w:t>We also contnued our equity incentve program, which includes grantng a balanced mix of tme-vested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restricted stock units and performance-based restricted stock units. The performance-based restricted stock units were comprised of relatve total stockholder return-linked restricted stock units and revenue-linked restricted stock units. See “Long-term equity incentves” beginning on page 80 below for more details.</w:t>
      </w:r>
    </w:p>
    <w:p>
      <w:pPr>
        <w:spacing w:after="0" w:line="66" w:lineRule="exact"/>
        <w:rPr>
          <w:rFonts w:ascii="Calibri" w:cs="Calibri" w:eastAsia="Calibri" w:hAnsi="Calibri"/>
          <w:sz w:val="17"/>
          <w:szCs w:val="17"/>
          <w:color w:val="auto"/>
        </w:rPr>
      </w:pPr>
    </w:p>
    <w:p>
      <w:pPr>
        <w:ind w:left="1140" w:hanging="407"/>
        <w:spacing w:after="0"/>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2022 performance: </w:t>
      </w:r>
      <w:r>
        <w:rPr>
          <w:rFonts w:ascii="Calibri" w:cs="Calibri" w:eastAsia="Calibri" w:hAnsi="Calibri"/>
          <w:sz w:val="17"/>
          <w:szCs w:val="17"/>
          <w:color w:val="auto"/>
        </w:rPr>
        <w:t>We delivered the following revenue and AOPM (as described below) performance:</w:t>
      </w:r>
    </w:p>
    <w:p>
      <w:pPr>
        <w:spacing w:after="0" w:line="67" w:lineRule="exact"/>
        <w:rPr>
          <w:rFonts w:ascii="Calibri" w:cs="Calibri" w:eastAsia="Calibri" w:hAnsi="Calibri"/>
          <w:sz w:val="17"/>
          <w:szCs w:val="17"/>
          <w:color w:val="auto"/>
        </w:rPr>
      </w:pPr>
    </w:p>
    <w:p>
      <w:pPr>
        <w:ind w:left="1580" w:right="10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Annual incentve program: </w:t>
      </w:r>
      <w:r>
        <w:rPr>
          <w:rFonts w:ascii="Calibri" w:cs="Calibri" w:eastAsia="Calibri" w:hAnsi="Calibri"/>
          <w:sz w:val="17"/>
          <w:szCs w:val="17"/>
          <w:color w:val="auto"/>
        </w:rPr>
        <w:t>As measured under our annual incentve plan, we delivered 107.66% of our revenue performance target,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and 101.45% of our AOPM target resultng in annual incentve payout calculatons for our named executve ofcers, ranging from 153% of target performance to 159% of target performance. Our Compensaton and Talent Management Commitee did not make adjustments to the performance targets that had previously been set.</w:t>
      </w:r>
    </w:p>
    <w:p>
      <w:pPr>
        <w:spacing w:after="0" w:line="67" w:lineRule="exact"/>
        <w:rPr>
          <w:rFonts w:ascii="Calibri" w:cs="Calibri" w:eastAsia="Calibri" w:hAnsi="Calibri"/>
          <w:sz w:val="17"/>
          <w:szCs w:val="17"/>
          <w:color w:val="auto"/>
        </w:rPr>
      </w:pPr>
    </w:p>
    <w:p>
      <w:pPr>
        <w:ind w:left="158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Equity incentve program: </w:t>
      </w:r>
      <w:r>
        <w:rPr>
          <w:rFonts w:ascii="Calibri" w:cs="Calibri" w:eastAsia="Calibri" w:hAnsi="Calibri"/>
          <w:sz w:val="17"/>
          <w:szCs w:val="17"/>
          <w:color w:val="auto"/>
        </w:rPr>
        <w:t>This was the third and fnal performance year for the performance-based restricted stock units granted in</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2020. We achieved 101.6% of the revenue target for the revenue-linked restricted stock units resultng in 100% of target funding of those grants. The Company’s TSR performance was at the 97.6 percentle among its peer group, resultng in the executves earning 200% of the target funding of those grants. In the aggregate, the performance-based restricted stock units granted in 2020 achieved vestng of shares at 150% of target performance. No adjustments were made to the 2020 performance-based restricted stock units or the associated performance targets to account for the impact of the COVID-19 pandemic in the 2020, 2021 and 2022 fscal years.</w:t>
      </w:r>
    </w:p>
    <w:p>
      <w:pPr>
        <w:spacing w:after="0" w:line="128"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18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2023 Proxy Statement summary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mix</w:t>
      </w:r>
    </w:p>
    <w:p>
      <w:pPr>
        <w:spacing w:after="0" w:line="236" w:lineRule="exact"/>
        <w:rPr>
          <w:sz w:val="20"/>
          <w:szCs w:val="20"/>
          <w:color w:val="auto"/>
        </w:rPr>
      </w:pPr>
    </w:p>
    <w:tbl>
      <w:tblPr>
        <w:tblLayout w:type="fixed"/>
        <w:tblInd w:w="2120" w:type="dxa"/>
        <w:tblCellMar>
          <w:top w:w="0" w:type="dxa"/>
          <w:left w:w="0" w:type="dxa"/>
          <w:bottom w:w="0" w:type="dxa"/>
          <w:right w:w="0" w:type="dxa"/>
        </w:tblCellMar>
      </w:tblPr>
      <w:tr>
        <w:trPr>
          <w:trHeight w:val="232"/>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Vice Chairman &amp; CEO</w:t>
            </w:r>
          </w:p>
        </w:tc>
        <w:tc>
          <w:tcPr>
            <w:tcW w:w="3660" w:type="dxa"/>
            <w:vAlign w:val="bottom"/>
          </w:tcPr>
          <w:p>
            <w:pPr>
              <w:ind w:left="1780"/>
              <w:spacing w:after="0"/>
              <w:rPr>
                <w:sz w:val="20"/>
                <w:szCs w:val="20"/>
                <w:color w:val="auto"/>
              </w:rPr>
            </w:pPr>
            <w:r>
              <w:rPr>
                <w:rFonts w:ascii="Calibri" w:cs="Calibri" w:eastAsia="Calibri" w:hAnsi="Calibri"/>
                <w:sz w:val="19"/>
                <w:szCs w:val="19"/>
                <w:b w:val="1"/>
                <w:bCs w:val="1"/>
                <w:color w:val="FB4E0B"/>
              </w:rPr>
              <w:t>NEO compensaton mix</w:t>
            </w:r>
          </w:p>
        </w:tc>
      </w:tr>
      <w:tr>
        <w:trPr>
          <w:trHeight w:val="234"/>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compensaton mix</w:t>
            </w:r>
          </w:p>
        </w:tc>
        <w:tc>
          <w:tcPr>
            <w:tcW w:w="3660" w:type="dxa"/>
            <w:vAlign w:val="bottom"/>
          </w:tcPr>
          <w:p>
            <w:pPr>
              <w:ind w:left="1800"/>
              <w:spacing w:after="0"/>
              <w:rPr>
                <w:sz w:val="20"/>
                <w:szCs w:val="20"/>
                <w:color w:val="auto"/>
              </w:rPr>
            </w:pPr>
            <w:r>
              <w:rPr>
                <w:rFonts w:ascii="Calibri" w:cs="Calibri" w:eastAsia="Calibri" w:hAnsi="Calibri"/>
                <w:sz w:val="14"/>
                <w:szCs w:val="14"/>
                <w:color w:val="auto"/>
                <w:w w:val="98"/>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177165</wp:posOffset>
            </wp:positionV>
            <wp:extent cx="2147570" cy="1924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177165</wp:posOffset>
            </wp:positionV>
            <wp:extent cx="1776095" cy="1528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7609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 Base salary also includes other compensaton</w:t>
      </w:r>
    </w:p>
    <w:p>
      <w:pPr>
        <w:spacing w:after="0" w:line="291"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19</w:t>
      </w:r>
    </w:p>
    <w:p>
      <w:pPr>
        <w:sectPr>
          <w:pgSz w:w="11900" w:h="16838" w:orient="portrait"/>
          <w:cols w:equalWidth="0" w:num="1">
            <w:col w:w="10940"/>
          </w:cols>
          <w:pgMar w:left="320" w:top="471"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board of directors</w:t>
      </w:r>
    </w:p>
    <w:p>
      <w:pPr>
        <w:spacing w:after="0" w:line="330"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Our board of directors currently consists of nine directors (including our seven director nominees, and two of our directors who currently serve on the board, but will not stand for reelecton) with diverse experience, including in analytcs, digital operatons and solutons, client industries, informaton and cybersecurity, human capital management, ESG, and fnance and accountng,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165100</wp:posOffset>
            </wp:positionV>
            <wp:extent cx="5881370" cy="29984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1370" cy="299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From lef: Clyde Ostler* (Independent Director), Nitn Sahney (Independent Director and Nominatng and Governance Commitee Chair), Kristy Pipes (Independent Director and Audit Commitee Chair), Rohit Kapoor (Vice Chairman and CEO), Jaynie Studenmund (Independent Director and Compensaton and Talent Management Commitee Chair), Andreas Fibig (Independent Director), Vikram Pandit (Independent Chairman), Som Mital (Independent Director), Anne Minto*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1782445</wp:posOffset>
            </wp:positionV>
            <wp:extent cx="7435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 Not standing for reelecton</w:t>
      </w:r>
    </w:p>
    <w:p>
      <w:pPr>
        <w:spacing w:after="0" w:line="122"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20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40"/>
          </w:cols>
          <w:pgMar w:left="320" w:top="471" w:right="7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diversity matrix</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2023 Board diversity matrix (as of April 28, 2023)*</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Total number of directors:</w:t>
            </w:r>
          </w:p>
        </w:tc>
        <w:tc>
          <w:tcPr>
            <w:tcW w:w="700" w:type="dxa"/>
            <w:vAlign w:val="bottom"/>
            <w:shd w:val="clear" w:color="auto" w:fill="D8D8D8"/>
          </w:tcPr>
          <w:p>
            <w:pPr>
              <w:spacing w:after="0"/>
              <w:rPr>
                <w:sz w:val="22"/>
                <w:szCs w:val="22"/>
                <w:color w:val="auto"/>
              </w:rPr>
            </w:pPr>
          </w:p>
        </w:tc>
        <w:tc>
          <w:tcPr>
            <w:tcW w:w="600" w:type="dxa"/>
            <w:vAlign w:val="bottom"/>
            <w:shd w:val="clear" w:color="auto" w:fill="D8D8D8"/>
          </w:tcPr>
          <w:p>
            <w:pPr>
              <w:jc w:val="right"/>
              <w:ind w:right="436"/>
              <w:spacing w:after="0"/>
              <w:rPr>
                <w:sz w:val="20"/>
                <w:szCs w:val="20"/>
                <w:color w:val="auto"/>
              </w:rPr>
            </w:pPr>
            <w:r>
              <w:rPr>
                <w:rFonts w:ascii="Calibri" w:cs="Calibri" w:eastAsia="Calibri" w:hAnsi="Calibri"/>
                <w:sz w:val="14"/>
                <w:szCs w:val="14"/>
                <w:b w:val="1"/>
                <w:bCs w:val="1"/>
                <w:color w:val="auto"/>
                <w:w w:val="83"/>
              </w:rPr>
              <w:t>9</w:t>
            </w:r>
          </w:p>
        </w:tc>
      </w:tr>
      <w:tr>
        <w:trPr>
          <w:trHeight w:val="83"/>
        </w:trPr>
        <w:tc>
          <w:tcPr>
            <w:tcW w:w="20" w:type="dxa"/>
            <w:vAlign w:val="bottom"/>
          </w:tcPr>
          <w:p>
            <w:pPr>
              <w:spacing w:after="0"/>
              <w:rPr>
                <w:sz w:val="7"/>
                <w:szCs w:val="7"/>
                <w:color w:val="auto"/>
              </w:rPr>
            </w:pPr>
          </w:p>
        </w:tc>
        <w:tc>
          <w:tcPr>
            <w:tcW w:w="9300" w:type="dxa"/>
            <w:vAlign w:val="bottom"/>
            <w:tcBorders>
              <w:bottom w:val="single" w:sz="8" w:color="auto"/>
            </w:tcBorders>
            <w:shd w:val="clear" w:color="auto" w:fill="D8D8D8"/>
          </w:tcPr>
          <w:p>
            <w:pPr>
              <w:spacing w:after="0"/>
              <w:rPr>
                <w:sz w:val="7"/>
                <w:szCs w:val="7"/>
                <w:color w:val="auto"/>
              </w:rPr>
            </w:pPr>
          </w:p>
        </w:tc>
        <w:tc>
          <w:tcPr>
            <w:tcW w:w="700" w:type="dxa"/>
            <w:vAlign w:val="bottom"/>
            <w:tcBorders>
              <w:bottom w:val="single" w:sz="8" w:color="auto"/>
            </w:tcBorders>
            <w:shd w:val="clear" w:color="auto" w:fill="D8D8D8"/>
          </w:tcPr>
          <w:p>
            <w:pPr>
              <w:spacing w:after="0"/>
              <w:rPr>
                <w:sz w:val="7"/>
                <w:szCs w:val="7"/>
                <w:color w:val="auto"/>
              </w:rPr>
            </w:pPr>
          </w:p>
        </w:tc>
        <w:tc>
          <w:tcPr>
            <w:tcW w:w="600" w:type="dxa"/>
            <w:vAlign w:val="bottom"/>
            <w:tcBorders>
              <w:bottom w:val="single" w:sz="8" w:color="auto"/>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700" w:type="dxa"/>
            <w:vAlign w:val="bottom"/>
          </w:tcPr>
          <w:p>
            <w:pPr>
              <w:ind w:left="200"/>
              <w:spacing w:after="0"/>
              <w:rPr>
                <w:sz w:val="20"/>
                <w:szCs w:val="20"/>
                <w:color w:val="auto"/>
              </w:rPr>
            </w:pPr>
            <w:r>
              <w:rPr>
                <w:rFonts w:ascii="Calibri" w:cs="Calibri" w:eastAsia="Calibri" w:hAnsi="Calibri"/>
                <w:sz w:val="17"/>
                <w:szCs w:val="17"/>
                <w:b w:val="1"/>
                <w:bCs w:val="1"/>
                <w:color w:val="FB4E0B"/>
                <w:w w:val="93"/>
              </w:rPr>
              <w:t>Female</w:t>
            </w:r>
          </w:p>
        </w:tc>
        <w:tc>
          <w:tcPr>
            <w:tcW w:w="600" w:type="dxa"/>
            <w:vAlign w:val="bottom"/>
          </w:tcPr>
          <w:p>
            <w:pPr>
              <w:jc w:val="center"/>
              <w:ind w:left="116"/>
              <w:spacing w:after="0"/>
              <w:rPr>
                <w:sz w:val="20"/>
                <w:szCs w:val="20"/>
                <w:color w:val="auto"/>
              </w:rPr>
            </w:pPr>
            <w:r>
              <w:rPr>
                <w:rFonts w:ascii="Calibri" w:cs="Calibri" w:eastAsia="Calibri" w:hAnsi="Calibri"/>
                <w:sz w:val="17"/>
                <w:szCs w:val="17"/>
                <w:b w:val="1"/>
                <w:bCs w:val="1"/>
                <w:color w:val="FB4E0B"/>
                <w:w w:val="99"/>
              </w:rPr>
              <w:t>Male</w:t>
            </w:r>
          </w:p>
        </w:tc>
      </w:tr>
      <w:tr>
        <w:trPr>
          <w:trHeight w:val="107"/>
        </w:trPr>
        <w:tc>
          <w:tcPr>
            <w:tcW w:w="20" w:type="dxa"/>
            <w:vAlign w:val="bottom"/>
          </w:tcPr>
          <w:p>
            <w:pPr>
              <w:spacing w:after="0"/>
              <w:rPr>
                <w:sz w:val="9"/>
                <w:szCs w:val="9"/>
                <w:color w:val="auto"/>
              </w:rPr>
            </w:pPr>
          </w:p>
        </w:tc>
        <w:tc>
          <w:tcPr>
            <w:tcW w:w="9300" w:type="dxa"/>
            <w:vAlign w:val="bottom"/>
            <w:tcBorders>
              <w:bottom w:val="single" w:sz="8" w:color="FB4E0B"/>
            </w:tcBorders>
          </w:tcPr>
          <w:p>
            <w:pPr>
              <w:spacing w:after="0"/>
              <w:rPr>
                <w:sz w:val="9"/>
                <w:szCs w:val="9"/>
                <w:color w:val="auto"/>
              </w:rPr>
            </w:pPr>
          </w:p>
        </w:tc>
        <w:tc>
          <w:tcPr>
            <w:tcW w:w="700" w:type="dxa"/>
            <w:vAlign w:val="bottom"/>
            <w:tcBorders>
              <w:bottom w:val="single" w:sz="8" w:color="FB4E0B"/>
            </w:tcBorders>
          </w:tcPr>
          <w:p>
            <w:pPr>
              <w:spacing w:after="0"/>
              <w:rPr>
                <w:sz w:val="9"/>
                <w:szCs w:val="9"/>
                <w:color w:val="auto"/>
              </w:rPr>
            </w:pPr>
          </w:p>
        </w:tc>
        <w:tc>
          <w:tcPr>
            <w:tcW w:w="600" w:type="dxa"/>
            <w:vAlign w:val="bottom"/>
            <w:tcBorders>
              <w:bottom w:val="single" w:sz="8" w:color="FB4E0B"/>
            </w:tcBorders>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Part I: Gender identty</w:t>
            </w:r>
          </w:p>
        </w:tc>
        <w:tc>
          <w:tcPr>
            <w:tcW w:w="70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shd w:val="clear" w:color="auto" w:fill="D8D8D8"/>
          </w:tcPr>
          <w:p>
            <w:pPr>
              <w:spacing w:after="0"/>
              <w:rPr>
                <w:sz w:val="7"/>
                <w:szCs w:val="7"/>
                <w:color w:val="auto"/>
              </w:rPr>
            </w:pPr>
          </w:p>
        </w:tc>
        <w:tc>
          <w:tcPr>
            <w:tcW w:w="700" w:type="dxa"/>
            <w:vAlign w:val="bottom"/>
            <w:tcBorders>
              <w:bottom w:val="single" w:sz="8" w:color="B2B2B2"/>
            </w:tcBorders>
            <w:shd w:val="clear" w:color="auto" w:fill="D8D8D8"/>
          </w:tcPr>
          <w:p>
            <w:pPr>
              <w:spacing w:after="0"/>
              <w:rPr>
                <w:sz w:val="7"/>
                <w:szCs w:val="7"/>
                <w:color w:val="auto"/>
              </w:rPr>
            </w:pPr>
          </w:p>
        </w:tc>
        <w:tc>
          <w:tcPr>
            <w:tcW w:w="600" w:type="dxa"/>
            <w:vAlign w:val="bottom"/>
            <w:tcBorders>
              <w:bottom w:val="single" w:sz="8" w:color="B2B2B2"/>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Directors</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w w:val="92"/>
              </w:rPr>
              <w:t>3</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6</w:t>
            </w: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600" w:type="dxa"/>
            <w:vAlign w:val="bottom"/>
            <w:tcBorders>
              <w:bottom w:val="single" w:sz="8" w:color="B2B2B2"/>
            </w:tcBorders>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Part II: Demographic background</w:t>
            </w:r>
          </w:p>
        </w:tc>
        <w:tc>
          <w:tcPr>
            <w:tcW w:w="70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shd w:val="clear" w:color="auto" w:fill="D8D8D8"/>
          </w:tcPr>
          <w:p>
            <w:pPr>
              <w:spacing w:after="0"/>
              <w:rPr>
                <w:sz w:val="7"/>
                <w:szCs w:val="7"/>
                <w:color w:val="auto"/>
              </w:rPr>
            </w:pPr>
          </w:p>
        </w:tc>
        <w:tc>
          <w:tcPr>
            <w:tcW w:w="700" w:type="dxa"/>
            <w:vAlign w:val="bottom"/>
            <w:tcBorders>
              <w:bottom w:val="single" w:sz="8" w:color="B2B2B2"/>
            </w:tcBorders>
            <w:shd w:val="clear" w:color="auto" w:fill="D8D8D8"/>
          </w:tcPr>
          <w:p>
            <w:pPr>
              <w:spacing w:after="0"/>
              <w:rPr>
                <w:sz w:val="7"/>
                <w:szCs w:val="7"/>
                <w:color w:val="auto"/>
              </w:rPr>
            </w:pPr>
          </w:p>
        </w:tc>
        <w:tc>
          <w:tcPr>
            <w:tcW w:w="600" w:type="dxa"/>
            <w:vAlign w:val="bottom"/>
            <w:tcBorders>
              <w:bottom w:val="single" w:sz="8" w:color="B2B2B2"/>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Asian</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rPr>
              <w:t>—</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4</w:t>
            </w: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600" w:type="dxa"/>
            <w:vAlign w:val="bottom"/>
            <w:tcBorders>
              <w:bottom w:val="single" w:sz="8" w:color="B2B2B2"/>
            </w:tcBorders>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White (other than Middle Eastern)</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w w:val="92"/>
              </w:rPr>
              <w:t>3</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2</w:t>
            </w:r>
          </w:p>
        </w:tc>
      </w:tr>
      <w:tr>
        <w:trPr>
          <w:trHeight w:val="107"/>
        </w:trPr>
        <w:tc>
          <w:tcPr>
            <w:tcW w:w="932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56"/>
        </w:trPr>
        <w:tc>
          <w:tcPr>
            <w:tcW w:w="20" w:type="dxa"/>
            <w:vAlign w:val="bottom"/>
          </w:tcPr>
          <w:p>
            <w:pPr>
              <w:spacing w:after="0"/>
              <w:rPr>
                <w:sz w:val="13"/>
                <w:szCs w:val="13"/>
                <w:color w:val="auto"/>
              </w:rPr>
            </w:pPr>
          </w:p>
        </w:tc>
        <w:tc>
          <w:tcPr>
            <w:tcW w:w="9300" w:type="dxa"/>
            <w:vAlign w:val="bottom"/>
            <w:tcBorders>
              <w:top w:val="single" w:sz="8" w:color="FB4E0B"/>
            </w:tcBorders>
          </w:tcPr>
          <w:p>
            <w:pPr>
              <w:spacing w:after="0" w:line="156" w:lineRule="exact"/>
              <w:rPr>
                <w:sz w:val="20"/>
                <w:szCs w:val="20"/>
                <w:color w:val="auto"/>
              </w:rPr>
            </w:pPr>
            <w:r>
              <w:rPr>
                <w:rFonts w:ascii="Calibri" w:cs="Calibri" w:eastAsia="Calibri" w:hAnsi="Calibri"/>
                <w:sz w:val="13"/>
                <w:szCs w:val="13"/>
                <w:color w:val="auto"/>
              </w:rPr>
              <w:t>* Includes our nine current directors, including our seven nominees for electon at the Annual Meetng.</w:t>
            </w:r>
          </w:p>
        </w:tc>
        <w:tc>
          <w:tcPr>
            <w:tcW w:w="700" w:type="dxa"/>
            <w:vAlign w:val="bottom"/>
            <w:tcBorders>
              <w:top w:val="single" w:sz="8" w:color="FB4E0B"/>
            </w:tcBorders>
          </w:tcPr>
          <w:p>
            <w:pPr>
              <w:spacing w:after="0"/>
              <w:rPr>
                <w:sz w:val="13"/>
                <w:szCs w:val="13"/>
                <w:color w:val="auto"/>
              </w:rPr>
            </w:pPr>
          </w:p>
        </w:tc>
        <w:tc>
          <w:tcPr>
            <w:tcW w:w="600" w:type="dxa"/>
            <w:vAlign w:val="bottom"/>
            <w:tcBorders>
              <w:top w:val="single" w:sz="8" w:color="FB4E0B"/>
            </w:tcBorders>
          </w:tcPr>
          <w:p>
            <w:pPr>
              <w:spacing w:after="0"/>
              <w:rPr>
                <w:sz w:val="13"/>
                <w:szCs w:val="13"/>
                <w:color w:val="auto"/>
              </w:rPr>
            </w:pPr>
          </w:p>
        </w:tc>
      </w:tr>
      <w:tr>
        <w:trPr>
          <w:trHeight w:val="372"/>
        </w:trPr>
        <w:tc>
          <w:tcPr>
            <w:tcW w:w="9320" w:type="dxa"/>
            <w:vAlign w:val="bottom"/>
            <w:gridSpan w:val="2"/>
          </w:tcPr>
          <w:p>
            <w:pPr>
              <w:spacing w:after="0"/>
              <w:rPr>
                <w:sz w:val="20"/>
                <w:szCs w:val="20"/>
                <w:color w:val="auto"/>
              </w:rPr>
            </w:pPr>
            <w:r>
              <w:rPr>
                <w:rFonts w:ascii="Calibri" w:cs="Calibri" w:eastAsia="Calibri" w:hAnsi="Calibri"/>
                <w:sz w:val="19"/>
                <w:szCs w:val="19"/>
                <w:b w:val="1"/>
                <w:bCs w:val="1"/>
                <w:color w:val="FB4E0B"/>
              </w:rPr>
              <w:t>2022 Board diversity matrix (as of April 28, 2022)</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5"/>
        </w:trPr>
        <w:tc>
          <w:tcPr>
            <w:tcW w:w="20" w:type="dxa"/>
            <w:vAlign w:val="bottom"/>
          </w:tcPr>
          <w:p>
            <w:pPr>
              <w:spacing w:after="0"/>
              <w:rPr>
                <w:sz w:val="22"/>
                <w:szCs w:val="22"/>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Total number of directors:</w:t>
            </w:r>
          </w:p>
        </w:tc>
        <w:tc>
          <w:tcPr>
            <w:tcW w:w="700" w:type="dxa"/>
            <w:vAlign w:val="bottom"/>
            <w:shd w:val="clear" w:color="auto" w:fill="D8D8D8"/>
          </w:tcPr>
          <w:p>
            <w:pPr>
              <w:spacing w:after="0"/>
              <w:rPr>
                <w:sz w:val="22"/>
                <w:szCs w:val="22"/>
                <w:color w:val="auto"/>
              </w:rPr>
            </w:pPr>
          </w:p>
        </w:tc>
        <w:tc>
          <w:tcPr>
            <w:tcW w:w="600" w:type="dxa"/>
            <w:vAlign w:val="bottom"/>
            <w:shd w:val="clear" w:color="auto" w:fill="D8D8D8"/>
          </w:tcPr>
          <w:p>
            <w:pPr>
              <w:jc w:val="right"/>
              <w:ind w:right="436"/>
              <w:spacing w:after="0"/>
              <w:rPr>
                <w:sz w:val="20"/>
                <w:szCs w:val="20"/>
                <w:color w:val="auto"/>
              </w:rPr>
            </w:pPr>
            <w:r>
              <w:rPr>
                <w:rFonts w:ascii="Calibri" w:cs="Calibri" w:eastAsia="Calibri" w:hAnsi="Calibri"/>
                <w:sz w:val="14"/>
                <w:szCs w:val="14"/>
                <w:b w:val="1"/>
                <w:bCs w:val="1"/>
                <w:color w:val="auto"/>
                <w:w w:val="83"/>
              </w:rPr>
              <w:t>9</w:t>
            </w:r>
          </w:p>
        </w:tc>
      </w:tr>
      <w:tr>
        <w:trPr>
          <w:trHeight w:val="83"/>
        </w:trPr>
        <w:tc>
          <w:tcPr>
            <w:tcW w:w="20" w:type="dxa"/>
            <w:vAlign w:val="bottom"/>
          </w:tcPr>
          <w:p>
            <w:pPr>
              <w:spacing w:after="0"/>
              <w:rPr>
                <w:sz w:val="7"/>
                <w:szCs w:val="7"/>
                <w:color w:val="auto"/>
              </w:rPr>
            </w:pPr>
          </w:p>
        </w:tc>
        <w:tc>
          <w:tcPr>
            <w:tcW w:w="9300" w:type="dxa"/>
            <w:vAlign w:val="bottom"/>
            <w:tcBorders>
              <w:bottom w:val="single" w:sz="8" w:color="auto"/>
            </w:tcBorders>
            <w:shd w:val="clear" w:color="auto" w:fill="D8D8D8"/>
          </w:tcPr>
          <w:p>
            <w:pPr>
              <w:spacing w:after="0"/>
              <w:rPr>
                <w:sz w:val="7"/>
                <w:szCs w:val="7"/>
                <w:color w:val="auto"/>
              </w:rPr>
            </w:pPr>
          </w:p>
        </w:tc>
        <w:tc>
          <w:tcPr>
            <w:tcW w:w="700" w:type="dxa"/>
            <w:vAlign w:val="bottom"/>
            <w:tcBorders>
              <w:bottom w:val="single" w:sz="8" w:color="auto"/>
            </w:tcBorders>
            <w:shd w:val="clear" w:color="auto" w:fill="D8D8D8"/>
          </w:tcPr>
          <w:p>
            <w:pPr>
              <w:spacing w:after="0"/>
              <w:rPr>
                <w:sz w:val="7"/>
                <w:szCs w:val="7"/>
                <w:color w:val="auto"/>
              </w:rPr>
            </w:pPr>
          </w:p>
        </w:tc>
        <w:tc>
          <w:tcPr>
            <w:tcW w:w="600" w:type="dxa"/>
            <w:vAlign w:val="bottom"/>
            <w:tcBorders>
              <w:bottom w:val="single" w:sz="8" w:color="auto"/>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700" w:type="dxa"/>
            <w:vAlign w:val="bottom"/>
          </w:tcPr>
          <w:p>
            <w:pPr>
              <w:ind w:left="200"/>
              <w:spacing w:after="0"/>
              <w:rPr>
                <w:sz w:val="20"/>
                <w:szCs w:val="20"/>
                <w:color w:val="auto"/>
              </w:rPr>
            </w:pPr>
            <w:r>
              <w:rPr>
                <w:rFonts w:ascii="Calibri" w:cs="Calibri" w:eastAsia="Calibri" w:hAnsi="Calibri"/>
                <w:sz w:val="17"/>
                <w:szCs w:val="17"/>
                <w:b w:val="1"/>
                <w:bCs w:val="1"/>
                <w:color w:val="FB4E0B"/>
                <w:w w:val="93"/>
              </w:rPr>
              <w:t>Female</w:t>
            </w:r>
          </w:p>
        </w:tc>
        <w:tc>
          <w:tcPr>
            <w:tcW w:w="600" w:type="dxa"/>
            <w:vAlign w:val="bottom"/>
          </w:tcPr>
          <w:p>
            <w:pPr>
              <w:jc w:val="center"/>
              <w:ind w:left="116"/>
              <w:spacing w:after="0"/>
              <w:rPr>
                <w:sz w:val="20"/>
                <w:szCs w:val="20"/>
                <w:color w:val="auto"/>
              </w:rPr>
            </w:pPr>
            <w:r>
              <w:rPr>
                <w:rFonts w:ascii="Calibri" w:cs="Calibri" w:eastAsia="Calibri" w:hAnsi="Calibri"/>
                <w:sz w:val="17"/>
                <w:szCs w:val="17"/>
                <w:b w:val="1"/>
                <w:bCs w:val="1"/>
                <w:color w:val="FB4E0B"/>
                <w:w w:val="99"/>
              </w:rPr>
              <w:t>Male</w:t>
            </w:r>
          </w:p>
        </w:tc>
      </w:tr>
      <w:tr>
        <w:trPr>
          <w:trHeight w:val="107"/>
        </w:trPr>
        <w:tc>
          <w:tcPr>
            <w:tcW w:w="20" w:type="dxa"/>
            <w:vAlign w:val="bottom"/>
          </w:tcPr>
          <w:p>
            <w:pPr>
              <w:spacing w:after="0"/>
              <w:rPr>
                <w:sz w:val="9"/>
                <w:szCs w:val="9"/>
                <w:color w:val="auto"/>
              </w:rPr>
            </w:pPr>
          </w:p>
        </w:tc>
        <w:tc>
          <w:tcPr>
            <w:tcW w:w="9300" w:type="dxa"/>
            <w:vAlign w:val="bottom"/>
            <w:tcBorders>
              <w:bottom w:val="single" w:sz="8" w:color="FB4E0B"/>
            </w:tcBorders>
          </w:tcPr>
          <w:p>
            <w:pPr>
              <w:spacing w:after="0"/>
              <w:rPr>
                <w:sz w:val="9"/>
                <w:szCs w:val="9"/>
                <w:color w:val="auto"/>
              </w:rPr>
            </w:pPr>
          </w:p>
        </w:tc>
        <w:tc>
          <w:tcPr>
            <w:tcW w:w="700" w:type="dxa"/>
            <w:vAlign w:val="bottom"/>
            <w:tcBorders>
              <w:bottom w:val="single" w:sz="8" w:color="FB4E0B"/>
            </w:tcBorders>
          </w:tcPr>
          <w:p>
            <w:pPr>
              <w:spacing w:after="0"/>
              <w:rPr>
                <w:sz w:val="9"/>
                <w:szCs w:val="9"/>
                <w:color w:val="auto"/>
              </w:rPr>
            </w:pPr>
          </w:p>
        </w:tc>
        <w:tc>
          <w:tcPr>
            <w:tcW w:w="600" w:type="dxa"/>
            <w:vAlign w:val="bottom"/>
            <w:tcBorders>
              <w:bottom w:val="single" w:sz="8" w:color="FB4E0B"/>
            </w:tcBorders>
          </w:tcPr>
          <w:p>
            <w:pPr>
              <w:spacing w:after="0"/>
              <w:rPr>
                <w:sz w:val="9"/>
                <w:szCs w:val="9"/>
                <w:color w:val="auto"/>
              </w:rPr>
            </w:pPr>
          </w:p>
        </w:tc>
      </w:tr>
      <w:tr>
        <w:trPr>
          <w:trHeight w:val="237"/>
        </w:trPr>
        <w:tc>
          <w:tcPr>
            <w:tcW w:w="20" w:type="dxa"/>
            <w:vAlign w:val="bottom"/>
          </w:tcPr>
          <w:p>
            <w:pPr>
              <w:spacing w:after="0"/>
              <w:rPr>
                <w:sz w:val="20"/>
                <w:szCs w:val="20"/>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Part I: Gender identty</w:t>
            </w:r>
          </w:p>
        </w:tc>
        <w:tc>
          <w:tcPr>
            <w:tcW w:w="70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shd w:val="clear" w:color="auto" w:fill="D8D8D8"/>
          </w:tcPr>
          <w:p>
            <w:pPr>
              <w:spacing w:after="0"/>
              <w:rPr>
                <w:sz w:val="7"/>
                <w:szCs w:val="7"/>
                <w:color w:val="auto"/>
              </w:rPr>
            </w:pPr>
          </w:p>
        </w:tc>
        <w:tc>
          <w:tcPr>
            <w:tcW w:w="700" w:type="dxa"/>
            <w:vAlign w:val="bottom"/>
            <w:tcBorders>
              <w:bottom w:val="single" w:sz="8" w:color="B2B2B2"/>
            </w:tcBorders>
            <w:shd w:val="clear" w:color="auto" w:fill="D8D8D8"/>
          </w:tcPr>
          <w:p>
            <w:pPr>
              <w:spacing w:after="0"/>
              <w:rPr>
                <w:sz w:val="7"/>
                <w:szCs w:val="7"/>
                <w:color w:val="auto"/>
              </w:rPr>
            </w:pPr>
          </w:p>
        </w:tc>
        <w:tc>
          <w:tcPr>
            <w:tcW w:w="600" w:type="dxa"/>
            <w:vAlign w:val="bottom"/>
            <w:tcBorders>
              <w:bottom w:val="single" w:sz="8" w:color="B2B2B2"/>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Directors</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w w:val="92"/>
              </w:rPr>
              <w:t>3</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6</w:t>
            </w: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600" w:type="dxa"/>
            <w:vAlign w:val="bottom"/>
            <w:tcBorders>
              <w:bottom w:val="single" w:sz="8" w:color="B2B2B2"/>
            </w:tcBorders>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shd w:val="clear" w:color="auto" w:fill="D8D8D8"/>
          </w:tcPr>
          <w:p>
            <w:pPr>
              <w:ind w:left="20"/>
              <w:spacing w:after="0"/>
              <w:rPr>
                <w:sz w:val="20"/>
                <w:szCs w:val="20"/>
                <w:color w:val="auto"/>
              </w:rPr>
            </w:pPr>
            <w:r>
              <w:rPr>
                <w:rFonts w:ascii="Calibri" w:cs="Calibri" w:eastAsia="Calibri" w:hAnsi="Calibri"/>
                <w:sz w:val="17"/>
                <w:szCs w:val="17"/>
                <w:b w:val="1"/>
                <w:bCs w:val="1"/>
                <w:color w:val="auto"/>
              </w:rPr>
              <w:t>Part II: Demographic background</w:t>
            </w:r>
          </w:p>
        </w:tc>
        <w:tc>
          <w:tcPr>
            <w:tcW w:w="70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shd w:val="clear" w:color="auto" w:fill="D8D8D8"/>
          </w:tcPr>
          <w:p>
            <w:pPr>
              <w:spacing w:after="0"/>
              <w:rPr>
                <w:sz w:val="7"/>
                <w:szCs w:val="7"/>
                <w:color w:val="auto"/>
              </w:rPr>
            </w:pPr>
          </w:p>
        </w:tc>
        <w:tc>
          <w:tcPr>
            <w:tcW w:w="700" w:type="dxa"/>
            <w:vAlign w:val="bottom"/>
            <w:tcBorders>
              <w:bottom w:val="single" w:sz="8" w:color="B2B2B2"/>
            </w:tcBorders>
            <w:shd w:val="clear" w:color="auto" w:fill="D8D8D8"/>
          </w:tcPr>
          <w:p>
            <w:pPr>
              <w:spacing w:after="0"/>
              <w:rPr>
                <w:sz w:val="7"/>
                <w:szCs w:val="7"/>
                <w:color w:val="auto"/>
              </w:rPr>
            </w:pPr>
          </w:p>
        </w:tc>
        <w:tc>
          <w:tcPr>
            <w:tcW w:w="600" w:type="dxa"/>
            <w:vAlign w:val="bottom"/>
            <w:tcBorders>
              <w:bottom w:val="single" w:sz="8" w:color="B2B2B2"/>
            </w:tcBorders>
            <w:shd w:val="clear" w:color="auto" w:fill="D8D8D8"/>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Asian</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rPr>
              <w:t>—</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4</w:t>
            </w:r>
          </w:p>
        </w:tc>
      </w:tr>
      <w:tr>
        <w:trPr>
          <w:trHeight w:val="88"/>
        </w:trPr>
        <w:tc>
          <w:tcPr>
            <w:tcW w:w="20" w:type="dxa"/>
            <w:vAlign w:val="bottom"/>
          </w:tcPr>
          <w:p>
            <w:pPr>
              <w:spacing w:after="0"/>
              <w:rPr>
                <w:sz w:val="7"/>
                <w:szCs w:val="7"/>
                <w:color w:val="auto"/>
              </w:rPr>
            </w:pPr>
          </w:p>
        </w:tc>
        <w:tc>
          <w:tcPr>
            <w:tcW w:w="9300" w:type="dxa"/>
            <w:vAlign w:val="bottom"/>
            <w:tcBorders>
              <w:bottom w:val="single" w:sz="8" w:color="B2B2B2"/>
            </w:tcBorders>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600" w:type="dxa"/>
            <w:vAlign w:val="bottom"/>
            <w:tcBorders>
              <w:bottom w:val="single" w:sz="8" w:color="B2B2B2"/>
            </w:tcBorders>
          </w:tcPr>
          <w:p>
            <w:pPr>
              <w:spacing w:after="0"/>
              <w:rPr>
                <w:sz w:val="7"/>
                <w:szCs w:val="7"/>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Calibri" w:cs="Calibri" w:eastAsia="Calibri" w:hAnsi="Calibri"/>
                <w:sz w:val="17"/>
                <w:szCs w:val="17"/>
                <w:color w:val="auto"/>
              </w:rPr>
              <w:t>White (other than Middle Eastern)</w:t>
            </w:r>
          </w:p>
        </w:tc>
        <w:tc>
          <w:tcPr>
            <w:tcW w:w="700" w:type="dxa"/>
            <w:vAlign w:val="bottom"/>
          </w:tcPr>
          <w:p>
            <w:pPr>
              <w:jc w:val="center"/>
              <w:ind w:left="128"/>
              <w:spacing w:after="0"/>
              <w:rPr>
                <w:sz w:val="20"/>
                <w:szCs w:val="20"/>
                <w:color w:val="auto"/>
              </w:rPr>
            </w:pPr>
            <w:r>
              <w:rPr>
                <w:rFonts w:ascii="Calibri" w:cs="Calibri" w:eastAsia="Calibri" w:hAnsi="Calibri"/>
                <w:sz w:val="17"/>
                <w:szCs w:val="17"/>
                <w:color w:val="auto"/>
                <w:w w:val="92"/>
              </w:rPr>
              <w:t>3</w:t>
            </w:r>
          </w:p>
        </w:tc>
        <w:tc>
          <w:tcPr>
            <w:tcW w:w="600" w:type="dxa"/>
            <w:vAlign w:val="bottom"/>
          </w:tcPr>
          <w:p>
            <w:pPr>
              <w:jc w:val="center"/>
              <w:ind w:left="136"/>
              <w:spacing w:after="0"/>
              <w:rPr>
                <w:sz w:val="20"/>
                <w:szCs w:val="20"/>
                <w:color w:val="auto"/>
              </w:rPr>
            </w:pPr>
            <w:r>
              <w:rPr>
                <w:rFonts w:ascii="Calibri" w:cs="Calibri" w:eastAsia="Calibri" w:hAnsi="Calibri"/>
                <w:sz w:val="17"/>
                <w:szCs w:val="17"/>
                <w:color w:val="auto"/>
              </w:rPr>
              <w:t>2</w:t>
            </w:r>
          </w:p>
        </w:tc>
      </w:tr>
      <w:tr>
        <w:trPr>
          <w:trHeight w:val="107"/>
        </w:trPr>
        <w:tc>
          <w:tcPr>
            <w:tcW w:w="20" w:type="dxa"/>
            <w:vAlign w:val="bottom"/>
          </w:tcPr>
          <w:p>
            <w:pPr>
              <w:spacing w:after="0"/>
              <w:rPr>
                <w:sz w:val="9"/>
                <w:szCs w:val="9"/>
                <w:color w:val="auto"/>
              </w:rPr>
            </w:pPr>
          </w:p>
        </w:tc>
        <w:tc>
          <w:tcPr>
            <w:tcW w:w="9300" w:type="dxa"/>
            <w:vAlign w:val="bottom"/>
            <w:tcBorders>
              <w:bottom w:val="single" w:sz="8" w:color="FB4E0B"/>
            </w:tcBorders>
          </w:tcPr>
          <w:p>
            <w:pPr>
              <w:spacing w:after="0"/>
              <w:rPr>
                <w:sz w:val="9"/>
                <w:szCs w:val="9"/>
                <w:color w:val="auto"/>
              </w:rPr>
            </w:pPr>
          </w:p>
        </w:tc>
        <w:tc>
          <w:tcPr>
            <w:tcW w:w="700" w:type="dxa"/>
            <w:vAlign w:val="bottom"/>
            <w:tcBorders>
              <w:bottom w:val="single" w:sz="8" w:color="FB4E0B"/>
            </w:tcBorders>
          </w:tcPr>
          <w:p>
            <w:pPr>
              <w:spacing w:after="0"/>
              <w:rPr>
                <w:sz w:val="9"/>
                <w:szCs w:val="9"/>
                <w:color w:val="auto"/>
              </w:rPr>
            </w:pPr>
          </w:p>
        </w:tc>
        <w:tc>
          <w:tcPr>
            <w:tcW w:w="600" w:type="dxa"/>
            <w:vAlign w:val="bottom"/>
            <w:tcBorders>
              <w:bottom w:val="single" w:sz="8" w:color="FB4E0B"/>
            </w:tcBorders>
          </w:tcPr>
          <w:p>
            <w:pPr>
              <w:spacing w:after="0"/>
              <w:rPr>
                <w:sz w:val="9"/>
                <w:szCs w:val="9"/>
                <w:color w:val="auto"/>
              </w:rPr>
            </w:pPr>
          </w:p>
        </w:tc>
      </w:tr>
      <w:tr>
        <w:trPr>
          <w:trHeight w:val="614"/>
        </w:trPr>
        <w:tc>
          <w:tcPr>
            <w:tcW w:w="20" w:type="dxa"/>
            <w:vAlign w:val="bottom"/>
          </w:tcPr>
          <w:p>
            <w:pPr>
              <w:spacing w:after="0"/>
              <w:rPr>
                <w:sz w:val="24"/>
                <w:szCs w:val="24"/>
                <w:color w:val="auto"/>
              </w:rPr>
            </w:pPr>
          </w:p>
        </w:tc>
        <w:tc>
          <w:tcPr>
            <w:tcW w:w="9300" w:type="dxa"/>
            <w:vAlign w:val="bottom"/>
          </w:tcPr>
          <w:p>
            <w:pPr>
              <w:ind w:left="7820"/>
              <w:spacing w:after="0"/>
              <w:rPr>
                <w:sz w:val="20"/>
                <w:szCs w:val="20"/>
                <w:color w:val="auto"/>
              </w:rPr>
            </w:pPr>
            <w:r>
              <w:rPr>
                <w:rFonts w:ascii="Calibri" w:cs="Calibri" w:eastAsia="Calibri" w:hAnsi="Calibri"/>
                <w:sz w:val="13"/>
                <w:szCs w:val="13"/>
                <w:color w:val="auto"/>
              </w:rPr>
              <w:t>EXL 2023 Proxy Statement</w:t>
            </w:r>
          </w:p>
        </w:tc>
        <w:tc>
          <w:tcPr>
            <w:tcW w:w="700" w:type="dxa"/>
            <w:vAlign w:val="bottom"/>
          </w:tcPr>
          <w:p>
            <w:pPr>
              <w:jc w:val="right"/>
              <w:spacing w:after="0"/>
              <w:rPr>
                <w:sz w:val="20"/>
                <w:szCs w:val="20"/>
                <w:color w:val="auto"/>
              </w:rPr>
            </w:pPr>
            <w:r>
              <w:rPr>
                <w:rFonts w:ascii="Calibri" w:cs="Calibri" w:eastAsia="Calibri" w:hAnsi="Calibri"/>
                <w:sz w:val="28"/>
                <w:szCs w:val="28"/>
                <w:b w:val="1"/>
                <w:bCs w:val="1"/>
                <w:color w:val="FB4E0B"/>
              </w:rPr>
              <w:t>/</w:t>
            </w:r>
          </w:p>
        </w:tc>
        <w:tc>
          <w:tcPr>
            <w:tcW w:w="600" w:type="dxa"/>
            <w:vAlign w:val="bottom"/>
          </w:tcPr>
          <w:p>
            <w:pPr>
              <w:jc w:val="right"/>
              <w:ind w:right="116"/>
              <w:spacing w:after="0"/>
              <w:rPr>
                <w:sz w:val="20"/>
                <w:szCs w:val="20"/>
                <w:color w:val="auto"/>
              </w:rPr>
            </w:pPr>
            <w:r>
              <w:rPr>
                <w:rFonts w:ascii="Calibri" w:cs="Calibri" w:eastAsia="Calibri" w:hAnsi="Calibri"/>
                <w:sz w:val="17"/>
                <w:szCs w:val="17"/>
                <w:b w:val="1"/>
                <w:bCs w:val="1"/>
                <w:color w:val="auto"/>
              </w:rPr>
              <w:t>21</w:t>
            </w:r>
          </w:p>
        </w:tc>
      </w:tr>
    </w:tbl>
    <w:p>
      <w:pPr>
        <w:sectPr>
          <w:pgSz w:w="11900" w:h="16838" w:orient="portrait"/>
          <w:cols w:equalWidth="0" w:num="1">
            <w:col w:w="10940"/>
          </w:cols>
          <w:pgMar w:left="320" w:top="471"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nominees for electon at the Annual Meetng</w:t>
      </w:r>
    </w:p>
    <w:p>
      <w:pPr>
        <w:spacing w:after="0" w:line="114"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Upon the recommendaton of our Nominatng and Governance Commitee, we are pleased to propose seven of our existng directors as nominees for electon as directors at the Annual Meetng. As previously disclosed, two of our current directors, Ms. Minto and Mr. Ostler, will not be standing for re-electon at the Annual Meetng; the remaining seven directors are our director nominees at the Annual Meetng.</w:t>
      </w:r>
    </w:p>
    <w:p>
      <w:pPr>
        <w:spacing w:after="0" w:line="109"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The following tables provide a summary of our board compositon by age, gender, tenure and independence immediately afer our Annual Meetng (assuming the electon of all nominees).</w:t>
      </w:r>
    </w:p>
    <w:p>
      <w:pPr>
        <w:spacing w:after="0" w:line="59" w:lineRule="exact"/>
        <w:rPr>
          <w:sz w:val="20"/>
          <w:szCs w:val="20"/>
          <w:color w:val="auto"/>
        </w:rPr>
      </w:pPr>
    </w:p>
    <w:p>
      <w:pPr>
        <w:ind w:left="820"/>
        <w:spacing w:after="0"/>
        <w:tabs>
          <w:tab w:leader="none" w:pos="3180" w:val="left"/>
          <w:tab w:leader="none" w:pos="5660" w:val="left"/>
          <w:tab w:leader="none" w:pos="8320" w:val="left"/>
        </w:tabs>
        <w:rPr>
          <w:sz w:val="20"/>
          <w:szCs w:val="20"/>
          <w:color w:val="auto"/>
        </w:rPr>
      </w:pPr>
      <w:r>
        <w:rPr>
          <w:rFonts w:ascii="Calibri" w:cs="Calibri" w:eastAsia="Calibri" w:hAnsi="Calibri"/>
          <w:sz w:val="19"/>
          <w:szCs w:val="19"/>
          <w:b w:val="1"/>
          <w:bCs w:val="1"/>
          <w:color w:val="FB4E0B"/>
        </w:rPr>
        <w:t>Age distributon</w:t>
      </w:r>
      <w:r>
        <w:rPr>
          <w:sz w:val="20"/>
          <w:szCs w:val="20"/>
          <w:color w:val="auto"/>
        </w:rPr>
        <w:tab/>
      </w:r>
      <w:r>
        <w:rPr>
          <w:rFonts w:ascii="Calibri" w:cs="Calibri" w:eastAsia="Calibri" w:hAnsi="Calibri"/>
          <w:sz w:val="19"/>
          <w:szCs w:val="19"/>
          <w:b w:val="1"/>
          <w:bCs w:val="1"/>
          <w:color w:val="FB4E0B"/>
        </w:rPr>
        <w:t>Gender diversity</w:t>
      </w:r>
      <w:r>
        <w:rPr>
          <w:sz w:val="20"/>
          <w:szCs w:val="20"/>
          <w:color w:val="auto"/>
        </w:rPr>
        <w:tab/>
      </w:r>
      <w:r>
        <w:rPr>
          <w:rFonts w:ascii="Calibri" w:cs="Calibri" w:eastAsia="Calibri" w:hAnsi="Calibri"/>
          <w:sz w:val="19"/>
          <w:szCs w:val="19"/>
          <w:b w:val="1"/>
          <w:bCs w:val="1"/>
          <w:color w:val="FB4E0B"/>
        </w:rPr>
        <w:t>Board tenure</w:t>
      </w:r>
      <w:r>
        <w:rPr>
          <w:sz w:val="20"/>
          <w:szCs w:val="20"/>
          <w:color w:val="auto"/>
        </w:rPr>
        <w:tab/>
      </w:r>
      <w:r>
        <w:rPr>
          <w:rFonts w:ascii="Calibri" w:cs="Calibri" w:eastAsia="Calibri" w:hAnsi="Calibri"/>
          <w:sz w:val="19"/>
          <w:szCs w:val="19"/>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86360</wp:posOffset>
            </wp:positionV>
            <wp:extent cx="6154420" cy="1073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54420" cy="107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nominees for re-electon as directors at the Annual Meetng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6740525" cy="8591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0525" cy="859155"/>
                    </a:xfrm>
                    <a:prstGeom prst="rect">
                      <a:avLst/>
                    </a:prstGeom>
                    <a:noFill/>
                  </pic:spPr>
                </pic:pic>
              </a:graphicData>
            </a:graphic>
          </wp:anchor>
        </w:drawing>
      </w:r>
    </w:p>
    <w:p>
      <w:pPr>
        <w:sectPr>
          <w:pgSz w:w="11900" w:h="16838" w:orient="portrait"/>
          <w:cols w:equalWidth="0" w:num="1">
            <w:col w:w="10680"/>
          </w:cols>
          <w:pgMar w:left="320" w:top="4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Vikram Pandit</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Chairman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343535</wp:posOffset>
            </wp:positionV>
            <wp:extent cx="6740525" cy="801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Rohit Kapoor</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Vice Chairman and CEO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-1141730</wp:posOffset>
            </wp:positionH>
            <wp:positionV relativeFrom="paragraph">
              <wp:posOffset>426085</wp:posOffset>
            </wp:positionV>
            <wp:extent cx="661035" cy="6527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000000"/>
                        </a:clrFrom>
                        <a:clrTo>
                          <a:srgbClr val="000000">
                            <a:alpha val="0"/>
                          </a:srgbClr>
                        </a:clrTo>
                      </a:clrChange>
                      <a:extLst>
                        <a:ext uri="{28A0092B-C50C-407E-A947-70E740481C1C}"/>
                      </a:extLst>
                    </a:blip>
                    <a:srcRect/>
                    <a:stretch>
                      <a:fillRect/>
                    </a:stretch>
                  </pic:blipFill>
                  <pic:spPr bwMode="auto">
                    <a:xfrm>
                      <a:off x="0" y="0"/>
                      <a:ext cx="661035" cy="652780"/>
                    </a:xfrm>
                    <a:prstGeom prst="rect">
                      <a:avLst/>
                    </a:prstGeom>
                    <a:noFill/>
                  </pic:spPr>
                </pic:pic>
              </a:graphicData>
            </a:graphic>
          </wp:anchor>
        </w:drawing>
        <w:drawing>
          <wp:anchor simplePos="0" relativeHeight="251657728" behindDoc="1" locked="0" layoutInCell="0" allowOverlap="1">
            <wp:simplePos x="0" y="0"/>
            <wp:positionH relativeFrom="column">
              <wp:posOffset>-1141730</wp:posOffset>
            </wp:positionH>
            <wp:positionV relativeFrom="paragraph">
              <wp:posOffset>426085</wp:posOffset>
            </wp:positionV>
            <wp:extent cx="661035" cy="6527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61035" cy="652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140"/>
          </w:cols>
          <w:pgMar w:left="320" w:top="47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Andreas Fibig</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343535</wp:posOffset>
            </wp:positionV>
            <wp:extent cx="793115" cy="784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93115" cy="784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Som Mital</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327025</wp:posOffset>
            </wp:positionV>
            <wp:extent cx="6740525" cy="801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0525" cy="801370"/>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327025</wp:posOffset>
            </wp:positionV>
            <wp:extent cx="6740525" cy="801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140"/>
          </w:cols>
          <w:pgMar w:left="320" w:top="47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Kristy Pipes</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Independent Director and Chair of the Audit</w:t>
      </w:r>
    </w:p>
    <w:p>
      <w:pPr>
        <w:spacing w:after="0" w:line="11" w:lineRule="exact"/>
        <w:rPr>
          <w:sz w:val="20"/>
          <w:szCs w:val="20"/>
          <w:color w:val="auto"/>
        </w:rPr>
      </w:pPr>
    </w:p>
    <w:p>
      <w:pPr>
        <w:ind w:left="2140"/>
        <w:spacing w:after="0"/>
        <w:rPr>
          <w:sz w:val="20"/>
          <w:szCs w:val="20"/>
          <w:color w:val="auto"/>
        </w:rPr>
      </w:pPr>
      <w:r>
        <w:rPr>
          <w:rFonts w:ascii="Calibri" w:cs="Calibri" w:eastAsia="Calibri" w:hAnsi="Calibri"/>
          <w:sz w:val="17"/>
          <w:szCs w:val="17"/>
          <w:i w:val="1"/>
          <w:iCs w:val="1"/>
          <w:color w:val="auto"/>
        </w:rPr>
        <w:t>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254000</wp:posOffset>
            </wp:positionV>
            <wp:extent cx="6740525" cy="801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Nitn Sahney</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Independent Director and Chair of the</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Nominatng and Governance Commitee</w:t>
      </w:r>
    </w:p>
    <w:p>
      <w:pPr>
        <w:spacing w:after="0" w:line="200" w:lineRule="exact"/>
        <w:rPr>
          <w:sz w:val="20"/>
          <w:szCs w:val="20"/>
          <w:color w:val="auto"/>
        </w:rPr>
      </w:pPr>
    </w:p>
    <w:p>
      <w:pPr>
        <w:sectPr>
          <w:pgSz w:w="11900" w:h="16838" w:orient="portrait"/>
          <w:cols w:equalWidth="0" w:num="2">
            <w:col w:w="6820" w:space="720"/>
            <w:col w:w="3140"/>
          </w:cols>
          <w:pgMar w:left="320" w:top="471" w:right="89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Jaynie Studenmund</w:t>
      </w:r>
    </w:p>
    <w:p>
      <w:pPr>
        <w:spacing w:after="0" w:line="1" w:lineRule="exact"/>
        <w:rPr>
          <w:sz w:val="20"/>
          <w:szCs w:val="20"/>
          <w:color w:val="auto"/>
        </w:rPr>
      </w:pPr>
    </w:p>
    <w:p>
      <w:pPr>
        <w:ind w:left="2140"/>
        <w:spacing w:after="0"/>
        <w:rPr>
          <w:sz w:val="20"/>
          <w:szCs w:val="20"/>
          <w:color w:val="auto"/>
        </w:rPr>
      </w:pPr>
      <w:r>
        <w:rPr>
          <w:rFonts w:ascii="Calibri" w:cs="Calibri" w:eastAsia="Calibri" w:hAnsi="Calibri"/>
          <w:sz w:val="17"/>
          <w:szCs w:val="17"/>
          <w:i w:val="1"/>
          <w:iCs w:val="1"/>
          <w:color w:val="auto"/>
        </w:rPr>
        <w:t>Independent Director and Chair of the</w:t>
      </w:r>
    </w:p>
    <w:p>
      <w:pPr>
        <w:spacing w:after="0" w:line="1" w:lineRule="exact"/>
        <w:rPr>
          <w:sz w:val="20"/>
          <w:szCs w:val="20"/>
          <w:color w:val="auto"/>
        </w:rPr>
      </w:pPr>
    </w:p>
    <w:p>
      <w:pPr>
        <w:ind w:left="2140"/>
        <w:spacing w:after="0"/>
        <w:rPr>
          <w:sz w:val="20"/>
          <w:szCs w:val="20"/>
          <w:color w:val="auto"/>
        </w:rPr>
      </w:pPr>
      <w:r>
        <w:rPr>
          <w:rFonts w:ascii="Calibri" w:cs="Calibri" w:eastAsia="Calibri" w:hAnsi="Calibri"/>
          <w:sz w:val="17"/>
          <w:szCs w:val="17"/>
          <w:i w:val="1"/>
          <w:iCs w:val="1"/>
          <w:color w:val="auto"/>
        </w:rPr>
        <w:t>Compensaton and Talent Management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270510</wp:posOffset>
            </wp:positionV>
            <wp:extent cx="67405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believe that our director nominees and contnuing directors, individually and together as a whole, possess the requisite skills, experience and qualifcatons necessary to maintain an efectve board to serve the best interests of the Company and its stockholders described below under “Director qualifcatons” (see pages 34-35).</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22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680"/>
          </w:cols>
          <w:pgMar w:left="320" w:top="471" w:right="8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348"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The name, age (as of the date of this Proxy Statement), principal occupaton and other informaton, including the specifc experience, qualifcatons, atributes or skills that led to the conclusion that such person should serve as a director of the Company, with respect to each of the nominees are set forth below. There are no family relatonships among any of our directors or executve ofcers.</w:t>
      </w: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Nominees for electon at the Annual Meetng - Biographical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40525" cy="652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0525" cy="65278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Vikram S. Pandit</w:t>
      </w:r>
    </w:p>
    <w:p>
      <w:pPr>
        <w:spacing w:after="0" w:line="9" w:lineRule="exact"/>
        <w:rPr>
          <w:sz w:val="20"/>
          <w:szCs w:val="20"/>
          <w:color w:val="auto"/>
        </w:rPr>
      </w:pPr>
    </w:p>
    <w:p>
      <w:pPr>
        <w:ind w:left="440"/>
        <w:spacing w:after="0"/>
        <w:tabs>
          <w:tab w:leader="none" w:pos="2520" w:val="left"/>
          <w:tab w:leader="none" w:pos="2740" w:val="left"/>
          <w:tab w:leader="none" w:pos="9660" w:val="left"/>
        </w:tabs>
        <w:rPr>
          <w:sz w:val="20"/>
          <w:szCs w:val="20"/>
          <w:color w:val="auto"/>
        </w:rPr>
      </w:pPr>
      <w:r>
        <w:rPr>
          <w:rFonts w:ascii="Calibri" w:cs="Calibri" w:eastAsia="Calibri" w:hAnsi="Calibri"/>
          <w:sz w:val="17"/>
          <w:szCs w:val="17"/>
          <w:b w:val="1"/>
          <w:bCs w:val="1"/>
          <w:color w:val="auto"/>
        </w:rPr>
        <w:t>Director since October 2018</w:t>
        <w:tab/>
        <w:t>|</w:t>
        <w:tab/>
        <w:t>Chairman of the Board since 2022</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262255</wp:posOffset>
            </wp:positionV>
            <wp:extent cx="1164590" cy="1164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80"/>
        <w:spacing w:after="0"/>
        <w:rPr>
          <w:sz w:val="20"/>
          <w:szCs w:val="20"/>
          <w:color w:val="auto"/>
        </w:rPr>
      </w:pPr>
      <w:r>
        <w:rPr>
          <w:rFonts w:ascii="Calibri" w:cs="Calibri" w:eastAsia="Calibri" w:hAnsi="Calibri"/>
          <w:sz w:val="9"/>
          <w:szCs w:val="9"/>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17145</wp:posOffset>
            </wp:positionV>
            <wp:extent cx="231140"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1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and accountng</w:t>
      </w:r>
    </w:p>
    <w:p>
      <w:pPr>
        <w:spacing w:after="0" w:line="13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47650" cy="2311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jc w:val="center"/>
        <w:ind w:left="1300"/>
        <w:spacing w:after="0"/>
        <w:rPr>
          <w:sz w:val="20"/>
          <w:szCs w:val="20"/>
          <w:color w:val="auto"/>
        </w:rPr>
      </w:pPr>
      <w:r>
        <w:rPr>
          <w:rFonts w:ascii="Calibri" w:cs="Calibri" w:eastAsia="Calibri" w:hAnsi="Calibri"/>
          <w:sz w:val="10"/>
          <w:szCs w:val="10"/>
          <w:color w:val="auto"/>
        </w:rPr>
        <w:t>(within the last 5 years)</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-72390</wp:posOffset>
            </wp:positionV>
            <wp:extent cx="132080"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governance</w:t>
      </w:r>
    </w:p>
    <w:p>
      <w:pPr>
        <w:spacing w:after="0" w:line="229"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255905" cy="165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30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42"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Digital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9395"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and solutons</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31140" cy="2311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1140" cy="206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Age: 66 — is Chairman and Chief Executve Ofcer of The Orogen Group, which makes signifcant long-term strategic investments in fnancial services companies and related businesses. Mr. Pandit’s business experience and directorships are detailed below. The Company has concluded, based in part on Mr. Pandit’s more than 30 years of experience in the fnancial services industry, including his experience as Chief Executve Ofcer, and a member of the board of directors, of Citgroup Inc. (NYSE: C), that Mr. Pandit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38" w:lineRule="exact"/>
        <w:rPr>
          <w:sz w:val="20"/>
          <w:szCs w:val="20"/>
          <w:color w:val="auto"/>
        </w:rPr>
      </w:pPr>
    </w:p>
    <w:p>
      <w:pPr>
        <w:ind w:left="320" w:right="1940"/>
        <w:spacing w:after="0" w:line="233" w:lineRule="auto"/>
        <w:rPr>
          <w:sz w:val="20"/>
          <w:szCs w:val="20"/>
          <w:color w:val="auto"/>
        </w:rPr>
      </w:pPr>
      <w:r>
        <w:rPr>
          <w:rFonts w:ascii="Calibri" w:cs="Calibri" w:eastAsia="Calibri" w:hAnsi="Calibri"/>
          <w:sz w:val="16"/>
          <w:szCs w:val="16"/>
          <w:color w:val="auto"/>
        </w:rPr>
        <w:t>•    Compensaton and Talent Management (from March 2023); Nominatng and Governance •    Audit* (through February 2023)</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and Chief Executve Ofcer, The Orogen Group LLC (July 2016 -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TGG Group (February 2014 - June 2016)</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Chief Executve Ofcer, Citgroup Inc. (December 2007 - October 2012)</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and member of the nominatng and governance and fnance commitees, Virtusa Corporaton (NASDAQ:</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VRTU) (2017 - 2021)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w w:val="98"/>
              </w:rPr>
              <w:t>   Lead Independent Director, chair of the human resources and compensaton commitee and member of the corporate</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governance and nominatng commitee, former member of the audit commitee, Bombardier Inc. (TSX: BBD) (2014 -</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2021)</w:t>
            </w:r>
          </w:p>
        </w:tc>
      </w:tr>
      <w:tr>
        <w:trPr>
          <w:trHeight w:val="329"/>
        </w:trPr>
        <w:tc>
          <w:tcPr>
            <w:tcW w:w="8180" w:type="dxa"/>
            <w:vAlign w:val="bottom"/>
            <w:gridSpan w:val="2"/>
          </w:tcPr>
          <w:p>
            <w:pPr>
              <w:spacing w:after="0"/>
              <w:rPr>
                <w:sz w:val="20"/>
                <w:szCs w:val="20"/>
                <w:color w:val="auto"/>
              </w:rPr>
            </w:pPr>
            <w:r>
              <w:rPr>
                <w:rFonts w:ascii="Calibri" w:cs="Calibri" w:eastAsia="Calibri" w:hAnsi="Calibri"/>
                <w:sz w:val="17"/>
                <w:szCs w:val="17"/>
                <w:b w:val="1"/>
                <w:bCs w:val="1"/>
                <w:color w:val="auto"/>
              </w:rPr>
              <w:t>Other relevant experience</w:t>
            </w:r>
          </w:p>
        </w:tc>
      </w:tr>
      <w:tr>
        <w:trPr>
          <w:trHeight w:val="23"/>
        </w:trPr>
        <w:tc>
          <w:tcPr>
            <w:tcW w:w="48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8"/>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Citgroup Inc. (December 2007 - October 2012)</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Fair Square Financial Holdings (2017 - 2021)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Westcor Land Title Insurance Company (2020 -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Chairman, JM Financial Credit Solutons Ltd. (2014 -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Member of the Board of Overseers of Columbia Business School</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Member of the Board of Visitors of Columbia School of Engineering and Applied Science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380365</wp:posOffset>
            </wp:positionV>
            <wp:extent cx="674052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480"/>
            <w:col w:w="8180"/>
          </w:cols>
          <w:pgMar w:left="320" w:top="471" w:right="6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293"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23</w:t>
      </w:r>
    </w:p>
    <w:p>
      <w:pPr>
        <w:sectPr>
          <w:pgSz w:w="11900" w:h="16838" w:orient="portrait"/>
          <w:cols w:equalWidth="0" w:num="1">
            <w:col w:w="10940"/>
          </w:cols>
          <w:pgMar w:left="320" w:top="471" w:right="6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76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Rohit Kapoor</w:t>
      </w:r>
    </w:p>
    <w:p>
      <w:pPr>
        <w:spacing w:after="0" w:line="9" w:lineRule="exact"/>
        <w:rPr>
          <w:sz w:val="20"/>
          <w:szCs w:val="20"/>
          <w:color w:val="auto"/>
        </w:rPr>
      </w:pPr>
    </w:p>
    <w:p>
      <w:pPr>
        <w:ind w:left="440"/>
        <w:spacing w:after="0"/>
        <w:tabs>
          <w:tab w:leader="none" w:pos="2680" w:val="left"/>
          <w:tab w:leader="none" w:pos="2920" w:val="left"/>
          <w:tab w:leader="none" w:pos="9320" w:val="left"/>
        </w:tabs>
        <w:rPr>
          <w:sz w:val="20"/>
          <w:szCs w:val="20"/>
          <w:color w:val="auto"/>
        </w:rPr>
      </w:pPr>
      <w:r>
        <w:rPr>
          <w:rFonts w:ascii="Calibri" w:cs="Calibri" w:eastAsia="Calibri" w:hAnsi="Calibri"/>
          <w:sz w:val="17"/>
          <w:szCs w:val="17"/>
          <w:b w:val="1"/>
          <w:bCs w:val="1"/>
          <w:color w:val="auto"/>
        </w:rPr>
        <w:t>Director since November 2002</w:t>
        <w:tab/>
        <w:t>|</w:t>
        <w:tab/>
        <w:t>Vice Chairman and CEO since April 2012</w:t>
      </w:r>
      <w:r>
        <w:rPr>
          <w:sz w:val="20"/>
          <w:szCs w:val="20"/>
          <w:color w:val="auto"/>
        </w:rPr>
        <w:tab/>
      </w:r>
      <w:r>
        <w:rPr>
          <w:rFonts w:ascii="Calibri" w:cs="Calibri" w:eastAsia="Calibri" w:hAnsi="Calibri"/>
          <w:sz w:val="16"/>
          <w:szCs w:val="16"/>
          <w:b w:val="1"/>
          <w:bCs w:val="1"/>
          <w:color w:val="FB4E0B"/>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427990</wp:posOffset>
            </wp:positionV>
            <wp:extent cx="1404620" cy="17183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2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116840</wp:posOffset>
            </wp:positionV>
            <wp:extent cx="231140" cy="2311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96"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and accountng</w:t>
      </w:r>
    </w:p>
    <w:p>
      <w:pPr>
        <w:spacing w:after="0" w:line="125"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-55880</wp:posOffset>
            </wp:positionV>
            <wp:extent cx="247650" cy="231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2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59055</wp:posOffset>
            </wp:positionV>
            <wp:extent cx="132080" cy="206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44"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50800</wp:posOffset>
            </wp:positionV>
            <wp:extent cx="255905" cy="165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1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100330</wp:posOffset>
            </wp:positionV>
            <wp:extent cx="21463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35"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125095</wp:posOffset>
            </wp:positionV>
            <wp:extent cx="239395"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87"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141605</wp:posOffset>
            </wp:positionV>
            <wp:extent cx="239395" cy="239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313"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141605</wp:posOffset>
            </wp:positionV>
            <wp:extent cx="231140"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35"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100330</wp:posOffset>
            </wp:positionV>
            <wp:extent cx="231140" cy="214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83"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100330</wp:posOffset>
            </wp:positionV>
            <wp:extent cx="231140" cy="206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4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Mergers and 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rPr>
          <w:sz w:val="20"/>
          <w:szCs w:val="20"/>
          <w:color w:val="auto"/>
        </w:rPr>
      </w:pPr>
      <w:r>
        <w:rPr>
          <w:rFonts w:ascii="Calibri" w:cs="Calibri" w:eastAsia="Calibri" w:hAnsi="Calibri"/>
          <w:sz w:val="17"/>
          <w:szCs w:val="17"/>
          <w:color w:val="auto"/>
        </w:rPr>
        <w:t>Age: 58 — co-founded EXL in April 1999 and has served as our Vice Chairman and CEO since April 2012 and as a director since November 2002. He previously served as our President and CEO from May 2008 to March 2012. Mr. Kapoor’s business experience and directorships are detailed below. The Company has concluded that, in connecton with Mr. Kapoor’s experience as a founder and current role as CEO of the Company, Mr. Kapoor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 N/A</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Vice Chairman and CEO (2012 - present)</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(2008 - 2012)</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Various senior leadership roles, including CFO and COO (2000 - 2008)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business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 w:type="dxa"/>
            <w:vAlign w:val="bottom"/>
            <w:tcBorders>
              <w:top w:val="single" w:sz="8" w:color="auto"/>
            </w:tcBorders>
          </w:tcPr>
          <w:p>
            <w:pPr>
              <w:ind w:left="320"/>
              <w:spacing w:after="0"/>
              <w:rPr>
                <w:sz w:val="20"/>
                <w:szCs w:val="20"/>
                <w:color w:val="auto"/>
              </w:rPr>
            </w:pPr>
            <w:r>
              <w:rPr>
                <w:rFonts w:ascii="Calibri" w:cs="Calibri" w:eastAsia="Calibri" w:hAnsi="Calibri"/>
                <w:sz w:val="14"/>
                <w:szCs w:val="14"/>
                <w:color w:val="auto"/>
                <w:w w:val="76"/>
              </w:rPr>
              <w:t>• </w:t>
            </w:r>
          </w:p>
        </w:tc>
        <w:tc>
          <w:tcPr>
            <w:tcW w:w="736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Business head, Deutsche Bank, a fnancial services provider (1999 - 2000)</w:t>
            </w:r>
          </w:p>
        </w:tc>
      </w:tr>
      <w:tr>
        <w:trPr>
          <w:trHeight w:val="295"/>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360" w:type="dxa"/>
            <w:vAlign w:val="bottom"/>
          </w:tcPr>
          <w:p>
            <w:pPr>
              <w:ind w:left="60"/>
              <w:spacing w:after="0"/>
              <w:rPr>
                <w:sz w:val="20"/>
                <w:szCs w:val="20"/>
                <w:color w:val="auto"/>
              </w:rPr>
            </w:pPr>
            <w:r>
              <w:rPr>
                <w:rFonts w:ascii="Calibri" w:cs="Calibri" w:eastAsia="Calibri" w:hAnsi="Calibri"/>
                <w:sz w:val="16"/>
                <w:szCs w:val="16"/>
                <w:color w:val="auto"/>
              </w:rPr>
              <w:t>  Various capacites at Bank of America in the United States and Asia, including India (1991 - 1999)</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4" w:lineRule="exact"/>
        <w:rPr>
          <w:sz w:val="20"/>
          <w:szCs w:val="20"/>
          <w:color w:val="auto"/>
        </w:rPr>
      </w:pPr>
    </w:p>
    <w:p>
      <w:pPr>
        <w:ind w:left="560" w:right="180" w:hanging="311"/>
        <w:spacing w:after="0" w:line="233" w:lineRule="auto"/>
        <w:tabs>
          <w:tab w:leader="none" w:pos="540" w:val="left"/>
        </w:tabs>
        <w:rPr>
          <w:sz w:val="20"/>
          <w:szCs w:val="20"/>
          <w:color w:val="auto"/>
        </w:rPr>
      </w:pPr>
      <w:r>
        <w:rPr>
          <w:rFonts w:ascii="Calibri" w:cs="Calibri" w:eastAsia="Calibri" w:hAnsi="Calibri"/>
          <w:sz w:val="16"/>
          <w:szCs w:val="16"/>
          <w:color w:val="auto"/>
        </w:rPr>
        <w:t>• </w:t>
        <w:tab/>
        <w:t>  Lead independent director, director and member of the audit commitee, CA Technologies, Inc. (NASDAQ: CA), a sofware services company (2011 - 2018)</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American India Foundaton (AIF)</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Pratham (Tristate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1438275</wp:posOffset>
            </wp:positionV>
            <wp:extent cx="674052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124" w:lineRule="exact"/>
        <w:rPr>
          <w:sz w:val="20"/>
          <w:szCs w:val="20"/>
          <w:color w:val="auto"/>
        </w:rPr>
      </w:pPr>
    </w:p>
    <w:p>
      <w:pPr>
        <w:sectPr>
          <w:pgSz w:w="11900" w:h="16838" w:orient="portrait"/>
          <w:cols w:equalWidth="0" w:num="2">
            <w:col w:w="2560" w:space="520"/>
            <w:col w:w="7860"/>
          </w:cols>
          <w:pgMar w:left="320" w:top="471" w:right="639" w:bottom="1440" w:gutter="0" w:footer="0" w:header="0"/>
          <w:type w:val="continuous"/>
        </w:sectPr>
      </w:pPr>
    </w:p>
    <w:p>
      <w:pPr>
        <w:spacing w:after="0" w:line="30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24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76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Andreas Fibig</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January 2023</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1164590" cy="1164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00"/>
        <w:spacing w:after="0"/>
        <w:rPr>
          <w:sz w:val="20"/>
          <w:szCs w:val="20"/>
          <w:color w:val="auto"/>
        </w:rPr>
      </w:pPr>
      <w:r>
        <w:rPr>
          <w:rFonts w:ascii="Calibri" w:cs="Calibri" w:eastAsia="Calibri" w:hAnsi="Calibri"/>
          <w:sz w:val="10"/>
          <w:szCs w:val="10"/>
          <w:b w:val="1"/>
          <w:bCs w:val="1"/>
          <w:color w:val="auto"/>
        </w:rPr>
        <w:t>SKILLS</w:t>
      </w:r>
    </w:p>
    <w:p>
      <w:pPr>
        <w:spacing w:after="0" w:line="164"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-64135</wp:posOffset>
            </wp:positionV>
            <wp:extent cx="247650" cy="2311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50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jc w:val="center"/>
        <w:ind w:left="150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67310</wp:posOffset>
            </wp:positionV>
            <wp:extent cx="132080" cy="2063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83"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59055</wp:posOffset>
            </wp:positionV>
            <wp:extent cx="21463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1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92075</wp:posOffset>
            </wp:positionV>
            <wp:extent cx="239395" cy="239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61"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149860</wp:posOffset>
            </wp:positionV>
            <wp:extent cx="231140" cy="2311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74"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108585</wp:posOffset>
            </wp:positionV>
            <wp:extent cx="231140" cy="198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74"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141605</wp:posOffset>
            </wp:positionV>
            <wp:extent cx="231140" cy="206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61"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40"/>
        <w:spacing w:after="0" w:line="260" w:lineRule="auto"/>
        <w:rPr>
          <w:sz w:val="20"/>
          <w:szCs w:val="20"/>
          <w:color w:val="auto"/>
        </w:rPr>
      </w:pPr>
      <w:r>
        <w:rPr>
          <w:rFonts w:ascii="Calibri" w:cs="Calibri" w:eastAsia="Calibri" w:hAnsi="Calibri"/>
          <w:sz w:val="16"/>
          <w:szCs w:val="16"/>
          <w:color w:val="auto"/>
        </w:rPr>
        <w:t>Age: 61 — is a leader in the biosciences, healthcare and pharmaceutcal industries. Mr. Fibig’s business experience and directorships are detailed below. The Company has concluded, based in part on Mr. Fibig’s experience as Chairman and CEO of Internatonal Flavors &amp; Fragrance, Inc. and his expertse from over 25 years in the biosciences, healthcare and the pharmaceutcal industries, as well as in ESG, that Mr. Fibig should serve as a director.</w:t>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9"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tab/>
        <w:t>  Audit Commitee; Nominatng and Governance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055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055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54"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and Chief Executve Ofcer, Internatonal Flavors &amp; Fragrances, Inc., a food ingredients, beverage, scent,</w:t>
      </w:r>
    </w:p>
    <w:p>
      <w:pPr>
        <w:ind w:left="620"/>
        <w:spacing w:after="0"/>
        <w:rPr>
          <w:sz w:val="20"/>
          <w:szCs w:val="20"/>
          <w:color w:val="auto"/>
        </w:rPr>
      </w:pPr>
      <w:r>
        <w:rPr>
          <w:rFonts w:ascii="Calibri" w:cs="Calibri" w:eastAsia="Calibri" w:hAnsi="Calibri"/>
          <w:sz w:val="16"/>
          <w:szCs w:val="16"/>
          <w:color w:val="auto"/>
        </w:rPr>
        <w:t>healthcare and biosciences company (2014 - 2022)</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Chairman of the Board of Management, Bayer Healthcare Pharmaceutcals, LLC a global</w:t>
      </w:r>
    </w:p>
    <w:p>
      <w:pPr>
        <w:ind w:left="620"/>
        <w:spacing w:after="0"/>
        <w:rPr>
          <w:sz w:val="20"/>
          <w:szCs w:val="20"/>
          <w:color w:val="auto"/>
        </w:rPr>
      </w:pPr>
      <w:r>
        <w:rPr>
          <w:rFonts w:ascii="Calibri" w:cs="Calibri" w:eastAsia="Calibri" w:hAnsi="Calibri"/>
          <w:sz w:val="16"/>
          <w:szCs w:val="16"/>
          <w:color w:val="auto"/>
        </w:rPr>
        <w:t>pharmaceutcal company (2008 - 2014)</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Senior Vice President/General Manager and various leadership positons, Pfzer, Inc., a multnatonal pharmaceutcal</w:t>
      </w:r>
    </w:p>
    <w:p>
      <w:pPr>
        <w:ind w:left="620"/>
        <w:spacing w:after="0"/>
        <w:rPr>
          <w:sz w:val="20"/>
          <w:szCs w:val="20"/>
          <w:color w:val="auto"/>
        </w:rPr>
      </w:pPr>
      <w:r>
        <w:rPr>
          <w:rFonts w:ascii="Calibri" w:cs="Calibri" w:eastAsia="Calibri" w:hAnsi="Calibri"/>
          <w:sz w:val="16"/>
          <w:szCs w:val="16"/>
          <w:color w:val="auto"/>
        </w:rPr>
        <w:t>and biotechnology company (2000 - 2008))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055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54"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Internatonal Flavors &amp; Fragrances, Inc. (2011 - 2022, Chairman from 2014 - 2022)</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Independent director and member of the research and development commitee, former member of the audit</w:t>
      </w:r>
    </w:p>
    <w:p>
      <w:pPr>
        <w:ind w:left="620"/>
        <w:spacing w:after="0"/>
        <w:rPr>
          <w:sz w:val="20"/>
          <w:szCs w:val="20"/>
          <w:color w:val="auto"/>
        </w:rPr>
      </w:pPr>
      <w:r>
        <w:rPr>
          <w:rFonts w:ascii="Calibri" w:cs="Calibri" w:eastAsia="Calibri" w:hAnsi="Calibri"/>
          <w:sz w:val="16"/>
          <w:szCs w:val="16"/>
          <w:color w:val="auto"/>
        </w:rPr>
        <w:t>commitee, Novo-Nordisk A/S (NYSE: NVO), a global healthcare company (2018 - present)</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Independent director and member of the audit commitee and fnance and risk policy commitee, Bunge Limited</w:t>
      </w:r>
    </w:p>
    <w:p>
      <w:pPr>
        <w:ind w:left="620"/>
        <w:spacing w:after="0"/>
        <w:rPr>
          <w:sz w:val="20"/>
          <w:szCs w:val="20"/>
          <w:color w:val="auto"/>
        </w:rPr>
      </w:pPr>
      <w:r>
        <w:rPr>
          <w:rFonts w:ascii="Calibri" w:cs="Calibri" w:eastAsia="Calibri" w:hAnsi="Calibri"/>
          <w:sz w:val="16"/>
          <w:szCs w:val="16"/>
          <w:color w:val="auto"/>
        </w:rPr>
        <w:t>(NYSE: BG), a global agribusiness and food company (2016 - 2018)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5055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55870" cy="8255"/>
                    </a:xfrm>
                    <a:prstGeom prst="rect">
                      <a:avLst/>
                    </a:prstGeom>
                    <a:noFill/>
                  </pic:spPr>
                </pic:pic>
              </a:graphicData>
            </a:graphic>
          </wp:anchor>
        </w:drawing>
      </w:r>
    </w:p>
    <w:p>
      <w:pPr>
        <w:spacing w:after="0" w:line="54"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Indigo Agriculture, an agricultural technology company (2022 - present)</w:t>
      </w:r>
    </w:p>
    <w:p>
      <w:pPr>
        <w:spacing w:after="0" w:line="117" w:lineRule="exact"/>
        <w:rPr>
          <w:sz w:val="20"/>
          <w:szCs w:val="20"/>
          <w:color w:val="auto"/>
        </w:rPr>
      </w:pPr>
    </w:p>
    <w:p>
      <w:pPr>
        <w:ind w:left="30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EvodiaBio, a bioindustrial aroma company (2022 -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58420</wp:posOffset>
            </wp:positionV>
            <wp:extent cx="674052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500"/>
            <w:col w:w="7960"/>
          </w:cols>
          <w:pgMar w:left="320" w:top="471" w:right="639" w:bottom="1440" w:gutter="0" w:footer="0" w:header="0"/>
          <w:type w:val="continuous"/>
        </w:sectPr>
      </w:pPr>
    </w:p>
    <w:p>
      <w:pPr>
        <w:spacing w:after="0" w:line="321"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25</w:t>
      </w:r>
    </w:p>
    <w:p>
      <w:pPr>
        <w:sectPr>
          <w:pgSz w:w="11900" w:h="16838" w:orient="portrait"/>
          <w:cols w:equalWidth="0" w:num="1">
            <w:col w:w="10940"/>
          </w:cols>
          <w:pgMar w:left="320" w:top="471" w:right="6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84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052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Som Mital</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December 2013</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196215</wp:posOffset>
            </wp:positionV>
            <wp:extent cx="1164590" cy="1164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30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9525</wp:posOffset>
            </wp:positionV>
            <wp:extent cx="231140" cy="231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4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and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83820</wp:posOffset>
            </wp:positionV>
            <wp:extent cx="24765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100330</wp:posOffset>
            </wp:positionV>
            <wp:extent cx="132080"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7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100330</wp:posOffset>
            </wp:positionV>
            <wp:extent cx="21463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92075</wp:posOffset>
            </wp:positionV>
            <wp:extent cx="239395"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157" w:lineRule="exact"/>
        <w:rPr>
          <w:sz w:val="20"/>
          <w:szCs w:val="20"/>
          <w:color w:val="auto"/>
        </w:rPr>
      </w:pPr>
    </w:p>
    <w:p>
      <w:pPr>
        <w:ind w:left="1300"/>
        <w:spacing w:after="0" w:line="259" w:lineRule="auto"/>
        <w:rPr>
          <w:sz w:val="20"/>
          <w:szCs w:val="20"/>
          <w:color w:val="auto"/>
        </w:rPr>
      </w:pPr>
      <w:r>
        <w:rPr>
          <w:rFonts w:ascii="Calibri" w:cs="Calibri" w:eastAsia="Calibri" w:hAnsi="Calibri"/>
          <w:sz w:val="10"/>
          <w:szCs w:val="10"/>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76835</wp:posOffset>
            </wp:positionV>
            <wp:extent cx="231140" cy="2311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33"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100330</wp:posOffset>
            </wp:positionV>
            <wp:extent cx="23114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92075</wp:posOffset>
            </wp:positionV>
            <wp:extent cx="206375"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Informaton and</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83820</wp:posOffset>
            </wp:positionV>
            <wp:extent cx="231140" cy="198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96"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71 — has held various corporate leadership roles in the IT industry since 1989 and also has extensive experience in the engineering and automotve sectors. His business experience and directorships are detailed below. The Company has concluded, based in part on Mr. Mital’s business experience as President of NASSCOM, his knowledge of the global outsourcing industry and his expertse in corporate sustainability and responsibility, that Mr. Mital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9"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Compensaton and Talent Management, Nominatng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52539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5399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w w:val="97"/>
              </w:rPr>
              <w:t>  Chairman and President, NASSCOM, a trade body for the IT and business process management industries in India (2008 -</w:t>
            </w:r>
          </w:p>
        </w:tc>
      </w:tr>
      <w:tr>
        <w:trPr>
          <w:trHeight w:val="185"/>
        </w:trPr>
        <w:tc>
          <w:tcPr>
            <w:tcW w:w="480" w:type="dxa"/>
            <w:vAlign w:val="bottom"/>
          </w:tcPr>
          <w:p>
            <w:pPr>
              <w:spacing w:after="0"/>
              <w:rPr>
                <w:sz w:val="16"/>
                <w:szCs w:val="16"/>
                <w:color w:val="auto"/>
              </w:rPr>
            </w:pPr>
          </w:p>
        </w:tc>
        <w:tc>
          <w:tcPr>
            <w:tcW w:w="7800" w:type="dxa"/>
            <w:vAlign w:val="bottom"/>
          </w:tcPr>
          <w:p>
            <w:pPr>
              <w:jc w:val="right"/>
              <w:ind w:right="7222"/>
              <w:spacing w:after="0" w:line="185" w:lineRule="exact"/>
              <w:rPr>
                <w:sz w:val="20"/>
                <w:szCs w:val="20"/>
                <w:color w:val="auto"/>
              </w:rPr>
            </w:pPr>
            <w:r>
              <w:rPr>
                <w:rFonts w:ascii="Calibri" w:cs="Calibri" w:eastAsia="Calibri" w:hAnsi="Calibri"/>
                <w:sz w:val="16"/>
                <w:szCs w:val="16"/>
                <w:color w:val="auto"/>
              </w:rPr>
              <w:t>2014)</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Prior leadership roles at Wipro, Digital, Compaq and HP</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Prior executve roles at Larsen and Toubro, Escorts and Denso</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Director, Sasken Technologies Limited (NSE: SASKEN), a telecommunicatons company (2022 - present)</w:t>
            </w:r>
          </w:p>
        </w:tc>
      </w:tr>
      <w:tr>
        <w:trPr>
          <w:trHeight w:val="2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member of clinical quality and innovaton commitee, Apollo Hospitals Enterprise Limited (NSE:</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APOLLOHOSP), a healthcare services provider (2021 -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chairman of audit commitee, Sheela Foam Ltd. (NSE: SFL), a manufacturing company (2016 -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member of audit and risk management commitee, Cyient Ltd. (NSE: CYIENT), an engineering design</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services company (2014 - 2022)</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chairman of customer service commitee and IT strategy commitee, member of nominaton and</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remuneraton commitee and other commitees, Axis Bank, Ltd. (NSE: Axis), a fnancial services company (2011 - 2019)</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directorships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rPr>
              <w:t>  Director, Tata SIA Airlines, Ltd., an Indian airline joint venture between TATA and Singapore Airlines with Indian and</w:t>
            </w:r>
          </w:p>
        </w:tc>
      </w:tr>
      <w:tr>
        <w:trPr>
          <w:trHeight w:val="185"/>
        </w:trPr>
        <w:tc>
          <w:tcPr>
            <w:tcW w:w="480" w:type="dxa"/>
            <w:vAlign w:val="bottom"/>
          </w:tcPr>
          <w:p>
            <w:pPr>
              <w:spacing w:after="0"/>
              <w:rPr>
                <w:sz w:val="16"/>
                <w:szCs w:val="16"/>
                <w:color w:val="auto"/>
              </w:rPr>
            </w:pPr>
          </w:p>
        </w:tc>
        <w:tc>
          <w:tcPr>
            <w:tcW w:w="7800" w:type="dxa"/>
            <w:vAlign w:val="bottom"/>
          </w:tcPr>
          <w:p>
            <w:pPr>
              <w:ind w:left="140"/>
              <w:spacing w:after="0" w:line="185" w:lineRule="exact"/>
              <w:rPr>
                <w:sz w:val="20"/>
                <w:szCs w:val="20"/>
                <w:color w:val="auto"/>
              </w:rPr>
            </w:pPr>
            <w:r>
              <w:rPr>
                <w:rFonts w:ascii="Calibri" w:cs="Calibri" w:eastAsia="Calibri" w:hAnsi="Calibri"/>
                <w:sz w:val="16"/>
                <w:szCs w:val="16"/>
                <w:color w:val="auto"/>
              </w:rPr>
              <w:t>internatonal operatons (2015 -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Non executve Independent Director and Chairman, Vodafone India Services India Pvt Ltd., an Indian shared services</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w w:val="98"/>
              </w:rPr>
              <w:t>company that is wholly owned, operated and controlled by Vodafone Group Plc (“Vodafone”) and provides informaton</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technology and networks services, among others, to Vodafone (2020 - present)</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Former member, Board of Governors, Indian Insttute of Corporate Afairs</w:t>
            </w:r>
          </w:p>
        </w:tc>
      </w:tr>
      <w:tr>
        <w:trPr>
          <w:trHeight w:val="2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Former Commitee Member, Indian Prime Minister’s Natonal e-Governance Program</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w w:val="98"/>
              </w:rPr>
              <w:t>  Member of the governing body of Axis Bank Foundaton, a non-proft organizaton, and member of board of governors of</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academic insttutons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314325</wp:posOffset>
            </wp:positionV>
            <wp:extent cx="674052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440"/>
            <w:col w:w="828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26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76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Kristy Pipes</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January 2021</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262255</wp:posOffset>
            </wp:positionV>
            <wp:extent cx="1164590" cy="1164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hanging="144"/>
        <w:spacing w:after="0"/>
        <w:tabs>
          <w:tab w:leader="none" w:pos="460"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    </w:t>
      </w:r>
    </w:p>
    <w:p>
      <w:pPr>
        <w:spacing w:after="0" w:line="200" w:lineRule="exact"/>
        <w:rPr>
          <w:rFonts w:ascii="Calibri" w:cs="Calibri" w:eastAsia="Calibri" w:hAnsi="Calibri"/>
          <w:sz w:val="10"/>
          <w:szCs w:val="10"/>
          <w:color w:val="auto"/>
        </w:rPr>
      </w:pPr>
    </w:p>
    <w:p>
      <w:pPr>
        <w:spacing w:after="0" w:line="200" w:lineRule="exact"/>
        <w:rPr>
          <w:rFonts w:ascii="Calibri" w:cs="Calibri" w:eastAsia="Calibri" w:hAnsi="Calibri"/>
          <w:sz w:val="10"/>
          <w:szCs w:val="10"/>
          <w:color w:val="auto"/>
        </w:rPr>
      </w:pPr>
    </w:p>
    <w:p>
      <w:pPr>
        <w:spacing w:after="0" w:line="200" w:lineRule="exact"/>
        <w:rPr>
          <w:rFonts w:ascii="Calibri" w:cs="Calibri" w:eastAsia="Calibri" w:hAnsi="Calibri"/>
          <w:sz w:val="10"/>
          <w:szCs w:val="10"/>
          <w:color w:val="auto"/>
        </w:rPr>
      </w:pPr>
    </w:p>
    <w:p>
      <w:pPr>
        <w:spacing w:after="0" w:line="292" w:lineRule="exact"/>
        <w:rPr>
          <w:rFonts w:ascii="Calibri" w:cs="Calibri" w:eastAsia="Calibri" w:hAnsi="Calibri"/>
          <w:sz w:val="10"/>
          <w:szCs w:val="10"/>
          <w:color w:val="auto"/>
        </w:rPr>
      </w:pPr>
    </w:p>
    <w:p>
      <w:pPr>
        <w:ind w:left="460" w:hanging="144"/>
        <w:spacing w:after="0"/>
        <w:tabs>
          <w:tab w:leader="none" w:pos="460"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    </w:t>
      </w:r>
    </w:p>
    <w:p>
      <w:pPr>
        <w:spacing w:after="0" w:line="200" w:lineRule="exact"/>
        <w:rPr>
          <w:rFonts w:ascii="Calibri" w:cs="Calibri" w:eastAsia="Calibri" w:hAnsi="Calibri"/>
          <w:sz w:val="10"/>
          <w:szCs w:val="10"/>
          <w:color w:val="auto"/>
        </w:rPr>
      </w:pPr>
    </w:p>
    <w:p>
      <w:pPr>
        <w:spacing w:after="0" w:line="250" w:lineRule="exact"/>
        <w:rPr>
          <w:rFonts w:ascii="Calibri" w:cs="Calibri" w:eastAsia="Calibri" w:hAnsi="Calibri"/>
          <w:sz w:val="10"/>
          <w:szCs w:val="10"/>
          <w:color w:val="auto"/>
        </w:rPr>
      </w:pPr>
    </w:p>
    <w:p>
      <w:pPr>
        <w:ind w:left="460" w:hanging="144"/>
        <w:spacing w:after="0"/>
        <w:tabs>
          <w:tab w:leader="none" w:pos="460"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    </w:t>
      </w:r>
    </w:p>
    <w:p>
      <w:pPr>
        <w:spacing w:after="0" w:line="346" w:lineRule="exact"/>
        <w:rPr>
          <w:rFonts w:ascii="Calibri" w:cs="Calibri" w:eastAsia="Calibri" w:hAnsi="Calibri"/>
          <w:sz w:val="10"/>
          <w:szCs w:val="10"/>
          <w:color w:val="auto"/>
        </w:rPr>
      </w:pPr>
    </w:p>
    <w:p>
      <w:pPr>
        <w:ind w:left="460" w:hanging="144"/>
        <w:spacing w:after="0"/>
        <w:tabs>
          <w:tab w:leader="none" w:pos="460" w:val="left"/>
        </w:tabs>
        <w:numPr>
          <w:ilvl w:val="0"/>
          <w:numId w:val="10"/>
        </w:numPr>
        <w:rPr>
          <w:rFonts w:ascii="Calibri" w:cs="Calibri" w:eastAsia="Calibri" w:hAnsi="Calibri"/>
          <w:sz w:val="10"/>
          <w:szCs w:val="10"/>
          <w:color w:val="auto"/>
        </w:rPr>
      </w:pPr>
      <w:r>
        <w:rPr>
          <w:rFonts w:ascii="Calibri" w:cs="Calibri" w:eastAsia="Calibri" w:hAnsi="Calibri"/>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-1264920</wp:posOffset>
            </wp:positionV>
            <wp:extent cx="231140" cy="231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-984250</wp:posOffset>
            </wp:positionV>
            <wp:extent cx="247650" cy="2311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324485</wp:posOffset>
            </wp:positionH>
            <wp:positionV relativeFrom="paragraph">
              <wp:posOffset>-621030</wp:posOffset>
            </wp:positionV>
            <wp:extent cx="132080" cy="2063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-257175</wp:posOffset>
            </wp:positionV>
            <wp:extent cx="255905" cy="165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39370</wp:posOffset>
            </wp:positionV>
            <wp:extent cx="21463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303530</wp:posOffset>
            </wp:positionV>
            <wp:extent cx="231140" cy="2311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584835</wp:posOffset>
            </wp:positionV>
            <wp:extent cx="23114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848995</wp:posOffset>
            </wp:positionV>
            <wp:extent cx="206375"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alibri" w:cs="Calibri" w:eastAsia="Calibri" w:hAnsi="Calibri"/>
          <w:sz w:val="10"/>
          <w:szCs w:val="10"/>
          <w:b w:val="1"/>
          <w:bCs w:val="1"/>
          <w:color w:val="auto"/>
        </w:rPr>
        <w:t>SKILLS</w:t>
      </w:r>
    </w:p>
    <w:p>
      <w:pPr>
        <w:spacing w:after="0" w:line="99" w:lineRule="exact"/>
        <w:rPr>
          <w:sz w:val="20"/>
          <w:szCs w:val="20"/>
          <w:color w:val="auto"/>
        </w:rPr>
      </w:pPr>
    </w:p>
    <w:p>
      <w:pPr>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and accountng</w:t>
      </w:r>
    </w:p>
    <w:p>
      <w:pPr>
        <w:spacing w:after="0" w:line="320" w:lineRule="exact"/>
        <w:rPr>
          <w:sz w:val="20"/>
          <w:szCs w:val="20"/>
          <w:color w:val="auto"/>
        </w:rPr>
      </w:pPr>
    </w:p>
    <w:p>
      <w:pPr>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(within the last 5 years)</w:t>
      </w:r>
    </w:p>
    <w:p>
      <w:pPr>
        <w:spacing w:after="0" w:line="164" w:lineRule="exact"/>
        <w:rPr>
          <w:sz w:val="20"/>
          <w:szCs w:val="20"/>
          <w:color w:val="auto"/>
        </w:rPr>
      </w:pPr>
    </w:p>
    <w:p>
      <w:pPr>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governance</w:t>
      </w:r>
    </w:p>
    <w:p>
      <w:pPr>
        <w:spacing w:after="0" w:line="346" w:lineRule="exact"/>
        <w:rPr>
          <w:sz w:val="20"/>
          <w:szCs w:val="20"/>
          <w:color w:val="auto"/>
        </w:rPr>
      </w:pPr>
    </w:p>
    <w:p>
      <w:pPr>
        <w:spacing w:after="0"/>
        <w:rPr>
          <w:sz w:val="20"/>
          <w:szCs w:val="20"/>
          <w:color w:val="auto"/>
        </w:rPr>
      </w:pPr>
      <w:r>
        <w:rPr>
          <w:rFonts w:ascii="Calibri" w:cs="Calibri" w:eastAsia="Calibri" w:hAnsi="Calibri"/>
          <w:sz w:val="10"/>
          <w:szCs w:val="10"/>
          <w:color w:val="auto"/>
        </w:rPr>
        <w:t>Analytcs</w:t>
      </w:r>
    </w:p>
    <w:p>
      <w:pPr>
        <w:spacing w:after="0" w:line="307" w:lineRule="exact"/>
        <w:rPr>
          <w:sz w:val="20"/>
          <w:szCs w:val="20"/>
          <w:color w:val="auto"/>
        </w:rPr>
      </w:pPr>
    </w:p>
    <w:p>
      <w:pPr>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management</w:t>
      </w:r>
    </w:p>
    <w:p>
      <w:pPr>
        <w:spacing w:after="0" w:line="242" w:lineRule="exact"/>
        <w:rPr>
          <w:sz w:val="20"/>
          <w:szCs w:val="20"/>
          <w:color w:val="auto"/>
        </w:rPr>
      </w:pPr>
    </w:p>
    <w:p>
      <w:pPr>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experience</w:t>
      </w:r>
    </w:p>
    <w:p>
      <w:pPr>
        <w:spacing w:after="0" w:line="177" w:lineRule="exact"/>
        <w:rPr>
          <w:sz w:val="20"/>
          <w:szCs w:val="20"/>
          <w:color w:val="auto"/>
        </w:rPr>
      </w:pPr>
    </w:p>
    <w:p>
      <w:pPr>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management</w:t>
      </w:r>
    </w:p>
    <w:p>
      <w:pPr>
        <w:spacing w:after="0" w:line="177" w:lineRule="exact"/>
        <w:rPr>
          <w:sz w:val="20"/>
          <w:szCs w:val="20"/>
          <w:color w:val="auto"/>
        </w:rPr>
      </w:pPr>
    </w:p>
    <w:p>
      <w:pPr>
        <w:spacing w:after="0"/>
        <w:rPr>
          <w:sz w:val="20"/>
          <w:szCs w:val="20"/>
          <w:color w:val="auto"/>
        </w:rPr>
      </w:pPr>
      <w:r>
        <w:rPr>
          <w:rFonts w:ascii="Calibri" w:cs="Calibri" w:eastAsia="Calibri" w:hAnsi="Calibri"/>
          <w:sz w:val="10"/>
          <w:szCs w:val="10"/>
          <w:color w:val="auto"/>
        </w:rPr>
        <w:t>Informaton and</w:t>
      </w:r>
    </w:p>
    <w:p>
      <w:pPr>
        <w:spacing w:after="0" w:line="8" w:lineRule="exact"/>
        <w:rPr>
          <w:sz w:val="20"/>
          <w:szCs w:val="20"/>
          <w:color w:val="auto"/>
        </w:rPr>
      </w:pPr>
    </w:p>
    <w:p>
      <w:pPr>
        <w:spacing w:after="0"/>
        <w:rPr>
          <w:sz w:val="20"/>
          <w:szCs w:val="20"/>
          <w:color w:val="auto"/>
        </w:rPr>
      </w:pPr>
      <w:r>
        <w:rPr>
          <w:rFonts w:ascii="Calibri" w:cs="Calibri" w:eastAsia="Calibri" w:hAnsi="Calibri"/>
          <w:sz w:val="10"/>
          <w:szCs w:val="10"/>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rPr>
          <w:sz w:val="20"/>
          <w:szCs w:val="20"/>
          <w:color w:val="auto"/>
        </w:rPr>
      </w:pPr>
      <w:r>
        <w:rPr>
          <w:rFonts w:ascii="Calibri" w:cs="Calibri" w:eastAsia="Calibri" w:hAnsi="Calibri"/>
          <w:sz w:val="17"/>
          <w:szCs w:val="17"/>
          <w:color w:val="auto"/>
        </w:rPr>
        <w:t>Age: 64 — is a leader in the professional services industry. Ms. Pipes’s business experience and directorships are detailed below. The Company has concluded, based in part on Ms. Pipes’s experience as the Chief Financial Ofcer and as a member of the Management Commitee of Deloite Consultng, LLP and her expertse in the consultng and fnancial services industry that Ms. Pipes should serve as a director.</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1219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(Chair)*; Compensaton and Talent Management</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1219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rPr>
              <w:t>   Chief Financial Ofcer, member of the Management Commitee and various leadership positons, Deloite Consultng</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LLP, a management consultng frm (1999 - 2019)</w:t>
            </w:r>
          </w:p>
        </w:tc>
      </w:tr>
      <w:tr>
        <w:trPr>
          <w:trHeight w:val="312"/>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rPr>
              <w:t>   Vice President and Manager, Finance Division, Transamerica Life Companies (1997 - 1999)</w:t>
            </w:r>
          </w:p>
        </w:tc>
      </w:tr>
      <w:tr>
        <w:trPr>
          <w:trHeight w:val="312"/>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9"/>
              </w:rPr>
              <w:t>   Senior Vice President and Chief of Staf for the President and CEO, among other senior management positons, First</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Interstate Bank of California (1985 - 1996)</w:t>
            </w:r>
          </w:p>
        </w:tc>
      </w:tr>
      <w:tr>
        <w:trPr>
          <w:trHeight w:val="290"/>
        </w:trPr>
        <w:tc>
          <w:tcPr>
            <w:tcW w:w="8080" w:type="dxa"/>
            <w:vAlign w:val="bottom"/>
            <w:gridSpan w:val="2"/>
          </w:tcPr>
          <w:p>
            <w:pPr>
              <w:spacing w:after="0"/>
              <w:rPr>
                <w:sz w:val="20"/>
                <w:szCs w:val="20"/>
                <w:color w:val="auto"/>
              </w:rPr>
            </w:pPr>
            <w:r>
              <w:rPr>
                <w:rFonts w:ascii="Calibri" w:cs="Calibri" w:eastAsia="Calibri" w:hAnsi="Calibri"/>
                <w:sz w:val="17"/>
                <w:szCs w:val="17"/>
                <w:b w:val="1"/>
                <w:bCs w:val="1"/>
                <w:color w:val="auto"/>
              </w:rPr>
              <w:t>Public directorships during past fve years</w:t>
            </w:r>
          </w:p>
        </w:tc>
      </w:tr>
      <w:tr>
        <w:trPr>
          <w:trHeight w:val="23"/>
        </w:trPr>
        <w:tc>
          <w:tcPr>
            <w:tcW w:w="50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26"/>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8"/>
              </w:rPr>
              <w:t>   Director and chair of the audit commitee, and member of the nominatng, governance and sustainability commitee,</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Public Storage (NYSE: PSA), an internatonal self storage company (2020 - present)</w:t>
            </w:r>
          </w:p>
        </w:tc>
      </w:tr>
      <w:tr>
        <w:trPr>
          <w:trHeight w:val="312"/>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8"/>
              </w:rPr>
              <w:t>   Director and chair of the audit commitee, AECOM (NYSE: ACM), an internatonal infrastructure consultng frm (2022</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 present)</w:t>
            </w:r>
          </w:p>
        </w:tc>
      </w:tr>
      <w:tr>
        <w:trPr>
          <w:trHeight w:val="312"/>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rPr>
              <w:t>   Director and chair of the audit commitee, and member of the nominatng/corporate governance commitee, PS</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Business Parks, Inc. (NYSE: PSB), a commercial property real estate investment trust (2019 - 2022)</w:t>
            </w:r>
          </w:p>
        </w:tc>
      </w:tr>
      <w:tr>
        <w:trPr>
          <w:trHeight w:val="290"/>
        </w:trPr>
        <w:tc>
          <w:tcPr>
            <w:tcW w:w="8080" w:type="dxa"/>
            <w:vAlign w:val="bottom"/>
            <w:gridSpan w:val="2"/>
          </w:tcPr>
          <w:p>
            <w:pPr>
              <w:spacing w:after="0"/>
              <w:rPr>
                <w:sz w:val="20"/>
                <w:szCs w:val="20"/>
                <w:color w:val="auto"/>
              </w:rPr>
            </w:pPr>
            <w:r>
              <w:rPr>
                <w:rFonts w:ascii="Calibri" w:cs="Calibri" w:eastAsia="Calibri" w:hAnsi="Calibri"/>
                <w:sz w:val="17"/>
                <w:szCs w:val="17"/>
                <w:b w:val="1"/>
                <w:bCs w:val="1"/>
                <w:color w:val="auto"/>
              </w:rPr>
              <w:t>Other relevant experience</w:t>
            </w:r>
          </w:p>
        </w:tc>
      </w:tr>
      <w:tr>
        <w:trPr>
          <w:trHeight w:val="23"/>
        </w:trPr>
        <w:tc>
          <w:tcPr>
            <w:tcW w:w="50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78"/>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8"/>
              </w:rPr>
              <w:t>  Director and chair of the audit commitee, and member of the nominatng, governance, and sustainability commitee,</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Savers, Inc., one of the world’s largest thrif retailers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471805</wp:posOffset>
            </wp:positionV>
            <wp:extent cx="674052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3">
            <w:col w:w="580" w:space="720"/>
            <w:col w:w="980" w:space="580"/>
            <w:col w:w="8080"/>
          </w:cols>
          <w:pgMar w:left="320" w:top="471" w:right="6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293"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27</w:t>
      </w:r>
    </w:p>
    <w:p>
      <w:pPr>
        <w:sectPr>
          <w:pgSz w:w="11900" w:h="16838" w:orient="portrait"/>
          <w:cols w:equalWidth="0" w:num="1">
            <w:col w:w="10940"/>
          </w:cols>
          <w:pgMar w:left="320" w:top="471" w:right="6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76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Nitn Sahney</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January 2016</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187960</wp:posOffset>
            </wp:positionV>
            <wp:extent cx="1164590" cy="1164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20"/>
          </w:cols>
          <w:pgMar w:left="320" w:top="47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-47625</wp:posOffset>
            </wp:positionV>
            <wp:extent cx="231140" cy="2311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7"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and accountng</w:t>
      </w:r>
    </w:p>
    <w:p>
      <w:pPr>
        <w:spacing w:after="0" w:line="60"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-72390</wp:posOffset>
            </wp:positionV>
            <wp:extent cx="247650" cy="231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8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42545</wp:posOffset>
            </wp:positionV>
            <wp:extent cx="132080" cy="2063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1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100330</wp:posOffset>
            </wp:positionV>
            <wp:extent cx="231140" cy="206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157"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7"/>
          <w:szCs w:val="17"/>
          <w:color w:val="auto"/>
        </w:rPr>
        <w:t>Age: 60 — Is a leader in the healthcare industry with over 25 years of experience across all areas of healthcare.</w:t>
      </w:r>
    </w:p>
    <w:p>
      <w:pPr>
        <w:spacing w:after="0" w:line="2" w:lineRule="exact"/>
        <w:rPr>
          <w:sz w:val="20"/>
          <w:szCs w:val="20"/>
          <w:color w:val="auto"/>
        </w:rPr>
      </w:pPr>
    </w:p>
    <w:p>
      <w:pPr>
        <w:ind w:right="100"/>
        <w:spacing w:after="0" w:line="239" w:lineRule="auto"/>
        <w:rPr>
          <w:sz w:val="20"/>
          <w:szCs w:val="20"/>
          <w:color w:val="auto"/>
        </w:rPr>
      </w:pPr>
      <w:r>
        <w:rPr>
          <w:rFonts w:ascii="Calibri" w:cs="Calibri" w:eastAsia="Calibri" w:hAnsi="Calibri"/>
          <w:sz w:val="17"/>
          <w:szCs w:val="17"/>
          <w:color w:val="auto"/>
        </w:rPr>
        <w:t>Mr. Sahney’s business experience and directorships are detailed below. The Company has concluded, based in part on Mr. Sahney’s experience as CEO of PharmaCord and Omnicare, Inc. and his expertse in the healthcare industry garnered from more than two decades of experience, that Mr. Sahney should serve as a director.</w:t>
      </w:r>
    </w:p>
    <w:p>
      <w:pPr>
        <w:spacing w:after="0" w:line="12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Nominatng and Governance (Chair); Audit*</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Member-Manager and Chief Executve Ofcer, PharmaCord, LLC, a company that helps biopharma</w:t>
      </w:r>
    </w:p>
    <w:p>
      <w:pPr>
        <w:ind w:left="620"/>
        <w:spacing w:after="0"/>
        <w:rPr>
          <w:sz w:val="20"/>
          <w:szCs w:val="20"/>
          <w:color w:val="auto"/>
        </w:rPr>
      </w:pPr>
      <w:r>
        <w:rPr>
          <w:rFonts w:ascii="Calibri" w:cs="Calibri" w:eastAsia="Calibri" w:hAnsi="Calibri"/>
          <w:sz w:val="16"/>
          <w:szCs w:val="16"/>
          <w:color w:val="auto"/>
        </w:rPr>
        <w:t>manufacturers address product access hurdles (2016 -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Operatng Advisor, Clayton Dubilier &amp; Rice Funds, a private equity frm (2016 - 2017)</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(2014 - 2015) and President and COO (2012 - 2014) of Omnicare Inc., a former New York Stock</w:t>
      </w:r>
    </w:p>
    <w:p>
      <w:pPr>
        <w:ind w:left="620"/>
        <w:spacing w:after="0"/>
        <w:rPr>
          <w:sz w:val="20"/>
          <w:szCs w:val="20"/>
          <w:color w:val="auto"/>
        </w:rPr>
      </w:pPr>
      <w:r>
        <w:rPr>
          <w:rFonts w:ascii="Calibri" w:cs="Calibri" w:eastAsia="Calibri" w:hAnsi="Calibri"/>
          <w:sz w:val="16"/>
          <w:szCs w:val="16"/>
          <w:color w:val="auto"/>
        </w:rPr>
        <w:t>Exchange-listed Fortune 500 company in the long-term care and specialty care industries</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Manager of a healthcare investment fund (2008 - 2010)</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and CEO of RxCrossroads, a specialty pharmaceutcal company (2001 - 2007)</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Prior leadership positons with Cardinal Healthcare, a global healthcare services and products company</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2260" w:space="500"/>
            <w:col w:w="8160"/>
          </w:cols>
          <w:pgMar w:left="320" w:top="471" w:right="659" w:bottom="1440" w:gutter="0" w:footer="0" w:header="0"/>
          <w:type w:val="continuous"/>
        </w:sectPr>
      </w:pPr>
    </w:p>
    <w:p>
      <w:pPr>
        <w:ind w:left="3080"/>
        <w:spacing w:after="0"/>
        <w:tabs>
          <w:tab w:leader="none" w:pos="328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audit commitee and the nominatng and governance commitee, Opton Care Health, Inc.</w:t>
      </w:r>
    </w:p>
    <w:p>
      <w:pPr>
        <w:ind w:left="3380"/>
        <w:spacing w:after="0"/>
        <w:rPr>
          <w:sz w:val="20"/>
          <w:szCs w:val="20"/>
          <w:color w:val="auto"/>
        </w:rPr>
      </w:pPr>
      <w:r>
        <w:rPr>
          <w:rFonts w:ascii="Calibri" w:cs="Calibri" w:eastAsia="Calibri" w:hAnsi="Calibri"/>
          <w:sz w:val="16"/>
          <w:szCs w:val="16"/>
          <w:color w:val="auto"/>
        </w:rPr>
        <w:t>(NASDAQ: OPCH) (2019 - present)</w:t>
      </w:r>
    </w:p>
    <w:p>
      <w:pPr>
        <w:spacing w:after="0" w:line="122" w:lineRule="exact"/>
        <w:rPr>
          <w:sz w:val="20"/>
          <w:szCs w:val="20"/>
          <w:color w:val="auto"/>
        </w:rPr>
      </w:pPr>
    </w:p>
    <w:p>
      <w:pPr>
        <w:ind w:left="2760"/>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14605</wp:posOffset>
            </wp:positionV>
            <wp:extent cx="51879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jc w:val="center"/>
        <w:ind w:right="-59"/>
        <w:spacing w:after="0"/>
        <w:tabs>
          <w:tab w:leader="none" w:pos="10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of Trustees, University of Louisville (2016 - 2019)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570865</wp:posOffset>
            </wp:positionV>
            <wp:extent cx="674052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the applicable SEC rules and regulatons</w:t>
      </w:r>
    </w:p>
    <w:p>
      <w:pPr>
        <w:spacing w:after="0" w:line="124"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28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6740525" cy="776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052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Jaynie M. Studenmund</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September 2018</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262255</wp:posOffset>
            </wp:positionV>
            <wp:extent cx="1164590" cy="1164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18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92075</wp:posOffset>
            </wp:positionV>
            <wp:extent cx="231140" cy="231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96"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and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75565</wp:posOffset>
            </wp:positionV>
            <wp:extent cx="24765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157"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67310</wp:posOffset>
            </wp:positionV>
            <wp:extent cx="132080" cy="206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157"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75565</wp:posOffset>
            </wp:positionV>
            <wp:extent cx="255905" cy="165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96"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75565</wp:posOffset>
            </wp:positionV>
            <wp:extent cx="21463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7"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67310</wp:posOffset>
            </wp:positionV>
            <wp:extent cx="23939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144"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Digital operatons</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67310</wp:posOffset>
            </wp:positionV>
            <wp:extent cx="239395" cy="2393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35"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116840</wp:posOffset>
            </wp:positionV>
            <wp:extent cx="231140" cy="231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35"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75565</wp:posOffset>
            </wp:positionV>
            <wp:extent cx="23114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31"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75565</wp:posOffset>
            </wp:positionV>
            <wp:extent cx="231140" cy="1981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183"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116840</wp:posOffset>
            </wp:positionV>
            <wp:extent cx="231140" cy="2063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183"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68 — is a seasoned executve with signifcant experience as a top line executve leading fnancial services and digital companies. She also has extensive experience as a public company director. Ms. Studenmund’s business experience and directorships are detailed below. The Company has concluded, based in part on Ms. Studenmund’s extensive public company board experience, together with her knowledge and experience in the digital, fnancial services, health care and consumer business sectors, and her expertse in compensaton and corporate governance, that Ms. Studenmund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 Compensaton and Talent Management (Chair), Audit*</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 Chief Operatng Ofcer, Overture Services, a pioneer in paid search and search engine marketng (2001 - 2004)</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&amp; Chief Operatng Ofcer, PayMyBills, the leading consumer bill payment and presentment company</w:t>
      </w:r>
    </w:p>
    <w:p>
      <w:pPr>
        <w:ind w:left="640"/>
        <w:spacing w:after="0"/>
        <w:rPr>
          <w:sz w:val="20"/>
          <w:szCs w:val="20"/>
          <w:color w:val="auto"/>
        </w:rPr>
      </w:pPr>
      <w:r>
        <w:rPr>
          <w:rFonts w:ascii="Calibri" w:cs="Calibri" w:eastAsia="Calibri" w:hAnsi="Calibri"/>
          <w:sz w:val="16"/>
          <w:szCs w:val="16"/>
          <w:color w:val="auto"/>
        </w:rPr>
        <w:t>(1999 - 2001)</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 Previously for over two decades served as Executve Vice President and Head of Consumer and Business Banking</w:t>
      </w:r>
    </w:p>
    <w:p>
      <w:pPr>
        <w:spacing w:after="0" w:line="10"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for three of the naton’s largest banks at the tme and primarily for First Interstate of California. Today, these three</w:t>
      </w:r>
    </w:p>
    <w:p>
      <w:pPr>
        <w:spacing w:after="0" w:line="24"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banks form the backbone of Chase’s and Wells Fargo’s consumer business in California following the era of bank</w:t>
      </w:r>
    </w:p>
    <w:p>
      <w:pPr>
        <w:spacing w:after="0" w:line="1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consolidaton.</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 Management Consultant, Booz, Allen &amp; Hamilton</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commitee and member of the risk management commitee, Pacifc</w:t>
      </w:r>
    </w:p>
    <w:p>
      <w:pPr>
        <w:ind w:left="640"/>
        <w:spacing w:after="0"/>
        <w:rPr>
          <w:sz w:val="20"/>
          <w:szCs w:val="20"/>
          <w:color w:val="auto"/>
        </w:rPr>
      </w:pPr>
      <w:r>
        <w:rPr>
          <w:rFonts w:ascii="Calibri" w:cs="Calibri" w:eastAsia="Calibri" w:hAnsi="Calibri"/>
          <w:sz w:val="16"/>
          <w:szCs w:val="16"/>
          <w:color w:val="auto"/>
        </w:rPr>
        <w:t>Premier Bancorp (Nasdaq: PPBI), a top performing regional bank (2019 - present)</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contracts commitee, audit commitee and nominaton and governance commitee,</w:t>
      </w:r>
    </w:p>
    <w:p>
      <w:pPr>
        <w:spacing w:after="0" w:line="10"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Western Asset Management funds, a major global fxed income fund, and director of afliated funds for Western</w:t>
      </w:r>
    </w:p>
    <w:p>
      <w:pPr>
        <w:spacing w:after="0" w:line="1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Asset Management (2004 - present)</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commitee and member of the nominatng and governance commitee,</w:t>
      </w:r>
    </w:p>
    <w:p>
      <w:pPr>
        <w:ind w:left="640"/>
        <w:spacing w:after="0"/>
        <w:rPr>
          <w:sz w:val="20"/>
          <w:szCs w:val="20"/>
          <w:color w:val="auto"/>
        </w:rPr>
      </w:pPr>
      <w:r>
        <w:rPr>
          <w:rFonts w:ascii="Calibri" w:cs="Calibri" w:eastAsia="Calibri" w:hAnsi="Calibri"/>
          <w:sz w:val="16"/>
          <w:szCs w:val="16"/>
          <w:color w:val="auto"/>
        </w:rPr>
        <w:t>CoreLogic, Inc. (NYSE: CLGX) untl its acquisiton in 2021 (2012 - 2021)</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compensaton commitee chair and member of the compliance commitee, Pinnacle Entertainment</w:t>
      </w:r>
    </w:p>
    <w:p>
      <w:pPr>
        <w:ind w:left="640"/>
        <w:spacing w:after="0"/>
        <w:rPr>
          <w:sz w:val="20"/>
          <w:szCs w:val="20"/>
          <w:color w:val="auto"/>
        </w:rPr>
      </w:pPr>
      <w:r>
        <w:rPr>
          <w:rFonts w:ascii="Calibri" w:cs="Calibri" w:eastAsia="Calibri" w:hAnsi="Calibri"/>
          <w:sz w:val="16"/>
          <w:szCs w:val="16"/>
          <w:color w:val="auto"/>
        </w:rPr>
        <w:t>(Nasdaq: PNK) untl its acquisiton in 2018 (2012 - 2018)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Natonal Associaton of Corporate Directors (“NACD”) Directorship 100, 2021, as one of the top</w:t>
      </w:r>
    </w:p>
    <w:p>
      <w:pPr>
        <w:ind w:left="640"/>
        <w:spacing w:after="0"/>
        <w:rPr>
          <w:sz w:val="20"/>
          <w:szCs w:val="20"/>
          <w:color w:val="auto"/>
        </w:rPr>
      </w:pPr>
      <w:r>
        <w:rPr>
          <w:rFonts w:ascii="Calibri" w:cs="Calibri" w:eastAsia="Calibri" w:hAnsi="Calibri"/>
          <w:sz w:val="16"/>
          <w:szCs w:val="16"/>
          <w:color w:val="auto"/>
        </w:rPr>
        <w:t>public company directors in the U.S.; Named to Women Inc.’s 2019 Most Infuental Corporate Directors listng</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 Board chair emeritus and life trustee, Huntngton Health, an afliate of Cedars Sinai Health</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 Trustee and board member, and member of the fnance, audit and compensaton commitees, J. Paul Gety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859790</wp:posOffset>
            </wp:positionV>
            <wp:extent cx="674052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86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306"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29</w:t>
      </w:r>
    </w:p>
    <w:p>
      <w:pPr>
        <w:sectPr>
          <w:pgSz w:w="11900" w:h="16838" w:orient="portrait"/>
          <w:cols w:equalWidth="0" w:num="1">
            <w:col w:w="10940"/>
          </w:cols>
          <w:pgMar w:left="320" w:top="471"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Corporate governance</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independence</w:t>
      </w:r>
    </w:p>
    <w:p>
      <w:pPr>
        <w:spacing w:after="0" w:line="21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In determining director independence, the board of directors considered the transactons and relatonships set forth below under “Certain Relatonships and Related Person Transactons—Related Party Transactons” and routne service arrangements between the Company and Westcor Land Title Insurance Company (“Westcor”). During 2022, one of our directors, Mr. Pandit, served as a non-executve director and, through his ownership in The Orogen Group (see below for informaton on Mr. Pandit’s relatonship with The Orogen Group), owned an immaterial indirect equity interest, in Westcor. Mr. Pandit is not, and was not during 2022, a partner, controlling shareholder or executve ofcer of Westcor.</w:t>
      </w:r>
    </w:p>
    <w:p>
      <w:pPr>
        <w:spacing w:after="0" w:line="211"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Based on its review of all applicable relatonships, our board of directors has determined that all of the members on our board of directors, other than Mr. Kapoor, meet the independence requirements of the Nasdaq Stock Market and federal securites 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Meetng atendance</w:t>
      </w:r>
    </w:p>
    <w:p>
      <w:pPr>
        <w:spacing w:after="0" w:line="218"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We expect our directors to atend all board of directors meetngs and meetngs of commitees on which they serve. We also expect our directors to spend sufcient tme and meet as frequently as necessary to discharge their responsibilites properly. It is our policy that all of our directors standing for electon should atend our Annual Meetngs of Stockholders absent exceptonal cause.</w:t>
      </w: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Incumbent director meetng atendance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325755</wp:posOffset>
            </wp:positionV>
            <wp:extent cx="4055745" cy="1792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05574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and commitee meetngs in 2022</w:t>
      </w:r>
    </w:p>
    <w:p>
      <w:pPr>
        <w:spacing w:after="0" w:line="200" w:lineRule="exact"/>
        <w:rPr>
          <w:sz w:val="20"/>
          <w:szCs w:val="20"/>
          <w:color w:val="auto"/>
        </w:rPr>
      </w:pP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797"/>
        </w:trPr>
        <w:tc>
          <w:tcPr>
            <w:tcW w:w="2440" w:type="dxa"/>
            <w:vAlign w:val="bottom"/>
            <w:shd w:val="clear" w:color="auto" w:fill="D8D8D8"/>
          </w:tcPr>
          <w:p>
            <w:pPr>
              <w:ind w:left="80"/>
              <w:spacing w:after="0"/>
              <w:rPr>
                <w:sz w:val="20"/>
                <w:szCs w:val="20"/>
                <w:color w:val="auto"/>
              </w:rPr>
            </w:pPr>
            <w:r>
              <w:rPr>
                <w:rFonts w:ascii="Calibri" w:cs="Calibri" w:eastAsia="Calibri" w:hAnsi="Calibri"/>
                <w:sz w:val="17"/>
                <w:szCs w:val="17"/>
                <w:b w:val="1"/>
                <w:bCs w:val="1"/>
                <w:color w:val="FB4E0B"/>
              </w:rPr>
              <w:t>Board meetngs</w:t>
            </w:r>
          </w:p>
        </w:tc>
        <w:tc>
          <w:tcPr>
            <w:tcW w:w="280" w:type="dxa"/>
            <w:vAlign w:val="bottom"/>
          </w:tcPr>
          <w:p>
            <w:pPr>
              <w:spacing w:after="0"/>
              <w:rPr>
                <w:sz w:val="24"/>
                <w:szCs w:val="24"/>
                <w:color w:val="auto"/>
              </w:rPr>
            </w:pPr>
          </w:p>
        </w:tc>
        <w:tc>
          <w:tcPr>
            <w:tcW w:w="2600" w:type="dxa"/>
            <w:vAlign w:val="bottom"/>
            <w:shd w:val="clear" w:color="auto" w:fill="D8D8D8"/>
          </w:tcPr>
          <w:p>
            <w:pPr>
              <w:ind w:left="120"/>
              <w:spacing w:after="0"/>
              <w:rPr>
                <w:sz w:val="20"/>
                <w:szCs w:val="20"/>
                <w:color w:val="auto"/>
              </w:rPr>
            </w:pPr>
            <w:r>
              <w:rPr>
                <w:rFonts w:ascii="Calibri" w:cs="Calibri" w:eastAsia="Calibri" w:hAnsi="Calibri"/>
                <w:sz w:val="17"/>
                <w:szCs w:val="17"/>
                <w:b w:val="1"/>
                <w:bCs w:val="1"/>
                <w:color w:val="FB4E0B"/>
              </w:rPr>
              <w:t>Audit Commitee meetngs</w:t>
            </w:r>
          </w:p>
        </w:tc>
        <w:tc>
          <w:tcPr>
            <w:tcW w:w="280" w:type="dxa"/>
            <w:vAlign w:val="bottom"/>
          </w:tcPr>
          <w:p>
            <w:pPr>
              <w:spacing w:after="0"/>
              <w:rPr>
                <w:sz w:val="24"/>
                <w:szCs w:val="24"/>
                <w:color w:val="auto"/>
              </w:rPr>
            </w:pPr>
          </w:p>
        </w:tc>
        <w:tc>
          <w:tcPr>
            <w:tcW w:w="260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Compensaton and Talent</w:t>
            </w:r>
          </w:p>
        </w:tc>
        <w:tc>
          <w:tcPr>
            <w:tcW w:w="300" w:type="dxa"/>
            <w:vAlign w:val="bottom"/>
          </w:tcPr>
          <w:p>
            <w:pPr>
              <w:spacing w:after="0"/>
              <w:rPr>
                <w:sz w:val="24"/>
                <w:szCs w:val="24"/>
                <w:color w:val="auto"/>
              </w:rPr>
            </w:pPr>
          </w:p>
        </w:tc>
        <w:tc>
          <w:tcPr>
            <w:tcW w:w="212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Nominatng and</w:t>
            </w:r>
          </w:p>
        </w:tc>
      </w:tr>
      <w:tr>
        <w:trPr>
          <w:trHeight w:val="20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Management Commitee</w:t>
            </w:r>
          </w:p>
        </w:tc>
        <w:tc>
          <w:tcPr>
            <w:tcW w:w="300" w:type="dxa"/>
            <w:vAlign w:val="bottom"/>
          </w:tcPr>
          <w:p>
            <w:pPr>
              <w:spacing w:after="0"/>
              <w:rPr>
                <w:sz w:val="18"/>
                <w:szCs w:val="18"/>
                <w:color w:val="auto"/>
              </w:rPr>
            </w:pPr>
          </w:p>
        </w:tc>
        <w:tc>
          <w:tcPr>
            <w:tcW w:w="212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Governance Commitee</w:t>
            </w:r>
          </w:p>
        </w:tc>
      </w:tr>
      <w:tr>
        <w:trPr>
          <w:trHeight w:val="20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meetngs</w:t>
            </w:r>
          </w:p>
        </w:tc>
        <w:tc>
          <w:tcPr>
            <w:tcW w:w="300" w:type="dxa"/>
            <w:vAlign w:val="bottom"/>
          </w:tcPr>
          <w:p>
            <w:pPr>
              <w:spacing w:after="0"/>
              <w:rPr>
                <w:sz w:val="18"/>
                <w:szCs w:val="18"/>
                <w:color w:val="auto"/>
              </w:rPr>
            </w:pPr>
          </w:p>
        </w:tc>
        <w:tc>
          <w:tcPr>
            <w:tcW w:w="212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meetngs</w:t>
            </w:r>
          </w:p>
        </w:tc>
      </w:tr>
      <w:tr>
        <w:trPr>
          <w:trHeight w:val="21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shd w:val="clear" w:color="auto" w:fill="D8D8D8"/>
          </w:tcPr>
          <w:p>
            <w:pPr>
              <w:spacing w:after="0"/>
              <w:rPr>
                <w:sz w:val="18"/>
                <w:szCs w:val="18"/>
                <w:color w:val="auto"/>
              </w:rPr>
            </w:pPr>
          </w:p>
        </w:tc>
      </w:tr>
      <w:tr>
        <w:trPr>
          <w:trHeight w:val="130"/>
        </w:trPr>
        <w:tc>
          <w:tcPr>
            <w:tcW w:w="2440" w:type="dxa"/>
            <w:vAlign w:val="bottom"/>
            <w:shd w:val="clear" w:color="auto" w:fill="FB4E0B"/>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-81915</wp:posOffset>
            </wp:positionV>
            <wp:extent cx="6740525" cy="3797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40525" cy="3797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-924560</wp:posOffset>
            </wp:positionV>
            <wp:extent cx="255905" cy="255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-899795</wp:posOffset>
            </wp:positionV>
            <wp:extent cx="231140" cy="2311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-916305</wp:posOffset>
            </wp:positionV>
            <wp:extent cx="255905" cy="255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5661025</wp:posOffset>
            </wp:positionH>
            <wp:positionV relativeFrom="paragraph">
              <wp:posOffset>-908050</wp:posOffset>
            </wp:positionV>
            <wp:extent cx="247650" cy="2476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47650" cy="24765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352"/>
        </w:trPr>
        <w:tc>
          <w:tcPr>
            <w:tcW w:w="380" w:type="dxa"/>
            <w:vAlign w:val="bottom"/>
          </w:tcPr>
          <w:p>
            <w:pPr>
              <w:jc w:val="right"/>
              <w:ind w:right="127"/>
              <w:spacing w:after="0"/>
              <w:rPr>
                <w:sz w:val="20"/>
                <w:szCs w:val="20"/>
                <w:color w:val="auto"/>
              </w:rPr>
            </w:pPr>
            <w:r>
              <w:rPr>
                <w:rFonts w:ascii="Calibri" w:cs="Calibri" w:eastAsia="Calibri" w:hAnsi="Calibri"/>
                <w:sz w:val="28"/>
                <w:szCs w:val="28"/>
                <w:b w:val="1"/>
                <w:bCs w:val="1"/>
                <w:color w:val="FFFFFF"/>
                <w:w w:val="84"/>
              </w:rPr>
              <w:t>5</w:t>
            </w:r>
          </w:p>
        </w:tc>
        <w:tc>
          <w:tcPr>
            <w:tcW w:w="1680" w:type="dxa"/>
            <w:vAlign w:val="bottom"/>
          </w:tcPr>
          <w:p>
            <w:pPr>
              <w:spacing w:after="0"/>
              <w:rPr>
                <w:sz w:val="24"/>
                <w:szCs w:val="24"/>
                <w:color w:val="auto"/>
              </w:rPr>
            </w:pPr>
          </w:p>
        </w:tc>
        <w:tc>
          <w:tcPr>
            <w:tcW w:w="320" w:type="dxa"/>
            <w:vAlign w:val="bottom"/>
            <w:shd w:val="clear" w:color="auto" w:fill="FB4E0B"/>
          </w:tcPr>
          <w:p>
            <w:pPr>
              <w:spacing w:after="0"/>
              <w:rPr>
                <w:sz w:val="24"/>
                <w:szCs w:val="24"/>
                <w:color w:val="auto"/>
              </w:rPr>
            </w:pPr>
          </w:p>
        </w:tc>
        <w:tc>
          <w:tcPr>
            <w:tcW w:w="1900" w:type="dxa"/>
            <w:vAlign w:val="bottom"/>
          </w:tcPr>
          <w:p>
            <w:pPr>
              <w:jc w:val="right"/>
              <w:ind w:right="1221"/>
              <w:spacing w:after="0"/>
              <w:rPr>
                <w:sz w:val="20"/>
                <w:szCs w:val="20"/>
                <w:color w:val="auto"/>
              </w:rPr>
            </w:pPr>
            <w:r>
              <w:rPr>
                <w:rFonts w:ascii="Calibri" w:cs="Calibri" w:eastAsia="Calibri" w:hAnsi="Calibri"/>
                <w:sz w:val="28"/>
                <w:szCs w:val="28"/>
                <w:b w:val="1"/>
                <w:bCs w:val="1"/>
                <w:color w:val="FFFFFF"/>
              </w:rPr>
              <w:t>7</w:t>
            </w:r>
          </w:p>
        </w:tc>
        <w:tc>
          <w:tcPr>
            <w:tcW w:w="2880" w:type="dxa"/>
            <w:vAlign w:val="bottom"/>
          </w:tcPr>
          <w:p>
            <w:pPr>
              <w:jc w:val="right"/>
              <w:ind w:right="1241"/>
              <w:spacing w:after="0"/>
              <w:rPr>
                <w:sz w:val="20"/>
                <w:szCs w:val="20"/>
                <w:color w:val="auto"/>
              </w:rPr>
            </w:pPr>
            <w:r>
              <w:rPr>
                <w:rFonts w:ascii="Calibri" w:cs="Calibri" w:eastAsia="Calibri" w:hAnsi="Calibri"/>
                <w:sz w:val="28"/>
                <w:szCs w:val="28"/>
                <w:b w:val="1"/>
                <w:bCs w:val="1"/>
                <w:color w:val="FFFFFF"/>
              </w:rPr>
              <w:t>5</w:t>
            </w:r>
          </w:p>
        </w:tc>
        <w:tc>
          <w:tcPr>
            <w:tcW w:w="1520" w:type="dxa"/>
            <w:vAlign w:val="bottom"/>
          </w:tcPr>
          <w:p>
            <w:pPr>
              <w:jc w:val="right"/>
              <w:spacing w:after="0"/>
              <w:rPr>
                <w:sz w:val="20"/>
                <w:szCs w:val="20"/>
                <w:color w:val="auto"/>
              </w:rPr>
            </w:pPr>
            <w:r>
              <w:rPr>
                <w:rFonts w:ascii="Calibri" w:cs="Calibri" w:eastAsia="Calibri" w:hAnsi="Calibri"/>
                <w:sz w:val="28"/>
                <w:szCs w:val="28"/>
                <w:b w:val="1"/>
                <w:bCs w:val="1"/>
                <w:color w:val="FFFFFF"/>
              </w:rPr>
              <w:t>5</w:t>
            </w:r>
          </w:p>
        </w:tc>
      </w:tr>
      <w:tr>
        <w:trPr>
          <w:trHeight w:val="96"/>
        </w:trPr>
        <w:tc>
          <w:tcPr>
            <w:tcW w:w="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20" w:type="dxa"/>
            <w:vAlign w:val="bottom"/>
            <w:shd w:val="clear" w:color="auto" w:fill="FB4E0B"/>
          </w:tcPr>
          <w:p>
            <w:pPr>
              <w:spacing w:after="0"/>
              <w:rPr>
                <w:sz w:val="8"/>
                <w:szCs w:val="8"/>
                <w:color w:val="auto"/>
              </w:rPr>
            </w:pPr>
          </w:p>
        </w:tc>
        <w:tc>
          <w:tcPr>
            <w:tcW w:w="19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445"/>
        </w:trPr>
        <w:tc>
          <w:tcPr>
            <w:tcW w:w="380" w:type="dxa"/>
            <w:vAlign w:val="bottom"/>
          </w:tcPr>
          <w:p>
            <w:pPr>
              <w:jc w:val="right"/>
              <w:ind w:right="47"/>
              <w:spacing w:after="0"/>
              <w:rPr>
                <w:sz w:val="20"/>
                <w:szCs w:val="20"/>
                <w:color w:val="auto"/>
              </w:rPr>
            </w:pPr>
            <w:r>
              <w:rPr>
                <w:rFonts w:ascii="Calibri" w:cs="Calibri" w:eastAsia="Calibri" w:hAnsi="Calibri"/>
                <w:sz w:val="17"/>
                <w:szCs w:val="17"/>
                <w:b w:val="1"/>
                <w:bCs w:val="1"/>
                <w:color w:val="auto"/>
              </w:rPr>
              <w:t>30</w:t>
            </w:r>
          </w:p>
        </w:tc>
        <w:tc>
          <w:tcPr>
            <w:tcW w:w="3900" w:type="dxa"/>
            <w:vAlign w:val="bottom"/>
            <w:gridSpan w:val="3"/>
          </w:tcPr>
          <w:p>
            <w:pPr>
              <w:jc w:val="right"/>
              <w:ind w:right="1861"/>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940"/>
          </w:cols>
          <w:pgMar w:left="320" w:top="471"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Corporate governance framework</w:t>
      </w:r>
    </w:p>
    <w:p>
      <w:pPr>
        <w:spacing w:after="0" w:line="218" w:lineRule="exact"/>
        <w:rPr>
          <w:sz w:val="20"/>
          <w:szCs w:val="20"/>
          <w:color w:val="auto"/>
        </w:rPr>
      </w:pPr>
    </w:p>
    <w:p>
      <w:pPr>
        <w:ind w:left="320" w:right="660"/>
        <w:spacing w:after="0" w:line="239" w:lineRule="auto"/>
        <w:rPr>
          <w:sz w:val="20"/>
          <w:szCs w:val="20"/>
          <w:color w:val="auto"/>
        </w:rPr>
      </w:pPr>
      <w:r>
        <w:rPr>
          <w:rFonts w:ascii="Calibri" w:cs="Calibri" w:eastAsia="Calibri" w:hAnsi="Calibri"/>
          <w:sz w:val="17"/>
          <w:szCs w:val="17"/>
          <w:color w:val="auto"/>
        </w:rPr>
        <w:t>The board is responsible for providing governance and oversight over the efectveness of policy and decision-making with respect to the strategy, operatons and management of EXL, in order to enhance our fnancial performance and stockholder value over the long term.</w:t>
      </w:r>
    </w:p>
    <w:p>
      <w:pPr>
        <w:spacing w:after="0" w:line="211"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Our board’s commitment to strong corporate governance is informed by the fve core values of our corporate culture: innovaton, respect, integrity, excellence and collaboraton. Our board seeks to maintain best practces in corporate governance by reviewing and updatng our governance policies, as appropriate, at least annually, and provides oversight over our risk management and strategic planning as relates to our growth, human capital management, and environmental, social and governance maters,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25196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0525" cy="2519680"/>
                    </a:xfrm>
                    <a:prstGeom prst="rect">
                      <a:avLst/>
                    </a:prstGeom>
                    <a:noFill/>
                  </pic:spPr>
                </pic:pic>
              </a:graphicData>
            </a:graphic>
          </wp:anchor>
        </w:drawing>
      </w:r>
    </w:p>
    <w:p>
      <w:pPr>
        <w:spacing w:after="0" w:line="364" w:lineRule="exact"/>
        <w:rPr>
          <w:sz w:val="20"/>
          <w:szCs w:val="20"/>
          <w:color w:val="auto"/>
        </w:rPr>
      </w:pPr>
    </w:p>
    <w:p>
      <w:pPr>
        <w:ind w:left="660"/>
        <w:spacing w:after="0"/>
        <w:rPr>
          <w:sz w:val="20"/>
          <w:szCs w:val="20"/>
          <w:color w:val="auto"/>
        </w:rPr>
      </w:pPr>
      <w:r>
        <w:rPr>
          <w:rFonts w:ascii="Calibri" w:cs="Calibri" w:eastAsia="Calibri" w:hAnsi="Calibri"/>
          <w:sz w:val="19"/>
          <w:szCs w:val="19"/>
          <w:b w:val="1"/>
          <w:bCs w:val="1"/>
          <w:color w:val="FB4E0B"/>
        </w:rPr>
        <w:t>Governance policies</w:t>
      </w:r>
    </w:p>
    <w:p>
      <w:pPr>
        <w:spacing w:after="0" w:line="89" w:lineRule="exact"/>
        <w:rPr>
          <w:sz w:val="20"/>
          <w:szCs w:val="20"/>
          <w:color w:val="auto"/>
        </w:rPr>
      </w:pPr>
    </w:p>
    <w:p>
      <w:pPr>
        <w:ind w:left="660" w:right="500"/>
        <w:spacing w:after="0" w:line="239" w:lineRule="auto"/>
        <w:rPr>
          <w:sz w:val="20"/>
          <w:szCs w:val="20"/>
          <w:color w:val="auto"/>
        </w:rPr>
      </w:pPr>
      <w:r>
        <w:rPr>
          <w:rFonts w:ascii="Calibri" w:cs="Calibri" w:eastAsia="Calibri" w:hAnsi="Calibri"/>
          <w:sz w:val="17"/>
          <w:szCs w:val="17"/>
          <w:color w:val="auto"/>
        </w:rPr>
        <w:t>Our Corporate Governance Guidelines and other governance policies, including our commitee charters and Code of Conduct and Ethics, codify our corporate governance framework.</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80"/>
        <w:spacing w:after="0" w:line="237" w:lineRule="auto"/>
        <w:rPr>
          <w:sz w:val="20"/>
          <w:szCs w:val="20"/>
          <w:color w:val="auto"/>
        </w:rPr>
      </w:pPr>
      <w:r>
        <w:rPr>
          <w:rFonts w:ascii="Calibri" w:cs="Calibri" w:eastAsia="Calibri" w:hAnsi="Calibri"/>
          <w:sz w:val="16"/>
          <w:szCs w:val="16"/>
          <w:color w:val="auto"/>
        </w:rPr>
        <w:t>The Corporate Governance Guidelines address Board responsibilites and conduct, director qualifcatons and membership maters, director orientaton and contnuing educaton, Board and commitee meetngs, and share ownership by non-management directors, among other topics.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right="40"/>
        <w:spacing w:after="0" w:line="293" w:lineRule="auto"/>
        <w:rPr>
          <w:sz w:val="20"/>
          <w:szCs w:val="20"/>
          <w:color w:val="auto"/>
        </w:rPr>
      </w:pPr>
      <w:r>
        <w:rPr>
          <w:rFonts w:ascii="Calibri" w:cs="Calibri" w:eastAsia="Calibri" w:hAnsi="Calibri"/>
          <w:sz w:val="14"/>
          <w:szCs w:val="14"/>
          <w:color w:val="auto"/>
        </w:rPr>
        <w:t>Our commitee charters specifcally set out the authority and responsibilites of the Commitees of the board.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20"/>
        <w:spacing w:after="0" w:line="238" w:lineRule="auto"/>
        <w:rPr>
          <w:sz w:val="20"/>
          <w:szCs w:val="20"/>
          <w:color w:val="auto"/>
        </w:rPr>
      </w:pPr>
      <w:r>
        <w:rPr>
          <w:rFonts w:ascii="Calibri" w:cs="Calibri" w:eastAsia="Calibri" w:hAnsi="Calibri"/>
          <w:sz w:val="16"/>
          <w:szCs w:val="16"/>
          <w:color w:val="auto"/>
        </w:rPr>
        <w:t>Our Code of Conduct and Ethics is applicable to our directors, ofcers and fully and part-tme employees, and anyone who works on EXL’s behalf, including suppliers, subcontractors and partners, and details how they should conduct themselves when dealing with fellow employees, clients, suppliers, partners, compettors and the general public. Our Code of Conduct and Ethics is reviewed annually by the Audit Commitee and audited periodically as part of our compliance and legal audits. Our personnel receives periodic training on the Code. We encourage our employees to speak up and raise concerns promptly about any situaton that they believe may violate our Code of Conduct and Ethics or the law and we are commited to responding promptly to any concerns. Our Corporate Governance Guidelines, commitee charters, and other corporate governance policies are all available on our website at htps://ir.exlservice.com/corporate-governance.</w:t>
      </w:r>
    </w:p>
    <w:p>
      <w:pPr>
        <w:spacing w:after="0" w:line="200" w:lineRule="exact"/>
        <w:rPr>
          <w:sz w:val="20"/>
          <w:szCs w:val="20"/>
          <w:color w:val="auto"/>
        </w:rPr>
      </w:pPr>
    </w:p>
    <w:p>
      <w:pPr>
        <w:sectPr>
          <w:pgSz w:w="11900" w:h="16838" w:orient="portrait"/>
          <w:cols w:equalWidth="0" w:num="2">
            <w:col w:w="4400" w:space="600"/>
            <w:col w:w="5940"/>
          </w:cols>
          <w:pgMar w:left="320" w:top="471" w:right="6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31</w:t>
      </w:r>
    </w:p>
    <w:p>
      <w:pPr>
        <w:sectPr>
          <w:pgSz w:w="11900" w:h="16838" w:orient="portrait"/>
          <w:cols w:equalWidth="0" w:num="1">
            <w:col w:w="10940"/>
          </w:cols>
          <w:pgMar w:left="320" w:top="471"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Beyond the board room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80"/>
        <w:spacing w:after="0"/>
        <w:rPr>
          <w:sz w:val="20"/>
          <w:szCs w:val="20"/>
          <w:color w:val="auto"/>
        </w:rPr>
      </w:pPr>
      <w:r>
        <w:rPr>
          <w:rFonts w:ascii="Calibri" w:cs="Calibri" w:eastAsia="Calibri" w:hAnsi="Calibri"/>
          <w:sz w:val="17"/>
          <w:szCs w:val="17"/>
          <w:b w:val="1"/>
          <w:bCs w:val="1"/>
          <w:color w:val="auto"/>
        </w:rPr>
        <w:t>Director onboarding</w:t>
      </w:r>
    </w:p>
    <w:p>
      <w:pPr>
        <w:spacing w:after="0" w:line="71" w:lineRule="exact"/>
        <w:rPr>
          <w:sz w:val="20"/>
          <w:szCs w:val="20"/>
          <w:color w:val="auto"/>
        </w:rPr>
      </w:pPr>
    </w:p>
    <w:p>
      <w:pPr>
        <w:ind w:left="1660"/>
        <w:spacing w:after="0" w:line="236" w:lineRule="auto"/>
        <w:rPr>
          <w:sz w:val="20"/>
          <w:szCs w:val="20"/>
          <w:color w:val="auto"/>
        </w:rPr>
      </w:pPr>
      <w:r>
        <w:rPr>
          <w:rFonts w:ascii="Calibri" w:cs="Calibri" w:eastAsia="Calibri" w:hAnsi="Calibri"/>
          <w:sz w:val="16"/>
          <w:szCs w:val="16"/>
          <w:color w:val="auto"/>
        </w:rPr>
        <w:t>All new directors partcipate in an orientaton program shortly afer their electon or appointment, which is overseen by the Nominatng and Governance Commitee. New directors</w:t>
      </w:r>
    </w:p>
    <w:p>
      <w:pPr>
        <w:spacing w:after="0" w:line="12" w:lineRule="exact"/>
        <w:rPr>
          <w:sz w:val="20"/>
          <w:szCs w:val="20"/>
          <w:color w:val="auto"/>
        </w:rPr>
      </w:pPr>
    </w:p>
    <w:p>
      <w:pPr>
        <w:ind w:left="820" w:right="540"/>
        <w:spacing w:after="0" w:line="235" w:lineRule="auto"/>
        <w:rPr>
          <w:sz w:val="20"/>
          <w:szCs w:val="20"/>
          <w:color w:val="auto"/>
        </w:rPr>
      </w:pPr>
      <w:r>
        <w:rPr>
          <w:rFonts w:ascii="Calibri" w:cs="Calibri" w:eastAsia="Calibri" w:hAnsi="Calibri"/>
          <w:sz w:val="16"/>
          <w:szCs w:val="16"/>
          <w:color w:val="auto"/>
        </w:rPr>
        <w:t>partcipate in site visits and presentatons by senior management. By the end of orientaton, our new directors are familiar with our:</w:t>
      </w:r>
    </w:p>
    <w:p>
      <w:pPr>
        <w:spacing w:after="0" w:line="119" w:lineRule="exact"/>
        <w:rPr>
          <w:sz w:val="20"/>
          <w:szCs w:val="20"/>
          <w:color w:val="auto"/>
        </w:rPr>
      </w:pPr>
    </w:p>
    <w:p>
      <w:pPr>
        <w:ind w:left="820"/>
        <w:spacing w:after="0"/>
        <w:rPr>
          <w:sz w:val="20"/>
          <w:szCs w:val="20"/>
          <w:color w:val="auto"/>
        </w:rPr>
      </w:pPr>
      <w:r>
        <w:rPr>
          <w:rFonts w:ascii="Calibri" w:cs="Calibri" w:eastAsia="Calibri" w:hAnsi="Calibri"/>
          <w:sz w:val="16"/>
          <w:szCs w:val="16"/>
          <w:color w:val="auto"/>
        </w:rPr>
        <w:t>•    strategic and business plans</w:t>
      </w:r>
    </w:p>
    <w:p>
      <w:pPr>
        <w:ind w:left="760" w:hanging="84"/>
        <w:spacing w:after="0" w:line="236" w:lineRule="auto"/>
        <w:tabs>
          <w:tab w:leader="none" w:pos="760" w:val="left"/>
        </w:tabs>
        <w:numPr>
          <w:ilvl w:val="0"/>
          <w:numId w:val="11"/>
        </w:numPr>
        <w:rPr>
          <w:rFonts w:ascii="Calibri" w:cs="Calibri" w:eastAsia="Calibri" w:hAnsi="Calibri"/>
          <w:sz w:val="25"/>
          <w:szCs w:val="25"/>
          <w:color w:val="auto"/>
          <w:vertAlign w:val="superscript"/>
        </w:rPr>
      </w:pPr>
      <w:r>
        <w:rPr>
          <w:rFonts w:ascii="Calibri" w:cs="Calibri" w:eastAsia="Calibri" w:hAnsi="Calibri"/>
          <w:sz w:val="25"/>
          <w:szCs w:val="25"/>
          <w:color w:val="auto"/>
          <w:vertAlign w:val="superscript"/>
        </w:rPr>
        <w:t>  </w:t>
      </w:r>
      <w:r>
        <w:rPr>
          <w:rFonts w:ascii="Calibri" w:cs="Calibri" w:eastAsia="Calibri" w:hAnsi="Calibri"/>
          <w:sz w:val="13"/>
          <w:szCs w:val="13"/>
          <w:color w:val="auto"/>
        </w:rPr>
        <w:t>•    signifcant fnancial, accountng and risk management</w:t>
      </w:r>
    </w:p>
    <w:p>
      <w:pPr>
        <w:ind w:left="760" w:hanging="84"/>
        <w:spacing w:after="0" w:line="190" w:lineRule="auto"/>
        <w:tabs>
          <w:tab w:leader="none" w:pos="760" w:val="left"/>
        </w:tabs>
        <w:numPr>
          <w:ilvl w:val="0"/>
          <w:numId w:val="11"/>
        </w:numPr>
        <w:rPr>
          <w:rFonts w:ascii="Calibri" w:cs="Calibri" w:eastAsia="Calibri" w:hAnsi="Calibri"/>
          <w:sz w:val="16"/>
          <w:szCs w:val="16"/>
          <w:color w:val="auto"/>
        </w:rPr>
      </w:pPr>
      <w:r>
        <w:rPr>
          <w:rFonts w:ascii="Calibri" w:cs="Calibri" w:eastAsia="Calibri" w:hAnsi="Calibri"/>
          <w:sz w:val="16"/>
          <w:szCs w:val="16"/>
          <w:color w:val="auto"/>
        </w:rPr>
        <w:t>    maters</w:t>
      </w:r>
    </w:p>
    <w:p>
      <w:pPr>
        <w:spacing w:after="0" w:line="65" w:lineRule="exact"/>
        <w:rPr>
          <w:rFonts w:ascii="Calibri" w:cs="Calibri" w:eastAsia="Calibri" w:hAnsi="Calibri"/>
          <w:sz w:val="16"/>
          <w:szCs w:val="16"/>
          <w:color w:val="auto"/>
        </w:rPr>
      </w:pPr>
    </w:p>
    <w:p>
      <w:pPr>
        <w:ind w:left="760" w:hanging="84"/>
        <w:spacing w:after="0"/>
        <w:tabs>
          <w:tab w:leader="none" w:pos="760" w:val="left"/>
        </w:tabs>
        <w:numPr>
          <w:ilvl w:val="0"/>
          <w:numId w:val="11"/>
        </w:numPr>
        <w:rPr>
          <w:rFonts w:ascii="Calibri" w:cs="Calibri" w:eastAsia="Calibri" w:hAnsi="Calibri"/>
          <w:sz w:val="16"/>
          <w:szCs w:val="16"/>
          <w:color w:val="auto"/>
        </w:rPr>
      </w:pPr>
      <w:r>
        <w:rPr>
          <w:rFonts w:ascii="Calibri" w:cs="Calibri" w:eastAsia="Calibri" w:hAnsi="Calibri"/>
          <w:sz w:val="16"/>
          <w:szCs w:val="16"/>
          <w:color w:val="auto"/>
        </w:rPr>
        <w:t>  •    compliance programs, and</w:t>
      </w:r>
    </w:p>
    <w:p>
      <w:pPr>
        <w:spacing w:after="0" w:line="64" w:lineRule="exact"/>
        <w:rPr>
          <w:rFonts w:ascii="Calibri" w:cs="Calibri" w:eastAsia="Calibri" w:hAnsi="Calibri"/>
          <w:sz w:val="16"/>
          <w:szCs w:val="16"/>
          <w:color w:val="auto"/>
        </w:rPr>
      </w:pPr>
    </w:p>
    <w:p>
      <w:pPr>
        <w:ind w:left="760" w:hanging="84"/>
        <w:spacing w:after="0"/>
        <w:tabs>
          <w:tab w:leader="none" w:pos="760" w:val="left"/>
        </w:tabs>
        <w:numPr>
          <w:ilvl w:val="0"/>
          <w:numId w:val="11"/>
        </w:numPr>
        <w:rPr>
          <w:rFonts w:ascii="Calibri" w:cs="Calibri" w:eastAsia="Calibri" w:hAnsi="Calibri"/>
          <w:sz w:val="16"/>
          <w:szCs w:val="16"/>
          <w:color w:val="auto"/>
        </w:rPr>
      </w:pPr>
      <w:r>
        <w:rPr>
          <w:rFonts w:ascii="Calibri" w:cs="Calibri" w:eastAsia="Calibri" w:hAnsi="Calibri"/>
          <w:sz w:val="16"/>
          <w:szCs w:val="16"/>
          <w:color w:val="auto"/>
        </w:rPr>
        <w:t>  •    corporate governance framework.</w:t>
      </w:r>
    </w:p>
    <w:p>
      <w:pPr>
        <w:spacing w:after="0" w:line="200" w:lineRule="exact"/>
        <w:rPr>
          <w:sz w:val="20"/>
          <w:szCs w:val="20"/>
          <w:color w:val="auto"/>
        </w:rPr>
      </w:pPr>
    </w:p>
    <w:p>
      <w:pPr>
        <w:spacing w:after="0" w:line="364" w:lineRule="exact"/>
        <w:rPr>
          <w:sz w:val="20"/>
          <w:szCs w:val="20"/>
          <w:color w:val="auto"/>
        </w:rPr>
      </w:pPr>
    </w:p>
    <w:p>
      <w:pPr>
        <w:ind w:left="1700"/>
        <w:spacing w:after="0"/>
        <w:rPr>
          <w:sz w:val="20"/>
          <w:szCs w:val="20"/>
          <w:color w:val="auto"/>
        </w:rPr>
      </w:pPr>
      <w:r>
        <w:rPr>
          <w:rFonts w:ascii="Calibri" w:cs="Calibri" w:eastAsia="Calibri" w:hAnsi="Calibri"/>
          <w:sz w:val="17"/>
          <w:szCs w:val="17"/>
          <w:b w:val="1"/>
          <w:bCs w:val="1"/>
          <w:color w:val="auto"/>
        </w:rPr>
        <w:t>Employee and stockholder engagement</w:t>
      </w:r>
    </w:p>
    <w:p>
      <w:pPr>
        <w:spacing w:after="0" w:line="97" w:lineRule="exact"/>
        <w:rPr>
          <w:sz w:val="20"/>
          <w:szCs w:val="20"/>
          <w:color w:val="auto"/>
        </w:rPr>
      </w:pPr>
    </w:p>
    <w:p>
      <w:pPr>
        <w:jc w:val="both"/>
        <w:ind w:left="1660" w:right="60"/>
        <w:spacing w:after="0" w:line="235" w:lineRule="auto"/>
        <w:rPr>
          <w:sz w:val="20"/>
          <w:szCs w:val="20"/>
          <w:color w:val="auto"/>
        </w:rPr>
      </w:pPr>
      <w:r>
        <w:rPr>
          <w:rFonts w:ascii="Calibri" w:cs="Calibri" w:eastAsia="Calibri" w:hAnsi="Calibri"/>
          <w:sz w:val="16"/>
          <w:szCs w:val="16"/>
          <w:color w:val="auto"/>
        </w:rPr>
        <w:t>Our directors are generally invited to visit any EXL ofce and have complete and open access to our management and employees.</w:t>
      </w:r>
    </w:p>
    <w:p>
      <w:pPr>
        <w:spacing w:after="0" w:line="233" w:lineRule="exact"/>
        <w:rPr>
          <w:sz w:val="20"/>
          <w:szCs w:val="20"/>
          <w:color w:val="auto"/>
        </w:rPr>
      </w:pPr>
    </w:p>
    <w:p>
      <w:pPr>
        <w:ind w:left="820" w:right="480"/>
        <w:spacing w:after="0" w:line="235" w:lineRule="auto"/>
        <w:rPr>
          <w:sz w:val="20"/>
          <w:szCs w:val="20"/>
          <w:color w:val="auto"/>
        </w:rPr>
      </w:pPr>
      <w:r>
        <w:rPr>
          <w:rFonts w:ascii="Calibri" w:cs="Calibri" w:eastAsia="Calibri" w:hAnsi="Calibri"/>
          <w:sz w:val="16"/>
          <w:szCs w:val="16"/>
          <w:color w:val="auto"/>
        </w:rPr>
        <w:t>They also take part in EXL company initatves in which they can engage with our employees, stakeholders and community members directly.</w:t>
      </w:r>
    </w:p>
    <w:p>
      <w:pPr>
        <w:spacing w:after="0" w:line="119" w:lineRule="exact"/>
        <w:rPr>
          <w:sz w:val="20"/>
          <w:szCs w:val="20"/>
          <w:color w:val="auto"/>
        </w:rPr>
      </w:pPr>
    </w:p>
    <w:p>
      <w:pPr>
        <w:jc w:val="center"/>
        <w:ind w:left="680"/>
        <w:spacing w:after="0"/>
        <w:rPr>
          <w:sz w:val="20"/>
          <w:szCs w:val="20"/>
          <w:color w:val="auto"/>
        </w:rPr>
      </w:pPr>
      <w:r>
        <w:rPr>
          <w:rFonts w:ascii="Calibri" w:cs="Calibri" w:eastAsia="Calibri" w:hAnsi="Calibri"/>
          <w:sz w:val="16"/>
          <w:szCs w:val="16"/>
          <w:color w:val="auto"/>
        </w:rPr>
        <w:t>•    In March 2023, together with our employee volunteers</w:t>
      </w:r>
    </w:p>
    <w:p>
      <w:pPr>
        <w:jc w:val="center"/>
        <w:ind w:left="680"/>
        <w:spacing w:after="0"/>
        <w:rPr>
          <w:sz w:val="20"/>
          <w:szCs w:val="20"/>
          <w:color w:val="auto"/>
        </w:rPr>
      </w:pPr>
      <w:r>
        <w:rPr>
          <w:rFonts w:ascii="Calibri" w:cs="Calibri" w:eastAsia="Calibri" w:hAnsi="Calibri"/>
          <w:sz w:val="16"/>
          <w:szCs w:val="16"/>
          <w:color w:val="auto"/>
        </w:rPr>
        <w:t xml:space="preserve">and </w:t>
      </w:r>
      <w:r>
        <w:rPr>
          <w:rFonts w:ascii="Calibri" w:cs="Calibri" w:eastAsia="Calibri" w:hAnsi="Calibri"/>
          <w:sz w:val="16"/>
          <w:szCs w:val="16"/>
          <w:b w:val="1"/>
          <w:bCs w:val="1"/>
          <w:color w:val="auto"/>
        </w:rPr>
        <w:t>Mr. Kapoor</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Ms. Minto</w:t>
      </w:r>
      <w:r>
        <w:rPr>
          <w:rFonts w:ascii="Calibri" w:cs="Calibri" w:eastAsia="Calibri" w:hAnsi="Calibri"/>
          <w:sz w:val="16"/>
          <w:szCs w:val="16"/>
          <w:color w:val="auto"/>
        </w:rPr>
        <w:t xml:space="preserve"> partcipated in one of our</w:t>
      </w:r>
    </w:p>
    <w:p>
      <w:pPr>
        <w:spacing w:after="0" w:line="10" w:lineRule="exact"/>
        <w:rPr>
          <w:sz w:val="20"/>
          <w:szCs w:val="20"/>
          <w:color w:val="auto"/>
        </w:rPr>
      </w:pPr>
    </w:p>
    <w:p>
      <w:pPr>
        <w:ind w:left="980" w:right="860" w:hanging="304"/>
        <w:spacing w:after="0" w:line="235" w:lineRule="auto"/>
        <w:tabs>
          <w:tab w:leader="none" w:pos="759" w:val="left"/>
        </w:tabs>
        <w:numPr>
          <w:ilvl w:val="0"/>
          <w:numId w:val="12"/>
        </w:numPr>
        <w:rPr>
          <w:rFonts w:ascii="Calibri" w:cs="Calibri" w:eastAsia="Calibri" w:hAnsi="Calibri"/>
          <w:sz w:val="16"/>
          <w:szCs w:val="16"/>
          <w:color w:val="auto"/>
        </w:rPr>
      </w:pPr>
      <w:r>
        <w:rPr>
          <w:rFonts w:ascii="Calibri" w:cs="Calibri" w:eastAsia="Calibri" w:hAnsi="Calibri"/>
          <w:sz w:val="16"/>
          <w:szCs w:val="16"/>
          <w:color w:val="auto"/>
        </w:rPr>
        <w:t>   community engagement actvites under our Educaton as a Foundaton Initatve with our partner, the OM School Foundaton, in India.</w:t>
      </w:r>
    </w:p>
    <w:p>
      <w:pPr>
        <w:spacing w:after="0" w:line="66" w:lineRule="exact"/>
        <w:rPr>
          <w:sz w:val="20"/>
          <w:szCs w:val="20"/>
          <w:color w:val="auto"/>
        </w:rPr>
      </w:pPr>
    </w:p>
    <w:p>
      <w:pPr>
        <w:ind w:left="820"/>
        <w:spacing w:after="0"/>
        <w:rPr>
          <w:sz w:val="20"/>
          <w:szCs w:val="20"/>
          <w:color w:val="auto"/>
        </w:rPr>
      </w:pPr>
      <w:r>
        <w:rPr>
          <w:rFonts w:ascii="Calibri" w:cs="Calibri" w:eastAsia="Calibri" w:hAnsi="Calibri"/>
          <w:sz w:val="16"/>
          <w:szCs w:val="16"/>
          <w:color w:val="auto"/>
        </w:rPr>
        <w:t>•    </w:t>
      </w:r>
      <w:r>
        <w:rPr>
          <w:rFonts w:ascii="Calibri" w:cs="Calibri" w:eastAsia="Calibri" w:hAnsi="Calibri"/>
          <w:sz w:val="16"/>
          <w:szCs w:val="16"/>
          <w:b w:val="1"/>
          <w:bCs w:val="1"/>
          <w:color w:val="auto"/>
        </w:rPr>
        <w:t>Mr. Pandit</w:t>
      </w:r>
      <w:r>
        <w:rPr>
          <w:rFonts w:ascii="Calibri" w:cs="Calibri" w:eastAsia="Calibri" w:hAnsi="Calibri"/>
          <w:sz w:val="16"/>
          <w:szCs w:val="16"/>
          <w:color w:val="auto"/>
        </w:rPr>
        <w:t xml:space="preserve"> partcipated in our 2022-2023 stockholder</w:t>
      </w:r>
    </w:p>
    <w:p>
      <w:pPr>
        <w:spacing w:after="0" w:line="10" w:lineRule="exact"/>
        <w:rPr>
          <w:sz w:val="20"/>
          <w:szCs w:val="20"/>
          <w:color w:val="auto"/>
        </w:rPr>
      </w:pPr>
    </w:p>
    <w:p>
      <w:pPr>
        <w:ind w:left="980" w:right="780" w:hanging="304"/>
        <w:spacing w:after="0" w:line="235" w:lineRule="auto"/>
        <w:tabs>
          <w:tab w:leader="none" w:pos="759" w:val="left"/>
        </w:tabs>
        <w:numPr>
          <w:ilvl w:val="0"/>
          <w:numId w:val="13"/>
        </w:numPr>
        <w:rPr>
          <w:rFonts w:ascii="Calibri" w:cs="Calibri" w:eastAsia="Calibri" w:hAnsi="Calibri"/>
          <w:sz w:val="16"/>
          <w:szCs w:val="16"/>
          <w:color w:val="auto"/>
        </w:rPr>
      </w:pPr>
      <w:r>
        <w:rPr>
          <w:rFonts w:ascii="Calibri" w:cs="Calibri" w:eastAsia="Calibri" w:hAnsi="Calibri"/>
          <w:sz w:val="16"/>
          <w:szCs w:val="16"/>
          <w:color w:val="auto"/>
        </w:rPr>
        <w:t>   engagement program, by joining management in a discussion with one of our stockholders. See “Corporate governance—stockholder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spacing w:after="0"/>
        <w:rPr>
          <w:sz w:val="20"/>
          <w:szCs w:val="20"/>
          <w:color w:val="auto"/>
        </w:rPr>
      </w:pPr>
      <w:r>
        <w:rPr>
          <w:rFonts w:ascii="Calibri" w:cs="Calibri" w:eastAsia="Calibri" w:hAnsi="Calibri"/>
          <w:sz w:val="17"/>
          <w:szCs w:val="17"/>
          <w:b w:val="1"/>
          <w:bCs w:val="1"/>
          <w:color w:val="auto"/>
        </w:rPr>
        <w:t>Director contnuing educaton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-1678305</wp:posOffset>
            </wp:positionV>
            <wp:extent cx="7179310" cy="539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-438785</wp:posOffset>
            </wp:positionV>
            <wp:extent cx="6740525" cy="7046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0525" cy="7046595"/>
                    </a:xfrm>
                    <a:prstGeom prst="rect">
                      <a:avLst/>
                    </a:prstGeom>
                    <a:noFill/>
                  </pic:spPr>
                </pic:pic>
              </a:graphicData>
            </a:graphic>
          </wp:anchor>
        </w:drawing>
      </w:r>
    </w:p>
    <w:p>
      <w:pPr>
        <w:spacing w:after="0" w:line="64" w:lineRule="exact"/>
        <w:rPr>
          <w:sz w:val="20"/>
          <w:szCs w:val="20"/>
          <w:color w:val="auto"/>
        </w:rPr>
      </w:pPr>
    </w:p>
    <w:p>
      <w:pPr>
        <w:ind w:left="900" w:right="60"/>
        <w:spacing w:after="0" w:line="233" w:lineRule="auto"/>
        <w:rPr>
          <w:sz w:val="20"/>
          <w:szCs w:val="20"/>
          <w:color w:val="auto"/>
        </w:rPr>
      </w:pPr>
      <w:r>
        <w:rPr>
          <w:rFonts w:ascii="Calibri" w:cs="Calibri" w:eastAsia="Calibri" w:hAnsi="Calibri"/>
          <w:sz w:val="16"/>
          <w:szCs w:val="16"/>
          <w:color w:val="auto"/>
        </w:rPr>
        <w:t>We encourage our board members to partcipate in director contnuing educaton (“DCE”):</w:t>
      </w:r>
    </w:p>
    <w:p>
      <w:pPr>
        <w:spacing w:after="0" w:line="245" w:lineRule="exact"/>
        <w:rPr>
          <w:sz w:val="20"/>
          <w:szCs w:val="20"/>
          <w:color w:val="auto"/>
        </w:rPr>
      </w:pPr>
    </w:p>
    <w:p>
      <w:pPr>
        <w:ind w:left="1380" w:right="100" w:hanging="233"/>
        <w:spacing w:after="0" w:line="233" w:lineRule="auto"/>
        <w:rPr>
          <w:sz w:val="20"/>
          <w:szCs w:val="20"/>
          <w:color w:val="auto"/>
        </w:rPr>
      </w:pPr>
      <w:r>
        <w:rPr>
          <w:rFonts w:ascii="Calibri" w:cs="Calibri" w:eastAsia="Calibri" w:hAnsi="Calibri"/>
          <w:sz w:val="16"/>
          <w:szCs w:val="16"/>
          <w:color w:val="auto"/>
        </w:rPr>
        <w:t>•    We provide reimbursements for partcipaton in DCE courses</w:t>
      </w:r>
    </w:p>
    <w:p>
      <w:pPr>
        <w:spacing w:after="0" w:line="258" w:lineRule="exact"/>
        <w:rPr>
          <w:sz w:val="20"/>
          <w:szCs w:val="20"/>
          <w:color w:val="auto"/>
        </w:rPr>
      </w:pPr>
    </w:p>
    <w:p>
      <w:pPr>
        <w:jc w:val="both"/>
        <w:ind w:left="460" w:right="380" w:hanging="233"/>
        <w:spacing w:after="0" w:line="274" w:lineRule="auto"/>
        <w:rPr>
          <w:sz w:val="20"/>
          <w:szCs w:val="20"/>
          <w:color w:val="auto"/>
        </w:rPr>
      </w:pPr>
      <w:r>
        <w:rPr>
          <w:rFonts w:ascii="Calibri" w:cs="Calibri" w:eastAsia="Calibri" w:hAnsi="Calibri"/>
          <w:sz w:val="14"/>
          <w:szCs w:val="14"/>
          <w:color w:val="auto"/>
        </w:rPr>
        <w:t xml:space="preserve">•    We maintain a subscripton for our directors with the Natonal Associaton of Corporate Directors (“NACD”) and our directors actvely take part in NACD oferings. For example, </w:t>
      </w:r>
      <w:r>
        <w:rPr>
          <w:rFonts w:ascii="Calibri" w:cs="Calibri" w:eastAsia="Calibri" w:hAnsi="Calibri"/>
          <w:sz w:val="14"/>
          <w:szCs w:val="14"/>
          <w:b w:val="1"/>
          <w:bCs w:val="1"/>
          <w:color w:val="auto"/>
        </w:rPr>
        <w:t>Ms.</w:t>
      </w:r>
    </w:p>
    <w:p>
      <w:pPr>
        <w:ind w:left="460" w:right="80"/>
        <w:spacing w:after="0" w:line="293" w:lineRule="auto"/>
        <w:rPr>
          <w:sz w:val="20"/>
          <w:szCs w:val="20"/>
          <w:color w:val="auto"/>
        </w:rPr>
      </w:pPr>
      <w:r>
        <w:rPr>
          <w:rFonts w:ascii="Calibri" w:cs="Calibri" w:eastAsia="Calibri" w:hAnsi="Calibri"/>
          <w:sz w:val="14"/>
          <w:szCs w:val="14"/>
          <w:b w:val="1"/>
          <w:bCs w:val="1"/>
          <w:color w:val="auto"/>
        </w:rPr>
        <w:t xml:space="preserve">Studenmund </w:t>
      </w:r>
      <w:r>
        <w:rPr>
          <w:rFonts w:ascii="Calibri" w:cs="Calibri" w:eastAsia="Calibri" w:hAnsi="Calibri"/>
          <w:sz w:val="14"/>
          <w:szCs w:val="14"/>
          <w:color w:val="auto"/>
        </w:rPr>
        <w:t>is on an NACD Southern California special commitee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that meets regularly to discuss compensaton commitee maters</w:t>
      </w:r>
    </w:p>
    <w:p>
      <w:pPr>
        <w:spacing w:after="0" w:line="90" w:lineRule="exact"/>
        <w:rPr>
          <w:sz w:val="20"/>
          <w:szCs w:val="20"/>
          <w:color w:val="auto"/>
        </w:rPr>
      </w:pPr>
    </w:p>
    <w:p>
      <w:pPr>
        <w:ind w:left="460" w:right="180" w:hanging="233"/>
        <w:spacing w:after="0" w:line="237" w:lineRule="auto"/>
        <w:rPr>
          <w:sz w:val="20"/>
          <w:szCs w:val="20"/>
          <w:color w:val="auto"/>
        </w:rPr>
      </w:pPr>
      <w:r>
        <w:rPr>
          <w:rFonts w:ascii="Calibri" w:cs="Calibri" w:eastAsia="Calibri" w:hAnsi="Calibri"/>
          <w:sz w:val="16"/>
          <w:szCs w:val="16"/>
          <w:color w:val="auto"/>
        </w:rPr>
        <w:t>•    We provide regular updates to our directors on corporate governance and ESG maters, executve compensaton developments and trends, accountng standards changes, risk management maters and other legal and other topics of interest from a variety of internal and external sources.</w:t>
      </w:r>
    </w:p>
    <w:p>
      <w:pPr>
        <w:spacing w:after="0" w:line="235" w:lineRule="exact"/>
        <w:rPr>
          <w:sz w:val="20"/>
          <w:szCs w:val="20"/>
          <w:color w:val="auto"/>
        </w:rPr>
      </w:pPr>
    </w:p>
    <w:p>
      <w:pPr>
        <w:spacing w:after="0"/>
        <w:rPr>
          <w:sz w:val="20"/>
          <w:szCs w:val="20"/>
          <w:color w:val="auto"/>
        </w:rPr>
      </w:pPr>
      <w:r>
        <w:rPr>
          <w:rFonts w:ascii="Calibri" w:cs="Calibri" w:eastAsia="Calibri" w:hAnsi="Calibri"/>
          <w:sz w:val="16"/>
          <w:szCs w:val="16"/>
          <w:color w:val="auto"/>
        </w:rPr>
        <w:t xml:space="preserve">Our directors are actve DCE partcipants: For example, in 2022, </w:t>
      </w:r>
      <w:r>
        <w:rPr>
          <w:rFonts w:ascii="Calibri" w:cs="Calibri" w:eastAsia="Calibri" w:hAnsi="Calibri"/>
          <w:sz w:val="16"/>
          <w:szCs w:val="16"/>
          <w:b w:val="1"/>
          <w:bCs w:val="1"/>
          <w:color w:val="auto"/>
        </w:rPr>
        <w:t>Ms.</w:t>
      </w:r>
    </w:p>
    <w:p>
      <w:pPr>
        <w:spacing w:after="0"/>
        <w:rPr>
          <w:sz w:val="20"/>
          <w:szCs w:val="20"/>
          <w:color w:val="auto"/>
        </w:rPr>
      </w:pPr>
      <w:r>
        <w:rPr>
          <w:rFonts w:ascii="Calibri" w:cs="Calibri" w:eastAsia="Calibri" w:hAnsi="Calibri"/>
          <w:sz w:val="16"/>
          <w:szCs w:val="16"/>
          <w:b w:val="1"/>
          <w:bCs w:val="1"/>
          <w:color w:val="auto"/>
        </w:rPr>
        <w:t>Pipes</w:t>
      </w:r>
      <w:r>
        <w:rPr>
          <w:rFonts w:ascii="Calibri" w:cs="Calibri" w:eastAsia="Calibri" w:hAnsi="Calibri"/>
          <w:sz w:val="16"/>
          <w:szCs w:val="16"/>
          <w:color w:val="auto"/>
        </w:rPr>
        <w:t>:</w:t>
      </w:r>
    </w:p>
    <w:p>
      <w:pPr>
        <w:spacing w:after="0" w:line="117" w:lineRule="exact"/>
        <w:rPr>
          <w:sz w:val="20"/>
          <w:szCs w:val="20"/>
          <w:color w:val="auto"/>
        </w:rPr>
      </w:pPr>
    </w:p>
    <w:p>
      <w:pPr>
        <w:ind w:left="240"/>
        <w:spacing w:after="0"/>
        <w:rPr>
          <w:sz w:val="20"/>
          <w:szCs w:val="20"/>
          <w:color w:val="auto"/>
        </w:rPr>
      </w:pPr>
      <w:r>
        <w:rPr>
          <w:rFonts w:ascii="Calibri" w:cs="Calibri" w:eastAsia="Calibri" w:hAnsi="Calibri"/>
          <w:sz w:val="16"/>
          <w:szCs w:val="16"/>
          <w:color w:val="auto"/>
        </w:rPr>
        <w:t>•    atended the annual KPMG Board Leadership Conference,</w:t>
      </w:r>
    </w:p>
    <w:p>
      <w:pPr>
        <w:spacing w:after="0" w:line="127" w:lineRule="exact"/>
        <w:rPr>
          <w:sz w:val="20"/>
          <w:szCs w:val="20"/>
          <w:color w:val="auto"/>
        </w:rPr>
      </w:pPr>
    </w:p>
    <w:p>
      <w:pPr>
        <w:ind w:left="460" w:right="740" w:hanging="233"/>
        <w:spacing w:after="0" w:line="233" w:lineRule="auto"/>
        <w:rPr>
          <w:sz w:val="20"/>
          <w:szCs w:val="20"/>
          <w:color w:val="auto"/>
        </w:rPr>
      </w:pPr>
      <w:r>
        <w:rPr>
          <w:rFonts w:ascii="Calibri" w:cs="Calibri" w:eastAsia="Calibri" w:hAnsi="Calibri"/>
          <w:sz w:val="16"/>
          <w:szCs w:val="16"/>
          <w:color w:val="auto"/>
        </w:rPr>
        <w:t>•    partcipated in over 50 hours of courses and trainings on cybersecurity and ESG, among other topics, and</w:t>
      </w:r>
    </w:p>
    <w:p>
      <w:pPr>
        <w:spacing w:after="0" w:line="128" w:lineRule="exact"/>
        <w:rPr>
          <w:sz w:val="20"/>
          <w:szCs w:val="20"/>
          <w:color w:val="auto"/>
        </w:rPr>
      </w:pPr>
    </w:p>
    <w:p>
      <w:pPr>
        <w:jc w:val="both"/>
        <w:ind w:left="460" w:right="620" w:hanging="233"/>
        <w:spacing w:after="0" w:line="235" w:lineRule="auto"/>
        <w:rPr>
          <w:sz w:val="20"/>
          <w:szCs w:val="20"/>
          <w:color w:val="auto"/>
        </w:rPr>
      </w:pPr>
      <w:r>
        <w:rPr>
          <w:rFonts w:ascii="Calibri" w:cs="Calibri" w:eastAsia="Calibri" w:hAnsi="Calibri"/>
          <w:sz w:val="16"/>
          <w:szCs w:val="16"/>
          <w:color w:val="auto"/>
        </w:rPr>
        <w:t>•    received an NACD Cybersecurity certfcaton following her partcipaton in the NACD’s course on Cybersecurity led by Carnegie Mellon University.</w:t>
      </w:r>
    </w:p>
    <w:p>
      <w:pPr>
        <w:spacing w:after="0" w:line="246" w:lineRule="exact"/>
        <w:rPr>
          <w:sz w:val="20"/>
          <w:szCs w:val="20"/>
          <w:color w:val="auto"/>
        </w:rPr>
      </w:pPr>
    </w:p>
    <w:p>
      <w:pPr>
        <w:ind w:right="380"/>
        <w:spacing w:after="0" w:line="233" w:lineRule="auto"/>
        <w:rPr>
          <w:sz w:val="20"/>
          <w:szCs w:val="20"/>
          <w:color w:val="auto"/>
        </w:rPr>
      </w:pPr>
      <w:r>
        <w:rPr>
          <w:rFonts w:ascii="Calibri" w:cs="Calibri" w:eastAsia="Calibri" w:hAnsi="Calibri"/>
          <w:sz w:val="16"/>
          <w:szCs w:val="16"/>
          <w:color w:val="auto"/>
        </w:rPr>
        <w:t>Certain of our directors are also involved in industry-level governance maters. For example:</w:t>
      </w:r>
    </w:p>
    <w:p>
      <w:pPr>
        <w:spacing w:after="0" w:line="128" w:lineRule="exact"/>
        <w:rPr>
          <w:sz w:val="20"/>
          <w:szCs w:val="20"/>
          <w:color w:val="auto"/>
        </w:rPr>
      </w:pPr>
    </w:p>
    <w:p>
      <w:pPr>
        <w:ind w:left="460" w:right="60" w:hanging="233"/>
        <w:spacing w:after="0" w:line="238" w:lineRule="auto"/>
        <w:rPr>
          <w:sz w:val="20"/>
          <w:szCs w:val="20"/>
          <w:color w:val="auto"/>
        </w:rPr>
      </w:pPr>
      <w:r>
        <w:rPr>
          <w:rFonts w:ascii="Calibri" w:cs="Calibri" w:eastAsia="Calibri" w:hAnsi="Calibri"/>
          <w:sz w:val="16"/>
          <w:szCs w:val="16"/>
          <w:color w:val="auto"/>
        </w:rPr>
        <w:t>•    </w:t>
      </w:r>
      <w:r>
        <w:rPr>
          <w:rFonts w:ascii="Calibri" w:cs="Calibri" w:eastAsia="Calibri" w:hAnsi="Calibri"/>
          <w:sz w:val="16"/>
          <w:szCs w:val="16"/>
          <w:b w:val="1"/>
          <w:bCs w:val="1"/>
          <w:color w:val="auto"/>
        </w:rPr>
        <w:t>Mr. Mital</w:t>
      </w:r>
      <w:r>
        <w:rPr>
          <w:rFonts w:ascii="Calibri" w:cs="Calibri" w:eastAsia="Calibri" w:hAnsi="Calibri"/>
          <w:sz w:val="16"/>
          <w:szCs w:val="16"/>
          <w:color w:val="auto"/>
        </w:rPr>
        <w:t xml:space="preserve"> is the former president and chairman of the Natonal Associaton of Sofware and Service Companies (“NASSCOM”), an Indian trade associaton and governance group focused on the informaton technology and business process outsourcing industry, in which we, and many of our U.S. peer companies with operatons in India, are members. He advises NASSCOM on best practces for corporate governance and is currently assistng NASSCOM in the development of data privacy legislaton in India.</w:t>
      </w:r>
    </w:p>
    <w:p>
      <w:pPr>
        <w:spacing w:after="0" w:line="200" w:lineRule="exact"/>
        <w:rPr>
          <w:sz w:val="20"/>
          <w:szCs w:val="20"/>
          <w:color w:val="auto"/>
        </w:rPr>
      </w:pPr>
    </w:p>
    <w:p>
      <w:pPr>
        <w:sectPr>
          <w:pgSz w:w="11900" w:h="16838" w:orient="portrait"/>
          <w:cols w:equalWidth="0" w:num="2">
            <w:col w:w="5300" w:space="620"/>
            <w:col w:w="4760"/>
          </w:cols>
          <w:pgMar w:left="320" w:top="47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1940" w:type="dxa"/>
            <w:vAlign w:val="bottom"/>
            <w:gridSpan w:val="2"/>
          </w:tcPr>
          <w:p>
            <w:pPr>
              <w:ind w:left="180"/>
              <w:spacing w:after="0"/>
              <w:rPr>
                <w:sz w:val="20"/>
                <w:szCs w:val="20"/>
                <w:color w:val="auto"/>
              </w:rPr>
            </w:pPr>
            <w:r>
              <w:rPr>
                <w:rFonts w:ascii="Calibri" w:cs="Calibri" w:eastAsia="Calibri" w:hAnsi="Calibri"/>
                <w:sz w:val="14"/>
                <w:szCs w:val="14"/>
                <w:b w:val="1"/>
                <w:bCs w:val="1"/>
                <w:i w:val="1"/>
                <w:iCs w:val="1"/>
                <w:color w:val="auto"/>
              </w:rPr>
              <w:t>Anne Minto</w:t>
            </w:r>
          </w:p>
        </w:tc>
        <w:tc>
          <w:tcPr>
            <w:tcW w:w="1460" w:type="dxa"/>
            <w:vAlign w:val="bottom"/>
          </w:tcPr>
          <w:p>
            <w:pPr>
              <w:ind w:left="40"/>
              <w:spacing w:after="0"/>
              <w:rPr>
                <w:sz w:val="20"/>
                <w:szCs w:val="20"/>
                <w:color w:val="auto"/>
              </w:rPr>
            </w:pPr>
            <w:r>
              <w:rPr>
                <w:rFonts w:ascii="Calibri" w:cs="Calibri" w:eastAsia="Calibri" w:hAnsi="Calibri"/>
                <w:sz w:val="14"/>
                <w:szCs w:val="14"/>
                <w:b w:val="1"/>
                <w:bCs w:val="1"/>
                <w:i w:val="1"/>
                <w:iCs w:val="1"/>
                <w:color w:val="auto"/>
              </w:rPr>
              <w:t>Kristy Pipes</w:t>
            </w:r>
          </w:p>
        </w:tc>
        <w:tc>
          <w:tcPr>
            <w:tcW w:w="1520" w:type="dxa"/>
            <w:vAlign w:val="bottom"/>
          </w:tcPr>
          <w:p>
            <w:pPr>
              <w:ind w:left="260"/>
              <w:spacing w:after="0"/>
              <w:rPr>
                <w:sz w:val="20"/>
                <w:szCs w:val="20"/>
                <w:color w:val="auto"/>
              </w:rPr>
            </w:pPr>
            <w:r>
              <w:rPr>
                <w:rFonts w:ascii="Calibri" w:cs="Calibri" w:eastAsia="Calibri" w:hAnsi="Calibri"/>
                <w:sz w:val="14"/>
                <w:szCs w:val="14"/>
                <w:b w:val="1"/>
                <w:bCs w:val="1"/>
                <w:i w:val="1"/>
                <w:iCs w:val="1"/>
                <w:color w:val="auto"/>
              </w:rPr>
              <w:t>Rohit Kapoor</w:t>
            </w:r>
          </w:p>
        </w:tc>
        <w:tc>
          <w:tcPr>
            <w:tcW w:w="1920" w:type="dxa"/>
            <w:vAlign w:val="bottom"/>
          </w:tcPr>
          <w:p>
            <w:pPr>
              <w:ind w:left="440"/>
              <w:spacing w:after="0"/>
              <w:rPr>
                <w:sz w:val="20"/>
                <w:szCs w:val="20"/>
                <w:color w:val="auto"/>
              </w:rPr>
            </w:pPr>
            <w:r>
              <w:rPr>
                <w:rFonts w:ascii="Calibri" w:cs="Calibri" w:eastAsia="Calibri" w:hAnsi="Calibri"/>
                <w:sz w:val="14"/>
                <w:szCs w:val="14"/>
                <w:b w:val="1"/>
                <w:bCs w:val="1"/>
                <w:i w:val="1"/>
                <w:iCs w:val="1"/>
                <w:color w:val="auto"/>
              </w:rPr>
              <w:t>Vikram Pandit</w:t>
            </w:r>
          </w:p>
        </w:tc>
        <w:tc>
          <w:tcPr>
            <w:tcW w:w="1640" w:type="dxa"/>
            <w:vAlign w:val="bottom"/>
          </w:tcPr>
          <w:p>
            <w:pPr>
              <w:ind w:left="200"/>
              <w:spacing w:after="0"/>
              <w:rPr>
                <w:sz w:val="20"/>
                <w:szCs w:val="20"/>
                <w:color w:val="auto"/>
              </w:rPr>
            </w:pPr>
            <w:r>
              <w:rPr>
                <w:rFonts w:ascii="Calibri" w:cs="Calibri" w:eastAsia="Calibri" w:hAnsi="Calibri"/>
                <w:sz w:val="14"/>
                <w:szCs w:val="14"/>
                <w:b w:val="1"/>
                <w:bCs w:val="1"/>
                <w:i w:val="1"/>
                <w:iCs w:val="1"/>
                <w:color w:val="auto"/>
              </w:rPr>
              <w:t>Som Mital</w:t>
            </w:r>
          </w:p>
        </w:tc>
        <w:tc>
          <w:tcPr>
            <w:tcW w:w="1440" w:type="dxa"/>
            <w:vAlign w:val="bottom"/>
          </w:tcPr>
          <w:p>
            <w:pPr>
              <w:ind w:left="260"/>
              <w:spacing w:after="0"/>
              <w:rPr>
                <w:sz w:val="20"/>
                <w:szCs w:val="20"/>
                <w:color w:val="auto"/>
              </w:rPr>
            </w:pPr>
            <w:r>
              <w:rPr>
                <w:rFonts w:ascii="Calibri" w:cs="Calibri" w:eastAsia="Calibri" w:hAnsi="Calibri"/>
                <w:sz w:val="14"/>
                <w:szCs w:val="14"/>
                <w:b w:val="1"/>
                <w:bCs w:val="1"/>
                <w:i w:val="1"/>
                <w:iCs w:val="1"/>
                <w:color w:val="auto"/>
              </w:rPr>
              <w:t>Jaynie Studenmund</w:t>
            </w:r>
          </w:p>
        </w:tc>
      </w:tr>
      <w:tr>
        <w:trPr>
          <w:trHeight w:val="169"/>
        </w:trPr>
        <w:tc>
          <w:tcPr>
            <w:tcW w:w="340" w:type="dxa"/>
            <w:vAlign w:val="bottom"/>
          </w:tcPr>
          <w:p>
            <w:pPr>
              <w:spacing w:after="0"/>
              <w:rPr>
                <w:sz w:val="14"/>
                <w:szCs w:val="14"/>
                <w:color w:val="auto"/>
              </w:rPr>
            </w:pPr>
          </w:p>
        </w:tc>
        <w:tc>
          <w:tcPr>
            <w:tcW w:w="1940" w:type="dxa"/>
            <w:vAlign w:val="bottom"/>
            <w:gridSpan w:val="2"/>
          </w:tcPr>
          <w:p>
            <w:pPr>
              <w:ind w:left="180"/>
              <w:spacing w:after="0" w:line="169" w:lineRule="exact"/>
              <w:rPr>
                <w:sz w:val="20"/>
                <w:szCs w:val="20"/>
                <w:color w:val="auto"/>
              </w:rPr>
            </w:pPr>
            <w:r>
              <w:rPr>
                <w:rFonts w:ascii="Calibri" w:cs="Calibri" w:eastAsia="Calibri" w:hAnsi="Calibri"/>
                <w:sz w:val="14"/>
                <w:szCs w:val="14"/>
                <w:i w:val="1"/>
                <w:iCs w:val="1"/>
                <w:color w:val="auto"/>
              </w:rPr>
              <w:t>Independent director</w:t>
            </w:r>
          </w:p>
        </w:tc>
        <w:tc>
          <w:tcPr>
            <w:tcW w:w="1460" w:type="dxa"/>
            <w:vAlign w:val="bottom"/>
          </w:tcPr>
          <w:p>
            <w:pPr>
              <w:ind w:left="40"/>
              <w:spacing w:after="0" w:line="169" w:lineRule="exact"/>
              <w:rPr>
                <w:sz w:val="20"/>
                <w:szCs w:val="20"/>
                <w:color w:val="auto"/>
              </w:rPr>
            </w:pPr>
            <w:r>
              <w:rPr>
                <w:rFonts w:ascii="Calibri" w:cs="Calibri" w:eastAsia="Calibri" w:hAnsi="Calibri"/>
                <w:sz w:val="14"/>
                <w:szCs w:val="14"/>
                <w:i w:val="1"/>
                <w:iCs w:val="1"/>
                <w:color w:val="auto"/>
              </w:rPr>
              <w:t>Independent director</w:t>
            </w:r>
          </w:p>
        </w:tc>
        <w:tc>
          <w:tcPr>
            <w:tcW w:w="1520" w:type="dxa"/>
            <w:vAlign w:val="bottom"/>
          </w:tcPr>
          <w:p>
            <w:pPr>
              <w:ind w:left="260"/>
              <w:spacing w:after="0" w:line="169" w:lineRule="exact"/>
              <w:rPr>
                <w:sz w:val="20"/>
                <w:szCs w:val="20"/>
                <w:color w:val="auto"/>
              </w:rPr>
            </w:pPr>
            <w:r>
              <w:rPr>
                <w:rFonts w:ascii="Calibri" w:cs="Calibri" w:eastAsia="Calibri" w:hAnsi="Calibri"/>
                <w:sz w:val="14"/>
                <w:szCs w:val="14"/>
                <w:i w:val="1"/>
                <w:iCs w:val="1"/>
                <w:color w:val="auto"/>
              </w:rPr>
              <w:t>Vice Chairman</w:t>
            </w:r>
          </w:p>
        </w:tc>
        <w:tc>
          <w:tcPr>
            <w:tcW w:w="1920" w:type="dxa"/>
            <w:vAlign w:val="bottom"/>
          </w:tcPr>
          <w:p>
            <w:pPr>
              <w:ind w:left="440"/>
              <w:spacing w:after="0" w:line="169" w:lineRule="exact"/>
              <w:rPr>
                <w:sz w:val="20"/>
                <w:szCs w:val="20"/>
                <w:color w:val="auto"/>
              </w:rPr>
            </w:pPr>
            <w:r>
              <w:rPr>
                <w:rFonts w:ascii="Calibri" w:cs="Calibri" w:eastAsia="Calibri" w:hAnsi="Calibri"/>
                <w:sz w:val="14"/>
                <w:szCs w:val="14"/>
                <w:i w:val="1"/>
                <w:iCs w:val="1"/>
                <w:color w:val="auto"/>
              </w:rPr>
              <w:t>Independent Chairman</w:t>
            </w:r>
          </w:p>
        </w:tc>
        <w:tc>
          <w:tcPr>
            <w:tcW w:w="1640" w:type="dxa"/>
            <w:vAlign w:val="bottom"/>
          </w:tcPr>
          <w:p>
            <w:pPr>
              <w:ind w:left="200"/>
              <w:spacing w:after="0" w:line="169" w:lineRule="exact"/>
              <w:rPr>
                <w:sz w:val="20"/>
                <w:szCs w:val="20"/>
                <w:color w:val="auto"/>
              </w:rPr>
            </w:pPr>
            <w:r>
              <w:rPr>
                <w:rFonts w:ascii="Calibri" w:cs="Calibri" w:eastAsia="Calibri" w:hAnsi="Calibri"/>
                <w:sz w:val="14"/>
                <w:szCs w:val="14"/>
                <w:i w:val="1"/>
                <w:iCs w:val="1"/>
                <w:color w:val="auto"/>
              </w:rPr>
              <w:t>Independent director</w:t>
            </w:r>
          </w:p>
        </w:tc>
        <w:tc>
          <w:tcPr>
            <w:tcW w:w="1440" w:type="dxa"/>
            <w:vAlign w:val="bottom"/>
          </w:tcPr>
          <w:p>
            <w:pPr>
              <w:ind w:left="260"/>
              <w:spacing w:after="0" w:line="169" w:lineRule="exact"/>
              <w:rPr>
                <w:sz w:val="20"/>
                <w:szCs w:val="20"/>
                <w:color w:val="auto"/>
              </w:rPr>
            </w:pPr>
            <w:r>
              <w:rPr>
                <w:rFonts w:ascii="Calibri" w:cs="Calibri" w:eastAsia="Calibri" w:hAnsi="Calibri"/>
                <w:sz w:val="14"/>
                <w:szCs w:val="14"/>
                <w:i w:val="1"/>
                <w:iCs w:val="1"/>
                <w:color w:val="auto"/>
                <w:w w:val="97"/>
              </w:rPr>
              <w:t>Independent director</w:t>
            </w:r>
          </w:p>
        </w:tc>
      </w:tr>
      <w:tr>
        <w:trPr>
          <w:trHeight w:val="169"/>
        </w:trPr>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ind w:left="260"/>
              <w:spacing w:after="0" w:line="169" w:lineRule="exact"/>
              <w:rPr>
                <w:sz w:val="20"/>
                <w:szCs w:val="20"/>
                <w:color w:val="auto"/>
              </w:rPr>
            </w:pPr>
            <w:r>
              <w:rPr>
                <w:rFonts w:ascii="Calibri" w:cs="Calibri" w:eastAsia="Calibri" w:hAnsi="Calibri"/>
                <w:sz w:val="14"/>
                <w:szCs w:val="14"/>
                <w:i w:val="1"/>
                <w:iCs w:val="1"/>
                <w:color w:val="auto"/>
              </w:rPr>
              <w:t>and CEO</w:t>
            </w: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28"/>
        </w:trPr>
        <w:tc>
          <w:tcPr>
            <w:tcW w:w="340" w:type="dxa"/>
            <w:vAlign w:val="bottom"/>
          </w:tcPr>
          <w:p>
            <w:pPr>
              <w:jc w:val="right"/>
              <w:ind w:right="73"/>
              <w:spacing w:after="0"/>
              <w:rPr>
                <w:sz w:val="20"/>
                <w:szCs w:val="20"/>
                <w:color w:val="auto"/>
              </w:rPr>
            </w:pPr>
            <w:r>
              <w:rPr>
                <w:rFonts w:ascii="Calibri" w:cs="Calibri" w:eastAsia="Calibri" w:hAnsi="Calibri"/>
                <w:sz w:val="17"/>
                <w:szCs w:val="17"/>
                <w:b w:val="1"/>
                <w:bCs w:val="1"/>
                <w:color w:val="auto"/>
                <w:w w:val="92"/>
              </w:rPr>
              <w:t>32</w:t>
            </w:r>
          </w:p>
        </w:tc>
        <w:tc>
          <w:tcPr>
            <w:tcW w:w="400" w:type="dxa"/>
            <w:vAlign w:val="bottom"/>
          </w:tcPr>
          <w:p>
            <w:pPr>
              <w:ind w:left="160"/>
              <w:spacing w:after="0"/>
              <w:rPr>
                <w:sz w:val="20"/>
                <w:szCs w:val="20"/>
                <w:color w:val="auto"/>
              </w:rPr>
            </w:pPr>
            <w:r>
              <w:rPr>
                <w:rFonts w:ascii="Calibri" w:cs="Calibri" w:eastAsia="Calibri" w:hAnsi="Calibri"/>
                <w:sz w:val="28"/>
                <w:szCs w:val="28"/>
                <w:b w:val="1"/>
                <w:bCs w:val="1"/>
                <w:color w:val="FB4E0B"/>
              </w:rPr>
              <w:t>/</w:t>
            </w:r>
          </w:p>
        </w:tc>
        <w:tc>
          <w:tcPr>
            <w:tcW w:w="1540" w:type="dxa"/>
            <w:vAlign w:val="bottom"/>
          </w:tcPr>
          <w:p>
            <w:pPr>
              <w:ind w:left="120"/>
              <w:spacing w:after="0"/>
              <w:rPr>
                <w:sz w:val="20"/>
                <w:szCs w:val="20"/>
                <w:color w:val="auto"/>
              </w:rPr>
            </w:pPr>
            <w:r>
              <w:rPr>
                <w:rFonts w:ascii="Calibri" w:cs="Calibri" w:eastAsia="Calibri" w:hAnsi="Calibri"/>
                <w:sz w:val="13"/>
                <w:szCs w:val="13"/>
                <w:color w:val="auto"/>
              </w:rPr>
              <w:t>EXL 2023 Proxy Statement</w:t>
            </w: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680"/>
          </w:cols>
          <w:pgMar w:left="320" w:top="471" w:right="8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leadership structure</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Vikram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-1934210</wp:posOffset>
            </wp:positionV>
            <wp:extent cx="1404620" cy="17183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ind w:left="320"/>
        <w:spacing w:after="0"/>
        <w:rPr>
          <w:sz w:val="20"/>
          <w:szCs w:val="20"/>
          <w:color w:val="auto"/>
        </w:rPr>
      </w:pPr>
      <w:r>
        <w:rPr>
          <w:rFonts w:ascii="Calibri" w:cs="Calibri" w:eastAsia="Calibri" w:hAnsi="Calibri"/>
          <w:sz w:val="16"/>
          <w:szCs w:val="16"/>
          <w:i w:val="1"/>
          <w:iCs w:val="1"/>
          <w:color w:val="auto"/>
        </w:rPr>
        <w:t>Independent Chairman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640" w:right="160"/>
        <w:spacing w:after="0" w:line="239" w:lineRule="auto"/>
        <w:rPr>
          <w:sz w:val="20"/>
          <w:szCs w:val="20"/>
          <w:color w:val="auto"/>
        </w:rPr>
      </w:pPr>
      <w:r>
        <w:rPr>
          <w:rFonts w:ascii="Calibri" w:cs="Calibri" w:eastAsia="Calibri" w:hAnsi="Calibri"/>
          <w:sz w:val="17"/>
          <w:szCs w:val="17"/>
          <w:color w:val="auto"/>
        </w:rPr>
        <w:t>Our board of directors is currently led by Vikram Pandit, our Chairman, and Rohit Kapoor, 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404620" cy="17183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pacing w:after="0" w:line="217" w:lineRule="exact"/>
        <w:rPr>
          <w:sz w:val="20"/>
          <w:szCs w:val="20"/>
          <w:color w:val="auto"/>
        </w:rPr>
      </w:pPr>
    </w:p>
    <w:p>
      <w:pPr>
        <w:ind w:left="2640" w:right="60"/>
        <w:spacing w:after="0"/>
        <w:rPr>
          <w:sz w:val="20"/>
          <w:szCs w:val="20"/>
          <w:color w:val="auto"/>
        </w:rPr>
      </w:pPr>
      <w:r>
        <w:rPr>
          <w:rFonts w:ascii="Calibri" w:cs="Calibri" w:eastAsia="Calibri" w:hAnsi="Calibri"/>
          <w:sz w:val="17"/>
          <w:szCs w:val="17"/>
          <w:color w:val="auto"/>
        </w:rPr>
        <w:t>Our Fifh Amended and Restated By-laws (our “By-laws”) provide that our Chairman or, in the absence of our Chairman, our Lead Director (if there is a Lead Director serving at such tme), or in the absence of both our Chairman and Lead Director, our CEO, calls meetngs of our board of directors to order and acts as the chair for those board meetngs. In the absence of our Chairman, our Lead Director (if there is a Lead Director serving at such tme), and our CEO, a majority of our directors present may elect as chair of the meetng any director present. Independent directors meet at least quarterly in executve session without any management</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Rohit Kapoor</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Vice Chairman and CEO</w:t>
      </w:r>
    </w:p>
    <w:p>
      <w:pPr>
        <w:spacing w:after="0" w:line="171" w:lineRule="exact"/>
        <w:rPr>
          <w:sz w:val="20"/>
          <w:szCs w:val="20"/>
          <w:color w:val="auto"/>
        </w:rPr>
      </w:pPr>
    </w:p>
    <w:p>
      <w:pPr>
        <w:sectPr>
          <w:pgSz w:w="11900" w:h="16838" w:orient="portrait"/>
          <w:cols w:equalWidth="0" w:num="2">
            <w:col w:w="2580" w:space="720"/>
            <w:col w:w="7640"/>
          </w:cols>
          <w:pgMar w:left="320" w:top="471" w:right="639" w:bottom="1440" w:gutter="0" w:footer="0" w:header="0"/>
          <w:type w:val="continuous"/>
        </w:sectPr>
      </w:pPr>
    </w:p>
    <w:p>
      <w:pPr>
        <w:ind w:left="320" w:right="320"/>
        <w:spacing w:after="0" w:line="239" w:lineRule="auto"/>
        <w:rPr>
          <w:sz w:val="20"/>
          <w:szCs w:val="20"/>
          <w:color w:val="auto"/>
        </w:rPr>
      </w:pPr>
      <w:r>
        <w:rPr>
          <w:rFonts w:ascii="Calibri" w:cs="Calibri" w:eastAsia="Calibri" w:hAnsi="Calibri"/>
          <w:sz w:val="17"/>
          <w:szCs w:val="17"/>
          <w:color w:val="auto"/>
        </w:rPr>
        <w:t>directors or members of the Company’s management present. Our Corporate Governance Guidelines provide that in the absence of our Chairman, our Lead Director (if there is a Lead Director serving at such tme) or, in the absence of the Lead Director, a director chosen by the directors meetng in executve session, presides at all executve sessions.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Consolidatng the Vice Chairman and CEO positons allows our CEO to contribute his experience and perspectve regarding management and leadership of the Company towards the goals of improved corporate governance and greater management accountability. In additon, the presence of our Chairman ensures that the board can retain sufcient delineaton of responsibilites, such that our Chairman and our Vice Chairman and CEO may each successfully and efectvely perform and discharge their respectve dutes and, as a corollary, enhance our prospects for success. As a result, the Company will beneft from the ability to integrate the collectve leadership and corporate governance experience of our Chairman and our Vice Chairman and CEO, while retaining the ability to facilitate the functoning of the board of directors independently of our management and to focus on our commitment to corporate governance.</w:t>
      </w:r>
    </w:p>
    <w:p>
      <w:pPr>
        <w:spacing w:after="0" w:line="31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the foregoing reasons, our board of directors has determined that its leadership structure is appropriate and in the best interests of our stockholders at this tme.</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33</w:t>
      </w:r>
    </w:p>
    <w:p>
      <w:pPr>
        <w:sectPr>
          <w:pgSz w:w="11900" w:h="16838" w:orient="portrait"/>
          <w:cols w:equalWidth="0" w:num="1">
            <w:col w:w="10940"/>
          </w:cols>
          <w:pgMar w:left="320" w:top="471" w:right="6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qualifcatons, refreshment and evaluatons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qualifcatons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94615</wp:posOffset>
            </wp:positionV>
            <wp:extent cx="2693035" cy="2428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2428875"/>
                    </a:xfrm>
                    <a:prstGeom prst="rect">
                      <a:avLst/>
                    </a:prstGeom>
                    <a:noFill/>
                  </pic:spPr>
                </pic:pic>
              </a:graphicData>
            </a:graphic>
          </wp:anchor>
        </w:drawing>
      </w:r>
    </w:p>
    <w:p>
      <w:pPr>
        <w:spacing w:after="0" w:line="297" w:lineRule="exact"/>
        <w:rPr>
          <w:sz w:val="20"/>
          <w:szCs w:val="20"/>
          <w:color w:val="auto"/>
        </w:rPr>
      </w:pPr>
    </w:p>
    <w:p>
      <w:pPr>
        <w:ind w:left="9360"/>
        <w:spacing w:after="0"/>
        <w:rPr>
          <w:sz w:val="20"/>
          <w:szCs w:val="20"/>
          <w:color w:val="auto"/>
        </w:rPr>
      </w:pPr>
      <w:r>
        <w:rPr>
          <w:rFonts w:ascii="Calibri" w:cs="Calibri" w:eastAsia="Calibri" w:hAnsi="Calibri"/>
          <w:sz w:val="16"/>
          <w:szCs w:val="16"/>
          <w:b w:val="1"/>
          <w:bCs w:val="1"/>
          <w:color w:val="auto"/>
        </w:rPr>
        <w:t>Key skills and atributes</w:t>
      </w:r>
    </w:p>
    <w:p>
      <w:pPr>
        <w:ind w:left="8720"/>
        <w:spacing w:after="0"/>
        <w:rPr>
          <w:sz w:val="20"/>
          <w:szCs w:val="20"/>
          <w:color w:val="auto"/>
        </w:rPr>
      </w:pPr>
      <w:r>
        <w:rPr>
          <w:rFonts w:ascii="Calibri" w:cs="Calibri" w:eastAsia="Calibri" w:hAnsi="Calibri"/>
          <w:sz w:val="16"/>
          <w:szCs w:val="16"/>
          <w:b w:val="1"/>
          <w:bCs w:val="1"/>
          <w:color w:val="auto"/>
        </w:rPr>
        <w:t>we look for in board nominees</w:t>
      </w:r>
    </w:p>
    <w:p>
      <w:pPr>
        <w:spacing w:after="0" w:line="88"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 Strategic insight and broad business perspectve</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 Critcal and innovatve thinking</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 High ethical standards and integrity</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 Mutual respect for other board members</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 Ability to debate constructvely</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 Candid, assertve, open minded</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 Availability and commitment to serve</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 Commitment to accountability, excellence and contnuous</w:t>
      </w:r>
    </w:p>
    <w:p>
      <w:pPr>
        <w:jc w:val="right"/>
        <w:ind w:right="220"/>
        <w:spacing w:after="0" w:line="237" w:lineRule="auto"/>
        <w:rPr>
          <w:sz w:val="20"/>
          <w:szCs w:val="20"/>
          <w:color w:val="auto"/>
        </w:rPr>
      </w:pPr>
      <w:r>
        <w:rPr>
          <w:rFonts w:ascii="Calibri" w:cs="Calibri" w:eastAsia="Calibri" w:hAnsi="Calibri"/>
          <w:sz w:val="14"/>
          <w:szCs w:val="14"/>
          <w:color w:val="auto"/>
        </w:rPr>
        <w:t>improvement</w:t>
      </w:r>
    </w:p>
    <w:p>
      <w:pPr>
        <w:spacing w:after="0" w:line="80"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 Commitment to driving our growth and success</w:t>
      </w:r>
    </w:p>
    <w:p>
      <w:pPr>
        <w:spacing w:after="0" w:line="79" w:lineRule="exact"/>
        <w:rPr>
          <w:sz w:val="20"/>
          <w:szCs w:val="20"/>
          <w:color w:val="auto"/>
        </w:rPr>
      </w:pPr>
    </w:p>
    <w:p>
      <w:pPr>
        <w:jc w:val="right"/>
        <w:ind w:right="220"/>
        <w:spacing w:after="0"/>
        <w:rPr>
          <w:sz w:val="20"/>
          <w:szCs w:val="20"/>
          <w:color w:val="auto"/>
        </w:rPr>
      </w:pPr>
      <w:r>
        <w:rPr>
          <w:sz w:val="1"/>
          <w:szCs w:val="1"/>
          <w:color w:val="auto"/>
        </w:rPr>
        <w:drawing>
          <wp:inline distT="0" distB="0" distL="0" distR="0">
            <wp:extent cx="156845" cy="990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i w:val="1"/>
          <w:iCs w:val="1"/>
          <w:color w:val="auto"/>
        </w:rPr>
        <w:t xml:space="preserve">    </w:t>
      </w:r>
      <w:r>
        <w:rPr>
          <w:rFonts w:ascii="Calibri" w:cs="Calibri" w:eastAsia="Calibri" w:hAnsi="Calibri"/>
          <w:sz w:val="14"/>
          <w:szCs w:val="14"/>
          <w:color w:val="auto"/>
        </w:rPr>
        <w:t>Proven leadership skills</w:t>
      </w:r>
    </w:p>
    <w:p>
      <w:pPr>
        <w:spacing w:after="0" w:line="335"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board of directors considers it paramount to achieving excellence in corporate governance to assemble a board of directors that, taken together, has the breadth of skills, qualifcatons, experience and atributes appropriate for functoning as the board of directors of our Company and working productvely with management. The Nominatng and Governance Commitee of the board is responsible for recommending nominees who are qualifed and bring a diverse set of skills and qualifcatons to oversee the Company efectvely.</w:t>
      </w:r>
    </w:p>
    <w:p>
      <w:pPr>
        <w:spacing w:after="0" w:line="200" w:lineRule="exact"/>
        <w:rPr>
          <w:sz w:val="20"/>
          <w:szCs w:val="20"/>
          <w:color w:val="auto"/>
        </w:rPr>
      </w:pPr>
    </w:p>
    <w:p>
      <w:pPr>
        <w:spacing w:after="0" w:line="219" w:lineRule="exact"/>
        <w:rPr>
          <w:sz w:val="20"/>
          <w:szCs w:val="20"/>
          <w:color w:val="auto"/>
        </w:rPr>
      </w:pPr>
    </w:p>
    <w:p>
      <w:pPr>
        <w:ind w:left="320" w:right="4720"/>
        <w:spacing w:after="0" w:line="255" w:lineRule="auto"/>
        <w:rPr>
          <w:sz w:val="20"/>
          <w:szCs w:val="20"/>
          <w:color w:val="auto"/>
        </w:rPr>
      </w:pPr>
      <w:r>
        <w:rPr>
          <w:rFonts w:ascii="Calibri" w:cs="Calibri" w:eastAsia="Calibri" w:hAnsi="Calibri"/>
          <w:sz w:val="16"/>
          <w:szCs w:val="16"/>
          <w:color w:val="auto"/>
        </w:rPr>
        <w:t>The Nominatng and Governance Commitee has not formally established any minimum qualifcatons for director candidates, but pursuant to our Corporate Governance Guidelines, our board of directors seeks members from diverse professional and personal backgrounds who combine a broad spectrum of experience and expertse with a reputaton for integrity. The Nominatng and Governance Commitee assesses each director candidate’s independence, diversity (including age,</w:t>
      </w:r>
    </w:p>
    <w:p>
      <w:pPr>
        <w:spacing w:after="0" w:line="4" w:lineRule="exact"/>
        <w:rPr>
          <w:sz w:val="20"/>
          <w:szCs w:val="20"/>
          <w:color w:val="auto"/>
        </w:rPr>
      </w:pPr>
    </w:p>
    <w:p>
      <w:pPr>
        <w:ind w:left="320" w:right="1420"/>
        <w:spacing w:after="0"/>
        <w:rPr>
          <w:sz w:val="20"/>
          <w:szCs w:val="20"/>
          <w:color w:val="auto"/>
        </w:rPr>
      </w:pPr>
      <w:r>
        <w:rPr>
          <w:rFonts w:ascii="Calibri" w:cs="Calibri" w:eastAsia="Calibri" w:hAnsi="Calibri"/>
          <w:sz w:val="17"/>
          <w:szCs w:val="17"/>
          <w:color w:val="auto"/>
        </w:rPr>
        <w:t>ethnicity, race and gender, among others), skills and experience in the context of the needs of the board of directors. The Nominatng and Governance Commitee considers a number of factors in selectng director candidates, including, among others: ethical standards and integrity; independence; diversity of professional and personal backgrounds; skills and experience; other public company directorships; and fnancial literacy and expertse; communicaton skills; and ability and willingness to comply with Company policies and procedures.</w:t>
      </w:r>
    </w:p>
    <w:p>
      <w:pPr>
        <w:spacing w:after="0" w:line="172"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In light of our business, the primary areas of experience, qualifcatons and atributes typically sought and put forward by the Nominatng and Governance Commitee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5402580" cy="19742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02580" cy="19742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Executve leadership</w:t>
      </w:r>
    </w:p>
    <w:p>
      <w:pPr>
        <w:spacing w:after="0" w:line="10" w:lineRule="exact"/>
        <w:rPr>
          <w:sz w:val="20"/>
          <w:szCs w:val="20"/>
          <w:color w:val="auto"/>
        </w:rPr>
      </w:pPr>
    </w:p>
    <w:p>
      <w:pPr>
        <w:ind w:left="1380" w:right="2340"/>
        <w:spacing w:after="0" w:line="233" w:lineRule="auto"/>
        <w:rPr>
          <w:sz w:val="20"/>
          <w:szCs w:val="20"/>
          <w:color w:val="auto"/>
        </w:rPr>
      </w:pPr>
      <w:r>
        <w:rPr>
          <w:rFonts w:ascii="Calibri" w:cs="Calibri" w:eastAsia="Calibri" w:hAnsi="Calibri"/>
          <w:sz w:val="16"/>
          <w:szCs w:val="16"/>
          <w:color w:val="auto"/>
        </w:rPr>
        <w:t>Experience holding signifcant leadership positons, including as a CEO or head of a signifcant business, to help us drive business strategy, growth and performance.</w:t>
      </w:r>
    </w:p>
    <w:p>
      <w:pPr>
        <w:spacing w:after="0" w:line="200" w:lineRule="exact"/>
        <w:rPr>
          <w:sz w:val="20"/>
          <w:szCs w:val="20"/>
          <w:color w:val="auto"/>
        </w:rPr>
      </w:pPr>
    </w:p>
    <w:p>
      <w:pPr>
        <w:spacing w:after="0" w:line="30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Finance and accountng</w:t>
      </w:r>
    </w:p>
    <w:p>
      <w:pPr>
        <w:ind w:left="1380"/>
        <w:spacing w:after="0"/>
        <w:rPr>
          <w:sz w:val="20"/>
          <w:szCs w:val="20"/>
          <w:color w:val="auto"/>
        </w:rPr>
      </w:pPr>
      <w:r>
        <w:rPr>
          <w:rFonts w:ascii="Calibri" w:cs="Calibri" w:eastAsia="Calibri" w:hAnsi="Calibri"/>
          <w:sz w:val="16"/>
          <w:szCs w:val="16"/>
          <w:color w:val="auto"/>
        </w:rPr>
        <w:t>Experience with fnance, accountng or fnancial reportng processes, to help drive fnancial performance.</w:t>
      </w:r>
    </w:p>
    <w:p>
      <w:pPr>
        <w:spacing w:after="0" w:line="200" w:lineRule="exact"/>
        <w:rPr>
          <w:sz w:val="20"/>
          <w:szCs w:val="20"/>
          <w:color w:val="auto"/>
        </w:rPr>
      </w:pPr>
    </w:p>
    <w:p>
      <w:pPr>
        <w:spacing w:after="0" w:line="30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Global companies</w:t>
      </w:r>
    </w:p>
    <w:p>
      <w:pPr>
        <w:spacing w:after="0" w:line="10" w:lineRule="exact"/>
        <w:rPr>
          <w:sz w:val="20"/>
          <w:szCs w:val="20"/>
          <w:color w:val="auto"/>
        </w:rPr>
      </w:pPr>
    </w:p>
    <w:p>
      <w:pPr>
        <w:ind w:left="1380" w:right="2600"/>
        <w:spacing w:after="0" w:line="233" w:lineRule="auto"/>
        <w:rPr>
          <w:sz w:val="20"/>
          <w:szCs w:val="20"/>
          <w:color w:val="auto"/>
        </w:rPr>
      </w:pPr>
      <w:r>
        <w:rPr>
          <w:rFonts w:ascii="Calibri" w:cs="Calibri" w:eastAsia="Calibri" w:hAnsi="Calibri"/>
          <w:sz w:val="16"/>
          <w:szCs w:val="16"/>
          <w:color w:val="auto"/>
        </w:rPr>
        <w:t>Experience working outside of the United States or with multnatonal companies, to help facilitate our global expansion.</w:t>
      </w:r>
    </w:p>
    <w:p>
      <w:pPr>
        <w:spacing w:after="0" w:line="200" w:lineRule="exact"/>
        <w:rPr>
          <w:sz w:val="20"/>
          <w:szCs w:val="20"/>
          <w:color w:val="auto"/>
        </w:rPr>
      </w:pPr>
    </w:p>
    <w:p>
      <w:pPr>
        <w:spacing w:after="0" w:line="205"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34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234315</wp:posOffset>
            </wp:positionV>
            <wp:extent cx="5402580" cy="61956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02580" cy="619569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Board experience</w:t>
      </w:r>
    </w:p>
    <w:p>
      <w:pPr>
        <w:spacing w:after="0" w:line="10" w:lineRule="exact"/>
        <w:rPr>
          <w:sz w:val="20"/>
          <w:szCs w:val="20"/>
          <w:color w:val="auto"/>
        </w:rPr>
      </w:pPr>
    </w:p>
    <w:p>
      <w:pPr>
        <w:ind w:left="1380" w:right="2380"/>
        <w:spacing w:after="0" w:line="233" w:lineRule="auto"/>
        <w:rPr>
          <w:sz w:val="20"/>
          <w:szCs w:val="20"/>
          <w:color w:val="auto"/>
        </w:rPr>
      </w:pPr>
      <w:r>
        <w:rPr>
          <w:rFonts w:ascii="Calibri" w:cs="Calibri" w:eastAsia="Calibri" w:hAnsi="Calibri"/>
          <w:sz w:val="16"/>
          <w:szCs w:val="16"/>
          <w:color w:val="auto"/>
        </w:rPr>
        <w:t>Understanding of public company board of director and fduciary dutes, to help provide perspectve on corporate governance best practces and related maters.</w:t>
      </w: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Digital operatons and solutons</w:t>
      </w:r>
    </w:p>
    <w:p>
      <w:pPr>
        <w:spacing w:after="0" w:line="10" w:lineRule="exact"/>
        <w:rPr>
          <w:sz w:val="20"/>
          <w:szCs w:val="20"/>
          <w:color w:val="auto"/>
        </w:rPr>
      </w:pPr>
    </w:p>
    <w:p>
      <w:pPr>
        <w:ind w:left="1380" w:right="2820"/>
        <w:spacing w:after="0" w:line="233" w:lineRule="auto"/>
        <w:rPr>
          <w:sz w:val="20"/>
          <w:szCs w:val="20"/>
          <w:color w:val="auto"/>
        </w:rPr>
      </w:pPr>
      <w:r>
        <w:rPr>
          <w:rFonts w:ascii="Calibri" w:cs="Calibri" w:eastAsia="Calibri" w:hAnsi="Calibri"/>
          <w:sz w:val="16"/>
          <w:szCs w:val="16"/>
          <w:color w:val="auto"/>
        </w:rPr>
        <w:t>Experience with digital operatons and solutons, artfcial intelligence and machine learning, and other key technologies that are central to our business.</w:t>
      </w: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Client and industry knowledge</w:t>
      </w:r>
    </w:p>
    <w:p>
      <w:pPr>
        <w:spacing w:after="0" w:line="10" w:lineRule="exact"/>
        <w:rPr>
          <w:sz w:val="20"/>
          <w:szCs w:val="20"/>
          <w:color w:val="auto"/>
        </w:rPr>
      </w:pPr>
    </w:p>
    <w:p>
      <w:pPr>
        <w:ind w:left="1380" w:right="2580"/>
        <w:spacing w:after="0" w:line="235" w:lineRule="auto"/>
        <w:rPr>
          <w:sz w:val="20"/>
          <w:szCs w:val="20"/>
          <w:color w:val="auto"/>
        </w:rPr>
      </w:pPr>
      <w:r>
        <w:rPr>
          <w:rFonts w:ascii="Calibri" w:cs="Calibri" w:eastAsia="Calibri" w:hAnsi="Calibri"/>
          <w:sz w:val="16"/>
          <w:szCs w:val="16"/>
          <w:color w:val="auto"/>
        </w:rPr>
        <w:t>Experience with our key client industries, including insurance, healthcare, banking and fnancial services, fnance/accountng, and our other capabilites, to help deepen our knowledge of our key industry vertcals and markets in which we do business.</w:t>
      </w:r>
    </w:p>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Risk oversight/management</w:t>
      </w:r>
    </w:p>
    <w:p>
      <w:pPr>
        <w:ind w:left="1380"/>
        <w:spacing w:after="0"/>
        <w:rPr>
          <w:sz w:val="20"/>
          <w:szCs w:val="20"/>
          <w:color w:val="auto"/>
        </w:rPr>
      </w:pPr>
      <w:r>
        <w:rPr>
          <w:rFonts w:ascii="Calibri" w:cs="Calibri" w:eastAsia="Calibri" w:hAnsi="Calibri"/>
          <w:sz w:val="16"/>
          <w:szCs w:val="16"/>
          <w:color w:val="auto"/>
        </w:rPr>
        <w:t>Experience assessing and overseeing the overall risk profle of multnatonal public companies.</w:t>
      </w:r>
    </w:p>
    <w:p>
      <w:pPr>
        <w:spacing w:after="0" w:line="200" w:lineRule="exact"/>
        <w:rPr>
          <w:sz w:val="20"/>
          <w:szCs w:val="20"/>
          <w:color w:val="auto"/>
        </w:rPr>
      </w:pPr>
    </w:p>
    <w:p>
      <w:pPr>
        <w:spacing w:after="0" w:line="28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Human capital management</w:t>
      </w:r>
    </w:p>
    <w:p>
      <w:pPr>
        <w:spacing w:after="0" w:line="10" w:lineRule="exact"/>
        <w:rPr>
          <w:sz w:val="20"/>
          <w:szCs w:val="20"/>
          <w:color w:val="auto"/>
        </w:rPr>
      </w:pPr>
    </w:p>
    <w:p>
      <w:pPr>
        <w:ind w:left="1380" w:right="2140"/>
        <w:spacing w:after="0" w:line="293" w:lineRule="auto"/>
        <w:rPr>
          <w:sz w:val="20"/>
          <w:szCs w:val="20"/>
          <w:color w:val="auto"/>
        </w:rPr>
      </w:pPr>
      <w:r>
        <w:rPr>
          <w:rFonts w:ascii="Calibri" w:cs="Calibri" w:eastAsia="Calibri" w:hAnsi="Calibri"/>
          <w:sz w:val="14"/>
          <w:szCs w:val="14"/>
          <w:color w:val="auto"/>
        </w:rPr>
        <w:t>Experience in management and development of human capital, including management of a large workforce, diversity and inclusion, talent development, workplace health and safety, compensaton and other human capital issues.</w:t>
      </w:r>
    </w:p>
    <w:p>
      <w:pPr>
        <w:spacing w:after="0" w:line="392"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Diverse backgrounds</w:t>
      </w:r>
    </w:p>
    <w:p>
      <w:pPr>
        <w:spacing w:after="0" w:line="10" w:lineRule="exact"/>
        <w:rPr>
          <w:sz w:val="20"/>
          <w:szCs w:val="20"/>
          <w:color w:val="auto"/>
        </w:rPr>
      </w:pPr>
    </w:p>
    <w:p>
      <w:pPr>
        <w:ind w:left="1380" w:right="2400"/>
        <w:spacing w:after="0" w:line="233" w:lineRule="auto"/>
        <w:rPr>
          <w:sz w:val="20"/>
          <w:szCs w:val="20"/>
          <w:color w:val="auto"/>
        </w:rPr>
      </w:pPr>
      <w:r>
        <w:rPr>
          <w:rFonts w:ascii="Calibri" w:cs="Calibri" w:eastAsia="Calibri" w:hAnsi="Calibri"/>
          <w:sz w:val="16"/>
          <w:szCs w:val="16"/>
          <w:color w:val="auto"/>
        </w:rPr>
        <w:t>We seek directors with diverse professional and personal backgrounds and perspectves to promote the values of diversity and inclusion from the top and to provide perspectve from varying viewpoints.</w:t>
      </w: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Experience in ESG maters</w:t>
      </w:r>
    </w:p>
    <w:p>
      <w:pPr>
        <w:ind w:left="1380"/>
        <w:spacing w:after="0"/>
        <w:rPr>
          <w:sz w:val="20"/>
          <w:szCs w:val="20"/>
          <w:color w:val="auto"/>
        </w:rPr>
      </w:pPr>
      <w:r>
        <w:rPr>
          <w:rFonts w:ascii="Calibri" w:cs="Calibri" w:eastAsia="Calibri" w:hAnsi="Calibri"/>
          <w:sz w:val="16"/>
          <w:szCs w:val="16"/>
          <w:color w:val="auto"/>
        </w:rPr>
        <w:t>Experience in managing ESG maters, incorporatng them into business and strategy and associated risks.</w:t>
      </w:r>
    </w:p>
    <w:p>
      <w:pPr>
        <w:spacing w:after="0" w:line="200" w:lineRule="exact"/>
        <w:rPr>
          <w:sz w:val="20"/>
          <w:szCs w:val="20"/>
          <w:color w:val="auto"/>
        </w:rPr>
      </w:pPr>
    </w:p>
    <w:p>
      <w:pPr>
        <w:spacing w:after="0" w:line="22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Informaton and cybersecurity</w:t>
      </w:r>
    </w:p>
    <w:p>
      <w:pPr>
        <w:ind w:left="1380"/>
        <w:spacing w:after="0"/>
        <w:rPr>
          <w:sz w:val="20"/>
          <w:szCs w:val="20"/>
          <w:color w:val="auto"/>
        </w:rPr>
      </w:pPr>
      <w:r>
        <w:rPr>
          <w:rFonts w:ascii="Calibri" w:cs="Calibri" w:eastAsia="Calibri" w:hAnsi="Calibri"/>
          <w:sz w:val="16"/>
          <w:szCs w:val="16"/>
          <w:color w:val="auto"/>
        </w:rPr>
        <w:t>Experience in informaton and cybersecurity maters, best practces and associated risks.</w:t>
      </w:r>
    </w:p>
    <w:p>
      <w:pPr>
        <w:spacing w:after="0" w:line="200" w:lineRule="exact"/>
        <w:rPr>
          <w:sz w:val="20"/>
          <w:szCs w:val="20"/>
          <w:color w:val="auto"/>
        </w:rPr>
      </w:pPr>
    </w:p>
    <w:p>
      <w:pPr>
        <w:spacing w:after="0" w:line="35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Mergers and acquisitons</w:t>
      </w:r>
    </w:p>
    <w:p>
      <w:pPr>
        <w:ind w:left="1380"/>
        <w:spacing w:after="0"/>
        <w:rPr>
          <w:sz w:val="20"/>
          <w:szCs w:val="20"/>
          <w:color w:val="auto"/>
        </w:rPr>
      </w:pPr>
      <w:r>
        <w:rPr>
          <w:rFonts w:ascii="Calibri" w:cs="Calibri" w:eastAsia="Calibri" w:hAnsi="Calibri"/>
          <w:sz w:val="16"/>
          <w:szCs w:val="16"/>
          <w:color w:val="auto"/>
        </w:rPr>
        <w:t>Experience in mergers and acquisitons as a component of business development and strategy.</w:t>
      </w:r>
    </w:p>
    <w:p>
      <w:pPr>
        <w:spacing w:after="0" w:line="200" w:lineRule="exact"/>
        <w:rPr>
          <w:sz w:val="20"/>
          <w:szCs w:val="20"/>
          <w:color w:val="auto"/>
        </w:rPr>
      </w:pPr>
    </w:p>
    <w:p>
      <w:pPr>
        <w:spacing w:after="0" w:line="333"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Marketng</w:t>
      </w:r>
    </w:p>
    <w:p>
      <w:pPr>
        <w:ind w:left="1380"/>
        <w:spacing w:after="0"/>
        <w:rPr>
          <w:sz w:val="20"/>
          <w:szCs w:val="20"/>
          <w:color w:val="auto"/>
        </w:rPr>
      </w:pPr>
      <w:r>
        <w:rPr>
          <w:rFonts w:ascii="Calibri" w:cs="Calibri" w:eastAsia="Calibri" w:hAnsi="Calibri"/>
          <w:sz w:val="16"/>
          <w:szCs w:val="16"/>
          <w:color w:val="auto"/>
        </w:rPr>
        <w:t>Experience in marketng and branding of multnatonal companies.</w:t>
      </w:r>
    </w:p>
    <w:p>
      <w:pPr>
        <w:spacing w:after="0" w:line="200" w:lineRule="exact"/>
        <w:rPr>
          <w:sz w:val="20"/>
          <w:szCs w:val="20"/>
          <w:color w:val="auto"/>
        </w:rPr>
      </w:pPr>
    </w:p>
    <w:p>
      <w:pPr>
        <w:spacing w:after="0" w:line="373"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35</w:t>
      </w:r>
    </w:p>
    <w:p>
      <w:pPr>
        <w:sectPr>
          <w:pgSz w:w="11900" w:h="16838" w:orient="portrait"/>
          <w:cols w:equalWidth="0" w:num="1">
            <w:col w:w="10940"/>
          </w:cols>
          <w:pgMar w:left="320" w:top="471"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Refreshment</w:t>
      </w:r>
    </w:p>
    <w:p>
      <w:pPr>
        <w:spacing w:after="0" w:line="244"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Our Nominatng and Governance Commitee regularly considers the size and compositon of our board (and its commitees) on a contnual basis with an aim toward creatng a balanced board with extensive experience and insttutonal knowledge, and fresh perspectve and insight.</w:t>
      </w:r>
    </w:p>
    <w:p>
      <w:pPr>
        <w:spacing w:after="0" w:line="369" w:lineRule="exact"/>
        <w:rPr>
          <w:sz w:val="20"/>
          <w:szCs w:val="20"/>
          <w:color w:val="auto"/>
        </w:rPr>
      </w:pPr>
    </w:p>
    <w:p>
      <w:pPr>
        <w:ind w:left="320" w:right="80"/>
        <w:spacing w:after="0" w:line="259" w:lineRule="auto"/>
        <w:rPr>
          <w:sz w:val="20"/>
          <w:szCs w:val="20"/>
          <w:color w:val="auto"/>
        </w:rPr>
      </w:pPr>
      <w:r>
        <w:rPr>
          <w:rFonts w:ascii="Calibri" w:cs="Calibri" w:eastAsia="Calibri" w:hAnsi="Calibri"/>
          <w:sz w:val="16"/>
          <w:szCs w:val="16"/>
          <w:color w:val="auto"/>
        </w:rPr>
        <w:t>Consideratons include whether the compositon of the board of directors (and its commitees) includes sufcient diversity and independent skill sets and background as appropriate for our immediate and long-term strategic needs. These consideratons are also informed by discussions with our investors through stockholder engagement. In terms of diversity, our board, following the Annual Meetng will be 29% diverse in terms of gender and 57% diverse in terms of ethnic/racial diversity.</w:t>
      </w:r>
    </w:p>
    <w:p>
      <w:pPr>
        <w:spacing w:after="0" w:line="351"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In considering board compositon, our Nominatng and Governance Commitee also considers the length of tenure of the directors as a whole. Following the Annual Meetng (assuming the electon of all nominees),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676910</wp:posOffset>
            </wp:positionV>
            <wp:extent cx="4064000" cy="916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06400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Calibri" w:cs="Calibri" w:eastAsia="Calibri" w:hAnsi="Calibri"/>
          <w:sz w:val="19"/>
          <w:szCs w:val="19"/>
          <w:b w:val="1"/>
          <w:bCs w:val="1"/>
          <w:color w:val="FB4E0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177165</wp:posOffset>
            </wp:positionV>
            <wp:extent cx="2147570" cy="17265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47570" cy="1726565"/>
                    </a:xfrm>
                    <a:prstGeom prst="rect">
                      <a:avLst/>
                    </a:prstGeom>
                    <a:noFill/>
                  </pic:spPr>
                </pic:pic>
              </a:graphicData>
            </a:graphic>
          </wp:anchor>
        </w:drawing>
      </w:r>
    </w:p>
    <w:p>
      <w:pPr>
        <w:spacing w:after="0" w:line="304" w:lineRule="exact"/>
        <w:rPr>
          <w:sz w:val="20"/>
          <w:szCs w:val="20"/>
          <w:color w:val="auto"/>
        </w:rPr>
      </w:pPr>
    </w:p>
    <w:p>
      <w:pPr>
        <w:ind w:left="60"/>
        <w:spacing w:after="0"/>
        <w:tabs>
          <w:tab w:leader="none" w:pos="1900" w:val="left"/>
        </w:tabs>
        <w:rPr>
          <w:sz w:val="20"/>
          <w:szCs w:val="20"/>
          <w:color w:val="auto"/>
        </w:rPr>
      </w:pPr>
      <w:r>
        <w:rPr>
          <w:rFonts w:ascii="Calibri" w:cs="Calibri" w:eastAsia="Calibri" w:hAnsi="Calibri"/>
          <w:sz w:val="14"/>
          <w:szCs w:val="14"/>
          <w:b w:val="1"/>
          <w:bCs w:val="1"/>
          <w:color w:val="FFFFFF"/>
        </w:rPr>
        <w:t>ADDITIONS</w:t>
      </w:r>
      <w:r>
        <w:rPr>
          <w:sz w:val="20"/>
          <w:szCs w:val="20"/>
          <w:color w:val="auto"/>
        </w:rPr>
        <w:tab/>
      </w:r>
      <w:r>
        <w:rPr>
          <w:rFonts w:ascii="Calibri" w:cs="Calibri" w:eastAsia="Calibri" w:hAnsi="Calibri"/>
          <w:sz w:val="14"/>
          <w:szCs w:val="14"/>
          <w:b w:val="1"/>
          <w:bCs w:val="1"/>
          <w:color w:val="FFFFFF"/>
        </w:rPr>
        <w:t>EXITS</w:t>
      </w:r>
    </w:p>
    <w:p>
      <w:pPr>
        <w:spacing w:after="0" w:line="200" w:lineRule="exact"/>
        <w:rPr>
          <w:sz w:val="20"/>
          <w:szCs w:val="20"/>
          <w:color w:val="auto"/>
        </w:rPr>
      </w:pPr>
    </w:p>
    <w:p>
      <w:pPr>
        <w:spacing w:after="0" w:line="293" w:lineRule="exact"/>
        <w:rPr>
          <w:sz w:val="20"/>
          <w:szCs w:val="20"/>
          <w:color w:val="auto"/>
        </w:rPr>
      </w:pPr>
    </w:p>
    <w:p>
      <w:pPr>
        <w:ind w:left="240"/>
        <w:spacing w:after="0"/>
        <w:tabs>
          <w:tab w:leader="none" w:pos="1920" w:val="left"/>
        </w:tabs>
        <w:rPr>
          <w:sz w:val="20"/>
          <w:szCs w:val="20"/>
          <w:color w:val="auto"/>
        </w:rPr>
      </w:pPr>
      <w:r>
        <w:rPr>
          <w:rFonts w:ascii="Calibri" w:cs="Calibri" w:eastAsia="Calibri" w:hAnsi="Calibri"/>
          <w:sz w:val="14"/>
          <w:szCs w:val="14"/>
          <w:b w:val="1"/>
          <w:bCs w:val="1"/>
          <w:color w:val="auto"/>
        </w:rPr>
        <w:t>2023</w:t>
      </w:r>
      <w:r>
        <w:rPr>
          <w:sz w:val="20"/>
          <w:szCs w:val="20"/>
          <w:color w:val="auto"/>
        </w:rPr>
        <w:tab/>
      </w:r>
      <w:r>
        <w:rPr>
          <w:rFonts w:ascii="Calibri" w:cs="Calibri" w:eastAsia="Calibri" w:hAnsi="Calibri"/>
          <w:sz w:val="14"/>
          <w:szCs w:val="14"/>
          <w:b w:val="1"/>
          <w:bCs w:val="1"/>
          <w:color w:val="FB4E0B"/>
        </w:rPr>
        <w:t>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20"/>
                <w:szCs w:val="20"/>
                <w:color w:val="auto"/>
              </w:rPr>
            </w:pPr>
            <w:r>
              <w:rPr>
                <w:rFonts w:ascii="Calibri" w:cs="Calibri" w:eastAsia="Calibri" w:hAnsi="Calibri"/>
                <w:sz w:val="14"/>
                <w:szCs w:val="14"/>
                <w:b w:val="1"/>
                <w:bCs w:val="1"/>
                <w:color w:val="auto"/>
              </w:rPr>
              <w:t>Andreas Fibig</w:t>
            </w:r>
          </w:p>
        </w:tc>
        <w:tc>
          <w:tcPr>
            <w:tcW w:w="1220" w:type="dxa"/>
            <w:vAlign w:val="bottom"/>
          </w:tcPr>
          <w:p>
            <w:pPr>
              <w:ind w:left="460"/>
              <w:spacing w:after="0"/>
              <w:rPr>
                <w:sz w:val="20"/>
                <w:szCs w:val="20"/>
                <w:color w:val="auto"/>
              </w:rPr>
            </w:pPr>
            <w:r>
              <w:rPr>
                <w:rFonts w:ascii="Calibri" w:cs="Calibri" w:eastAsia="Calibri" w:hAnsi="Calibri"/>
                <w:sz w:val="14"/>
                <w:szCs w:val="14"/>
                <w:b w:val="1"/>
                <w:bCs w:val="1"/>
                <w:color w:val="auto"/>
                <w:w w:val="94"/>
              </w:rPr>
              <w:t>Garen Staglin</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639"/>
        <w:spacing w:after="0"/>
        <w:rPr>
          <w:sz w:val="20"/>
          <w:szCs w:val="20"/>
          <w:color w:val="auto"/>
        </w:rPr>
      </w:pPr>
      <w:r>
        <w:rPr>
          <w:rFonts w:ascii="Calibri" w:cs="Calibri" w:eastAsia="Calibri" w:hAnsi="Calibri"/>
          <w:sz w:val="14"/>
          <w:szCs w:val="14"/>
          <w:b w:val="1"/>
          <w:bCs w:val="1"/>
          <w:color w:val="FB4E0B"/>
        </w:rPr>
        <w:t>2023</w:t>
      </w:r>
    </w:p>
    <w:p>
      <w:pPr>
        <w:spacing w:after="0" w:line="115" w:lineRule="exact"/>
        <w:rPr>
          <w:sz w:val="20"/>
          <w:szCs w:val="20"/>
          <w:color w:val="auto"/>
        </w:rPr>
      </w:pPr>
    </w:p>
    <w:p>
      <w:pPr>
        <w:ind w:left="1740"/>
        <w:spacing w:after="0"/>
        <w:rPr>
          <w:sz w:val="20"/>
          <w:szCs w:val="20"/>
          <w:color w:val="auto"/>
        </w:rPr>
      </w:pPr>
      <w:r>
        <w:rPr>
          <w:rFonts w:ascii="Calibri" w:cs="Calibri" w:eastAsia="Calibri" w:hAnsi="Calibri"/>
          <w:sz w:val="14"/>
          <w:szCs w:val="14"/>
          <w:b w:val="1"/>
          <w:bCs w:val="1"/>
          <w:color w:val="auto"/>
        </w:rPr>
        <w:t>Anne Minto</w:t>
      </w:r>
    </w:p>
    <w:p>
      <w:pPr>
        <w:jc w:val="right"/>
        <w:ind w:right="340"/>
        <w:spacing w:after="0" w:line="237" w:lineRule="auto"/>
        <w:rPr>
          <w:sz w:val="20"/>
          <w:szCs w:val="20"/>
          <w:color w:val="auto"/>
        </w:rPr>
      </w:pPr>
      <w:r>
        <w:rPr>
          <w:rFonts w:ascii="Calibri" w:cs="Calibri" w:eastAsia="Calibri" w:hAnsi="Calibri"/>
          <w:sz w:val="14"/>
          <w:szCs w:val="14"/>
          <w:b w:val="1"/>
          <w:bCs w:val="1"/>
          <w:color w:val="auto"/>
        </w:rPr>
        <w:t>Clyde Ostler</w:t>
      </w:r>
    </w:p>
    <w:p>
      <w:pPr>
        <w:spacing w:after="0" w:line="200" w:lineRule="exact"/>
        <w:rPr>
          <w:sz w:val="20"/>
          <w:szCs w:val="20"/>
          <w:color w:val="auto"/>
        </w:rPr>
      </w:pPr>
    </w:p>
    <w:p>
      <w:pPr>
        <w:sectPr>
          <w:pgSz w:w="11900" w:h="16838" w:orient="portrait"/>
          <w:cols w:equalWidth="0" w:num="2">
            <w:col w:w="7340" w:space="720"/>
            <w:col w:w="2760"/>
          </w:cols>
          <w:pgMar w:left="320" w:top="47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While the Company does not maintain term limits, our Corporate Governance Guidelines provide that the expectatons for new directors is a maximum term of ten years. Each of our director nominees, other than our Vice Chairman and CEO, has served on the board for less than ten years as of the date of this Proxy Statement. The board actvely manages board refreshment and succession planning at the board and commitee level. For example, the board generally expects that each member serve on two commitees, and that each commitee chair serve for a maximum of fve years. The board expects that over the next few years, the commitee and board compositon will contnue to change due to rotaton and retrement. The Nominatng and Governance Commitee will identfy successors based on the goal of maintaining the board’s overall balance of experience and perspectve. A recommendaton regarding board (and commitee) compositon is shared with the full board of directors on an annual basis.</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36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20"/>
          </w:cols>
          <w:pgMar w:left="320" w:top="471" w:right="7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4997450" cy="51962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97450" cy="519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37</w:t>
      </w:r>
    </w:p>
    <w:p>
      <w:pPr>
        <w:sectPr>
          <w:pgSz w:w="11900" w:h="16838" w:orient="portrait"/>
          <w:cols w:equalWidth="0" w:num="1">
            <w:col w:w="10940"/>
          </w:cols>
          <w:pgMar w:left="320" w:top="471"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Commitee rotaton</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rotate commitee and commitee chair assignments based on the current compositon of the board. Recent rotatons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163195</wp:posOffset>
            </wp:positionV>
            <wp:extent cx="4403090" cy="9994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403090" cy="99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Calibri" w:cs="Calibri" w:eastAsia="Calibri" w:hAnsi="Calibri"/>
          <w:sz w:val="13"/>
          <w:szCs w:val="13"/>
          <w:color w:val="auto"/>
        </w:rPr>
        <w:t>* Former director</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evaluatons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consider the contnued efectveness of the board and its commitees as critcal to our long-term success and stockholder value. The board evaluates its performance and the performance of it commitees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163830</wp:posOffset>
            </wp:positionV>
            <wp:extent cx="5815330" cy="3321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15330" cy="332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38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740"/>
          </w:cols>
          <w:pgMar w:left="320" w:top="471" w:right="8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Succession planning</w:t>
      </w:r>
    </w:p>
    <w:p>
      <w:pPr>
        <w:spacing w:after="0" w:line="21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board of directors is responsible for developing and annually reassessing succession plans for our CEO and other key executve ofcers of the Company, and preparing contngency plans for interim CEO succession in the event of an unexpected occurrence for board review. We actvely plan for the succession of our executve ofcers (including those who are retring or departng from the Company), and regularly consider our strong pipeline of internal and external candidates.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Commitees</w:t>
      </w:r>
    </w:p>
    <w:p>
      <w:pPr>
        <w:spacing w:after="0" w:line="21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 of directors currently has three standing commitees: the Audit Commitee, the Compensaton and Talent Management Commitee and the Nominatng and Governance Commitee. As discussed above, our board of directors has determined that each member of the Audit, Compensaton and Talent Management and Nominatng and Governance Commitees meets the independence and experience requirements of the Nasdaq Stock Market and federal securites laws. Copies of our commitee charters can be found on the Investor Relatons page of our website at: htps://ir.exlservice.com/corporate-governance. Informaton on our website referred to in this Proxy Statement does not consttute a part of this Proxy Statement.</w:t>
      </w:r>
    </w:p>
    <w:p>
      <w:pPr>
        <w:spacing w:after="0" w:line="212"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following table sets forth the current chairs and members of each standing commitee of the board of directors. As an executve director, Mr. Kapoor does not serve on any board commitee.</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780" w:type="dxa"/>
            <w:vAlign w:val="bottom"/>
          </w:tcPr>
          <w:p>
            <w:pPr>
              <w:jc w:val="center"/>
              <w:ind w:left="2673"/>
              <w:spacing w:after="0"/>
              <w:rPr>
                <w:sz w:val="20"/>
                <w:szCs w:val="20"/>
                <w:color w:val="auto"/>
              </w:rPr>
            </w:pPr>
            <w:r>
              <w:rPr>
                <w:rFonts w:ascii="Calibri" w:cs="Calibri" w:eastAsia="Calibri" w:hAnsi="Calibri"/>
                <w:sz w:val="17"/>
                <w:szCs w:val="17"/>
                <w:b w:val="1"/>
                <w:bCs w:val="1"/>
                <w:color w:val="FB4E0B"/>
                <w:w w:val="98"/>
              </w:rPr>
              <w:t>Audit</w:t>
            </w:r>
          </w:p>
        </w:tc>
        <w:tc>
          <w:tcPr>
            <w:tcW w:w="3260" w:type="dxa"/>
            <w:vAlign w:val="bottom"/>
          </w:tcPr>
          <w:p>
            <w:pPr>
              <w:jc w:val="center"/>
              <w:ind w:left="133"/>
              <w:spacing w:after="0"/>
              <w:rPr>
                <w:sz w:val="20"/>
                <w:szCs w:val="20"/>
                <w:color w:val="auto"/>
              </w:rPr>
            </w:pPr>
            <w:r>
              <w:rPr>
                <w:rFonts w:ascii="Calibri" w:cs="Calibri" w:eastAsia="Calibri" w:hAnsi="Calibri"/>
                <w:sz w:val="17"/>
                <w:szCs w:val="17"/>
                <w:b w:val="1"/>
                <w:bCs w:val="1"/>
                <w:color w:val="FB4E0B"/>
              </w:rPr>
              <w:t>Compensaton and</w:t>
            </w:r>
          </w:p>
        </w:tc>
        <w:tc>
          <w:tcPr>
            <w:tcW w:w="2580" w:type="dxa"/>
            <w:vAlign w:val="bottom"/>
          </w:tcPr>
          <w:p>
            <w:pPr>
              <w:jc w:val="center"/>
              <w:spacing w:after="0"/>
              <w:rPr>
                <w:sz w:val="20"/>
                <w:szCs w:val="20"/>
                <w:color w:val="auto"/>
              </w:rPr>
            </w:pPr>
            <w:r>
              <w:rPr>
                <w:rFonts w:ascii="Calibri" w:cs="Calibri" w:eastAsia="Calibri" w:hAnsi="Calibri"/>
                <w:sz w:val="17"/>
                <w:szCs w:val="17"/>
                <w:b w:val="1"/>
                <w:bCs w:val="1"/>
                <w:color w:val="FB4E0B"/>
              </w:rPr>
              <w:t>Nominatng and</w:t>
            </w:r>
          </w:p>
        </w:tc>
      </w:tr>
      <w:tr>
        <w:trPr>
          <w:trHeight w:val="208"/>
        </w:trPr>
        <w:tc>
          <w:tcPr>
            <w:tcW w:w="4780" w:type="dxa"/>
            <w:vAlign w:val="bottom"/>
          </w:tcPr>
          <w:p>
            <w:pPr>
              <w:jc w:val="center"/>
              <w:ind w:left="2673"/>
              <w:spacing w:after="0"/>
              <w:rPr>
                <w:sz w:val="20"/>
                <w:szCs w:val="20"/>
                <w:color w:val="auto"/>
              </w:rPr>
            </w:pPr>
            <w:r>
              <w:rPr>
                <w:rFonts w:ascii="Calibri" w:cs="Calibri" w:eastAsia="Calibri" w:hAnsi="Calibri"/>
                <w:sz w:val="17"/>
                <w:szCs w:val="17"/>
                <w:b w:val="1"/>
                <w:bCs w:val="1"/>
                <w:color w:val="FB4E0B"/>
              </w:rPr>
              <w:t>Commitee</w:t>
            </w:r>
          </w:p>
        </w:tc>
        <w:tc>
          <w:tcPr>
            <w:tcW w:w="326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rPr>
              <w:t>Talent Management Commitee</w:t>
            </w:r>
          </w:p>
        </w:tc>
        <w:tc>
          <w:tcPr>
            <w:tcW w:w="2580" w:type="dxa"/>
            <w:vAlign w:val="bottom"/>
          </w:tcPr>
          <w:p>
            <w:pPr>
              <w:jc w:val="center"/>
              <w:spacing w:after="0"/>
              <w:rPr>
                <w:sz w:val="20"/>
                <w:szCs w:val="20"/>
                <w:color w:val="auto"/>
              </w:rPr>
            </w:pPr>
            <w:r>
              <w:rPr>
                <w:rFonts w:ascii="Calibri" w:cs="Calibri" w:eastAsia="Calibri" w:hAnsi="Calibri"/>
                <w:sz w:val="17"/>
                <w:szCs w:val="17"/>
                <w:b w:val="1"/>
                <w:bCs w:val="1"/>
                <w:color w:val="FB4E0B"/>
              </w:rPr>
              <w:t>Governance Commitee</w:t>
            </w:r>
          </w:p>
        </w:tc>
      </w:tr>
      <w:tr>
        <w:trPr>
          <w:trHeight w:val="42"/>
        </w:trPr>
        <w:tc>
          <w:tcPr>
            <w:tcW w:w="4780" w:type="dxa"/>
            <w:vAlign w:val="bottom"/>
            <w:tcBorders>
              <w:bottom w:val="single" w:sz="8" w:color="FB4E0B"/>
            </w:tcBorders>
          </w:tcPr>
          <w:p>
            <w:pPr>
              <w:spacing w:after="0"/>
              <w:rPr>
                <w:sz w:val="3"/>
                <w:szCs w:val="3"/>
                <w:color w:val="auto"/>
              </w:rPr>
            </w:pPr>
          </w:p>
        </w:tc>
        <w:tc>
          <w:tcPr>
            <w:tcW w:w="3260" w:type="dxa"/>
            <w:vAlign w:val="bottom"/>
            <w:tcBorders>
              <w:bottom w:val="single" w:sz="8" w:color="FB4E0B"/>
            </w:tcBorders>
          </w:tcPr>
          <w:p>
            <w:pPr>
              <w:spacing w:after="0"/>
              <w:rPr>
                <w:sz w:val="3"/>
                <w:szCs w:val="3"/>
                <w:color w:val="auto"/>
              </w:rPr>
            </w:pPr>
          </w:p>
        </w:tc>
        <w:tc>
          <w:tcPr>
            <w:tcW w:w="2580" w:type="dxa"/>
            <w:vAlign w:val="bottom"/>
            <w:tcBorders>
              <w:bottom w:val="single" w:sz="8" w:color="FB4E0B"/>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6740525" cy="2973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40525" cy="2973705"/>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Kristy Pipes</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Andreas Fibig</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Clyde Ostler*</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Nitn Sahney</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Jaynie Studenmund</w:t>
      </w:r>
      <w:r>
        <w:rPr>
          <w:rFonts w:ascii="Calibri" w:cs="Calibri" w:eastAsia="Calibri" w:hAnsi="Calibri"/>
          <w:sz w:val="17"/>
          <w:szCs w:val="17"/>
          <w:b w:val="1"/>
          <w:bCs w:val="1"/>
          <w:color w:val="FB4E0B"/>
        </w:rPr>
        <w:t>*</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 xml:space="preserve">Vikram Pandit </w:t>
      </w:r>
      <w:r>
        <w:rPr>
          <w:rFonts w:ascii="Calibri" w:cs="Calibri" w:eastAsia="Calibri" w:hAnsi="Calibri"/>
          <w:sz w:val="17"/>
          <w:szCs w:val="17"/>
          <w:b w:val="1"/>
          <w:bCs w:val="1"/>
          <w:color w:val="FB4E0B"/>
        </w:rPr>
        <w:t>(Chairman)</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Anne Minto*</w:t>
      </w:r>
    </w:p>
    <w:p>
      <w:pPr>
        <w:spacing w:after="0" w:line="378" w:lineRule="exact"/>
        <w:rPr>
          <w:sz w:val="20"/>
          <w:szCs w:val="20"/>
          <w:color w:val="auto"/>
        </w:rPr>
      </w:pPr>
    </w:p>
    <w:p>
      <w:pPr>
        <w:ind w:left="460"/>
        <w:spacing w:after="0"/>
        <w:rPr>
          <w:sz w:val="20"/>
          <w:szCs w:val="20"/>
          <w:color w:val="auto"/>
        </w:rPr>
      </w:pPr>
      <w:r>
        <w:rPr>
          <w:rFonts w:ascii="Calibri" w:cs="Calibri" w:eastAsia="Calibri" w:hAnsi="Calibri"/>
          <w:sz w:val="17"/>
          <w:szCs w:val="17"/>
          <w:b w:val="1"/>
          <w:bCs w:val="1"/>
          <w:color w:val="auto"/>
        </w:rPr>
        <w:t>Som Mital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97155</wp:posOffset>
            </wp:positionV>
            <wp:extent cx="6740525"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40525" cy="24765"/>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196215</wp:posOffset>
            </wp:positionV>
            <wp:extent cx="338455" cy="2476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8455" cy="247650"/>
                    </a:xfrm>
                    <a:prstGeom prst="rect">
                      <a:avLst/>
                    </a:prstGeom>
                    <a:noFill/>
                  </pic:spPr>
                </pic:pic>
              </a:graphicData>
            </a:graphic>
          </wp:anchor>
        </w:drawing>
      </w:r>
    </w:p>
    <w:p>
      <w:pPr>
        <w:spacing w:after="0" w:line="345" w:lineRule="exact"/>
        <w:rPr>
          <w:sz w:val="20"/>
          <w:szCs w:val="20"/>
          <w:color w:val="auto"/>
        </w:rPr>
      </w:pPr>
    </w:p>
    <w:p>
      <w:pPr>
        <w:ind w:left="860"/>
        <w:spacing w:after="0"/>
        <w:tabs>
          <w:tab w:leader="none" w:pos="3080" w:val="left"/>
        </w:tabs>
        <w:rPr>
          <w:sz w:val="20"/>
          <w:szCs w:val="20"/>
          <w:color w:val="auto"/>
        </w:rPr>
      </w:pPr>
      <w:r>
        <w:rPr>
          <w:rFonts w:ascii="Calibri" w:cs="Calibri" w:eastAsia="Calibri" w:hAnsi="Calibri"/>
          <w:sz w:val="17"/>
          <w:szCs w:val="17"/>
          <w:b w:val="1"/>
          <w:bCs w:val="1"/>
          <w:color w:val="auto"/>
        </w:rPr>
        <w:t>Chair</w:t>
      </w:r>
      <w:r>
        <w:rPr>
          <w:sz w:val="20"/>
          <w:szCs w:val="20"/>
          <w:color w:val="auto"/>
        </w:rPr>
        <w:tab/>
      </w:r>
      <w:r>
        <w:rPr>
          <w:rFonts w:ascii="Calibri" w:cs="Calibri" w:eastAsia="Calibri" w:hAnsi="Calibri"/>
          <w:sz w:val="17"/>
          <w:szCs w:val="17"/>
          <w:b w:val="1"/>
          <w:bCs w:val="1"/>
          <w:color w:val="auto"/>
        </w:rPr>
        <w:t>Member</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*Not standing for re-electon</w:t>
      </w:r>
    </w:p>
    <w:p>
      <w:pPr>
        <w:ind w:left="320"/>
        <w:spacing w:after="0" w:line="237" w:lineRule="auto"/>
        <w:rPr>
          <w:sz w:val="20"/>
          <w:szCs w:val="20"/>
          <w:color w:val="auto"/>
        </w:rPr>
      </w:pPr>
      <w:r>
        <w:rPr>
          <w:rFonts w:ascii="Calibri" w:cs="Calibri" w:eastAsia="Calibri" w:hAnsi="Calibri"/>
          <w:sz w:val="14"/>
          <w:szCs w:val="14"/>
          <w:color w:val="FB4E0B"/>
        </w:rPr>
        <w:t>*</w:t>
      </w:r>
      <w:r>
        <w:rPr>
          <w:rFonts w:ascii="Calibri" w:cs="Calibri" w:eastAsia="Calibri" w:hAnsi="Calibri"/>
          <w:sz w:val="14"/>
          <w:szCs w:val="14"/>
          <w:color w:val="000000"/>
        </w:rPr>
        <w:t>Audit Commitee Financial Expert</w:t>
      </w:r>
    </w:p>
    <w:p>
      <w:pPr>
        <w:spacing w:after="0" w:line="291"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39</w:t>
      </w:r>
    </w:p>
    <w:p>
      <w:pPr>
        <w:sectPr>
          <w:pgSz w:w="11900" w:h="16838" w:orient="portrait"/>
          <w:cols w:equalWidth="0" w:num="1">
            <w:col w:w="10940"/>
          </w:cols>
          <w:pgMar w:left="320" w:top="471"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Commitee</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oversees and assists our board of directors in fulflling its oversight responsibilites with respect to our accountng and fnancial reportng processes, including the integrity of the fnancial statements and other fnancial informaton provided by us to our stockholders, the public, stock exchanges and others; our compliance with legal and regulatory requirements; our independent registered public accountng frm’s qualifcatons and independence; the audit of our fnancial statements; the performance of our internal audit functon and independent registered public accountng frm; and the Company’s cybersecurity program and cyber strategy-related risks; business contnuity and disaster recovery planning; and ESG-related disclosure, processes and controls. Our Audit Commitee’s risk oversight is discussed below beginning on page 43. Our Audit Commitee charter permits the commitee to form and delegate authority to subcommitees when appropriate, provided that the subcommitees are composed entrely of directors who satsfy the applicable requirement of federal securites laws as well as independence requirements of the Nasdaq Stock Market.</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has direct responsibility for the appointment, compensaton, retenton (including terminaton) and oversight of our independent registered public accountng frm, and our independent registered public accountng frm reports directly to our Audit Commitee. Our Audit Commitee also reviews and approves specifed related-party transactons as required by the rules of the Nasdaq Stock Market, and oversees the Company’s cybersecurity program and cyber strategy-related risks. The Audit Commitee was established in accordance with</w:t>
      </w:r>
    </w:p>
    <w:p>
      <w:pPr>
        <w:spacing w:after="0" w:line="5" w:lineRule="exact"/>
        <w:rPr>
          <w:sz w:val="20"/>
          <w:szCs w:val="20"/>
          <w:color w:val="auto"/>
        </w:rPr>
      </w:pPr>
    </w:p>
    <w:p>
      <w:pPr>
        <w:jc w:val="both"/>
        <w:ind w:left="320" w:right="60"/>
        <w:spacing w:after="0" w:line="239" w:lineRule="auto"/>
        <w:rPr>
          <w:sz w:val="20"/>
          <w:szCs w:val="20"/>
          <w:color w:val="auto"/>
        </w:rPr>
      </w:pPr>
      <w:r>
        <w:rPr>
          <w:rFonts w:ascii="Calibri" w:cs="Calibri" w:eastAsia="Calibri" w:hAnsi="Calibri"/>
          <w:sz w:val="17"/>
          <w:szCs w:val="17"/>
          <w:color w:val="auto"/>
        </w:rPr>
        <w:t>Secton 3(a)(58)(A) of the Securites Exchange Act of 1934 (the “Exchange Act”). Our Audit Commitee annually reviews and assesses the adequacy of the Audit Commitee charter and its own performance.</w:t>
      </w:r>
    </w:p>
    <w:p>
      <w:pPr>
        <w:spacing w:after="0" w:line="317"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The members of our Audit Commitee are appointed by our board of directors. All members of our Audit Commitee must also be recommended by our Nominatng and Governance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40"/>
        <w:spacing w:after="0"/>
        <w:rPr>
          <w:sz w:val="20"/>
          <w:szCs w:val="20"/>
          <w:color w:val="auto"/>
        </w:rPr>
      </w:pPr>
      <w:r>
        <w:rPr>
          <w:rFonts w:ascii="Calibri" w:cs="Calibri" w:eastAsia="Calibri" w:hAnsi="Calibri"/>
          <w:sz w:val="17"/>
          <w:szCs w:val="17"/>
          <w:b w:val="1"/>
          <w:bCs w:val="1"/>
          <w:color w:val="FFFFFF"/>
        </w:rPr>
        <w:t>Audit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3296285" cy="14789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96285" cy="1478915"/>
                    </a:xfrm>
                    <a:prstGeom prst="rect">
                      <a:avLst/>
                    </a:prstGeom>
                    <a:noFill/>
                  </pic:spPr>
                </pic:pic>
              </a:graphicData>
            </a:graphic>
          </wp:anchor>
        </w:drawing>
      </w:r>
    </w:p>
    <w:p>
      <w:pPr>
        <w:spacing w:after="0" w:line="332" w:lineRule="exact"/>
        <w:rPr>
          <w:sz w:val="20"/>
          <w:szCs w:val="20"/>
          <w:color w:val="auto"/>
        </w:rPr>
      </w:pPr>
    </w:p>
    <w:p>
      <w:pPr>
        <w:ind w:left="140"/>
        <w:spacing w:after="0"/>
        <w:rPr>
          <w:sz w:val="20"/>
          <w:szCs w:val="20"/>
          <w:color w:val="auto"/>
        </w:rPr>
      </w:pPr>
      <w:r>
        <w:rPr>
          <w:rFonts w:ascii="Calibri" w:cs="Calibri" w:eastAsia="Calibri" w:hAnsi="Calibri"/>
          <w:sz w:val="17"/>
          <w:szCs w:val="17"/>
          <w:b w:val="1"/>
          <w:bCs w:val="1"/>
          <w:color w:val="auto"/>
        </w:rPr>
        <w:t>Kristy Pipes, Chair*</w:t>
      </w:r>
    </w:p>
    <w:p>
      <w:pPr>
        <w:spacing w:after="0" w:line="126" w:lineRule="exact"/>
        <w:rPr>
          <w:sz w:val="20"/>
          <w:szCs w:val="20"/>
          <w:color w:val="auto"/>
        </w:rPr>
      </w:pPr>
    </w:p>
    <w:p>
      <w:pPr>
        <w:ind w:left="180"/>
        <w:spacing w:after="0"/>
        <w:rPr>
          <w:sz w:val="20"/>
          <w:szCs w:val="20"/>
          <w:color w:val="auto"/>
        </w:rPr>
      </w:pPr>
      <w:r>
        <w:rPr>
          <w:rFonts w:ascii="Calibri" w:cs="Calibri" w:eastAsia="Calibri" w:hAnsi="Calibri"/>
          <w:sz w:val="16"/>
          <w:szCs w:val="16"/>
          <w:color w:val="auto"/>
        </w:rPr>
        <w:t>Andreas Fibig</w:t>
      </w:r>
    </w:p>
    <w:p>
      <w:pPr>
        <w:ind w:left="180"/>
        <w:spacing w:after="0"/>
        <w:rPr>
          <w:sz w:val="20"/>
          <w:szCs w:val="20"/>
          <w:color w:val="auto"/>
        </w:rPr>
      </w:pPr>
      <w:r>
        <w:rPr>
          <w:rFonts w:ascii="Calibri" w:cs="Calibri" w:eastAsia="Calibri" w:hAnsi="Calibri"/>
          <w:sz w:val="16"/>
          <w:szCs w:val="16"/>
          <w:color w:val="auto"/>
        </w:rPr>
        <w:t>Clyde Ostler*</w:t>
      </w:r>
    </w:p>
    <w:p>
      <w:pPr>
        <w:ind w:left="180"/>
        <w:spacing w:after="0"/>
        <w:rPr>
          <w:sz w:val="20"/>
          <w:szCs w:val="20"/>
          <w:color w:val="auto"/>
        </w:rPr>
      </w:pPr>
      <w:r>
        <w:rPr>
          <w:rFonts w:ascii="Calibri" w:cs="Calibri" w:eastAsia="Calibri" w:hAnsi="Calibri"/>
          <w:sz w:val="16"/>
          <w:szCs w:val="16"/>
          <w:color w:val="auto"/>
        </w:rPr>
        <w:t>Nitn Sahney*</w:t>
      </w:r>
    </w:p>
    <w:p>
      <w:pPr>
        <w:ind w:left="180"/>
        <w:spacing w:after="0"/>
        <w:rPr>
          <w:sz w:val="20"/>
          <w:szCs w:val="20"/>
          <w:color w:val="auto"/>
        </w:rPr>
      </w:pPr>
      <w:r>
        <w:rPr>
          <w:rFonts w:ascii="Calibri" w:cs="Calibri" w:eastAsia="Calibri" w:hAnsi="Calibri"/>
          <w:sz w:val="16"/>
          <w:szCs w:val="16"/>
          <w:color w:val="auto"/>
        </w:rPr>
        <w:t>Jaynie Studenmund*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Accountng and fnancial reportng processes</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Our independent registered public accountng frm’s appointment and</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independence</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The audit of our fnancial statements and internal audit functon</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Other key areas including cybersecurity, ESG disclosures, processes</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and controls, litgaton, business contnuity and disaster recovery,</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compliance and regulatory enforcement maters</w:t>
            </w:r>
          </w:p>
        </w:tc>
      </w:tr>
      <w:tr>
        <w:trPr>
          <w:trHeight w:val="170"/>
        </w:trPr>
        <w:tc>
          <w:tcPr>
            <w:tcW w:w="560" w:type="dxa"/>
            <w:vAlign w:val="bottom"/>
            <w:shd w:val="clear" w:color="auto" w:fill="D8D8D8"/>
          </w:tcPr>
          <w:p>
            <w:pPr>
              <w:spacing w:after="0"/>
              <w:rPr>
                <w:sz w:val="14"/>
                <w:szCs w:val="14"/>
                <w:color w:val="auto"/>
              </w:rPr>
            </w:pPr>
          </w:p>
        </w:tc>
        <w:tc>
          <w:tcPr>
            <w:tcW w:w="4640" w:type="dxa"/>
            <w:vAlign w:val="bottom"/>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296285" cy="3797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96285" cy="37973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5400" w:space="340"/>
            <w:col w:w="5200"/>
          </w:cols>
          <w:pgMar w:left="320" w:top="471" w:right="639" w:bottom="1440" w:gutter="0" w:footer="0" w:header="0"/>
          <w:type w:val="continuous"/>
        </w:sectPr>
      </w:pPr>
    </w:p>
    <w:p>
      <w:pPr>
        <w:jc w:val="right"/>
        <w:ind w:right="1000"/>
        <w:spacing w:after="0"/>
        <w:rPr>
          <w:sz w:val="20"/>
          <w:szCs w:val="20"/>
          <w:color w:val="auto"/>
        </w:rPr>
      </w:pPr>
      <w:r>
        <w:rPr>
          <w:rFonts w:ascii="Calibri" w:cs="Calibri" w:eastAsia="Calibri" w:hAnsi="Calibri"/>
          <w:sz w:val="13"/>
          <w:szCs w:val="13"/>
          <w:color w:val="auto"/>
        </w:rPr>
        <w:t>*Audit commitee fnancial expert under applicable SEC rules and regulatons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177800</wp:posOffset>
            </wp:positionV>
            <wp:extent cx="3296285" cy="2806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96285" cy="280670"/>
                    </a:xfrm>
                    <a:prstGeom prst="rect">
                      <a:avLst/>
                    </a:prstGeom>
                    <a:noFill/>
                  </pic:spPr>
                </pic:pic>
              </a:graphicData>
            </a:graphic>
          </wp:anchor>
        </w:drawing>
      </w:r>
    </w:p>
    <w:p>
      <w:pPr>
        <w:spacing w:after="0" w:line="290" w:lineRule="exact"/>
        <w:rPr>
          <w:sz w:val="20"/>
          <w:szCs w:val="20"/>
          <w:color w:val="auto"/>
        </w:rPr>
      </w:pPr>
    </w:p>
    <w:p>
      <w:pPr>
        <w:ind w:left="7280"/>
        <w:spacing w:after="0"/>
        <w:rPr>
          <w:sz w:val="20"/>
          <w:szCs w:val="20"/>
          <w:color w:val="auto"/>
        </w:rPr>
      </w:pPr>
      <w:r>
        <w:rPr>
          <w:rFonts w:ascii="Calibri" w:cs="Calibri" w:eastAsia="Calibri" w:hAnsi="Calibri"/>
          <w:sz w:val="17"/>
          <w:szCs w:val="17"/>
          <w:b w:val="1"/>
          <w:bCs w:val="1"/>
          <w:color w:val="FB4E0B"/>
        </w:rPr>
        <w:t>7 commitee meetngs in 2022</w:t>
      </w:r>
    </w:p>
    <w:p>
      <w:pPr>
        <w:spacing w:after="0" w:line="200" w:lineRule="exact"/>
        <w:rPr>
          <w:sz w:val="20"/>
          <w:szCs w:val="20"/>
          <w:color w:val="auto"/>
        </w:rPr>
      </w:pPr>
    </w:p>
    <w:p>
      <w:pPr>
        <w:spacing w:after="0" w:line="252"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40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and Talent Management Commitee</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Compensaton and Talent Management Commitee reviews and recommends policies relatng to compensaton and benefts of our directors, ofcers and employees and is responsible for approving the compensaton of our Vice Chairman and CEO and other executve ofcers, as well as our employee beneft policies, programs and administraton. Our Compensaton and Talent Management Commitee reviews, evaluates and makes recommendatons to our board of directors with respect to our incentve compensaton plans and equity-based plans and administers the issuance of awards under our equity incentve plans. Our Compensaton and Talent Management Commitee also provides oversight with respect to human capital management maters, including diversity, equity and inclusion, and talent and leadership engagement, development, and training and, in 2022, changed its name from Compensaton Commitee to Compensaton and Talent Management Commitee to refect these responsibilites. Our Compensaton and Talent Management Commitee charter permits the commitee to form and delegate authority to subcommitees when appropriate, provided that the subcommitees are composed entrely of directors who satsfy the applicable independence requirements of the Nasdaq Stock Market.</w:t>
      </w:r>
    </w:p>
    <w:p>
      <w:pPr>
        <w:sectPr>
          <w:pgSz w:w="11900" w:h="16838" w:orient="portrait"/>
          <w:cols w:equalWidth="0" w:num="1">
            <w:col w:w="10940"/>
          </w:cols>
          <w:pgMar w:left="320" w:top="471" w:right="639" w:bottom="1440" w:gutter="0" w:footer="0" w:header="0"/>
        </w:sectPr>
      </w:pPr>
    </w:p>
    <w:p>
      <w:pPr>
        <w:spacing w:after="0" w:line="17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and Talent Management Commitee charter also permits the commitee to retain advisors, consultants or other professionals to assist the Compensaton and Talent Management Commitee to evaluate director, Vice Chairman and CEO or other senior executve compensaton and to carry out its dutes. For 2022, our Compensaton and Talent Management Commitee retained the services of Farient Advisors LLC (“Farient”), a qualifed and independent compensaton consultant, to aid the Compensaton and Talent Management Commitee in performing its review of executve compensaton including executve compensaton benchmarking and peer group analysis. Our Compensaton and Talent Management Commitee annually reviews and assesses the adequacy of the Compensaton and Talent Management Commitee charter and its own performance. Additonal informaton regarding our Compensaton and Talent Management Commitee’s processes and procedures for considering executve compensaton are addressed in the Compensaton Discussion and Analysis below.</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420"/>
        <w:spacing w:after="0"/>
        <w:rPr>
          <w:sz w:val="20"/>
          <w:szCs w:val="20"/>
          <w:color w:val="auto"/>
        </w:rPr>
      </w:pPr>
      <w:r>
        <w:rPr>
          <w:rFonts w:ascii="Calibri" w:cs="Calibri" w:eastAsia="Calibri" w:hAnsi="Calibri"/>
          <w:sz w:val="17"/>
          <w:szCs w:val="17"/>
          <w:b w:val="1"/>
          <w:bCs w:val="1"/>
          <w:color w:val="FFFFFF"/>
        </w:rPr>
        <w:t>Compensaton and Talent Management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-215900</wp:posOffset>
            </wp:positionV>
            <wp:extent cx="3296285" cy="14789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96285" cy="147891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Jaynie Studenmund, Chair</w:t>
      </w:r>
    </w:p>
    <w:p>
      <w:pPr>
        <w:spacing w:after="0" w:line="234" w:lineRule="auto"/>
        <w:rPr>
          <w:sz w:val="20"/>
          <w:szCs w:val="20"/>
          <w:color w:val="auto"/>
        </w:rPr>
      </w:pPr>
      <w:r>
        <w:rPr>
          <w:rFonts w:ascii="Calibri" w:cs="Calibri" w:eastAsia="Calibri" w:hAnsi="Calibri"/>
          <w:sz w:val="16"/>
          <w:szCs w:val="16"/>
          <w:color w:val="auto"/>
        </w:rPr>
        <w:t>Anne Minto</w:t>
      </w:r>
    </w:p>
    <w:p>
      <w:pPr>
        <w:spacing w:after="0" w:line="1" w:lineRule="exact"/>
        <w:rPr>
          <w:sz w:val="20"/>
          <w:szCs w:val="20"/>
          <w:color w:val="auto"/>
        </w:rPr>
      </w:pPr>
    </w:p>
    <w:p>
      <w:pPr>
        <w:spacing w:after="0"/>
        <w:rPr>
          <w:sz w:val="20"/>
          <w:szCs w:val="20"/>
          <w:color w:val="auto"/>
        </w:rPr>
      </w:pPr>
      <w:r>
        <w:rPr>
          <w:rFonts w:ascii="Calibri" w:cs="Calibri" w:eastAsia="Calibri" w:hAnsi="Calibri"/>
          <w:sz w:val="16"/>
          <w:szCs w:val="16"/>
          <w:color w:val="auto"/>
        </w:rPr>
        <w:t>Som Mital</w:t>
      </w:r>
    </w:p>
    <w:p>
      <w:pPr>
        <w:spacing w:after="0"/>
        <w:rPr>
          <w:sz w:val="20"/>
          <w:szCs w:val="20"/>
          <w:color w:val="auto"/>
        </w:rPr>
      </w:pPr>
      <w:r>
        <w:rPr>
          <w:rFonts w:ascii="Calibri" w:cs="Calibri" w:eastAsia="Calibri" w:hAnsi="Calibri"/>
          <w:sz w:val="16"/>
          <w:szCs w:val="16"/>
          <w:color w:val="auto"/>
        </w:rPr>
        <w:t>Clyde Ostler</w:t>
      </w:r>
    </w:p>
    <w:p>
      <w:pPr>
        <w:spacing w:after="0"/>
        <w:rPr>
          <w:sz w:val="20"/>
          <w:szCs w:val="20"/>
          <w:color w:val="auto"/>
        </w:rPr>
      </w:pPr>
      <w:r>
        <w:rPr>
          <w:rFonts w:ascii="Calibri" w:cs="Calibri" w:eastAsia="Calibri" w:hAnsi="Calibri"/>
          <w:sz w:val="16"/>
          <w:szCs w:val="16"/>
          <w:color w:val="auto"/>
        </w:rPr>
        <w:t>Vikram Pandit</w:t>
      </w:r>
    </w:p>
    <w:p>
      <w:pPr>
        <w:spacing w:after="0"/>
        <w:rPr>
          <w:sz w:val="20"/>
          <w:szCs w:val="20"/>
          <w:color w:val="auto"/>
        </w:rPr>
      </w:pPr>
      <w:r>
        <w:rPr>
          <w:rFonts w:ascii="Calibri" w:cs="Calibri" w:eastAsia="Calibri" w:hAnsi="Calibri"/>
          <w:sz w:val="16"/>
          <w:szCs w:val="16"/>
          <w:color w:val="auto"/>
        </w:rPr>
        <w:t>Kristy Pipes</w:t>
      </w:r>
    </w:p>
    <w:p>
      <w:pPr>
        <w:spacing w:after="0" w:line="338" w:lineRule="exact"/>
        <w:rPr>
          <w:sz w:val="20"/>
          <w:szCs w:val="20"/>
          <w:color w:val="auto"/>
        </w:rPr>
      </w:pPr>
    </w:p>
    <w:p>
      <w:pPr>
        <w:ind w:left="100"/>
        <w:spacing w:after="0"/>
        <w:tabs>
          <w:tab w:leader="none" w:pos="3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 Overall compensaton risk management, including recommending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-106045</wp:posOffset>
            </wp:positionV>
            <wp:extent cx="3296285" cy="1437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96285" cy="1437640"/>
                    </a:xfrm>
                    <a:prstGeom prst="rect">
                      <a:avLst/>
                    </a:prstGeom>
                    <a:noFill/>
                  </pic:spPr>
                </pic:pic>
              </a:graphicData>
            </a:graphic>
          </wp:anchor>
        </w:drawing>
      </w:r>
    </w:p>
    <w:p>
      <w:pPr>
        <w:ind w:left="420"/>
        <w:spacing w:after="0"/>
        <w:rPr>
          <w:sz w:val="20"/>
          <w:szCs w:val="20"/>
          <w:color w:val="auto"/>
        </w:rPr>
      </w:pPr>
      <w:r>
        <w:rPr>
          <w:rFonts w:ascii="Calibri" w:cs="Calibri" w:eastAsia="Calibri" w:hAnsi="Calibri"/>
          <w:sz w:val="16"/>
          <w:szCs w:val="16"/>
          <w:color w:val="auto"/>
        </w:rPr>
        <w:t>incentve compensaton plans</w:t>
      </w:r>
    </w:p>
    <w:p>
      <w:pPr>
        <w:spacing w:after="0" w:line="117" w:lineRule="exact"/>
        <w:rPr>
          <w:sz w:val="20"/>
          <w:szCs w:val="20"/>
          <w:color w:val="auto"/>
        </w:rPr>
      </w:pPr>
    </w:p>
    <w:p>
      <w:pPr>
        <w:ind w:left="100"/>
        <w:spacing w:after="0"/>
        <w:tabs>
          <w:tab w:leader="none" w:pos="3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 Retenton of advisors or other compensaton consultants</w:t>
      </w:r>
    </w:p>
    <w:p>
      <w:pPr>
        <w:spacing w:after="0" w:line="117" w:lineRule="exact"/>
        <w:rPr>
          <w:sz w:val="20"/>
          <w:szCs w:val="20"/>
          <w:color w:val="auto"/>
        </w:rPr>
      </w:pPr>
    </w:p>
    <w:p>
      <w:pPr>
        <w:ind w:left="100"/>
        <w:spacing w:after="0"/>
        <w:tabs>
          <w:tab w:leader="none" w:pos="3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 Oversight of human capital management maters, including diversity,</w:t>
      </w:r>
    </w:p>
    <w:p>
      <w:pPr>
        <w:ind w:left="420"/>
        <w:spacing w:after="0"/>
        <w:rPr>
          <w:sz w:val="20"/>
          <w:szCs w:val="20"/>
          <w:color w:val="auto"/>
        </w:rPr>
      </w:pPr>
      <w:r>
        <w:rPr>
          <w:rFonts w:ascii="Calibri" w:cs="Calibri" w:eastAsia="Calibri" w:hAnsi="Calibri"/>
          <w:sz w:val="16"/>
          <w:szCs w:val="16"/>
          <w:color w:val="auto"/>
        </w:rPr>
        <w:t>equity and inclusion</w:t>
      </w:r>
    </w:p>
    <w:p>
      <w:pPr>
        <w:spacing w:after="0" w:line="117" w:lineRule="exact"/>
        <w:rPr>
          <w:sz w:val="20"/>
          <w:szCs w:val="20"/>
          <w:color w:val="auto"/>
        </w:rPr>
      </w:pPr>
    </w:p>
    <w:p>
      <w:pPr>
        <w:ind w:left="100"/>
        <w:spacing w:after="0"/>
        <w:tabs>
          <w:tab w:leader="none" w:pos="3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 interlocks or insider partcipaton</w:t>
      </w:r>
    </w:p>
    <w:p>
      <w:pPr>
        <w:spacing w:after="0" w:line="200" w:lineRule="exact"/>
        <w:rPr>
          <w:sz w:val="20"/>
          <w:szCs w:val="20"/>
          <w:color w:val="auto"/>
        </w:rPr>
      </w:pPr>
    </w:p>
    <w:p>
      <w:pPr>
        <w:sectPr>
          <w:pgSz w:w="11900" w:h="16838" w:orient="portrait"/>
          <w:cols w:equalWidth="0" w:num="2">
            <w:col w:w="5320" w:space="560"/>
            <w:col w:w="5060"/>
          </w:cols>
          <w:pgMar w:left="320" w:top="471" w:right="639" w:bottom="1440" w:gutter="0" w:footer="0" w:header="0"/>
          <w:type w:val="continuous"/>
        </w:sectPr>
      </w:pPr>
    </w:p>
    <w:p>
      <w:pPr>
        <w:spacing w:after="0" w:line="169" w:lineRule="exact"/>
        <w:rPr>
          <w:sz w:val="20"/>
          <w:szCs w:val="20"/>
          <w:color w:val="auto"/>
        </w:rPr>
      </w:pPr>
    </w:p>
    <w:p>
      <w:pPr>
        <w:ind w:left="7280"/>
        <w:spacing w:after="0"/>
        <w:rPr>
          <w:sz w:val="20"/>
          <w:szCs w:val="20"/>
          <w:color w:val="auto"/>
        </w:rPr>
      </w:pPr>
      <w:r>
        <w:rPr>
          <w:rFonts w:ascii="Calibri" w:cs="Calibri" w:eastAsia="Calibri" w:hAnsi="Calibri"/>
          <w:sz w:val="17"/>
          <w:szCs w:val="17"/>
          <w:b w:val="1"/>
          <w:bCs w:val="1"/>
          <w:color w:val="FB4E0B"/>
        </w:rPr>
        <w:t>5 commitee meetngs in 2022</w:t>
      </w:r>
    </w:p>
    <w:p>
      <w:pPr>
        <w:spacing w:after="0" w:line="200" w:lineRule="exact"/>
        <w:rPr>
          <w:sz w:val="20"/>
          <w:szCs w:val="20"/>
          <w:color w:val="auto"/>
        </w:rPr>
      </w:pPr>
    </w:p>
    <w:p>
      <w:pPr>
        <w:spacing w:after="0" w:line="348"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members of our Compensaton and Talent Management Commitee are appointed by our board of directors. All new members of our Compensaton and Talent Management Commitee must be recommended by our Nominatng and Governance Commitee.</w:t>
      </w:r>
    </w:p>
    <w:p>
      <w:pPr>
        <w:spacing w:after="0" w:line="211" w:lineRule="exact"/>
        <w:rPr>
          <w:sz w:val="20"/>
          <w:szCs w:val="20"/>
          <w:color w:val="auto"/>
        </w:rPr>
      </w:pPr>
    </w:p>
    <w:p>
      <w:pPr>
        <w:jc w:val="both"/>
        <w:ind w:left="320" w:right="380"/>
        <w:spacing w:after="0" w:line="239" w:lineRule="auto"/>
        <w:rPr>
          <w:sz w:val="20"/>
          <w:szCs w:val="20"/>
          <w:color w:val="auto"/>
        </w:rPr>
      </w:pPr>
      <w:r>
        <w:rPr>
          <w:rFonts w:ascii="Calibri" w:cs="Calibri" w:eastAsia="Calibri" w:hAnsi="Calibri"/>
          <w:sz w:val="17"/>
          <w:szCs w:val="17"/>
          <w:color w:val="auto"/>
        </w:rPr>
        <w:t>During 2022, none of our executve ofcers served as a member of the board of directors or Compensaton and Talent Management Commitee of (or similar) any entty that has one or more executve ofcers who serve on our board of directors or Compensaton and Talent Management Commitee.</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41</w:t>
      </w:r>
    </w:p>
    <w:p>
      <w:pPr>
        <w:sectPr>
          <w:pgSz w:w="11900" w:h="16838" w:orient="portrait"/>
          <w:cols w:equalWidth="0" w:num="1">
            <w:col w:w="10940"/>
          </w:cols>
          <w:pgMar w:left="320" w:top="471" w:right="6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Nominatng and Governance Commitee</w:t>
      </w:r>
    </w:p>
    <w:p>
      <w:pPr>
        <w:spacing w:after="0" w:line="29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is responsible for:</w:t>
      </w:r>
    </w:p>
    <w:p>
      <w:pPr>
        <w:spacing w:after="0" w:line="2" w:lineRule="exact"/>
        <w:rPr>
          <w:sz w:val="20"/>
          <w:szCs w:val="20"/>
          <w:color w:val="auto"/>
        </w:rPr>
      </w:pPr>
    </w:p>
    <w:p>
      <w:pPr>
        <w:ind w:left="320" w:hanging="4"/>
        <w:spacing w:after="0"/>
        <w:tabs>
          <w:tab w:leader="none" w:pos="500"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identfying and recommending candidates for electon to our board of directors using selecton criteria approved by our board of directors, reviewing compositon of the board and commitee membership and overseeing board refreshment and director compensaton and benefts maters, (ii) developing and recommending to our board of directors Corporate Governance Guidelines, including independence standards, and other board procedures or corporate governance policies, as well as any changes to such guidelines, procedures or policies or to any of our organizatonal documents; (iii) overseeing our board of director and management evaluatons and our director educaton program, and</w:t>
      </w:r>
    </w:p>
    <w:p>
      <w:pPr>
        <w:spacing w:after="0" w:line="6" w:lineRule="exact"/>
        <w:rPr>
          <w:rFonts w:ascii="Calibri" w:cs="Calibri" w:eastAsia="Calibri" w:hAnsi="Calibri"/>
          <w:sz w:val="17"/>
          <w:szCs w:val="17"/>
          <w:color w:val="auto"/>
        </w:rPr>
      </w:pPr>
    </w:p>
    <w:p>
      <w:pPr>
        <w:ind w:left="320" w:hanging="4"/>
        <w:spacing w:after="0"/>
        <w:tabs>
          <w:tab w:leader="none" w:pos="576"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overseeing our ESG goals, policies and practces. Our Nominatng and Governance Commitee charter permits the commitee to form and delegate authority to subcommitees when appropriate, provided that the subcommitees are composed entrely of directors who satsfy the applicable independence requirements of the Nasdaq Stock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40"/>
        <w:spacing w:after="0"/>
        <w:rPr>
          <w:sz w:val="20"/>
          <w:szCs w:val="20"/>
          <w:color w:val="auto"/>
        </w:rPr>
      </w:pPr>
      <w:r>
        <w:rPr>
          <w:rFonts w:ascii="Calibri" w:cs="Calibri" w:eastAsia="Calibri" w:hAnsi="Calibri"/>
          <w:sz w:val="17"/>
          <w:szCs w:val="17"/>
          <w:b w:val="1"/>
          <w:bCs w:val="1"/>
          <w:color w:val="FFFFFF"/>
        </w:rPr>
        <w:t>Nominatng and Governance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-1504950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-215900</wp:posOffset>
            </wp:positionV>
            <wp:extent cx="3296285" cy="1404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96285" cy="1404620"/>
                    </a:xfrm>
                    <a:prstGeom prst="rect">
                      <a:avLst/>
                    </a:prstGeom>
                    <a:noFill/>
                  </pic:spPr>
                </pic:pic>
              </a:graphicData>
            </a:graphic>
          </wp:anchor>
        </w:drawing>
      </w:r>
    </w:p>
    <w:p>
      <w:pPr>
        <w:spacing w:after="0" w:line="306" w:lineRule="exact"/>
        <w:rPr>
          <w:sz w:val="20"/>
          <w:szCs w:val="20"/>
          <w:color w:val="auto"/>
        </w:rPr>
      </w:pPr>
    </w:p>
    <w:p>
      <w:pPr>
        <w:ind w:left="140"/>
        <w:spacing w:after="0"/>
        <w:rPr>
          <w:sz w:val="20"/>
          <w:szCs w:val="20"/>
          <w:color w:val="auto"/>
        </w:rPr>
      </w:pPr>
      <w:r>
        <w:rPr>
          <w:rFonts w:ascii="Calibri" w:cs="Calibri" w:eastAsia="Calibri" w:hAnsi="Calibri"/>
          <w:sz w:val="17"/>
          <w:szCs w:val="17"/>
          <w:b w:val="1"/>
          <w:bCs w:val="1"/>
          <w:color w:val="auto"/>
        </w:rPr>
        <w:t>Nitn Sahney, Chair</w:t>
      </w:r>
    </w:p>
    <w:p>
      <w:pPr>
        <w:spacing w:after="0" w:line="113" w:lineRule="exact"/>
        <w:rPr>
          <w:sz w:val="20"/>
          <w:szCs w:val="20"/>
          <w:color w:val="auto"/>
        </w:rPr>
      </w:pPr>
    </w:p>
    <w:p>
      <w:pPr>
        <w:ind w:left="180"/>
        <w:spacing w:after="0"/>
        <w:rPr>
          <w:sz w:val="20"/>
          <w:szCs w:val="20"/>
          <w:color w:val="auto"/>
        </w:rPr>
      </w:pPr>
      <w:r>
        <w:rPr>
          <w:rFonts w:ascii="Calibri" w:cs="Calibri" w:eastAsia="Calibri" w:hAnsi="Calibri"/>
          <w:sz w:val="16"/>
          <w:szCs w:val="16"/>
          <w:color w:val="auto"/>
        </w:rPr>
        <w:t>Andreas Fibig</w:t>
      </w:r>
    </w:p>
    <w:p>
      <w:pPr>
        <w:ind w:left="180"/>
        <w:spacing w:after="0"/>
        <w:rPr>
          <w:sz w:val="20"/>
          <w:szCs w:val="20"/>
          <w:color w:val="auto"/>
        </w:rPr>
      </w:pPr>
      <w:r>
        <w:rPr>
          <w:rFonts w:ascii="Calibri" w:cs="Calibri" w:eastAsia="Calibri" w:hAnsi="Calibri"/>
          <w:sz w:val="16"/>
          <w:szCs w:val="16"/>
          <w:color w:val="auto"/>
        </w:rPr>
        <w:t>Anne Minto</w:t>
      </w:r>
    </w:p>
    <w:p>
      <w:pPr>
        <w:ind w:left="180"/>
        <w:spacing w:after="0"/>
        <w:rPr>
          <w:sz w:val="20"/>
          <w:szCs w:val="20"/>
          <w:color w:val="auto"/>
        </w:rPr>
      </w:pPr>
      <w:r>
        <w:rPr>
          <w:rFonts w:ascii="Calibri" w:cs="Calibri" w:eastAsia="Calibri" w:hAnsi="Calibri"/>
          <w:sz w:val="16"/>
          <w:szCs w:val="16"/>
          <w:color w:val="auto"/>
        </w:rPr>
        <w:t>Som Mital</w:t>
      </w:r>
    </w:p>
    <w:p>
      <w:pPr>
        <w:ind w:left="180"/>
        <w:spacing w:after="0"/>
        <w:rPr>
          <w:sz w:val="20"/>
          <w:szCs w:val="20"/>
          <w:color w:val="auto"/>
        </w:rPr>
      </w:pPr>
      <w:r>
        <w:rPr>
          <w:rFonts w:ascii="Calibri" w:cs="Calibri" w:eastAsia="Calibri" w:hAnsi="Calibri"/>
          <w:sz w:val="16"/>
          <w:szCs w:val="16"/>
          <w:color w:val="auto"/>
        </w:rPr>
        <w:t>Vikram Pandit</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Reviewing compositon of the board, overseeing board refreshment</w:t>
            </w:r>
          </w:p>
        </w:tc>
      </w:tr>
      <w:tr>
        <w:trPr>
          <w:trHeight w:val="195"/>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and identfying and recommending board candidates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Developing and recommending governance practces, including our</w:t>
            </w:r>
          </w:p>
        </w:tc>
      </w:tr>
      <w:tr>
        <w:trPr>
          <w:trHeight w:val="195"/>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Corporate Governance Guidelines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Overseeing board evaluatons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Overseeing our ESG goals, policies and practces</w:t>
            </w:r>
          </w:p>
        </w:tc>
      </w:tr>
      <w:tr>
        <w:trPr>
          <w:trHeight w:val="241"/>
        </w:trPr>
        <w:tc>
          <w:tcPr>
            <w:tcW w:w="540" w:type="dxa"/>
            <w:vAlign w:val="bottom"/>
            <w:tcBorders>
              <w:bottom w:val="single" w:sz="8" w:color="FB4E0B"/>
            </w:tcBorders>
            <w:shd w:val="clear" w:color="auto" w:fill="D8D8D8"/>
          </w:tcPr>
          <w:p>
            <w:pPr>
              <w:spacing w:after="0"/>
              <w:rPr>
                <w:sz w:val="20"/>
                <w:szCs w:val="20"/>
                <w:color w:val="auto"/>
              </w:rPr>
            </w:pPr>
          </w:p>
        </w:tc>
        <w:tc>
          <w:tcPr>
            <w:tcW w:w="4660" w:type="dxa"/>
            <w:vAlign w:val="bottom"/>
            <w:tcBorders>
              <w:bottom w:val="single" w:sz="8" w:color="FB4E0B"/>
            </w:tcBorders>
            <w:shd w:val="clear" w:color="auto" w:fill="D8D8D8"/>
          </w:tcPr>
          <w:p>
            <w:pPr>
              <w:spacing w:after="0"/>
              <w:rPr>
                <w:sz w:val="20"/>
                <w:szCs w:val="20"/>
                <w:color w:val="auto"/>
              </w:rPr>
            </w:pPr>
          </w:p>
        </w:tc>
      </w:tr>
      <w:tr>
        <w:trPr>
          <w:trHeight w:val="276"/>
        </w:trPr>
        <w:tc>
          <w:tcPr>
            <w:tcW w:w="540" w:type="dxa"/>
            <w:vAlign w:val="bottom"/>
            <w:shd w:val="clear" w:color="auto" w:fill="D8D8D8"/>
          </w:tcPr>
          <w:p>
            <w:pPr>
              <w:spacing w:after="0"/>
              <w:rPr>
                <w:sz w:val="24"/>
                <w:szCs w:val="24"/>
                <w:color w:val="auto"/>
              </w:rPr>
            </w:pPr>
          </w:p>
        </w:tc>
        <w:tc>
          <w:tcPr>
            <w:tcW w:w="4660" w:type="dxa"/>
            <w:vAlign w:val="bottom"/>
            <w:shd w:val="clear" w:color="auto" w:fill="D8D8D8"/>
          </w:tcPr>
          <w:p>
            <w:pPr>
              <w:ind w:left="1000"/>
              <w:spacing w:after="0"/>
              <w:rPr>
                <w:sz w:val="20"/>
                <w:szCs w:val="20"/>
                <w:color w:val="auto"/>
              </w:rPr>
            </w:pPr>
            <w:r>
              <w:rPr>
                <w:rFonts w:ascii="Calibri" w:cs="Calibri" w:eastAsia="Calibri" w:hAnsi="Calibri"/>
                <w:sz w:val="17"/>
                <w:szCs w:val="17"/>
                <w:b w:val="1"/>
                <w:bCs w:val="1"/>
                <w:color w:val="FB4E0B"/>
              </w:rPr>
              <w:t>5 commitee meetngs in 2022</w:t>
            </w:r>
          </w:p>
        </w:tc>
      </w:tr>
      <w:tr>
        <w:trPr>
          <w:trHeight w:val="192"/>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5400" w:space="340"/>
            <w:col w:w="5200"/>
          </w:cols>
          <w:pgMar w:left="320" w:top="471" w:right="639" w:bottom="1440" w:gutter="0" w:footer="0" w:header="0"/>
        </w:sectPr>
      </w:pPr>
    </w:p>
    <w:p>
      <w:pPr>
        <w:spacing w:after="0" w:line="273"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Our Nominatng and Governance Commitee reviews writen and oral informaton provided by and about candidates and considers any additonal criteria it feels is appropriate to ensure that all director nominees possess appropriate skills and experience to serve as a member of our board of directors.</w:t>
      </w:r>
    </w:p>
    <w:p>
      <w:pPr>
        <w:spacing w:after="0" w:line="315" w:lineRule="exact"/>
        <w:rPr>
          <w:sz w:val="20"/>
          <w:szCs w:val="20"/>
          <w:color w:val="auto"/>
        </w:rPr>
      </w:pPr>
    </w:p>
    <w:p>
      <w:pPr>
        <w:ind w:left="320" w:right="440"/>
        <w:spacing w:after="0" w:line="268" w:lineRule="auto"/>
        <w:rPr>
          <w:sz w:val="20"/>
          <w:szCs w:val="20"/>
          <w:color w:val="auto"/>
        </w:rPr>
      </w:pPr>
      <w:r>
        <w:rPr>
          <w:rFonts w:ascii="Calibri" w:cs="Calibri" w:eastAsia="Calibri" w:hAnsi="Calibri"/>
          <w:sz w:val="16"/>
          <w:szCs w:val="16"/>
          <w:color w:val="auto"/>
        </w:rPr>
        <w:t>The Nominatng and Governance Commitee also oversees our director onboarding and training program, which provides new directors with training regarding the Company’s policies and procedures and specifc requirements that may be needed based on the director’s commitee memberships.</w:t>
      </w:r>
    </w:p>
    <w:p>
      <w:pPr>
        <w:spacing w:after="0" w:line="2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additon, the Nominatng and Governance Commitee oversees and reviews the Company’s ESG goals, policies and programs and the Company’s corporate governance policies and practces regularly. Our Nominatng and Governance Commitee is responsible for reviewing and assessing the adequacy of our organizatonal documents, and recommending any changes, as well as annually reviewing and assessing the adequacy of the Nominatng and Governance Commitee charter and its own performance. The members of our Nominatng and Governance Commitee are appointed by our board of directors.</w:t>
      </w:r>
    </w:p>
    <w:p>
      <w:pPr>
        <w:spacing w:after="0" w:line="128"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42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and commitee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242570</wp:posOffset>
            </wp:positionV>
            <wp:extent cx="6740525" cy="16192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052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Calibri" w:cs="Calibri" w:eastAsia="Calibri" w:hAnsi="Calibri"/>
          <w:sz w:val="17"/>
          <w:szCs w:val="17"/>
          <w:b w:val="1"/>
          <w:bCs w:val="1"/>
          <w:color w:val="auto"/>
        </w:rPr>
        <w:t>Full board oversight</w:t>
      </w:r>
    </w:p>
    <w:p>
      <w:pPr>
        <w:spacing w:after="0" w:line="105" w:lineRule="exact"/>
        <w:rPr>
          <w:sz w:val="20"/>
          <w:szCs w:val="20"/>
          <w:color w:val="auto"/>
        </w:rPr>
      </w:pPr>
    </w:p>
    <w:p>
      <w:pPr>
        <w:ind w:left="560"/>
        <w:spacing w:after="0"/>
        <w:rPr>
          <w:sz w:val="20"/>
          <w:szCs w:val="20"/>
          <w:color w:val="auto"/>
        </w:rPr>
      </w:pPr>
      <w:r>
        <w:rPr>
          <w:rFonts w:ascii="Calibri" w:cs="Calibri" w:eastAsia="Calibri" w:hAnsi="Calibri"/>
          <w:sz w:val="17"/>
          <w:szCs w:val="17"/>
          <w:color w:val="auto"/>
        </w:rPr>
        <w:t>Our board of directors is ultmately responsible for overseeing EXL’s risk management actvites as a whole.</w:t>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60"/>
        <w:spacing w:after="0" w:line="237" w:lineRule="auto"/>
        <w:rPr>
          <w:sz w:val="20"/>
          <w:szCs w:val="20"/>
          <w:color w:val="auto"/>
        </w:rPr>
      </w:pPr>
      <w:r>
        <w:rPr>
          <w:rFonts w:ascii="Calibri" w:cs="Calibri" w:eastAsia="Calibri" w:hAnsi="Calibri"/>
          <w:sz w:val="16"/>
          <w:szCs w:val="16"/>
          <w:color w:val="auto"/>
        </w:rPr>
        <w:t>Our management is responsible for development of our risk management framework and methodological guidelines. Management is responsible for our day-to-day risks, and, because we are exposed to fnancial risks in multple areas of our business, day-to-day risk management actvites and processes are performed by multple members of our senior and other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right="400"/>
        <w:spacing w:after="0" w:line="280" w:lineRule="auto"/>
        <w:rPr>
          <w:sz w:val="20"/>
          <w:szCs w:val="20"/>
          <w:color w:val="auto"/>
        </w:rPr>
      </w:pPr>
      <w:r>
        <w:rPr>
          <w:rFonts w:ascii="Calibri" w:cs="Calibri" w:eastAsia="Calibri" w:hAnsi="Calibri"/>
          <w:sz w:val="14"/>
          <w:szCs w:val="14"/>
          <w:color w:val="auto"/>
        </w:rPr>
        <w:t>Our management assists the board in identfying strategic and operatng risks that could afect the achievement of our business goals and objectves, assessing the likelihood and potental impact of these risks and proposing courses of acton to mitgate and/or respond to these risks.</w:t>
      </w:r>
    </w:p>
    <w:p>
      <w:pPr>
        <w:spacing w:after="0" w:line="500" w:lineRule="exact"/>
        <w:rPr>
          <w:sz w:val="20"/>
          <w:szCs w:val="20"/>
          <w:color w:val="auto"/>
        </w:rPr>
      </w:pPr>
    </w:p>
    <w:p>
      <w:pPr>
        <w:sectPr>
          <w:pgSz w:w="11900" w:h="16838" w:orient="portrait"/>
          <w:cols w:equalWidth="0" w:num="2">
            <w:col w:w="5260" w:space="580"/>
            <w:col w:w="5100"/>
          </w:cols>
          <w:pgMar w:left="320" w:top="471" w:right="639" w:bottom="1440" w:gutter="0" w:footer="0" w:header="0"/>
          <w:type w:val="continuous"/>
        </w:sectPr>
      </w:pPr>
    </w:p>
    <w:tbl>
      <w:tblPr>
        <w:tblLayout w:type="fixed"/>
        <w:tblInd w:w="320" w:type="dxa"/>
        <w:tblCellMar>
          <w:top w:w="0" w:type="dxa"/>
          <w:left w:w="0" w:type="dxa"/>
          <w:bottom w:w="0" w:type="dxa"/>
          <w:right w:w="0" w:type="dxa"/>
        </w:tblCellMar>
      </w:tblPr>
      <w:tr>
        <w:trPr>
          <w:trHeight w:val="597"/>
        </w:trPr>
        <w:tc>
          <w:tcPr>
            <w:tcW w:w="120" w:type="dxa"/>
            <w:vAlign w:val="bottom"/>
            <w:shd w:val="clear" w:color="auto" w:fill="D8D8D8"/>
          </w:tcPr>
          <w:p>
            <w:pPr>
              <w:spacing w:after="0"/>
              <w:rPr>
                <w:sz w:val="24"/>
                <w:szCs w:val="24"/>
                <w:color w:val="auto"/>
              </w:rPr>
            </w:pPr>
          </w:p>
        </w:tc>
        <w:tc>
          <w:tcPr>
            <w:tcW w:w="3300" w:type="dxa"/>
            <w:vAlign w:val="bottom"/>
            <w:tcBorders>
              <w:top w:val="single" w:sz="8" w:color="FB4E0B"/>
            </w:tcBorders>
            <w:shd w:val="clear" w:color="auto" w:fill="D8D8D8"/>
          </w:tcPr>
          <w:p>
            <w:pPr>
              <w:ind w:left="120"/>
              <w:spacing w:after="0"/>
              <w:rPr>
                <w:sz w:val="20"/>
                <w:szCs w:val="20"/>
                <w:color w:val="auto"/>
              </w:rPr>
            </w:pPr>
            <w:r>
              <w:rPr>
                <w:rFonts w:ascii="Calibri" w:cs="Calibri" w:eastAsia="Calibri" w:hAnsi="Calibri"/>
                <w:sz w:val="16"/>
                <w:szCs w:val="16"/>
                <w:b w:val="1"/>
                <w:bCs w:val="1"/>
                <w:color w:val="auto"/>
              </w:rPr>
              <w:t>Audit Commitee</w:t>
            </w:r>
          </w:p>
        </w:tc>
        <w:tc>
          <w:tcPr>
            <w:tcW w:w="3580" w:type="dxa"/>
            <w:vAlign w:val="bottom"/>
            <w:tcBorders>
              <w:top w:val="single" w:sz="8" w:color="FB4E0B"/>
            </w:tcBorders>
            <w:shd w:val="clear" w:color="auto" w:fill="D8D8D8"/>
          </w:tcPr>
          <w:p>
            <w:pPr>
              <w:ind w:left="320"/>
              <w:spacing w:after="0"/>
              <w:rPr>
                <w:sz w:val="20"/>
                <w:szCs w:val="20"/>
                <w:color w:val="auto"/>
              </w:rPr>
            </w:pPr>
            <w:r>
              <w:rPr>
                <w:rFonts w:ascii="Calibri" w:cs="Calibri" w:eastAsia="Calibri" w:hAnsi="Calibri"/>
                <w:sz w:val="16"/>
                <w:szCs w:val="16"/>
                <w:b w:val="1"/>
                <w:bCs w:val="1"/>
                <w:color w:val="auto"/>
              </w:rPr>
              <w:t>Nominatng and Governance</w:t>
            </w:r>
          </w:p>
        </w:tc>
        <w:tc>
          <w:tcPr>
            <w:tcW w:w="2820" w:type="dxa"/>
            <w:vAlign w:val="bottom"/>
            <w:tcBorders>
              <w:top w:val="single" w:sz="8" w:color="FB4E0B"/>
            </w:tcBorders>
            <w:shd w:val="clear" w:color="auto" w:fill="D8D8D8"/>
          </w:tcPr>
          <w:p>
            <w:pPr>
              <w:ind w:left="220"/>
              <w:spacing w:after="0"/>
              <w:rPr>
                <w:sz w:val="20"/>
                <w:szCs w:val="20"/>
                <w:color w:val="auto"/>
              </w:rPr>
            </w:pPr>
            <w:r>
              <w:rPr>
                <w:rFonts w:ascii="Calibri" w:cs="Calibri" w:eastAsia="Calibri" w:hAnsi="Calibri"/>
                <w:sz w:val="16"/>
                <w:szCs w:val="16"/>
                <w:b w:val="1"/>
                <w:bCs w:val="1"/>
                <w:color w:val="auto"/>
              </w:rPr>
              <w:t>Compensaton and Talent</w:t>
            </w:r>
          </w:p>
        </w:tc>
        <w:tc>
          <w:tcPr>
            <w:tcW w:w="420" w:type="dxa"/>
            <w:vAlign w:val="bottom"/>
            <w:tcBorders>
              <w:top w:val="single" w:sz="8" w:color="FB4E0B"/>
            </w:tcBorders>
            <w:shd w:val="clear" w:color="auto" w:fill="D8D8D8"/>
          </w:tcPr>
          <w:p>
            <w:pPr>
              <w:spacing w:after="0"/>
              <w:rPr>
                <w:sz w:val="24"/>
                <w:szCs w:val="24"/>
                <w:color w:val="auto"/>
              </w:rPr>
            </w:pPr>
          </w:p>
        </w:tc>
        <w:tc>
          <w:tcPr>
            <w:tcW w:w="160" w:type="dxa"/>
            <w:vAlign w:val="bottom"/>
            <w:tcBorders>
              <w:top w:val="single" w:sz="8" w:color="FB4E0B"/>
            </w:tcBorders>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Responsible for primary oversight of our risk</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b w:val="1"/>
                <w:bCs w:val="1"/>
                <w:color w:val="auto"/>
              </w:rPr>
              <w:t>Commitee</w:t>
            </w:r>
          </w:p>
        </w:tc>
        <w:tc>
          <w:tcPr>
            <w:tcW w:w="2820" w:type="dxa"/>
            <w:vAlign w:val="bottom"/>
            <w:shd w:val="clear" w:color="auto" w:fill="D8D8D8"/>
          </w:tcPr>
          <w:p>
            <w:pPr>
              <w:ind w:left="220"/>
              <w:spacing w:after="0"/>
              <w:rPr>
                <w:sz w:val="20"/>
                <w:szCs w:val="20"/>
                <w:color w:val="auto"/>
              </w:rPr>
            </w:pPr>
            <w:r>
              <w:rPr>
                <w:rFonts w:ascii="Calibri" w:cs="Calibri" w:eastAsia="Calibri" w:hAnsi="Calibri"/>
                <w:sz w:val="16"/>
                <w:szCs w:val="16"/>
                <w:b w:val="1"/>
                <w:bCs w:val="1"/>
                <w:color w:val="auto"/>
              </w:rPr>
              <w:t>Management Commitee</w:t>
            </w: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management, fnancial and cybersecurity risk</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color w:val="auto"/>
              </w:rPr>
              <w:t>Responsible for risk relatng to environmental,</w:t>
            </w:r>
          </w:p>
        </w:tc>
        <w:tc>
          <w:tcPr>
            <w:tcW w:w="2820" w:type="dxa"/>
            <w:vAlign w:val="bottom"/>
            <w:shd w:val="clear" w:color="auto" w:fill="D8D8D8"/>
          </w:tcPr>
          <w:p>
            <w:pPr>
              <w:ind w:left="220"/>
              <w:spacing w:after="0"/>
              <w:rPr>
                <w:sz w:val="20"/>
                <w:szCs w:val="20"/>
                <w:color w:val="auto"/>
              </w:rPr>
            </w:pPr>
            <w:r>
              <w:rPr>
                <w:rFonts w:ascii="Calibri" w:cs="Calibri" w:eastAsia="Calibri" w:hAnsi="Calibri"/>
                <w:sz w:val="16"/>
                <w:szCs w:val="16"/>
                <w:color w:val="auto"/>
                <w:w w:val="99"/>
              </w:rPr>
              <w:t>Responsible for executve and employee</w:t>
            </w: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and reportng internal and external audit</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color w:val="auto"/>
              </w:rPr>
              <w:t>social and governance maters, conficts of</w:t>
            </w:r>
          </w:p>
        </w:tc>
        <w:tc>
          <w:tcPr>
            <w:tcW w:w="3620" w:type="dxa"/>
            <w:vAlign w:val="bottom"/>
            <w:gridSpan w:val="4"/>
            <w:shd w:val="clear" w:color="auto" w:fill="D8D8D8"/>
          </w:tcPr>
          <w:p>
            <w:pPr>
              <w:ind w:left="220"/>
              <w:spacing w:after="0"/>
              <w:rPr>
                <w:sz w:val="20"/>
                <w:szCs w:val="20"/>
                <w:color w:val="auto"/>
              </w:rPr>
            </w:pPr>
            <w:r>
              <w:rPr>
                <w:rFonts w:ascii="Calibri" w:cs="Calibri" w:eastAsia="Calibri" w:hAnsi="Calibri"/>
                <w:sz w:val="16"/>
                <w:szCs w:val="16"/>
                <w:color w:val="auto"/>
              </w:rPr>
              <w:t>compensaton and retenton-related risk, as well</w:t>
            </w: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controls and regulatory requirements. Reviews</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color w:val="auto"/>
              </w:rPr>
              <w:t>interest, and oversight of corporate governance</w:t>
            </w:r>
          </w:p>
        </w:tc>
        <w:tc>
          <w:tcPr>
            <w:tcW w:w="3240" w:type="dxa"/>
            <w:vAlign w:val="bottom"/>
            <w:gridSpan w:val="2"/>
            <w:shd w:val="clear" w:color="auto" w:fill="D8D8D8"/>
          </w:tcPr>
          <w:p>
            <w:pPr>
              <w:ind w:left="220"/>
              <w:spacing w:after="0"/>
              <w:rPr>
                <w:sz w:val="20"/>
                <w:szCs w:val="20"/>
                <w:color w:val="auto"/>
              </w:rPr>
            </w:pPr>
            <w:r>
              <w:rPr>
                <w:rFonts w:ascii="Calibri" w:cs="Calibri" w:eastAsia="Calibri" w:hAnsi="Calibri"/>
                <w:sz w:val="16"/>
                <w:szCs w:val="16"/>
                <w:color w:val="auto"/>
              </w:rPr>
              <w:t>as other human capital management-related</w:t>
            </w: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and discusses with management our enterprise</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color w:val="auto"/>
              </w:rPr>
              <w:t>policies and practces as a risk- steps</w:t>
            </w:r>
          </w:p>
        </w:tc>
        <w:tc>
          <w:tcPr>
            <w:tcW w:w="2820" w:type="dxa"/>
            <w:vAlign w:val="bottom"/>
            <w:shd w:val="clear" w:color="auto" w:fill="D8D8D8"/>
          </w:tcPr>
          <w:p>
            <w:pPr>
              <w:ind w:left="220"/>
              <w:spacing w:after="0"/>
              <w:rPr>
                <w:sz w:val="20"/>
                <w:szCs w:val="20"/>
                <w:color w:val="auto"/>
              </w:rPr>
            </w:pPr>
            <w:r>
              <w:rPr>
                <w:rFonts w:ascii="Calibri" w:cs="Calibri" w:eastAsia="Calibri" w:hAnsi="Calibri"/>
                <w:sz w:val="16"/>
                <w:szCs w:val="16"/>
                <w:color w:val="auto"/>
              </w:rPr>
              <w:t>risk.</w:t>
            </w: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risk assessment, major fnancial risk and</w:t>
            </w:r>
          </w:p>
        </w:tc>
        <w:tc>
          <w:tcPr>
            <w:tcW w:w="3580" w:type="dxa"/>
            <w:vAlign w:val="bottom"/>
            <w:shd w:val="clear" w:color="auto" w:fill="D8D8D8"/>
          </w:tcPr>
          <w:p>
            <w:pPr>
              <w:ind w:left="320"/>
              <w:spacing w:after="0"/>
              <w:rPr>
                <w:sz w:val="20"/>
                <w:szCs w:val="20"/>
                <w:color w:val="auto"/>
              </w:rPr>
            </w:pPr>
            <w:r>
              <w:rPr>
                <w:rFonts w:ascii="Calibri" w:cs="Calibri" w:eastAsia="Calibri" w:hAnsi="Calibri"/>
                <w:sz w:val="16"/>
                <w:szCs w:val="16"/>
                <w:color w:val="auto"/>
              </w:rPr>
              <w:t>management-related measure.</w:t>
            </w: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cybersecurity exposures and the steps</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management has taken to monitor, control and</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 such exposures, including our risk</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management guidelines and policies. Reviews</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and discusses with other board commitees our</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environmental, social and governance programs</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95"/>
        </w:trPr>
        <w:tc>
          <w:tcPr>
            <w:tcW w:w="120" w:type="dxa"/>
            <w:vAlign w:val="bottom"/>
            <w:shd w:val="clear" w:color="auto" w:fill="D8D8D8"/>
          </w:tcPr>
          <w:p>
            <w:pPr>
              <w:spacing w:after="0"/>
              <w:rPr>
                <w:sz w:val="16"/>
                <w:szCs w:val="16"/>
                <w:color w:val="auto"/>
              </w:rPr>
            </w:pPr>
          </w:p>
        </w:tc>
        <w:tc>
          <w:tcPr>
            <w:tcW w:w="330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and related maters.</w:t>
            </w:r>
          </w:p>
        </w:tc>
        <w:tc>
          <w:tcPr>
            <w:tcW w:w="3580" w:type="dxa"/>
            <w:vAlign w:val="bottom"/>
            <w:shd w:val="clear" w:color="auto" w:fill="D8D8D8"/>
          </w:tcPr>
          <w:p>
            <w:pPr>
              <w:spacing w:after="0"/>
              <w:rPr>
                <w:sz w:val="16"/>
                <w:szCs w:val="16"/>
                <w:color w:val="auto"/>
              </w:rPr>
            </w:pPr>
          </w:p>
        </w:tc>
        <w:tc>
          <w:tcPr>
            <w:tcW w:w="2820" w:type="dxa"/>
            <w:vAlign w:val="bottom"/>
            <w:shd w:val="clear" w:color="auto" w:fill="D8D8D8"/>
          </w:tcPr>
          <w:p>
            <w:pPr>
              <w:spacing w:after="0"/>
              <w:rPr>
                <w:sz w:val="16"/>
                <w:szCs w:val="16"/>
                <w:color w:val="auto"/>
              </w:rPr>
            </w:pPr>
          </w:p>
        </w:tc>
        <w:tc>
          <w:tcPr>
            <w:tcW w:w="42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417"/>
        </w:trPr>
        <w:tc>
          <w:tcPr>
            <w:tcW w:w="120" w:type="dxa"/>
            <w:vAlign w:val="bottom"/>
            <w:shd w:val="clear" w:color="auto" w:fill="D8D8D8"/>
          </w:tcPr>
          <w:p>
            <w:pPr>
              <w:spacing w:after="0"/>
              <w:rPr>
                <w:sz w:val="24"/>
                <w:szCs w:val="24"/>
                <w:color w:val="auto"/>
              </w:rPr>
            </w:pPr>
          </w:p>
        </w:tc>
        <w:tc>
          <w:tcPr>
            <w:tcW w:w="3300" w:type="dxa"/>
            <w:vAlign w:val="bottom"/>
            <w:shd w:val="clear" w:color="auto" w:fill="D8D8D8"/>
          </w:tcPr>
          <w:p>
            <w:pPr>
              <w:spacing w:after="0"/>
              <w:rPr>
                <w:sz w:val="24"/>
                <w:szCs w:val="24"/>
                <w:color w:val="auto"/>
              </w:rPr>
            </w:pPr>
          </w:p>
        </w:tc>
        <w:tc>
          <w:tcPr>
            <w:tcW w:w="3580" w:type="dxa"/>
            <w:vAlign w:val="bottom"/>
            <w:shd w:val="clear" w:color="auto" w:fill="D8D8D8"/>
          </w:tcPr>
          <w:p>
            <w:pPr>
              <w:spacing w:after="0"/>
              <w:rPr>
                <w:sz w:val="24"/>
                <w:szCs w:val="24"/>
                <w:color w:val="auto"/>
              </w:rPr>
            </w:pPr>
          </w:p>
        </w:tc>
        <w:tc>
          <w:tcPr>
            <w:tcW w:w="2820" w:type="dxa"/>
            <w:vAlign w:val="bottom"/>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r>
      <w:tr>
        <w:trPr>
          <w:trHeight w:val="272"/>
        </w:trPr>
        <w:tc>
          <w:tcPr>
            <w:tcW w:w="120" w:type="dxa"/>
            <w:vAlign w:val="bottom"/>
            <w:shd w:val="clear" w:color="auto" w:fill="D8D8D8"/>
          </w:tcPr>
          <w:p>
            <w:pPr>
              <w:spacing w:after="0"/>
              <w:rPr>
                <w:sz w:val="23"/>
                <w:szCs w:val="23"/>
                <w:color w:val="auto"/>
              </w:rPr>
            </w:pPr>
          </w:p>
        </w:tc>
        <w:tc>
          <w:tcPr>
            <w:tcW w:w="10120" w:type="dxa"/>
            <w:vAlign w:val="bottom"/>
            <w:gridSpan w:val="4"/>
            <w:shd w:val="clear" w:color="auto" w:fill="FDA685"/>
          </w:tcPr>
          <w:p>
            <w:pPr>
              <w:ind w:left="120"/>
              <w:spacing w:after="0"/>
              <w:rPr>
                <w:sz w:val="20"/>
                <w:szCs w:val="20"/>
                <w:color w:val="auto"/>
              </w:rPr>
            </w:pPr>
            <w:r>
              <w:rPr>
                <w:rFonts w:ascii="Calibri" w:cs="Calibri" w:eastAsia="Calibri" w:hAnsi="Calibri"/>
                <w:sz w:val="16"/>
                <w:szCs w:val="16"/>
                <w:color w:val="auto"/>
                <w:w w:val="97"/>
              </w:rPr>
              <w:t>Our management maintains, as part of our disclosure controls and procedures, a separate disclosure commitee that, as part of its review of our quarterly and</w:t>
            </w:r>
          </w:p>
        </w:tc>
        <w:tc>
          <w:tcPr>
            <w:tcW w:w="160" w:type="dxa"/>
            <w:vAlign w:val="bottom"/>
            <w:shd w:val="clear" w:color="auto" w:fill="FDA685"/>
          </w:tcPr>
          <w:p>
            <w:pPr>
              <w:spacing w:after="0"/>
              <w:rPr>
                <w:sz w:val="23"/>
                <w:szCs w:val="23"/>
                <w:color w:val="auto"/>
              </w:rPr>
            </w:pPr>
          </w:p>
        </w:tc>
        <w:tc>
          <w:tcPr>
            <w:tcW w:w="220" w:type="dxa"/>
            <w:vAlign w:val="bottom"/>
            <w:shd w:val="clear" w:color="auto" w:fill="D8D8D8"/>
          </w:tcPr>
          <w:p>
            <w:pPr>
              <w:spacing w:after="0"/>
              <w:rPr>
                <w:sz w:val="23"/>
                <w:szCs w:val="23"/>
                <w:color w:val="auto"/>
              </w:rPr>
            </w:pPr>
          </w:p>
        </w:tc>
      </w:tr>
      <w:tr>
        <w:trPr>
          <w:trHeight w:val="195"/>
        </w:trPr>
        <w:tc>
          <w:tcPr>
            <w:tcW w:w="120" w:type="dxa"/>
            <w:vAlign w:val="bottom"/>
            <w:shd w:val="clear" w:color="auto" w:fill="D8D8D8"/>
          </w:tcPr>
          <w:p>
            <w:pPr>
              <w:spacing w:after="0"/>
              <w:rPr>
                <w:sz w:val="16"/>
                <w:szCs w:val="16"/>
                <w:color w:val="auto"/>
              </w:rPr>
            </w:pPr>
          </w:p>
        </w:tc>
        <w:tc>
          <w:tcPr>
            <w:tcW w:w="9700" w:type="dxa"/>
            <w:vAlign w:val="bottom"/>
            <w:gridSpan w:val="3"/>
            <w:shd w:val="clear" w:color="auto" w:fill="FDA685"/>
          </w:tcPr>
          <w:p>
            <w:pPr>
              <w:ind w:left="120"/>
              <w:spacing w:after="0"/>
              <w:rPr>
                <w:sz w:val="20"/>
                <w:szCs w:val="20"/>
                <w:color w:val="auto"/>
              </w:rPr>
            </w:pPr>
            <w:r>
              <w:rPr>
                <w:rFonts w:ascii="Calibri" w:cs="Calibri" w:eastAsia="Calibri" w:hAnsi="Calibri"/>
                <w:sz w:val="16"/>
                <w:szCs w:val="16"/>
                <w:color w:val="auto"/>
              </w:rPr>
              <w:t>annual reports, helps facilitate understanding by the Audit Commitee and our full board of directors of new or changing risks afectng us.</w:t>
            </w:r>
          </w:p>
        </w:tc>
        <w:tc>
          <w:tcPr>
            <w:tcW w:w="420" w:type="dxa"/>
            <w:vAlign w:val="bottom"/>
            <w:shd w:val="clear" w:color="auto" w:fill="FDA685"/>
          </w:tcPr>
          <w:p>
            <w:pPr>
              <w:spacing w:after="0"/>
              <w:rPr>
                <w:sz w:val="16"/>
                <w:szCs w:val="16"/>
                <w:color w:val="auto"/>
              </w:rPr>
            </w:pPr>
          </w:p>
        </w:tc>
        <w:tc>
          <w:tcPr>
            <w:tcW w:w="160" w:type="dxa"/>
            <w:vAlign w:val="bottom"/>
            <w:shd w:val="clear" w:color="auto" w:fill="FDA685"/>
          </w:tcPr>
          <w:p>
            <w:pPr>
              <w:spacing w:after="0"/>
              <w:rPr>
                <w:sz w:val="16"/>
                <w:szCs w:val="16"/>
                <w:color w:val="auto"/>
              </w:rPr>
            </w:pPr>
          </w:p>
        </w:tc>
        <w:tc>
          <w:tcPr>
            <w:tcW w:w="220" w:type="dxa"/>
            <w:vAlign w:val="bottom"/>
            <w:shd w:val="clear" w:color="auto" w:fill="D8D8D8"/>
          </w:tcPr>
          <w:p>
            <w:pPr>
              <w:spacing w:after="0"/>
              <w:rPr>
                <w:sz w:val="16"/>
                <w:szCs w:val="16"/>
                <w:color w:val="auto"/>
              </w:rPr>
            </w:pPr>
          </w:p>
        </w:tc>
      </w:tr>
      <w:tr>
        <w:trPr>
          <w:trHeight w:val="131"/>
        </w:trPr>
        <w:tc>
          <w:tcPr>
            <w:tcW w:w="120" w:type="dxa"/>
            <w:vAlign w:val="bottom"/>
            <w:shd w:val="clear" w:color="auto" w:fill="D8D8D8"/>
          </w:tcPr>
          <w:p>
            <w:pPr>
              <w:spacing w:after="0"/>
              <w:rPr>
                <w:sz w:val="11"/>
                <w:szCs w:val="11"/>
                <w:color w:val="auto"/>
              </w:rPr>
            </w:pPr>
          </w:p>
        </w:tc>
        <w:tc>
          <w:tcPr>
            <w:tcW w:w="3300" w:type="dxa"/>
            <w:vAlign w:val="bottom"/>
            <w:shd w:val="clear" w:color="auto" w:fill="FDA685"/>
          </w:tcPr>
          <w:p>
            <w:pPr>
              <w:spacing w:after="0"/>
              <w:rPr>
                <w:sz w:val="11"/>
                <w:szCs w:val="11"/>
                <w:color w:val="auto"/>
              </w:rPr>
            </w:pPr>
          </w:p>
        </w:tc>
        <w:tc>
          <w:tcPr>
            <w:tcW w:w="3580" w:type="dxa"/>
            <w:vAlign w:val="bottom"/>
            <w:shd w:val="clear" w:color="auto" w:fill="FDA685"/>
          </w:tcPr>
          <w:p>
            <w:pPr>
              <w:spacing w:after="0"/>
              <w:rPr>
                <w:sz w:val="11"/>
                <w:szCs w:val="11"/>
                <w:color w:val="auto"/>
              </w:rPr>
            </w:pPr>
          </w:p>
        </w:tc>
        <w:tc>
          <w:tcPr>
            <w:tcW w:w="2820" w:type="dxa"/>
            <w:vAlign w:val="bottom"/>
            <w:shd w:val="clear" w:color="auto" w:fill="FDA685"/>
          </w:tcPr>
          <w:p>
            <w:pPr>
              <w:spacing w:after="0"/>
              <w:rPr>
                <w:sz w:val="11"/>
                <w:szCs w:val="11"/>
                <w:color w:val="auto"/>
              </w:rPr>
            </w:pPr>
          </w:p>
        </w:tc>
        <w:tc>
          <w:tcPr>
            <w:tcW w:w="420" w:type="dxa"/>
            <w:vAlign w:val="bottom"/>
            <w:shd w:val="clear" w:color="auto" w:fill="FDA685"/>
          </w:tcPr>
          <w:p>
            <w:pPr>
              <w:spacing w:after="0"/>
              <w:rPr>
                <w:sz w:val="11"/>
                <w:szCs w:val="11"/>
                <w:color w:val="auto"/>
              </w:rPr>
            </w:pPr>
          </w:p>
        </w:tc>
        <w:tc>
          <w:tcPr>
            <w:tcW w:w="160" w:type="dxa"/>
            <w:vAlign w:val="bottom"/>
            <w:shd w:val="clear" w:color="auto" w:fill="FDA685"/>
          </w:tcPr>
          <w:p>
            <w:pPr>
              <w:spacing w:after="0"/>
              <w:rPr>
                <w:sz w:val="11"/>
                <w:szCs w:val="11"/>
                <w:color w:val="auto"/>
              </w:rPr>
            </w:pPr>
          </w:p>
        </w:tc>
        <w:tc>
          <w:tcPr>
            <w:tcW w:w="220" w:type="dxa"/>
            <w:vAlign w:val="bottom"/>
            <w:shd w:val="clear" w:color="auto" w:fill="D8D8D8"/>
          </w:tcPr>
          <w:p>
            <w:pPr>
              <w:spacing w:after="0"/>
              <w:rPr>
                <w:sz w:val="11"/>
                <w:szCs w:val="11"/>
                <w:color w:val="auto"/>
              </w:rPr>
            </w:pPr>
          </w:p>
        </w:tc>
      </w:tr>
      <w:tr>
        <w:trPr>
          <w:trHeight w:val="104"/>
        </w:trPr>
        <w:tc>
          <w:tcPr>
            <w:tcW w:w="120" w:type="dxa"/>
            <w:vAlign w:val="bottom"/>
            <w:shd w:val="clear" w:color="auto" w:fill="D8D8D8"/>
          </w:tcPr>
          <w:p>
            <w:pPr>
              <w:spacing w:after="0"/>
              <w:rPr>
                <w:sz w:val="9"/>
                <w:szCs w:val="9"/>
                <w:color w:val="auto"/>
              </w:rPr>
            </w:pPr>
          </w:p>
        </w:tc>
        <w:tc>
          <w:tcPr>
            <w:tcW w:w="3300" w:type="dxa"/>
            <w:vAlign w:val="bottom"/>
            <w:shd w:val="clear" w:color="auto" w:fill="D8D8D8"/>
          </w:tcPr>
          <w:p>
            <w:pPr>
              <w:spacing w:after="0"/>
              <w:rPr>
                <w:sz w:val="9"/>
                <w:szCs w:val="9"/>
                <w:color w:val="auto"/>
              </w:rPr>
            </w:pPr>
          </w:p>
        </w:tc>
        <w:tc>
          <w:tcPr>
            <w:tcW w:w="3580" w:type="dxa"/>
            <w:vAlign w:val="bottom"/>
            <w:shd w:val="clear" w:color="auto" w:fill="D8D8D8"/>
          </w:tcPr>
          <w:p>
            <w:pPr>
              <w:spacing w:after="0"/>
              <w:rPr>
                <w:sz w:val="9"/>
                <w:szCs w:val="9"/>
                <w:color w:val="auto"/>
              </w:rPr>
            </w:pPr>
          </w:p>
        </w:tc>
        <w:tc>
          <w:tcPr>
            <w:tcW w:w="2820" w:type="dxa"/>
            <w:vAlign w:val="bottom"/>
            <w:shd w:val="clear" w:color="auto" w:fill="D8D8D8"/>
          </w:tcPr>
          <w:p>
            <w:pPr>
              <w:spacing w:after="0"/>
              <w:rPr>
                <w:sz w:val="9"/>
                <w:szCs w:val="9"/>
                <w:color w:val="auto"/>
              </w:rPr>
            </w:pPr>
          </w:p>
        </w:tc>
        <w:tc>
          <w:tcPr>
            <w:tcW w:w="420" w:type="dxa"/>
            <w:vAlign w:val="bottom"/>
            <w:shd w:val="clear" w:color="auto" w:fill="D8D8D8"/>
          </w:tcPr>
          <w:p>
            <w:pPr>
              <w:spacing w:after="0"/>
              <w:rPr>
                <w:sz w:val="9"/>
                <w:szCs w:val="9"/>
                <w:color w:val="auto"/>
              </w:rPr>
            </w:pPr>
          </w:p>
        </w:tc>
        <w:tc>
          <w:tcPr>
            <w:tcW w:w="160" w:type="dxa"/>
            <w:vAlign w:val="bottom"/>
            <w:shd w:val="clear" w:color="auto" w:fill="D8D8D8"/>
          </w:tcPr>
          <w:p>
            <w:pPr>
              <w:spacing w:after="0"/>
              <w:rPr>
                <w:sz w:val="9"/>
                <w:szCs w:val="9"/>
                <w:color w:val="auto"/>
              </w:rPr>
            </w:pPr>
          </w:p>
        </w:tc>
        <w:tc>
          <w:tcPr>
            <w:tcW w:w="220" w:type="dxa"/>
            <w:vAlign w:val="bottom"/>
            <w:shd w:val="clear" w:color="auto" w:fill="D8D8D8"/>
          </w:tcPr>
          <w:p>
            <w:pPr>
              <w:spacing w:after="0"/>
              <w:rPr>
                <w:sz w:val="9"/>
                <w:szCs w:val="9"/>
                <w:color w:val="auto"/>
              </w:rPr>
            </w:pPr>
          </w:p>
        </w:tc>
      </w:tr>
      <w:tr>
        <w:trPr>
          <w:trHeight w:val="614"/>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20" w:type="dxa"/>
            <w:vAlign w:val="bottom"/>
          </w:tcPr>
          <w:p>
            <w:pPr>
              <w:ind w:left="840"/>
              <w:spacing w:after="0"/>
              <w:rPr>
                <w:sz w:val="20"/>
                <w:szCs w:val="20"/>
                <w:color w:val="auto"/>
              </w:rPr>
            </w:pPr>
            <w:r>
              <w:rPr>
                <w:rFonts w:ascii="Calibri" w:cs="Calibri" w:eastAsia="Calibri" w:hAnsi="Calibri"/>
                <w:sz w:val="13"/>
                <w:szCs w:val="13"/>
                <w:color w:val="auto"/>
              </w:rPr>
              <w:t>EXL 2023 Proxy Statement</w:t>
            </w:r>
          </w:p>
        </w:tc>
        <w:tc>
          <w:tcPr>
            <w:tcW w:w="420" w:type="dxa"/>
            <w:vAlign w:val="bottom"/>
          </w:tcPr>
          <w:p>
            <w:pPr>
              <w:jc w:val="right"/>
              <w:ind w:right="121"/>
              <w:spacing w:after="0"/>
              <w:rPr>
                <w:sz w:val="20"/>
                <w:szCs w:val="20"/>
                <w:color w:val="auto"/>
              </w:rPr>
            </w:pPr>
            <w:r>
              <w:rPr>
                <w:rFonts w:ascii="Calibri" w:cs="Calibri" w:eastAsia="Calibri" w:hAnsi="Calibri"/>
                <w:sz w:val="28"/>
                <w:szCs w:val="28"/>
                <w:b w:val="1"/>
                <w:bCs w:val="1"/>
                <w:color w:val="FB4E0B"/>
              </w:rPr>
              <w:t>/</w:t>
            </w:r>
          </w:p>
        </w:tc>
        <w:tc>
          <w:tcPr>
            <w:tcW w:w="380" w:type="dxa"/>
            <w:vAlign w:val="bottom"/>
            <w:gridSpan w:val="2"/>
          </w:tcPr>
          <w:p>
            <w:pPr>
              <w:jc w:val="right"/>
              <w:ind w:right="200"/>
              <w:spacing w:after="0"/>
              <w:rPr>
                <w:sz w:val="20"/>
                <w:szCs w:val="20"/>
                <w:color w:val="auto"/>
              </w:rPr>
            </w:pPr>
            <w:r>
              <w:rPr>
                <w:rFonts w:ascii="Calibri" w:cs="Calibri" w:eastAsia="Calibri" w:hAnsi="Calibri"/>
                <w:sz w:val="17"/>
                <w:szCs w:val="17"/>
                <w:b w:val="1"/>
                <w:bCs w:val="1"/>
                <w:color w:val="auto"/>
                <w:w w:val="92"/>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-2859405</wp:posOffset>
            </wp:positionV>
            <wp:extent cx="6542405" cy="20154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42405" cy="201549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Cybersecurity risk management</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Given the nature of our business, EXL is highly focused on maintaining a robust and comprehensive program that identfes and manages a broad range of cybersecurity and data privacy, referred to collectvely herein as “cybersecurity,” risks on behalf of our clients and their customers, as well as our employees, contractors and any relevant third partes. Cybersecurity is managed by our cross-functonal cybersecurity apex body, the Management Security, Contnuity and Privacy Forum, which is comprised of representatves from our management, business unit heads, and our technology and informaton security leadership teams. Our Audit Commitee has primary oversight and receives regular briefngs throughout the year on all identfed and possible cybersecurity-related risks, vulnerabilites and strategic policies and practces from management. At least once a year, our board receives a report from management on the Company’s readiness and capability to reduce the risk of, detect and respond to a cyber-atack. Our cybersecurity team consists of privacy atorneys, qualifed technical cybersecurity professionals and business contnuity specialists. We also periodically engage third-party experts to review and assess our cybersecurity governance and management. In 2022, our Board and management completed cybersecurity tabletop exercises to further our preparedness in the event of a need to address a variety of cybersecurity threat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240030</wp:posOffset>
            </wp:positionV>
            <wp:extent cx="5889625" cy="34944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89625" cy="349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more details on our cybersecurity program, see “Sustainability – Cybersecurity at EXL” on page 54.</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44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80"/>
          </w:cols>
          <w:pgMar w:left="320" w:top="471" w:right="6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Environmental, social and governance (“ESG”) risk management</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board reviews and receives regular reports on ESG and sustainability risks, including those relatng to ESG disclosures, employee safety, environmental-related eforts, human capital management maters, and corporate governance trends and best practces. In 2022, we contnued to implement further controls, processes and frameworks for the collecton and disclosure of ESG-related data. We also receive third-party limited assurance of certain indicators contained within our Sustainability Report from a Big 4 accountng frm afliate.</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Each of our board Commitees is involved in oversight over ESG-related risks as relate to maters within their purview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163195</wp:posOffset>
            </wp:positionV>
            <wp:extent cx="4997450" cy="27260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974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full board is regularly briefed on the maters overseen by each Commitee.</w:t>
      </w:r>
    </w:p>
    <w:p>
      <w:pPr>
        <w:spacing w:after="0" w:line="3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We maintain a management-level ESG steering commitee, which is responsible for setng our sustainability/ESG strategy and risk management, keeping our management and board up-to-date on ESG-related developments, overseeing our internal and external disclosure on ESG maters, and providing implementaton support across our Company. The ESG steering commitee works in close coordinaton with the board, and provides the board with advice and assistance in its oversight of ESG risks and other maters. For more details on our ESG and sustainability-related eforts, see “Sustainability” on page 48.</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45</w:t>
      </w:r>
    </w:p>
    <w:p>
      <w:pPr>
        <w:sectPr>
          <w:pgSz w:w="11900" w:h="16838" w:orient="portrait"/>
          <w:cols w:equalWidth="0" w:num="1">
            <w:col w:w="10940"/>
          </w:cols>
          <w:pgMar w:left="320" w:top="471"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jc w:val="right"/>
        <w:ind w:right="8880"/>
        <w:spacing w:after="0"/>
        <w:rPr>
          <w:sz w:val="20"/>
          <w:szCs w:val="20"/>
          <w:color w:val="auto"/>
        </w:rPr>
      </w:pPr>
      <w:r>
        <w:rPr>
          <w:rFonts w:ascii="Calibri" w:cs="Calibri" w:eastAsia="Calibri" w:hAnsi="Calibri"/>
          <w:sz w:val="14"/>
          <w:szCs w:val="14"/>
          <w:b w:val="1"/>
          <w:bCs w:val="1"/>
          <w:color w:val="D8D8D8"/>
        </w:rPr>
        <w:t>Corporate governance</w:t>
      </w:r>
    </w:p>
    <w:p>
      <w:pPr>
        <w:sectPr>
          <w:pgSz w:w="11900" w:h="16838" w:orient="portrait"/>
          <w:cols w:equalWidth="0" w:num="1">
            <w:col w:w="10480"/>
          </w:cols>
          <w:pgMar w:left="320" w:top="471" w:right="1099" w:bottom="1440" w:gutter="0" w:footer="0" w:header="0"/>
        </w:sectPr>
      </w:pP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Stockholder engagement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alibri" w:cs="Calibri" w:eastAsia="Calibri" w:hAnsi="Calibri"/>
          <w:sz w:val="16"/>
          <w:szCs w:val="16"/>
          <w:color w:val="auto"/>
        </w:rPr>
        <w:t>Stockholder Engagement 2022-23</w:t>
      </w:r>
    </w:p>
    <w:p>
      <w:pPr>
        <w:spacing w:after="0" w:line="233" w:lineRule="exact"/>
        <w:rPr>
          <w:sz w:val="20"/>
          <w:szCs w:val="20"/>
          <w:color w:val="auto"/>
        </w:rPr>
      </w:pPr>
    </w:p>
    <w:p>
      <w:pPr>
        <w:sectPr>
          <w:pgSz w:w="11900" w:h="16838" w:orient="portrait"/>
          <w:cols w:equalWidth="0" w:num="2">
            <w:col w:w="7040" w:space="720"/>
            <w:col w:w="2720"/>
          </w:cols>
          <w:pgMar w:left="320" w:top="471" w:right="1099" w:bottom="1440" w:gutter="0" w:footer="0" w:header="0"/>
          <w:type w:val="continuous"/>
        </w:sectPr>
      </w:pPr>
    </w:p>
    <w:p>
      <w:pPr>
        <w:ind w:left="320" w:right="3720"/>
        <w:spacing w:after="0" w:line="257" w:lineRule="auto"/>
        <w:rPr>
          <w:sz w:val="20"/>
          <w:szCs w:val="20"/>
          <w:color w:val="auto"/>
        </w:rPr>
      </w:pPr>
      <w:r>
        <w:rPr>
          <w:rFonts w:ascii="Calibri" w:cs="Calibri" w:eastAsia="Calibri" w:hAnsi="Calibri"/>
          <w:sz w:val="16"/>
          <w:szCs w:val="16"/>
          <w:color w:val="auto"/>
        </w:rPr>
        <w:t>In 2022 and contnuing into early 2023, we contnued our formal governance-focused stockholder outreach program. The scope of our outreach and engagement is shown in the graphic to the right of this paragraph. Given our frequent engagement and the maturity of our stockholder outreach program, a number of our stockholders that we engaged with in prior years elected to defer meetng to a future year. EXL was represented by our management and members of our legal and investor relatons teams at these meetngs, and one meetng was led by Mr. Pandit, our Independent Board Chairman. We discussed the following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-890905</wp:posOffset>
            </wp:positionV>
            <wp:extent cx="5171440" cy="47663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71440" cy="4766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EXL also regularly interacts and shares informaton with our stockholders through our quarterly earnings calls, investor meetngs, SEC flings and publicatons on our website, among others. The feedback received from our stockholders is shared with and reviewed by our board, which is used to inform and focus our decisions relatng to our governance and sustainability practces and to improve our disclosure.</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46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480"/>
          </w:cols>
          <w:pgMar w:left="320" w:top="471" w:right="10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Communicatons with the board</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Stockholders interested in contactng our board of directors, our Chairman or any individual director are invited to do so by writng to:</w:t>
      </w:r>
    </w:p>
    <w:p>
      <w:pPr>
        <w:spacing w:after="0" w:line="31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Board of Directors of ExlService Holdings, Inc.</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c/o Corporate Secretary</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ind w:left="4660"/>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ind w:left="4680"/>
        <w:spacing w:after="0"/>
        <w:rPr>
          <w:sz w:val="20"/>
          <w:szCs w:val="20"/>
          <w:color w:val="auto"/>
        </w:rPr>
      </w:pPr>
      <w:r>
        <w:rPr>
          <w:rFonts w:ascii="Calibri" w:cs="Calibri" w:eastAsia="Calibri" w:hAnsi="Calibri"/>
          <w:sz w:val="17"/>
          <w:szCs w:val="17"/>
          <w:b w:val="1"/>
          <w:bCs w:val="1"/>
          <w:color w:val="auto"/>
        </w:rPr>
        <w:t>New York, New York 10022</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other stockholder communicatons addressed to our board of directors will be referred to our Chairman and tracked by our Corporate Secretary.</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 communicatons specifcally addressed to a partcular director will be referred to that director.</w:t>
      </w:r>
    </w:p>
    <w:p>
      <w:pPr>
        <w:spacing w:after="0" w:line="314"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Complaints and concerns relatng to our accountng, internal accountng controls or auditng maters should be communicated to our Audit Commitee, which consists solely of non-employee directors. Any such communicaton may be anonymous and may be reported to our Audit Commitee through our General Counsel by writng to:</w:t>
      </w:r>
    </w:p>
    <w:p>
      <w:pPr>
        <w:spacing w:after="0" w:line="315"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Audit Commitee of the Board of Directors</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ExlService Holdings, Inc.</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13"/>
          <w:szCs w:val="13"/>
          <w:b w:val="1"/>
          <w:bCs w:val="1"/>
          <w:color w:val="auto"/>
        </w:rPr>
        <w:t>th</w:t>
      </w:r>
      <w:r>
        <w:rPr>
          <w:rFonts w:ascii="Calibri" w:cs="Calibri" w:eastAsia="Calibri" w:hAnsi="Calibri"/>
          <w:sz w:val="17"/>
          <w:szCs w:val="17"/>
          <w:b w:val="1"/>
          <w:bCs w:val="1"/>
          <w:color w:val="auto"/>
        </w:rPr>
        <w:t xml:space="preserve"> Floor</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New York, New York 10022</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Atn: General Counsel</w:t>
      </w:r>
    </w:p>
    <w:p>
      <w:pPr>
        <w:spacing w:after="0" w:line="3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All such concerns will be reviewed under Audit Commitee directon and oversight by our General Counsel, our Head of Internal Audit or such other persons as our Audit Commitee determines to be appropriate. Confdentality will be maintained to the fullest extent possible, consistent with the need to conduct an adequate review. Prompt and appropriate correctve acton will be taken when and as warranted in the judgment of our Audit Commitee. We prepare periodic summary reports of all such communicatons for our Audit Commitee.</w:t>
      </w:r>
    </w:p>
    <w:p>
      <w:pPr>
        <w:spacing w:after="0" w:line="296"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47</w:t>
      </w:r>
    </w:p>
    <w:p>
      <w:pPr>
        <w:sectPr>
          <w:pgSz w:w="11900" w:h="16838" w:orient="portrait"/>
          <w:cols w:equalWidth="0" w:num="1">
            <w:col w:w="10940"/>
          </w:cols>
          <w:pgMar w:left="320" w:top="471"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Sustainability</w:t>
      </w:r>
    </w:p>
    <w:p>
      <w:pPr>
        <w:spacing w:after="0" w:line="33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line with our mission of looking deeper to fnd a beter way for our clients, at EXL we are commited to doing our part as a global citzen to build a beter future by operatng in a responsible and sustainable manner. We believe that by integratng sustainable practces into our business model, working towards positve social change, and providing transparent reportng on those practces and our progress, we are a stronger and more resilient organizaton, best able to deliver long-term value to our stockholders while promotng and developing our business, people, communites and the world around us. We refer to these actvites as “sustainability” and “environmental, social and governance” or “ESG” throughout this Proxy Statement.</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Recent actvites</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2022 and contnuing into 2023, we took a number of steps to contnue improving our sustainability program. These recent actvites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163195</wp:posOffset>
            </wp:positionV>
            <wp:extent cx="6748780" cy="6280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48780" cy="628015"/>
                    </a:xfrm>
                    <a:prstGeom prst="rect">
                      <a:avLst/>
                    </a:prstGeom>
                    <a:noFill/>
                  </pic:spPr>
                </pic:pic>
              </a:graphicData>
            </a:graphic>
          </wp:anchor>
        </w:drawing>
      </w:r>
    </w:p>
    <w:p>
      <w:pPr>
        <w:spacing w:after="0" w:line="277" w:lineRule="exact"/>
        <w:rPr>
          <w:sz w:val="20"/>
          <w:szCs w:val="20"/>
          <w:color w:val="auto"/>
        </w:rPr>
      </w:pPr>
    </w:p>
    <w:p>
      <w:pPr>
        <w:ind w:left="2480"/>
        <w:spacing w:after="0"/>
        <w:rPr>
          <w:sz w:val="20"/>
          <w:szCs w:val="20"/>
          <w:color w:val="auto"/>
        </w:rPr>
      </w:pPr>
      <w:r>
        <w:rPr>
          <w:rFonts w:ascii="Calibri" w:cs="Calibri" w:eastAsia="Calibri" w:hAnsi="Calibri"/>
          <w:sz w:val="17"/>
          <w:szCs w:val="17"/>
          <w:color w:val="auto"/>
        </w:rPr>
        <w:t>Formally allocatng oversight responsibilites to our board commitees over ESG-related maters in late 2021 and early</w:t>
      </w:r>
    </w:p>
    <w:p>
      <w:pPr>
        <w:spacing w:after="0" w:line="44" w:lineRule="exact"/>
        <w:rPr>
          <w:sz w:val="20"/>
          <w:szCs w:val="20"/>
          <w:color w:val="auto"/>
        </w:rPr>
      </w:pPr>
    </w:p>
    <w:p>
      <w:pPr>
        <w:ind w:left="2480" w:right="100" w:hanging="1312"/>
        <w:spacing w:after="0" w:line="180" w:lineRule="auto"/>
        <w:tabs>
          <w:tab w:leader="none" w:pos="2480" w:val="left"/>
        </w:tabs>
        <w:numPr>
          <w:ilvl w:val="0"/>
          <w:numId w:val="16"/>
        </w:numPr>
        <w:rPr>
          <w:rFonts w:ascii="Calibri" w:cs="Calibri" w:eastAsia="Calibri" w:hAnsi="Calibri"/>
          <w:sz w:val="31"/>
          <w:szCs w:val="31"/>
          <w:b w:val="1"/>
          <w:bCs w:val="1"/>
          <w:color w:val="FB4E0B"/>
        </w:rPr>
      </w:pPr>
      <w:r>
        <w:rPr>
          <w:rFonts w:ascii="Calibri" w:cs="Calibri" w:eastAsia="Calibri" w:hAnsi="Calibri"/>
          <w:sz w:val="14"/>
          <w:szCs w:val="14"/>
          <w:color w:val="auto"/>
        </w:rPr>
        <w:t>2022, which are described on pages 40-42SA of this Proxy Statement, and, in 2022, adoptng the name Compensaton and Talent Management Commitee, to refect the commitee’s oversight over human capital management maters</w:t>
      </w:r>
    </w:p>
    <w:p>
      <w:pPr>
        <w:spacing w:after="0" w:line="200" w:lineRule="exact"/>
        <w:rPr>
          <w:sz w:val="20"/>
          <w:szCs w:val="20"/>
          <w:color w:val="auto"/>
        </w:rPr>
      </w:pP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780" w:type="dxa"/>
            <w:vAlign w:val="bottom"/>
          </w:tcPr>
          <w:p>
            <w:pPr>
              <w:spacing w:after="0"/>
              <w:rPr>
                <w:sz w:val="18"/>
                <w:szCs w:val="18"/>
                <w:color w:val="auto"/>
              </w:rPr>
            </w:pPr>
          </w:p>
        </w:tc>
        <w:tc>
          <w:tcPr>
            <w:tcW w:w="8840" w:type="dxa"/>
            <w:vAlign w:val="bottom"/>
            <w:gridSpan w:val="2"/>
          </w:tcPr>
          <w:p>
            <w:pPr>
              <w:ind w:left="540"/>
              <w:spacing w:after="0"/>
              <w:rPr>
                <w:sz w:val="20"/>
                <w:szCs w:val="20"/>
                <w:color w:val="auto"/>
              </w:rPr>
            </w:pPr>
            <w:r>
              <w:rPr>
                <w:rFonts w:ascii="Calibri" w:cs="Calibri" w:eastAsia="Calibri" w:hAnsi="Calibri"/>
                <w:sz w:val="17"/>
                <w:szCs w:val="17"/>
                <w:color w:val="auto"/>
              </w:rPr>
              <w:t>Taking new actons in environmental stewardship, including:</w:t>
            </w:r>
          </w:p>
        </w:tc>
        <w:tc>
          <w:tcPr>
            <w:tcW w:w="0" w:type="dxa"/>
            <w:vAlign w:val="bottom"/>
          </w:tcPr>
          <w:p>
            <w:pPr>
              <w:spacing w:after="0"/>
              <w:rPr>
                <w:sz w:val="1"/>
                <w:szCs w:val="1"/>
                <w:color w:val="auto"/>
              </w:rPr>
            </w:pPr>
          </w:p>
        </w:tc>
      </w:tr>
      <w:tr>
        <w:trPr>
          <w:trHeight w:val="325"/>
        </w:trPr>
        <w:tc>
          <w:tcPr>
            <w:tcW w:w="780" w:type="dxa"/>
            <w:vAlign w:val="bottom"/>
            <w:vMerge w:val="restart"/>
          </w:tcPr>
          <w:p>
            <w:pPr>
              <w:jc w:val="right"/>
              <w:ind w:right="315"/>
              <w:spacing w:after="0"/>
              <w:rPr>
                <w:sz w:val="20"/>
                <w:szCs w:val="20"/>
                <w:color w:val="auto"/>
              </w:rPr>
            </w:pPr>
            <w:r>
              <w:rPr>
                <w:rFonts w:ascii="Calibri" w:cs="Calibri" w:eastAsia="Calibri" w:hAnsi="Calibri"/>
                <w:sz w:val="45"/>
                <w:szCs w:val="45"/>
                <w:b w:val="1"/>
                <w:bCs w:val="1"/>
                <w:color w:val="FB4E0B"/>
                <w:w w:val="96"/>
              </w:rPr>
              <w:t>2</w:t>
            </w: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100" w:type="dxa"/>
            <w:vAlign w:val="bottom"/>
          </w:tcPr>
          <w:p>
            <w:pPr>
              <w:ind w:left="60"/>
              <w:spacing w:after="0"/>
              <w:rPr>
                <w:sz w:val="20"/>
                <w:szCs w:val="20"/>
                <w:color w:val="auto"/>
              </w:rPr>
            </w:pPr>
            <w:r>
              <w:rPr>
                <w:rFonts w:ascii="Calibri" w:cs="Calibri" w:eastAsia="Calibri" w:hAnsi="Calibri"/>
                <w:sz w:val="17"/>
                <w:szCs w:val="17"/>
                <w:color w:val="auto"/>
              </w:rPr>
              <w:t> transitoning certain of our delivery centers in India and the UK to 100% green energy and installing roofop solar</w:t>
            </w:r>
          </w:p>
        </w:tc>
        <w:tc>
          <w:tcPr>
            <w:tcW w:w="0" w:type="dxa"/>
            <w:vAlign w:val="bottom"/>
          </w:tcPr>
          <w:p>
            <w:pPr>
              <w:spacing w:after="0"/>
              <w:rPr>
                <w:sz w:val="1"/>
                <w:szCs w:val="1"/>
                <w:color w:val="auto"/>
              </w:rPr>
            </w:pPr>
          </w:p>
        </w:tc>
      </w:tr>
      <w:tr>
        <w:trPr>
          <w:trHeight w:val="208"/>
        </w:trPr>
        <w:tc>
          <w:tcPr>
            <w:tcW w:w="7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Calibri" w:cs="Calibri" w:eastAsia="Calibri" w:hAnsi="Calibri"/>
                <w:sz w:val="17"/>
                <w:szCs w:val="17"/>
                <w:color w:val="auto"/>
              </w:rPr>
              <w:t>facilites in three of our delivery centers in India, among other green actons</w:t>
            </w:r>
          </w:p>
        </w:tc>
        <w:tc>
          <w:tcPr>
            <w:tcW w:w="0" w:type="dxa"/>
            <w:vAlign w:val="bottom"/>
          </w:tcPr>
          <w:p>
            <w:pPr>
              <w:spacing w:after="0"/>
              <w:rPr>
                <w:sz w:val="1"/>
                <w:szCs w:val="1"/>
                <w:color w:val="auto"/>
              </w:rPr>
            </w:pPr>
          </w:p>
        </w:tc>
      </w:tr>
      <w:tr>
        <w:trPr>
          <w:trHeight w:val="208"/>
        </w:trPr>
        <w:tc>
          <w:tcPr>
            <w:tcW w:w="780" w:type="dxa"/>
            <w:vAlign w:val="bottom"/>
            <w:vMerge w:val="continue"/>
          </w:tcPr>
          <w:p>
            <w:pPr>
              <w:spacing w:after="0"/>
              <w:rPr>
                <w:sz w:val="18"/>
                <w:szCs w:val="18"/>
                <w:color w:val="auto"/>
              </w:rPr>
            </w:pP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100" w:type="dxa"/>
            <w:vAlign w:val="bottom"/>
          </w:tcPr>
          <w:p>
            <w:pPr>
              <w:ind w:left="60"/>
              <w:spacing w:after="0"/>
              <w:rPr>
                <w:sz w:val="20"/>
                <w:szCs w:val="20"/>
                <w:color w:val="auto"/>
              </w:rPr>
            </w:pPr>
            <w:r>
              <w:rPr>
                <w:rFonts w:ascii="Calibri" w:cs="Calibri" w:eastAsia="Calibri" w:hAnsi="Calibri"/>
                <w:sz w:val="17"/>
                <w:szCs w:val="17"/>
                <w:color w:val="auto"/>
              </w:rPr>
              <w:t> achieving ISO 14001:2015 certfcaton in all of our locatons worldwide, meetng internatonal standards for efectve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-596265</wp:posOffset>
            </wp:positionV>
            <wp:extent cx="6748780" cy="908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48780" cy="908685"/>
                    </a:xfrm>
                    <a:prstGeom prst="rect">
                      <a:avLst/>
                    </a:prstGeom>
                    <a:noFill/>
                  </pic:spPr>
                </pic:pic>
              </a:graphicData>
            </a:graphic>
          </wp:anchor>
        </w:drawing>
      </w:r>
    </w:p>
    <w:p>
      <w:pPr>
        <w:ind w:left="2800"/>
        <w:spacing w:after="0"/>
        <w:rPr>
          <w:sz w:val="20"/>
          <w:szCs w:val="20"/>
          <w:color w:val="auto"/>
        </w:rPr>
      </w:pPr>
      <w:r>
        <w:rPr>
          <w:rFonts w:ascii="Calibri" w:cs="Calibri" w:eastAsia="Calibri" w:hAnsi="Calibri"/>
          <w:sz w:val="17"/>
          <w:szCs w:val="17"/>
          <w:color w:val="auto"/>
        </w:rPr>
        <w:t>environmental management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262255</wp:posOffset>
            </wp:positionV>
            <wp:extent cx="6748780" cy="1957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8780" cy="195770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480" w:right="640"/>
        <w:spacing w:after="0" w:line="239" w:lineRule="auto"/>
        <w:rPr>
          <w:sz w:val="20"/>
          <w:szCs w:val="20"/>
          <w:color w:val="auto"/>
        </w:rPr>
      </w:pPr>
      <w:r>
        <w:rPr>
          <w:rFonts w:ascii="Calibri" w:cs="Calibri" w:eastAsia="Calibri" w:hAnsi="Calibri"/>
          <w:sz w:val="17"/>
          <w:szCs w:val="17"/>
          <w:color w:val="auto"/>
        </w:rPr>
        <w:t>Demonstratng our commitment to providing transparency and meaningful disclosure on ESG-related informaton, including through:</w:t>
      </w:r>
    </w:p>
    <w:p>
      <w:pPr>
        <w:spacing w:after="0" w:line="119" w:lineRule="exact"/>
        <w:rPr>
          <w:sz w:val="20"/>
          <w:szCs w:val="20"/>
          <w:color w:val="auto"/>
        </w:rPr>
      </w:pPr>
    </w:p>
    <w:tbl>
      <w:tblPr>
        <w:tblLayout w:type="fixed"/>
        <w:tblInd w:w="330" w:type="dxa"/>
        <w:tblCellMar>
          <w:top w:w="0" w:type="dxa"/>
          <w:left w:w="0" w:type="dxa"/>
          <w:bottom w:w="0" w:type="dxa"/>
          <w:right w:w="0" w:type="dxa"/>
        </w:tblCellMar>
      </w:tblPr>
      <w:tr>
        <w:trPr>
          <w:trHeight w:val="208"/>
        </w:trPr>
        <w:tc>
          <w:tcPr>
            <w:tcW w:w="13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Calibri" w:cs="Calibri" w:eastAsia="Calibri" w:hAnsi="Calibri"/>
                <w:sz w:val="17"/>
                <w:szCs w:val="17"/>
                <w:color w:val="auto"/>
                <w:w w:val="70"/>
              </w:rPr>
              <w:t>• </w:t>
            </w:r>
          </w:p>
        </w:tc>
        <w:tc>
          <w:tcPr>
            <w:tcW w:w="8280" w:type="dxa"/>
            <w:vAlign w:val="bottom"/>
          </w:tcPr>
          <w:p>
            <w:pPr>
              <w:ind w:left="60"/>
              <w:spacing w:after="0"/>
              <w:rPr>
                <w:sz w:val="20"/>
                <w:szCs w:val="20"/>
                <w:color w:val="auto"/>
              </w:rPr>
            </w:pPr>
            <w:r>
              <w:rPr>
                <w:rFonts w:ascii="Calibri" w:cs="Calibri" w:eastAsia="Calibri" w:hAnsi="Calibri"/>
                <w:sz w:val="17"/>
                <w:szCs w:val="17"/>
                <w:color w:val="auto"/>
              </w:rPr>
              <w:t> contnuing to update our Sustainability page on our website, which highlights all of our relevant sustainability-related</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Calibri" w:cs="Calibri" w:eastAsia="Calibri" w:hAnsi="Calibri"/>
                <w:sz w:val="17"/>
                <w:szCs w:val="17"/>
                <w:color w:val="auto"/>
              </w:rPr>
              <w:t>policies, reports, certfcatons and awards, targets and actvites, available at</w:t>
            </w:r>
          </w:p>
        </w:tc>
        <w:tc>
          <w:tcPr>
            <w:tcW w:w="0" w:type="dxa"/>
            <w:vAlign w:val="bottom"/>
          </w:tcPr>
          <w:p>
            <w:pPr>
              <w:spacing w:after="0"/>
              <w:rPr>
                <w:sz w:val="1"/>
                <w:szCs w:val="1"/>
                <w:color w:val="auto"/>
              </w:rPr>
            </w:pPr>
          </w:p>
        </w:tc>
      </w:tr>
      <w:tr>
        <w:trPr>
          <w:trHeight w:val="208"/>
        </w:trPr>
        <w:tc>
          <w:tcPr>
            <w:tcW w:w="1300" w:type="dxa"/>
            <w:vAlign w:val="bottom"/>
            <w:vMerge w:val="restart"/>
          </w:tcPr>
          <w:p>
            <w:pPr>
              <w:jc w:val="right"/>
              <w:ind w:right="41"/>
              <w:spacing w:after="0"/>
              <w:rPr>
                <w:sz w:val="20"/>
                <w:szCs w:val="20"/>
                <w:color w:val="auto"/>
              </w:rPr>
            </w:pPr>
            <w:r>
              <w:rPr>
                <w:rFonts w:ascii="Calibri" w:cs="Calibri" w:eastAsia="Calibri" w:hAnsi="Calibri"/>
                <w:sz w:val="45"/>
                <w:szCs w:val="45"/>
                <w:b w:val="1"/>
                <w:bCs w:val="1"/>
                <w:color w:val="FB4E0B"/>
              </w:rPr>
              <w:t>3</w:t>
            </w:r>
          </w:p>
        </w:tc>
        <w:tc>
          <w:tcPr>
            <w:tcW w:w="106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Calibri" w:cs="Calibri" w:eastAsia="Calibri" w:hAnsi="Calibri"/>
                <w:sz w:val="17"/>
                <w:szCs w:val="17"/>
                <w:color w:val="auto"/>
              </w:rPr>
              <w:t>www.exlservice.com/about/sustainability</w:t>
            </w:r>
          </w:p>
        </w:tc>
        <w:tc>
          <w:tcPr>
            <w:tcW w:w="0" w:type="dxa"/>
            <w:vAlign w:val="bottom"/>
          </w:tcPr>
          <w:p>
            <w:pPr>
              <w:spacing w:after="0"/>
              <w:rPr>
                <w:sz w:val="1"/>
                <w:szCs w:val="1"/>
                <w:color w:val="auto"/>
              </w:rPr>
            </w:pPr>
          </w:p>
        </w:tc>
      </w:tr>
      <w:tr>
        <w:trPr>
          <w:trHeight w:val="208"/>
        </w:trPr>
        <w:tc>
          <w:tcPr>
            <w:tcW w:w="1300" w:type="dxa"/>
            <w:vAlign w:val="bottom"/>
            <w:vMerge w:val="continue"/>
          </w:tcPr>
          <w:p>
            <w:pPr>
              <w:spacing w:after="0"/>
              <w:rPr>
                <w:sz w:val="18"/>
                <w:szCs w:val="18"/>
                <w:color w:val="auto"/>
              </w:rPr>
            </w:pPr>
          </w:p>
        </w:tc>
        <w:tc>
          <w:tcPr>
            <w:tcW w:w="1060" w:type="dxa"/>
            <w:vAlign w:val="bottom"/>
          </w:tcPr>
          <w:p>
            <w:pPr>
              <w:ind w:left="860"/>
              <w:spacing w:after="0"/>
              <w:rPr>
                <w:sz w:val="20"/>
                <w:szCs w:val="20"/>
                <w:color w:val="auto"/>
              </w:rPr>
            </w:pPr>
            <w:r>
              <w:rPr>
                <w:rFonts w:ascii="Calibri" w:cs="Calibri" w:eastAsia="Calibri" w:hAnsi="Calibri"/>
                <w:sz w:val="17"/>
                <w:szCs w:val="17"/>
                <w:color w:val="auto"/>
                <w:w w:val="70"/>
              </w:rPr>
              <w:t>• </w:t>
            </w:r>
          </w:p>
        </w:tc>
        <w:tc>
          <w:tcPr>
            <w:tcW w:w="8280" w:type="dxa"/>
            <w:vAlign w:val="bottom"/>
          </w:tcPr>
          <w:p>
            <w:pPr>
              <w:ind w:left="60"/>
              <w:spacing w:after="0"/>
              <w:rPr>
                <w:sz w:val="20"/>
                <w:szCs w:val="20"/>
                <w:color w:val="auto"/>
              </w:rPr>
            </w:pPr>
            <w:r>
              <w:rPr>
                <w:rFonts w:ascii="Calibri" w:cs="Calibri" w:eastAsia="Calibri" w:hAnsi="Calibri"/>
                <w:sz w:val="17"/>
                <w:szCs w:val="17"/>
                <w:color w:val="auto"/>
              </w:rPr>
              <w:t> publishing our third Annual Sustainability Report developed in accordance with the Global Reportng Initatve (GRI)</w:t>
            </w:r>
          </w:p>
        </w:tc>
        <w:tc>
          <w:tcPr>
            <w:tcW w:w="0" w:type="dxa"/>
            <w:vAlign w:val="bottom"/>
          </w:tcPr>
          <w:p>
            <w:pPr>
              <w:spacing w:after="0"/>
              <w:rPr>
                <w:sz w:val="1"/>
                <w:szCs w:val="1"/>
                <w:color w:val="auto"/>
              </w:rPr>
            </w:pPr>
          </w:p>
        </w:tc>
      </w:tr>
      <w:tr>
        <w:trPr>
          <w:trHeight w:val="210"/>
        </w:trPr>
        <w:tc>
          <w:tcPr>
            <w:tcW w:w="13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Calibri" w:cs="Calibri" w:eastAsia="Calibri" w:hAnsi="Calibri"/>
                <w:sz w:val="17"/>
                <w:szCs w:val="17"/>
                <w:color w:val="auto"/>
              </w:rPr>
              <w:t>Standards: Core Opton and aligned to the Sustainability Accountng Standards Board (SASB) Sofware and IT Services</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80" w:type="dxa"/>
            <w:vAlign w:val="bottom"/>
          </w:tcPr>
          <w:p>
            <w:pPr>
              <w:ind w:left="120"/>
              <w:spacing w:after="0" w:line="206" w:lineRule="exact"/>
              <w:rPr>
                <w:sz w:val="20"/>
                <w:szCs w:val="20"/>
                <w:color w:val="auto"/>
              </w:rPr>
            </w:pPr>
            <w:r>
              <w:rPr>
                <w:rFonts w:ascii="Calibri" w:cs="Calibri" w:eastAsia="Calibri" w:hAnsi="Calibri"/>
                <w:sz w:val="17"/>
                <w:szCs w:val="17"/>
                <w:color w:val="auto"/>
              </w:rPr>
              <w:t>Standard (2018), available on the Sustainability page of our website with assurance from a Big 4 accountng frm</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Calibri" w:cs="Calibri" w:eastAsia="Calibri" w:hAnsi="Calibri"/>
                <w:sz w:val="17"/>
                <w:szCs w:val="17"/>
                <w:color w:val="auto"/>
              </w:rPr>
              <w:t>afliate</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Calibri" w:cs="Calibri" w:eastAsia="Calibri" w:hAnsi="Calibri"/>
                <w:sz w:val="17"/>
                <w:szCs w:val="17"/>
                <w:color w:val="auto"/>
                <w:w w:val="70"/>
              </w:rPr>
              <w:t>• </w:t>
            </w:r>
          </w:p>
        </w:tc>
        <w:tc>
          <w:tcPr>
            <w:tcW w:w="8280" w:type="dxa"/>
            <w:vAlign w:val="bottom"/>
          </w:tcPr>
          <w:p>
            <w:pPr>
              <w:ind w:left="60"/>
              <w:spacing w:after="0"/>
              <w:rPr>
                <w:sz w:val="20"/>
                <w:szCs w:val="20"/>
                <w:color w:val="auto"/>
              </w:rPr>
            </w:pPr>
            <w:r>
              <w:rPr>
                <w:rFonts w:ascii="Calibri" w:cs="Calibri" w:eastAsia="Calibri" w:hAnsi="Calibri"/>
                <w:sz w:val="17"/>
                <w:szCs w:val="17"/>
                <w:color w:val="auto"/>
              </w:rPr>
              <w:t> developing and adoptng further controls, processes and frameworks around ESG data collecton and reportng</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Calibri" w:cs="Calibri" w:eastAsia="Calibri" w:hAnsi="Calibri"/>
                <w:sz w:val="17"/>
                <w:szCs w:val="17"/>
                <w:color w:val="auto"/>
                <w:w w:val="70"/>
              </w:rPr>
              <w:t>• </w:t>
            </w:r>
          </w:p>
        </w:tc>
        <w:tc>
          <w:tcPr>
            <w:tcW w:w="8280" w:type="dxa"/>
            <w:vAlign w:val="bottom"/>
          </w:tcPr>
          <w:p>
            <w:pPr>
              <w:ind w:left="60"/>
              <w:spacing w:after="0"/>
              <w:rPr>
                <w:sz w:val="20"/>
                <w:szCs w:val="20"/>
                <w:color w:val="auto"/>
              </w:rPr>
            </w:pPr>
            <w:r>
              <w:rPr>
                <w:rFonts w:ascii="Calibri" w:cs="Calibri" w:eastAsia="Calibri" w:hAnsi="Calibri"/>
                <w:sz w:val="17"/>
                <w:szCs w:val="17"/>
                <w:color w:val="auto"/>
              </w:rPr>
              <w:t> launching a Company-wide internal ESG amplifcaton campaign aimed at driving employee support and partcipaton</w:t>
            </w: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Calibri" w:cs="Calibri" w:eastAsia="Calibri" w:hAnsi="Calibri"/>
                <w:sz w:val="17"/>
                <w:szCs w:val="17"/>
                <w:color w:val="auto"/>
              </w:rPr>
              <w:t>in our ESG eforts</w:t>
            </w:r>
          </w:p>
        </w:tc>
        <w:tc>
          <w:tcPr>
            <w:tcW w:w="0" w:type="dxa"/>
            <w:vAlign w:val="bottom"/>
          </w:tcPr>
          <w:p>
            <w:pPr>
              <w:spacing w:after="0"/>
              <w:rPr>
                <w:sz w:val="1"/>
                <w:szCs w:val="1"/>
                <w:color w:val="auto"/>
              </w:rPr>
            </w:pPr>
          </w:p>
        </w:tc>
      </w:tr>
      <w:tr>
        <w:trPr>
          <w:trHeight w:val="270"/>
        </w:trPr>
        <w:tc>
          <w:tcPr>
            <w:tcW w:w="1300" w:type="dxa"/>
            <w:vAlign w:val="bottom"/>
            <w:tcBorders>
              <w:bottom w:val="single" w:sz="8" w:color="B2B2B2"/>
            </w:tcBorders>
          </w:tcPr>
          <w:p>
            <w:pPr>
              <w:spacing w:after="0"/>
              <w:rPr>
                <w:sz w:val="23"/>
                <w:szCs w:val="23"/>
                <w:color w:val="auto"/>
              </w:rPr>
            </w:pPr>
          </w:p>
        </w:tc>
        <w:tc>
          <w:tcPr>
            <w:tcW w:w="9340" w:type="dxa"/>
            <w:vAlign w:val="bottom"/>
            <w:tcBorders>
              <w:bottom w:val="single" w:sz="8" w:color="B2B2B2"/>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1300" w:type="dxa"/>
            <w:vAlign w:val="bottom"/>
            <w:tcBorders>
              <w:bottom w:val="single" w:sz="8" w:color="B2B2B2"/>
            </w:tcBorders>
          </w:tcPr>
          <w:p>
            <w:pPr>
              <w:spacing w:after="0"/>
              <w:rPr>
                <w:sz w:val="10"/>
                <w:szCs w:val="10"/>
                <w:color w:val="auto"/>
              </w:rPr>
            </w:pPr>
          </w:p>
        </w:tc>
        <w:tc>
          <w:tcPr>
            <w:tcW w:w="1060" w:type="dxa"/>
            <w:vAlign w:val="bottom"/>
            <w:tcBorders>
              <w:bottom w:val="single" w:sz="8" w:color="B2B2B2"/>
            </w:tcBorders>
          </w:tcPr>
          <w:p>
            <w:pPr>
              <w:spacing w:after="0"/>
              <w:rPr>
                <w:sz w:val="10"/>
                <w:szCs w:val="10"/>
                <w:color w:val="auto"/>
              </w:rPr>
            </w:pPr>
          </w:p>
        </w:tc>
        <w:tc>
          <w:tcPr>
            <w:tcW w:w="828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300" w:type="dxa"/>
            <w:vAlign w:val="bottom"/>
            <w:tcBorders>
              <w:left w:val="single" w:sz="8" w:color="B2B2B2"/>
            </w:tcBorders>
            <w:vMerge w:val="restart"/>
          </w:tcPr>
          <w:p>
            <w:pPr>
              <w:jc w:val="right"/>
              <w:ind w:right="41"/>
              <w:spacing w:after="0"/>
              <w:rPr>
                <w:sz w:val="20"/>
                <w:szCs w:val="20"/>
                <w:color w:val="auto"/>
              </w:rPr>
            </w:pPr>
            <w:r>
              <w:rPr>
                <w:rFonts w:ascii="Calibri" w:cs="Calibri" w:eastAsia="Calibri" w:hAnsi="Calibri"/>
                <w:sz w:val="45"/>
                <w:szCs w:val="45"/>
                <w:b w:val="1"/>
                <w:bCs w:val="1"/>
                <w:color w:val="FB4E0B"/>
              </w:rPr>
              <w:t>4</w:t>
            </w:r>
          </w:p>
        </w:tc>
        <w:tc>
          <w:tcPr>
            <w:tcW w:w="9340" w:type="dxa"/>
            <w:vAlign w:val="bottom"/>
            <w:tcBorders>
              <w:right w:val="single" w:sz="8" w:color="B2B2B2"/>
            </w:tcBorders>
            <w:gridSpan w:val="2"/>
          </w:tcPr>
          <w:p>
            <w:pPr>
              <w:ind w:left="860"/>
              <w:spacing w:after="0"/>
              <w:rPr>
                <w:sz w:val="20"/>
                <w:szCs w:val="20"/>
                <w:color w:val="auto"/>
              </w:rPr>
            </w:pPr>
            <w:r>
              <w:rPr>
                <w:rFonts w:ascii="Calibri" w:cs="Calibri" w:eastAsia="Calibri" w:hAnsi="Calibri"/>
                <w:sz w:val="17"/>
                <w:szCs w:val="17"/>
                <w:color w:val="auto"/>
              </w:rPr>
              <w:t>Launching a new Company-wide community engagement focus in 2022 that aims to bring science and technology skills,</w:t>
            </w:r>
          </w:p>
        </w:tc>
        <w:tc>
          <w:tcPr>
            <w:tcW w:w="0" w:type="dxa"/>
            <w:vAlign w:val="bottom"/>
          </w:tcPr>
          <w:p>
            <w:pPr>
              <w:spacing w:after="0"/>
              <w:rPr>
                <w:sz w:val="1"/>
                <w:szCs w:val="1"/>
                <w:color w:val="auto"/>
              </w:rPr>
            </w:pPr>
          </w:p>
        </w:tc>
      </w:tr>
      <w:tr>
        <w:trPr>
          <w:trHeight w:val="208"/>
        </w:trPr>
        <w:tc>
          <w:tcPr>
            <w:tcW w:w="1300" w:type="dxa"/>
            <w:vAlign w:val="bottom"/>
            <w:tcBorders>
              <w:left w:val="single" w:sz="8" w:color="B2B2B2"/>
            </w:tcBorders>
            <w:vMerge w:val="continue"/>
          </w:tcPr>
          <w:p>
            <w:pPr>
              <w:spacing w:after="0"/>
              <w:rPr>
                <w:sz w:val="18"/>
                <w:szCs w:val="18"/>
                <w:color w:val="auto"/>
              </w:rPr>
            </w:pPr>
          </w:p>
        </w:tc>
        <w:tc>
          <w:tcPr>
            <w:tcW w:w="9340" w:type="dxa"/>
            <w:vAlign w:val="bottom"/>
            <w:tcBorders>
              <w:right w:val="single" w:sz="8" w:color="B2B2B2"/>
            </w:tcBorders>
            <w:gridSpan w:val="2"/>
          </w:tcPr>
          <w:p>
            <w:pPr>
              <w:ind w:left="860"/>
              <w:spacing w:after="0"/>
              <w:rPr>
                <w:sz w:val="20"/>
                <w:szCs w:val="20"/>
                <w:color w:val="auto"/>
              </w:rPr>
            </w:pPr>
            <w:r>
              <w:rPr>
                <w:rFonts w:ascii="Calibri" w:cs="Calibri" w:eastAsia="Calibri" w:hAnsi="Calibri"/>
                <w:sz w:val="17"/>
                <w:szCs w:val="17"/>
                <w:color w:val="auto"/>
              </w:rPr>
              <w:t>with a partcular emphasis on coding, to women, girls and non-binary people in the communites in which we operate, in</w:t>
            </w:r>
          </w:p>
        </w:tc>
        <w:tc>
          <w:tcPr>
            <w:tcW w:w="0" w:type="dxa"/>
            <w:vAlign w:val="bottom"/>
          </w:tcPr>
          <w:p>
            <w:pPr>
              <w:spacing w:after="0"/>
              <w:rPr>
                <w:sz w:val="1"/>
                <w:szCs w:val="1"/>
                <w:color w:val="auto"/>
              </w:rPr>
            </w:pPr>
          </w:p>
        </w:tc>
      </w:tr>
      <w:tr>
        <w:trPr>
          <w:trHeight w:val="210"/>
        </w:trPr>
        <w:tc>
          <w:tcPr>
            <w:tcW w:w="1300" w:type="dxa"/>
            <w:vAlign w:val="bottom"/>
            <w:tcBorders>
              <w:left w:val="single" w:sz="8" w:color="B2B2B2"/>
            </w:tcBorders>
            <w:vMerge w:val="continue"/>
          </w:tcPr>
          <w:p>
            <w:pPr>
              <w:spacing w:after="0"/>
              <w:rPr>
                <w:sz w:val="18"/>
                <w:szCs w:val="18"/>
                <w:color w:val="auto"/>
              </w:rPr>
            </w:pPr>
          </w:p>
        </w:tc>
        <w:tc>
          <w:tcPr>
            <w:tcW w:w="9340" w:type="dxa"/>
            <w:vAlign w:val="bottom"/>
            <w:tcBorders>
              <w:right w:val="single" w:sz="8" w:color="B2B2B2"/>
            </w:tcBorders>
            <w:gridSpan w:val="2"/>
          </w:tcPr>
          <w:p>
            <w:pPr>
              <w:ind w:left="860"/>
              <w:spacing w:after="0"/>
              <w:rPr>
                <w:sz w:val="20"/>
                <w:szCs w:val="20"/>
                <w:color w:val="auto"/>
              </w:rPr>
            </w:pPr>
            <w:r>
              <w:rPr>
                <w:rFonts w:ascii="Calibri" w:cs="Calibri" w:eastAsia="Calibri" w:hAnsi="Calibri"/>
                <w:sz w:val="17"/>
                <w:szCs w:val="17"/>
                <w:color w:val="auto"/>
              </w:rPr>
              <w:t>partnership with various non-proft organizatons in India, the Philippines, South Africa, the United Kingdom and the</w:t>
            </w:r>
          </w:p>
        </w:tc>
        <w:tc>
          <w:tcPr>
            <w:tcW w:w="0" w:type="dxa"/>
            <w:vAlign w:val="bottom"/>
          </w:tcPr>
          <w:p>
            <w:pPr>
              <w:spacing w:after="0"/>
              <w:rPr>
                <w:sz w:val="1"/>
                <w:szCs w:val="1"/>
                <w:color w:val="auto"/>
              </w:rPr>
            </w:pPr>
          </w:p>
        </w:tc>
      </w:tr>
      <w:tr>
        <w:trPr>
          <w:trHeight w:val="206"/>
        </w:trPr>
        <w:tc>
          <w:tcPr>
            <w:tcW w:w="1300" w:type="dxa"/>
            <w:vAlign w:val="bottom"/>
            <w:tcBorders>
              <w:left w:val="single" w:sz="8" w:color="B2B2B2"/>
            </w:tcBorders>
          </w:tcPr>
          <w:p>
            <w:pPr>
              <w:spacing w:after="0"/>
              <w:rPr>
                <w:sz w:val="17"/>
                <w:szCs w:val="17"/>
                <w:color w:val="auto"/>
              </w:rPr>
            </w:pPr>
          </w:p>
        </w:tc>
        <w:tc>
          <w:tcPr>
            <w:tcW w:w="9340" w:type="dxa"/>
            <w:vAlign w:val="bottom"/>
            <w:tcBorders>
              <w:right w:val="single" w:sz="8" w:color="B2B2B2"/>
            </w:tcBorders>
            <w:gridSpan w:val="2"/>
          </w:tcPr>
          <w:p>
            <w:pPr>
              <w:ind w:left="860"/>
              <w:spacing w:after="0" w:line="206" w:lineRule="exact"/>
              <w:rPr>
                <w:sz w:val="20"/>
                <w:szCs w:val="20"/>
                <w:color w:val="auto"/>
              </w:rPr>
            </w:pPr>
            <w:r>
              <w:rPr>
                <w:rFonts w:ascii="Calibri" w:cs="Calibri" w:eastAsia="Calibri" w:hAnsi="Calibri"/>
                <w:sz w:val="17"/>
                <w:szCs w:val="17"/>
                <w:color w:val="auto"/>
              </w:rPr>
              <w:t>United States, in additon to our existng educaton and skill building initatves</w:t>
            </w:r>
          </w:p>
        </w:tc>
        <w:tc>
          <w:tcPr>
            <w:tcW w:w="0" w:type="dxa"/>
            <w:vAlign w:val="bottom"/>
          </w:tcPr>
          <w:p>
            <w:pPr>
              <w:spacing w:after="0"/>
              <w:rPr>
                <w:sz w:val="1"/>
                <w:szCs w:val="1"/>
                <w:color w:val="auto"/>
              </w:rPr>
            </w:pPr>
          </w:p>
        </w:tc>
      </w:tr>
      <w:tr>
        <w:trPr>
          <w:trHeight w:val="270"/>
        </w:trPr>
        <w:tc>
          <w:tcPr>
            <w:tcW w:w="1300" w:type="dxa"/>
            <w:vAlign w:val="bottom"/>
            <w:tcBorders>
              <w:left w:val="single" w:sz="8" w:color="B2B2B2"/>
              <w:bottom w:val="single" w:sz="8" w:color="B2B2B2"/>
            </w:tcBorders>
          </w:tcPr>
          <w:p>
            <w:pPr>
              <w:spacing w:after="0"/>
              <w:rPr>
                <w:sz w:val="23"/>
                <w:szCs w:val="23"/>
                <w:color w:val="auto"/>
              </w:rPr>
            </w:pPr>
          </w:p>
        </w:tc>
        <w:tc>
          <w:tcPr>
            <w:tcW w:w="9340" w:type="dxa"/>
            <w:vAlign w:val="bottom"/>
            <w:tcBorders>
              <w:bottom w:val="single" w:sz="8" w:color="B2B2B2"/>
              <w:right w:val="single" w:sz="8" w:color="B2B2B2"/>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438"/>
        </w:trPr>
        <w:tc>
          <w:tcPr>
            <w:tcW w:w="1300" w:type="dxa"/>
            <w:vAlign w:val="bottom"/>
          </w:tcPr>
          <w:p>
            <w:pPr>
              <w:jc w:val="right"/>
              <w:spacing w:after="0"/>
              <w:rPr>
                <w:sz w:val="20"/>
                <w:szCs w:val="20"/>
                <w:color w:val="auto"/>
              </w:rPr>
            </w:pPr>
            <w:r>
              <w:rPr>
                <w:rFonts w:ascii="Calibri" w:cs="Calibri" w:eastAsia="Calibri" w:hAnsi="Calibri"/>
                <w:sz w:val="17"/>
                <w:szCs w:val="17"/>
                <w:b w:val="1"/>
                <w:bCs w:val="1"/>
                <w:color w:val="auto"/>
              </w:rPr>
              <w:t xml:space="preserve">48   </w:t>
            </w:r>
            <w:r>
              <w:rPr>
                <w:rFonts w:ascii="Calibri" w:cs="Calibri" w:eastAsia="Calibri" w:hAnsi="Calibri"/>
                <w:sz w:val="27"/>
                <w:szCs w:val="27"/>
                <w:b w:val="1"/>
                <w:bCs w:val="1"/>
                <w:color w:val="FB4E0B"/>
              </w:rPr>
              <w:t>/</w:t>
            </w:r>
          </w:p>
        </w:tc>
        <w:tc>
          <w:tcPr>
            <w:tcW w:w="9340" w:type="dxa"/>
            <w:vAlign w:val="bottom"/>
            <w:gridSpan w:val="2"/>
          </w:tcPr>
          <w:p>
            <w:pPr>
              <w:ind w:left="120"/>
              <w:spacing w:after="0"/>
              <w:rPr>
                <w:sz w:val="20"/>
                <w:szCs w:val="20"/>
                <w:color w:val="auto"/>
              </w:rPr>
            </w:pPr>
            <w:r>
              <w:rPr>
                <w:rFonts w:ascii="Calibri" w:cs="Calibri" w:eastAsia="Calibri" w:hAnsi="Calibri"/>
                <w:sz w:val="13"/>
                <w:szCs w:val="13"/>
                <w:color w:val="auto"/>
              </w:rPr>
              <w:t>EXL 2023 Proxy Statement</w:t>
            </w: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Community Engagement</w:t>
      </w:r>
    </w:p>
    <w:p>
      <w:pPr>
        <w:spacing w:after="0" w:line="244" w:lineRule="exact"/>
        <w:rPr>
          <w:sz w:val="20"/>
          <w:szCs w:val="20"/>
          <w:color w:val="auto"/>
        </w:rPr>
      </w:pPr>
    </w:p>
    <w:p>
      <w:pPr>
        <w:ind w:left="660" w:right="1220"/>
        <w:spacing w:after="0" w:line="239" w:lineRule="auto"/>
        <w:rPr>
          <w:sz w:val="20"/>
          <w:szCs w:val="20"/>
          <w:color w:val="auto"/>
        </w:rPr>
      </w:pPr>
      <w:r>
        <w:rPr>
          <w:rFonts w:ascii="Calibri" w:cs="Calibri" w:eastAsia="Calibri" w:hAnsi="Calibri"/>
          <w:sz w:val="17"/>
          <w:szCs w:val="17"/>
          <w:color w:val="auto"/>
        </w:rPr>
        <w:t>EXL is focused on assistng the members of the communites in which we live and work to develop market-relevant skills. We provide programming on skills development for adults and children within our communites: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-248285</wp:posOffset>
            </wp:positionV>
            <wp:extent cx="6740525" cy="34778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0525" cy="347789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371"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FB4E0B"/>
        </w:rPr>
        <w:t>Skills to Win Initatve</w:t>
      </w:r>
    </w:p>
    <w:p>
      <w:pPr>
        <w:spacing w:after="0" w:line="147" w:lineRule="exact"/>
        <w:rPr>
          <w:sz w:val="20"/>
          <w:szCs w:val="20"/>
          <w:color w:val="auto"/>
        </w:rPr>
      </w:pPr>
    </w:p>
    <w:p>
      <w:pPr>
        <w:ind w:left="1000" w:right="360"/>
        <w:spacing w:after="0" w:line="236" w:lineRule="auto"/>
        <w:rPr>
          <w:sz w:val="20"/>
          <w:szCs w:val="20"/>
          <w:color w:val="auto"/>
        </w:rPr>
      </w:pPr>
      <w:r>
        <w:rPr>
          <w:rFonts w:ascii="Calibri" w:cs="Calibri" w:eastAsia="Calibri" w:hAnsi="Calibri"/>
          <w:sz w:val="14"/>
          <w:szCs w:val="14"/>
          <w:color w:val="auto"/>
        </w:rPr>
        <w:t>Skills to Win focuses on equipping people in our communites with the skills that the market demands. We provide training on employability skills for back-ofce roles, fnance and accountng, and data and analytcs and digital capabilites, all coupled with life and workplace skills.</w:t>
      </w:r>
    </w:p>
    <w:p>
      <w:pPr>
        <w:spacing w:after="0" w:line="121" w:lineRule="exact"/>
        <w:rPr>
          <w:sz w:val="20"/>
          <w:szCs w:val="20"/>
          <w:color w:val="auto"/>
        </w:rPr>
      </w:pPr>
    </w:p>
    <w:p>
      <w:pPr>
        <w:ind w:left="1000" w:right="420"/>
        <w:spacing w:after="0" w:line="236" w:lineRule="auto"/>
        <w:rPr>
          <w:sz w:val="20"/>
          <w:szCs w:val="20"/>
          <w:color w:val="auto"/>
        </w:rPr>
      </w:pPr>
      <w:r>
        <w:rPr>
          <w:rFonts w:ascii="Calibri" w:cs="Calibri" w:eastAsia="Calibri" w:hAnsi="Calibri"/>
          <w:sz w:val="14"/>
          <w:szCs w:val="14"/>
          <w:color w:val="auto"/>
        </w:rPr>
        <w:t>By virtue of our online delivery of a porton of our programming, were able to scale the Skills to Win Initatve, reaching more than three tmes as many benefciaries in 2022 than we reached in the prior year. Skills to Win is opening new doors for employment and earnings for partcipants in the United States, the Philippines, India, United Kingdom and South Africa.</w:t>
      </w:r>
    </w:p>
    <w:p>
      <w:pPr>
        <w:spacing w:after="0" w:line="123" w:lineRule="exact"/>
        <w:rPr>
          <w:sz w:val="20"/>
          <w:szCs w:val="20"/>
          <w:color w:val="auto"/>
        </w:rPr>
      </w:pPr>
    </w:p>
    <w:p>
      <w:pPr>
        <w:ind w:left="1000" w:right="380"/>
        <w:spacing w:after="0" w:line="236" w:lineRule="auto"/>
        <w:rPr>
          <w:sz w:val="20"/>
          <w:szCs w:val="20"/>
          <w:color w:val="auto"/>
        </w:rPr>
      </w:pPr>
      <w:r>
        <w:rPr>
          <w:rFonts w:ascii="Calibri" w:cs="Calibri" w:eastAsia="Calibri" w:hAnsi="Calibri"/>
          <w:sz w:val="14"/>
          <w:szCs w:val="14"/>
          <w:color w:val="auto"/>
        </w:rPr>
        <w:t>Over the past fve years, we have contnued to evolve this initatve to refect new and emerging skills and strengthen the portolio of courses ofered. In 2022, we created a new focus area for our Skills to Win Initatve to target bringing STEM skills- and in partcular, coding skills- to girls, women and non-binary people in our communites in India, the Philippines, South Africa, the United Kingdom and the United States through partnerships with organizatons and insttutons in each of those locatons.</w:t>
      </w:r>
    </w:p>
    <w:p>
      <w:pPr>
        <w:spacing w:after="0" w:line="332" w:lineRule="exact"/>
        <w:rPr>
          <w:sz w:val="20"/>
          <w:szCs w:val="20"/>
          <w:color w:val="auto"/>
        </w:rPr>
      </w:pPr>
    </w:p>
    <w:p>
      <w:pPr>
        <w:jc w:val="center"/>
        <w:ind w:left="660"/>
        <w:spacing w:after="0"/>
        <w:rPr>
          <w:sz w:val="20"/>
          <w:szCs w:val="20"/>
          <w:color w:val="auto"/>
        </w:rPr>
      </w:pPr>
      <w:r>
        <w:rPr>
          <w:rFonts w:ascii="Calibri" w:cs="Calibri" w:eastAsia="Calibri" w:hAnsi="Calibri"/>
          <w:sz w:val="14"/>
          <w:szCs w:val="14"/>
          <w:b w:val="1"/>
          <w:bCs w:val="1"/>
          <w:color w:val="auto"/>
        </w:rPr>
        <w:t>In 2022, we brought this program to more than 3,400 people in</w:t>
      </w:r>
    </w:p>
    <w:p>
      <w:pPr>
        <w:spacing w:after="0" w:line="14" w:lineRule="exact"/>
        <w:rPr>
          <w:sz w:val="20"/>
          <w:szCs w:val="20"/>
          <w:color w:val="auto"/>
        </w:rPr>
      </w:pPr>
    </w:p>
    <w:p>
      <w:pPr>
        <w:jc w:val="center"/>
        <w:ind w:left="660"/>
        <w:spacing w:after="0"/>
        <w:rPr>
          <w:sz w:val="20"/>
          <w:szCs w:val="20"/>
          <w:color w:val="auto"/>
        </w:rPr>
      </w:pPr>
      <w:r>
        <w:rPr>
          <w:rFonts w:ascii="Calibri" w:cs="Calibri" w:eastAsia="Calibri" w:hAnsi="Calibri"/>
          <w:sz w:val="16"/>
          <w:szCs w:val="16"/>
          <w:b w:val="1"/>
          <w:bCs w:val="1"/>
          <w:color w:val="auto"/>
        </w:rPr>
        <w:t>our communites across the globe.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Educaton as a Foundaton Initatve</w:t>
      </w:r>
    </w:p>
    <w:p>
      <w:pPr>
        <w:spacing w:after="0" w:line="147" w:lineRule="exact"/>
        <w:rPr>
          <w:sz w:val="20"/>
          <w:szCs w:val="20"/>
          <w:color w:val="auto"/>
        </w:rPr>
      </w:pPr>
    </w:p>
    <w:p>
      <w:pPr>
        <w:ind w:right="640"/>
        <w:spacing w:after="0" w:line="236" w:lineRule="auto"/>
        <w:rPr>
          <w:sz w:val="20"/>
          <w:szCs w:val="20"/>
          <w:color w:val="auto"/>
        </w:rPr>
      </w:pPr>
      <w:r>
        <w:rPr>
          <w:rFonts w:ascii="Calibri" w:cs="Calibri" w:eastAsia="Calibri" w:hAnsi="Calibri"/>
          <w:sz w:val="14"/>
          <w:szCs w:val="14"/>
          <w:color w:val="auto"/>
        </w:rPr>
        <w:t>Educaton as a Foundaton provides school-aged children with a foundaton in data and analytcs skills, as well as extracurricular actvites such as art, music, ftness, and languages, all of which will enable them to positon themselves as future leaders. We use a blend of online and ofine learning platorms, and have expanded the role of our students’ parents as co-educators, and added a new focus in our content on the physical and mental wellbeing of our students and their families.</w:t>
      </w:r>
    </w:p>
    <w:p>
      <w:pPr>
        <w:spacing w:after="0" w:line="125" w:lineRule="exact"/>
        <w:rPr>
          <w:sz w:val="20"/>
          <w:szCs w:val="20"/>
          <w:color w:val="auto"/>
        </w:rPr>
      </w:pPr>
    </w:p>
    <w:p>
      <w:pPr>
        <w:ind w:right="660"/>
        <w:spacing w:after="0" w:line="236" w:lineRule="auto"/>
        <w:rPr>
          <w:sz w:val="20"/>
          <w:szCs w:val="20"/>
          <w:color w:val="auto"/>
        </w:rPr>
      </w:pPr>
      <w:r>
        <w:rPr>
          <w:rFonts w:ascii="Calibri" w:cs="Calibri" w:eastAsia="Calibri" w:hAnsi="Calibri"/>
          <w:sz w:val="14"/>
          <w:szCs w:val="14"/>
          <w:color w:val="auto"/>
        </w:rPr>
        <w:t>Like our Skills to Win Initatve, in 2022, we were able to contnue to scale this program, in part as a result of our use of a hybrid in-classroom and virtual format, to reach more than four tmes as many students than we had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40"/>
        <w:spacing w:after="0"/>
        <w:rPr>
          <w:sz w:val="20"/>
          <w:szCs w:val="20"/>
          <w:color w:val="auto"/>
        </w:rPr>
      </w:pPr>
      <w:r>
        <w:rPr>
          <w:rFonts w:ascii="Calibri" w:cs="Calibri" w:eastAsia="Calibri" w:hAnsi="Calibri"/>
          <w:sz w:val="14"/>
          <w:szCs w:val="14"/>
          <w:b w:val="1"/>
          <w:bCs w:val="1"/>
          <w:color w:val="auto"/>
        </w:rPr>
        <w:t>In 2022, we brought this program to more than 11,000 students</w:t>
      </w:r>
    </w:p>
    <w:p>
      <w:pPr>
        <w:spacing w:after="0" w:line="14" w:lineRule="exact"/>
        <w:rPr>
          <w:sz w:val="20"/>
          <w:szCs w:val="20"/>
          <w:color w:val="auto"/>
        </w:rPr>
      </w:pPr>
    </w:p>
    <w:p>
      <w:pPr>
        <w:jc w:val="center"/>
        <w:ind w:right="640"/>
        <w:spacing w:after="0"/>
        <w:rPr>
          <w:sz w:val="20"/>
          <w:szCs w:val="20"/>
          <w:color w:val="auto"/>
        </w:rPr>
      </w:pPr>
      <w:r>
        <w:rPr>
          <w:rFonts w:ascii="Calibri" w:cs="Calibri" w:eastAsia="Calibri" w:hAnsi="Calibri"/>
          <w:sz w:val="16"/>
          <w:szCs w:val="16"/>
          <w:b w:val="1"/>
          <w:bCs w:val="1"/>
          <w:color w:val="auto"/>
        </w:rPr>
        <w:t>worldwide.</w:t>
      </w:r>
    </w:p>
    <w:p>
      <w:pPr>
        <w:spacing w:after="0" w:line="200" w:lineRule="exact"/>
        <w:rPr>
          <w:sz w:val="20"/>
          <w:szCs w:val="20"/>
          <w:color w:val="auto"/>
        </w:rPr>
      </w:pPr>
    </w:p>
    <w:p>
      <w:pPr>
        <w:sectPr>
          <w:pgSz w:w="11900" w:h="16838" w:orient="portrait"/>
          <w:cols w:equalWidth="0" w:num="2">
            <w:col w:w="5460" w:space="720"/>
            <w:col w:w="4760"/>
          </w:cols>
          <w:pgMar w:left="320" w:top="471"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Our employees are an integral part of our community strategy, sharing their skills and experience working on advanced digital technologies through volunteering. We also support our employees’ charitable eforts by enabling payroll giving with company matching and recognizing social impact through individual, geography and business unit awards. Our use of virtual volunteering has made partcipaton in our community engagement programming even easier for our employees, and has enabled us to reach more people through our programming.</w:t>
      </w:r>
    </w:p>
    <w:p>
      <w:pPr>
        <w:spacing w:after="0" w:line="200" w:lineRule="exact"/>
        <w:rPr>
          <w:sz w:val="20"/>
          <w:szCs w:val="20"/>
          <w:color w:val="auto"/>
        </w:rPr>
      </w:pPr>
    </w:p>
    <w:p>
      <w:pPr>
        <w:spacing w:after="0" w:line="323"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We are also involved in fundraising initatves. In 2022, we hosted an employee fundraiser and also routed a porton of our community engagement funding toward supportng the humanitarian aid and relief eforts in Ukraine. In 2023, we hosted an employee fundraiser to provide meals to individuals afected by the February 2023 earthquake in Turkey and Syria.</w:t>
      </w:r>
    </w:p>
    <w:p>
      <w:pPr>
        <w:spacing w:after="0" w:line="200" w:lineRule="exact"/>
        <w:rPr>
          <w:sz w:val="20"/>
          <w:szCs w:val="20"/>
          <w:color w:val="auto"/>
        </w:rPr>
      </w:pPr>
    </w:p>
    <w:p>
      <w:pPr>
        <w:spacing w:after="0" w:line="325"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We regularly seek to increase engagement across our organizaton in our community initatves. We hold an annual awards ceremony to recognize our employee volunteers for their contributons. In early 2023, we hosted geography-specifc trainings for certain of our employees who we appointed to be our local “CSR champions.” Our CSR champions will assist us in driving interest and partcipaton across our employee base in our community engagement programming.</w:t>
      </w:r>
    </w:p>
    <w:p>
      <w:pPr>
        <w:spacing w:after="0" w:line="296"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2023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49</w:t>
            </w:r>
          </w:p>
        </w:tc>
      </w:tr>
    </w:tbl>
    <w:p>
      <w:pPr>
        <w:sectPr>
          <w:pgSz w:w="11900" w:h="16838" w:orient="portrait"/>
          <w:cols w:equalWidth="0" w:num="1">
            <w:col w:w="10940"/>
          </w:cols>
          <w:pgMar w:left="320" w:top="471" w:right="6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4959350</wp:posOffset>
            </wp:positionH>
            <wp:positionV relativeFrom="paragraph">
              <wp:posOffset>234315</wp:posOffset>
            </wp:positionV>
            <wp:extent cx="1982470" cy="3609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982470" cy="36099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Protectng our planet</w:t>
      </w:r>
    </w:p>
    <w:p>
      <w:pPr>
        <w:spacing w:after="0" w:line="244" w:lineRule="exact"/>
        <w:rPr>
          <w:sz w:val="20"/>
          <w:szCs w:val="20"/>
          <w:color w:val="auto"/>
        </w:rPr>
      </w:pPr>
    </w:p>
    <w:p>
      <w:pPr>
        <w:ind w:left="320" w:right="3119"/>
        <w:spacing w:after="0"/>
        <w:rPr>
          <w:sz w:val="20"/>
          <w:szCs w:val="20"/>
          <w:color w:val="auto"/>
        </w:rPr>
      </w:pPr>
      <w:r>
        <w:rPr>
          <w:rFonts w:ascii="Calibri" w:cs="Calibri" w:eastAsia="Calibri" w:hAnsi="Calibri"/>
          <w:sz w:val="17"/>
          <w:szCs w:val="17"/>
          <w:color w:val="auto"/>
        </w:rPr>
        <w:t>At EXL, we prioritze environmental stewardship and endeavor to minimize the environmental impact of our operatons. We focus on conserving energy, minimizing waste, reducing water and one-tme plastcs use and developing efcient infrastructure and operatons, all in order to reduce our environmental footprint across our global operatons.</w:t>
      </w:r>
    </w:p>
    <w:p>
      <w:pPr>
        <w:spacing w:after="0" w:line="120" w:lineRule="exact"/>
        <w:rPr>
          <w:sz w:val="20"/>
          <w:szCs w:val="20"/>
          <w:color w:val="auto"/>
        </w:rPr>
      </w:pPr>
    </w:p>
    <w:p>
      <w:pPr>
        <w:ind w:left="320" w:right="3159"/>
        <w:spacing w:after="0" w:line="239" w:lineRule="auto"/>
        <w:rPr>
          <w:sz w:val="20"/>
          <w:szCs w:val="20"/>
          <w:color w:val="auto"/>
        </w:rPr>
      </w:pPr>
      <w:r>
        <w:rPr>
          <w:rFonts w:ascii="Calibri" w:cs="Calibri" w:eastAsia="Calibri" w:hAnsi="Calibri"/>
          <w:sz w:val="17"/>
          <w:szCs w:val="17"/>
          <w:color w:val="auto"/>
        </w:rPr>
        <w:t>We provide informaton relatng to greenhouse gas emissions and climate impact in our Sustainability Report. We have partcipated in the CDP’s Climate Change disclosure program since 2018 and are working to reduce our emissions.</w:t>
      </w:r>
    </w:p>
    <w:p>
      <w:pPr>
        <w:spacing w:after="0" w:line="122" w:lineRule="exact"/>
        <w:rPr>
          <w:sz w:val="20"/>
          <w:szCs w:val="20"/>
          <w:color w:val="auto"/>
        </w:rPr>
      </w:pPr>
    </w:p>
    <w:p>
      <w:pPr>
        <w:ind w:left="320" w:right="2959"/>
        <w:spacing w:after="0"/>
        <w:rPr>
          <w:sz w:val="20"/>
          <w:szCs w:val="20"/>
          <w:color w:val="auto"/>
        </w:rPr>
      </w:pPr>
      <w:r>
        <w:rPr>
          <w:rFonts w:ascii="Calibri" w:cs="Calibri" w:eastAsia="Calibri" w:hAnsi="Calibri"/>
          <w:sz w:val="17"/>
          <w:szCs w:val="17"/>
          <w:color w:val="auto"/>
        </w:rPr>
        <w:t>Given that our energy consumpton is primarily from our ofce facilites, we have taken measures to improve energy efciency including, for example, an enterprise-level retroft program to transform existng delivery centers into highly efcient buildings with smart automaton, using technology such as modular power supplies to conserve energy and optmizing our use of real estate. We adopted a hybrid in-person and remote work operatng model, which will help us to reduce greenhouse gas emissions by decreasing commutng- related travel.</w:t>
      </w:r>
    </w:p>
    <w:p>
      <w:pPr>
        <w:spacing w:after="0" w:line="121" w:lineRule="exact"/>
        <w:rPr>
          <w:sz w:val="20"/>
          <w:szCs w:val="20"/>
          <w:color w:val="auto"/>
        </w:rPr>
      </w:pPr>
    </w:p>
    <w:p>
      <w:pPr>
        <w:ind w:left="320" w:right="3099"/>
        <w:spacing w:after="0"/>
        <w:rPr>
          <w:sz w:val="20"/>
          <w:szCs w:val="20"/>
          <w:color w:val="auto"/>
        </w:rPr>
      </w:pPr>
      <w:r>
        <w:rPr>
          <w:rFonts w:ascii="Calibri" w:cs="Calibri" w:eastAsia="Calibri" w:hAnsi="Calibri"/>
          <w:sz w:val="17"/>
          <w:szCs w:val="17"/>
          <w:color w:val="auto"/>
        </w:rPr>
        <w:t>For more informaton on eforts toward protectng our planet, please refer to our Sustainability Report, available on our website at www.exlservice.com/about/sustainability. We expect to report our 2022 progress toward these eforts in our 2022 Annual Sustainability Report to be published during 2023.</w:t>
      </w:r>
    </w:p>
    <w:p>
      <w:pPr>
        <w:spacing w:after="0" w:line="36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Human rights and sustainable supply chain</w:t>
      </w:r>
    </w:p>
    <w:p>
      <w:pPr>
        <w:spacing w:after="0" w:line="11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Human rights</w:t>
      </w:r>
    </w:p>
    <w:p>
      <w:pPr>
        <w:spacing w:after="0" w:line="245" w:lineRule="exact"/>
        <w:rPr>
          <w:sz w:val="20"/>
          <w:szCs w:val="20"/>
          <w:color w:val="auto"/>
        </w:rPr>
      </w:pPr>
    </w:p>
    <w:p>
      <w:pPr>
        <w:jc w:val="both"/>
        <w:ind w:left="320" w:right="2939"/>
        <w:spacing w:after="0" w:line="239" w:lineRule="auto"/>
        <w:rPr>
          <w:sz w:val="20"/>
          <w:szCs w:val="20"/>
          <w:color w:val="auto"/>
        </w:rPr>
      </w:pPr>
      <w:r>
        <w:rPr>
          <w:rFonts w:ascii="Calibri" w:cs="Calibri" w:eastAsia="Calibri" w:hAnsi="Calibri"/>
          <w:sz w:val="17"/>
          <w:szCs w:val="17"/>
          <w:color w:val="auto"/>
        </w:rPr>
        <w:t>Our Human Rights Policy details our commitment to human rights and our zero tolerance policy with respect to workplace harassment and discriminaton and preventng forced labor and trafcking and other abuses.</w:t>
      </w:r>
    </w:p>
    <w:p>
      <w:pPr>
        <w:spacing w:after="0" w:line="36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Sustainable supply chain</w:t>
      </w:r>
    </w:p>
    <w:p>
      <w:pPr>
        <w:spacing w:after="0" w:line="245" w:lineRule="exact"/>
        <w:rPr>
          <w:sz w:val="20"/>
          <w:szCs w:val="20"/>
          <w:color w:val="auto"/>
        </w:rPr>
      </w:pPr>
    </w:p>
    <w:p>
      <w:pPr>
        <w:ind w:left="320" w:right="3039"/>
        <w:spacing w:after="0"/>
        <w:rPr>
          <w:sz w:val="20"/>
          <w:szCs w:val="20"/>
          <w:color w:val="auto"/>
        </w:rPr>
      </w:pPr>
      <w:r>
        <w:rPr>
          <w:rFonts w:ascii="Calibri" w:cs="Calibri" w:eastAsia="Calibri" w:hAnsi="Calibri"/>
          <w:sz w:val="17"/>
          <w:szCs w:val="17"/>
          <w:color w:val="auto"/>
        </w:rPr>
        <w:t>In order to ensure that our suppliers’ business conduct aligns with our expectatons, we collect background informaton from our new suppliers on their policies and performance relatng to economic and environmental maters, and human rights, data privacy, product safety and working conditons. We require our suppliers to adhere to our Supplier Standards of Conduct, which set out commitments relatng to creatng</w:t>
      </w:r>
    </w:p>
    <w:p>
      <w:pPr>
        <w:spacing w:after="0" w:line="141"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50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139"/>
          </w:cols>
          <w:pgMar w:left="320" w:top="47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348"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a more sustainable and responsible world through addressing human rights, labor rights and environmental issues, and ask suppliers to atest to their compliance. We generally maintain the right to review our suppliers’ practces at onboarding and in the future.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procure our materials from local suppliers, to the extent feasible.</w:t>
      </w:r>
    </w:p>
    <w:p>
      <w:pPr>
        <w:spacing w:after="0" w:line="314"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Our supplier diversity programs encourage the engagement of suppliers of diverse backgrounds, including, without limitaton, suppliers owned by people belonging to minority groups, women, the LGBTQ+ community, and veterans, specially-abled people, and small business enterprises.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Supportng and developing our people</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people are our primary assets. The world we work and live in is full of diversity and powered by innovaton. We believe success in such a world will come through an environment that embraces diversity of thought and experience. In line with our core values, one of our principal priorites is promotng talent development, while creatng an inclusive work environment that permits us to leverage our employees’ diversity to deliver exceptonal results for our clients. We have an actve employee relatons functon, which is overseen by our Compensaton and Talent Management Commitee, that regularly communicates with and seeks to understand our employees in order to swifly respond to specifc needs and concerns as they arise. We regularly conduct employee surveys to monitor our employee satsfacton and engagement, as further described below and employ people analytcs in our talent management processes to optmize our delivery of our talent acquisiton and development strategy. On an annual basis, our Compensaton and Talent Management Commitee previews, and then our full board reviews, a comprehensive human capital strategic review prepared by management.</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Headquartered in New York, we are made up of over 45,400 professionals, with more than 50 ofces spanning six contnents.</w:t>
      </w:r>
    </w:p>
    <w:p>
      <w:pPr>
        <w:spacing w:after="0" w:line="293" w:lineRule="exact"/>
        <w:rPr>
          <w:sz w:val="20"/>
          <w:szCs w:val="20"/>
          <w:color w:val="auto"/>
        </w:rPr>
      </w:pPr>
    </w:p>
    <w:p>
      <w:pPr>
        <w:jc w:val="center"/>
        <w:ind w:right="-319"/>
        <w:spacing w:after="0"/>
        <w:rPr>
          <w:sz w:val="20"/>
          <w:szCs w:val="20"/>
          <w:color w:val="auto"/>
        </w:rPr>
      </w:pPr>
      <w:r>
        <w:rPr>
          <w:rFonts w:ascii="Calibri" w:cs="Calibri" w:eastAsia="Calibri" w:hAnsi="Calibri"/>
          <w:sz w:val="35"/>
          <w:szCs w:val="35"/>
          <w:b w:val="1"/>
          <w:bCs w:val="1"/>
          <w:color w:val="auto"/>
        </w:rPr>
        <w:t>EXL locatons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102235</wp:posOffset>
            </wp:positionV>
            <wp:extent cx="5774055" cy="25196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74055"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2023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51</w:t>
            </w:r>
          </w:p>
        </w:tc>
      </w:tr>
    </w:tbl>
    <w:p>
      <w:pPr>
        <w:sectPr>
          <w:pgSz w:w="11900" w:h="16838" w:orient="portrait"/>
          <w:cols w:equalWidth="0" w:num="1">
            <w:col w:w="10940"/>
          </w:cols>
          <w:pgMar w:left="320" w:top="471"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Diversity, equity and inclusion</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Diversity, equity and inclusion (“DEI”) is a focus at EXL, as we believe that our employees’ diversity of thought and experience are key to our ability to innovate on a global scale, in line with our long-term corporate strategy. Our DEI program is led by our human resources leadership team, together with our Diversity and Inclusion Council, and is ultmately overseen by our board. Our Diversity and Inclusion Council consists of a global, diverse mix of leaders, provides inputs to the design of our diversity, equity and inclusion program to bring in diverse perspectves, collaborates with external partners for customizaton inputs, conducts periodic reviews of the progress of our program and provides executon leadership for specifc initatves. The following are select DEI statstcs* as of December 31, 2022:</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549"/>
        </w:trPr>
        <w:tc>
          <w:tcPr>
            <w:tcW w:w="1620" w:type="dxa"/>
            <w:vAlign w:val="bottom"/>
          </w:tcPr>
          <w:p>
            <w:pPr>
              <w:jc w:val="center"/>
              <w:ind w:right="413"/>
              <w:spacing w:after="0"/>
              <w:rPr>
                <w:sz w:val="20"/>
                <w:szCs w:val="20"/>
                <w:color w:val="auto"/>
              </w:rPr>
            </w:pPr>
            <w:r>
              <w:rPr>
                <w:rFonts w:ascii="Calibri" w:cs="Calibri" w:eastAsia="Calibri" w:hAnsi="Calibri"/>
                <w:sz w:val="45"/>
                <w:szCs w:val="45"/>
                <w:b w:val="1"/>
                <w:bCs w:val="1"/>
                <w:color w:val="auto"/>
              </w:rPr>
              <w:t>41%</w:t>
            </w:r>
          </w:p>
        </w:tc>
        <w:tc>
          <w:tcPr>
            <w:tcW w:w="2200" w:type="dxa"/>
            <w:vAlign w:val="bottom"/>
          </w:tcPr>
          <w:p>
            <w:pPr>
              <w:jc w:val="center"/>
              <w:ind w:left="25"/>
              <w:spacing w:after="0"/>
              <w:rPr>
                <w:sz w:val="20"/>
                <w:szCs w:val="20"/>
                <w:color w:val="auto"/>
              </w:rPr>
            </w:pPr>
            <w:r>
              <w:rPr>
                <w:rFonts w:ascii="Calibri" w:cs="Calibri" w:eastAsia="Calibri" w:hAnsi="Calibri"/>
                <w:sz w:val="45"/>
                <w:szCs w:val="45"/>
                <w:b w:val="1"/>
                <w:bCs w:val="1"/>
                <w:color w:val="auto"/>
                <w:w w:val="99"/>
              </w:rPr>
              <w:t>20%</w:t>
            </w:r>
          </w:p>
        </w:tc>
        <w:tc>
          <w:tcPr>
            <w:tcW w:w="2200" w:type="dxa"/>
            <w:vAlign w:val="bottom"/>
          </w:tcPr>
          <w:p>
            <w:pPr>
              <w:jc w:val="center"/>
              <w:spacing w:after="0"/>
              <w:rPr>
                <w:sz w:val="20"/>
                <w:szCs w:val="20"/>
                <w:color w:val="auto"/>
              </w:rPr>
            </w:pPr>
            <w:r>
              <w:rPr>
                <w:rFonts w:ascii="Calibri" w:cs="Calibri" w:eastAsia="Calibri" w:hAnsi="Calibri"/>
                <w:sz w:val="45"/>
                <w:szCs w:val="45"/>
                <w:b w:val="1"/>
                <w:bCs w:val="1"/>
                <w:color w:val="auto"/>
                <w:w w:val="99"/>
              </w:rPr>
              <w:t>22%</w:t>
            </w:r>
          </w:p>
        </w:tc>
        <w:tc>
          <w:tcPr>
            <w:tcW w:w="1960" w:type="dxa"/>
            <w:vAlign w:val="bottom"/>
          </w:tcPr>
          <w:p>
            <w:pPr>
              <w:jc w:val="center"/>
              <w:spacing w:after="0"/>
              <w:rPr>
                <w:sz w:val="20"/>
                <w:szCs w:val="20"/>
                <w:color w:val="auto"/>
              </w:rPr>
            </w:pPr>
            <w:r>
              <w:rPr>
                <w:rFonts w:ascii="Calibri" w:cs="Calibri" w:eastAsia="Calibri" w:hAnsi="Calibri"/>
                <w:sz w:val="45"/>
                <w:szCs w:val="45"/>
                <w:b w:val="1"/>
                <w:bCs w:val="1"/>
                <w:color w:val="auto"/>
              </w:rPr>
              <w:t>51%</w:t>
            </w:r>
          </w:p>
        </w:tc>
        <w:tc>
          <w:tcPr>
            <w:tcW w:w="1680" w:type="dxa"/>
            <w:vAlign w:val="bottom"/>
          </w:tcPr>
          <w:p>
            <w:pPr>
              <w:jc w:val="center"/>
              <w:ind w:left="265"/>
              <w:spacing w:after="0"/>
              <w:rPr>
                <w:sz w:val="20"/>
                <w:szCs w:val="20"/>
                <w:color w:val="auto"/>
              </w:rPr>
            </w:pPr>
            <w:r>
              <w:rPr>
                <w:rFonts w:ascii="Calibri" w:cs="Calibri" w:eastAsia="Calibri" w:hAnsi="Calibri"/>
                <w:sz w:val="45"/>
                <w:szCs w:val="45"/>
                <w:b w:val="1"/>
                <w:bCs w:val="1"/>
                <w:color w:val="auto"/>
                <w:w w:val="99"/>
              </w:rPr>
              <w:t>61%</w:t>
            </w:r>
          </w:p>
        </w:tc>
      </w:tr>
      <w:tr>
        <w:trPr>
          <w:trHeight w:val="329"/>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6"/>
              </w:rPr>
              <w:t>Gender Diversity</w:t>
            </w: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6"/>
              </w:rPr>
              <w:t>Gender Diversity</w:t>
            </w:r>
          </w:p>
        </w:tc>
        <w:tc>
          <w:tcPr>
            <w:tcW w:w="220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Gender Diversity</w:t>
            </w: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Racial and Ethnic</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6"/>
              </w:rPr>
              <w:t>Racial and</w:t>
            </w:r>
          </w:p>
        </w:tc>
      </w:tr>
      <w:tr>
        <w:trPr>
          <w:trHeight w:val="195"/>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5"/>
              </w:rPr>
              <w:t>Company-wide</w:t>
            </w: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7"/>
              </w:rPr>
              <w:t>Company-wide Vice</w:t>
            </w:r>
          </w:p>
        </w:tc>
        <w:tc>
          <w:tcPr>
            <w:tcW w:w="22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Senior Management</w:t>
            </w: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Diversity</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8"/>
              </w:rPr>
              <w:t>Ethnic Diversity</w:t>
            </w:r>
          </w:p>
        </w:tc>
      </w:tr>
      <w:tr>
        <w:trPr>
          <w:trHeight w:val="195"/>
        </w:trPr>
        <w:tc>
          <w:tcPr>
            <w:tcW w:w="1620" w:type="dxa"/>
            <w:vAlign w:val="bottom"/>
          </w:tcPr>
          <w:p>
            <w:pPr>
              <w:spacing w:after="0"/>
              <w:rPr>
                <w:sz w:val="16"/>
                <w:szCs w:val="16"/>
                <w:color w:val="auto"/>
              </w:rPr>
            </w:pPr>
          </w:p>
        </w:tc>
        <w:tc>
          <w:tcPr>
            <w:tcW w:w="2200" w:type="dxa"/>
            <w:vAlign w:val="bottom"/>
          </w:tcPr>
          <w:p>
            <w:pPr>
              <w:jc w:val="center"/>
              <w:ind w:left="5"/>
              <w:spacing w:after="0"/>
              <w:rPr>
                <w:sz w:val="20"/>
                <w:szCs w:val="20"/>
                <w:color w:val="auto"/>
              </w:rPr>
            </w:pPr>
            <w:r>
              <w:rPr>
                <w:rFonts w:ascii="Calibri" w:cs="Calibri" w:eastAsia="Calibri" w:hAnsi="Calibri"/>
                <w:sz w:val="16"/>
                <w:szCs w:val="16"/>
                <w:b w:val="1"/>
                <w:bCs w:val="1"/>
                <w:color w:val="auto"/>
                <w:w w:val="97"/>
              </w:rPr>
              <w:t>President and Up</w:t>
            </w:r>
          </w:p>
        </w:tc>
        <w:tc>
          <w:tcPr>
            <w:tcW w:w="22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U.S. Employees</w:t>
            </w:r>
          </w:p>
        </w:tc>
        <w:tc>
          <w:tcPr>
            <w:tcW w:w="1680" w:type="dxa"/>
            <w:vAlign w:val="bottom"/>
          </w:tcPr>
          <w:p>
            <w:pPr>
              <w:jc w:val="center"/>
              <w:ind w:left="265"/>
              <w:spacing w:after="0"/>
              <w:rPr>
                <w:sz w:val="20"/>
                <w:szCs w:val="20"/>
                <w:color w:val="auto"/>
              </w:rPr>
            </w:pPr>
            <w:r>
              <w:rPr>
                <w:rFonts w:ascii="Calibri" w:cs="Calibri" w:eastAsia="Calibri" w:hAnsi="Calibri"/>
                <w:sz w:val="16"/>
                <w:szCs w:val="16"/>
                <w:b w:val="1"/>
                <w:bCs w:val="1"/>
                <w:color w:val="auto"/>
                <w:w w:val="96"/>
              </w:rPr>
              <w:t>Senior Management</w:t>
            </w:r>
          </w:p>
        </w:tc>
      </w:tr>
    </w:tbl>
    <w:p>
      <w:pPr>
        <w:spacing w:after="0" w:line="214"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*Senior Management includes members of our Executve Commitee and Operatng Commitee. U.S. Employees includes diversity data as self-reported by employees.</w:t>
      </w:r>
    </w:p>
    <w:p>
      <w:pPr>
        <w:spacing w:after="0" w:line="211" w:lineRule="exact"/>
        <w:rPr>
          <w:sz w:val="20"/>
          <w:szCs w:val="20"/>
          <w:color w:val="auto"/>
        </w:rPr>
      </w:pPr>
    </w:p>
    <w:p>
      <w:pPr>
        <w:ind w:left="320" w:right="580"/>
        <w:spacing w:after="0" w:line="239" w:lineRule="auto"/>
        <w:rPr>
          <w:sz w:val="20"/>
          <w:szCs w:val="20"/>
          <w:color w:val="auto"/>
        </w:rPr>
      </w:pPr>
      <w:r>
        <w:rPr>
          <w:rFonts w:ascii="Calibri" w:cs="Calibri" w:eastAsia="Calibri" w:hAnsi="Calibri"/>
          <w:sz w:val="17"/>
          <w:szCs w:val="17"/>
          <w:color w:val="auto"/>
        </w:rPr>
        <w:t>Our DEI program is designed around three pillars: capability development, communicaton and recruitment. Key features of our DEI program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163830</wp:posOffset>
            </wp:positionV>
            <wp:extent cx="6344285" cy="3714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44285" cy="37147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80"/>
        <w:spacing w:after="0"/>
        <w:rPr>
          <w:sz w:val="20"/>
          <w:szCs w:val="20"/>
          <w:color w:val="auto"/>
        </w:rPr>
      </w:pPr>
      <w:r>
        <w:rPr>
          <w:rFonts w:ascii="Calibri" w:cs="Calibri" w:eastAsia="Calibri" w:hAnsi="Calibri"/>
          <w:sz w:val="16"/>
          <w:szCs w:val="16"/>
          <w:color w:val="auto"/>
        </w:rPr>
        <w:t>We seek to improve diversity and inclusion through ofering a blend of in-person workshops, virtual sessions, and e-learning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207010</wp:posOffset>
            </wp:positionV>
            <wp:extent cx="6344285" cy="801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44285" cy="80137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-114300</wp:posOffset>
            </wp:positionV>
            <wp:extent cx="247650" cy="156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80" w:right="200"/>
        <w:spacing w:after="0" w:line="233" w:lineRule="auto"/>
        <w:rPr>
          <w:sz w:val="20"/>
          <w:szCs w:val="20"/>
          <w:color w:val="auto"/>
        </w:rPr>
      </w:pPr>
      <w:r>
        <w:rPr>
          <w:rFonts w:ascii="Calibri" w:cs="Calibri" w:eastAsia="Calibri" w:hAnsi="Calibri"/>
          <w:sz w:val="16"/>
          <w:szCs w:val="16"/>
          <w:color w:val="auto"/>
        </w:rPr>
        <w:t>We are commited to hiring a diverse workforce and to improving diversity in our senior leadership, and include diversity equity, and inclusion among the guiding principles in our talent acquisiton, training and retenton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247650" cy="156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60" w:lineRule="exact"/>
        <w:rPr>
          <w:sz w:val="20"/>
          <w:szCs w:val="20"/>
          <w:color w:val="auto"/>
        </w:rPr>
      </w:pPr>
    </w:p>
    <w:p>
      <w:pPr>
        <w:ind w:left="1080" w:right="180"/>
        <w:spacing w:after="0" w:line="233" w:lineRule="auto"/>
        <w:rPr>
          <w:sz w:val="20"/>
          <w:szCs w:val="20"/>
          <w:color w:val="auto"/>
        </w:rPr>
      </w:pPr>
      <w:r>
        <w:rPr>
          <w:rFonts w:ascii="Calibri" w:cs="Calibri" w:eastAsia="Calibri" w:hAnsi="Calibri"/>
          <w:sz w:val="16"/>
          <w:szCs w:val="16"/>
          <w:color w:val="auto"/>
        </w:rPr>
        <w:t>We expect to drive greater diversity within our workforce through a combinaton of promoton within our organizaton and external hiring, accountng for any atriton of existng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182880</wp:posOffset>
            </wp:positionV>
            <wp:extent cx="6344285" cy="5949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44285" cy="5949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80" w:right="80"/>
        <w:spacing w:after="0" w:line="235" w:lineRule="auto"/>
        <w:rPr>
          <w:sz w:val="20"/>
          <w:szCs w:val="20"/>
          <w:color w:val="auto"/>
        </w:rPr>
      </w:pPr>
      <w:r>
        <w:rPr>
          <w:rFonts w:ascii="Calibri" w:cs="Calibri" w:eastAsia="Calibri" w:hAnsi="Calibri"/>
          <w:sz w:val="16"/>
          <w:szCs w:val="16"/>
          <w:color w:val="auto"/>
        </w:rPr>
        <w:t>Pay equity is an important tenet of our long-term strategy. We completed a pay equity study in 2021 through a third-party consultant to review pay variatons among our employees, and identfy whether any gaps exist that are atributable to factors that are contrary to our mission of Company-wide pay equity, including gender or racial/ethnic group. Our assessments did not reveal any systematc pay inequity.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282575</wp:posOffset>
            </wp:positionV>
            <wp:extent cx="6344285" cy="1553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44285" cy="15532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-336550</wp:posOffset>
            </wp:positionV>
            <wp:extent cx="247650" cy="156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080" w:right="420"/>
        <w:spacing w:after="0" w:line="233" w:lineRule="auto"/>
        <w:rPr>
          <w:sz w:val="20"/>
          <w:szCs w:val="20"/>
          <w:color w:val="auto"/>
        </w:rPr>
      </w:pPr>
      <w:r>
        <w:rPr>
          <w:rFonts w:ascii="Calibri" w:cs="Calibri" w:eastAsia="Calibri" w:hAnsi="Calibri"/>
          <w:sz w:val="16"/>
          <w:szCs w:val="16"/>
          <w:color w:val="auto"/>
        </w:rPr>
        <w:t>We have several Company-wide initatves aimed at promotng diversity, equity and inclusion and leadership opportunites for our diverse employees, including several initatves that are focused specifcally on supportng and developing women at EXL: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-196215</wp:posOffset>
            </wp:positionV>
            <wp:extent cx="247650" cy="156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50"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Calibri" w:cs="Calibri" w:eastAsia="Calibri" w:hAnsi="Calibri"/>
                <w:sz w:val="14"/>
                <w:szCs w:val="14"/>
                <w:color w:val="auto"/>
                <w:w w:val="76"/>
              </w:rPr>
              <w:t>• </w:t>
            </w:r>
          </w:p>
        </w:tc>
        <w:tc>
          <w:tcPr>
            <w:tcW w:w="9380" w:type="dxa"/>
            <w:vAlign w:val="bottom"/>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Managing Unconscious Bias training,</w:t>
            </w:r>
            <w:r>
              <w:rPr>
                <w:rFonts w:ascii="Calibri" w:cs="Calibri" w:eastAsia="Calibri" w:hAnsi="Calibri"/>
                <w:sz w:val="16"/>
                <w:szCs w:val="16"/>
                <w:color w:val="auto"/>
                <w:w w:val="97"/>
              </w:rPr>
              <w:t xml:space="preserve"> Company-wide employee training to bring awareness to and address unconscious bias in the workplace to</w:t>
            </w:r>
          </w:p>
        </w:tc>
      </w:tr>
      <w:tr>
        <w:trPr>
          <w:trHeight w:val="195"/>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80" w:type="dxa"/>
            <w:vAlign w:val="bottom"/>
          </w:tcPr>
          <w:p>
            <w:pPr>
              <w:ind w:left="140"/>
              <w:spacing w:after="0"/>
              <w:rPr>
                <w:sz w:val="20"/>
                <w:szCs w:val="20"/>
                <w:color w:val="auto"/>
              </w:rPr>
            </w:pPr>
            <w:r>
              <w:rPr>
                <w:rFonts w:ascii="Calibri" w:cs="Calibri" w:eastAsia="Calibri" w:hAnsi="Calibri"/>
                <w:sz w:val="16"/>
                <w:szCs w:val="16"/>
                <w:color w:val="auto"/>
              </w:rPr>
              <w:t xml:space="preserve">create a more inclusive workplace; mandatory </w:t>
            </w:r>
            <w:r>
              <w:rPr>
                <w:rFonts w:ascii="Calibri" w:cs="Calibri" w:eastAsia="Calibri" w:hAnsi="Calibri"/>
                <w:sz w:val="16"/>
                <w:szCs w:val="16"/>
                <w:b w:val="1"/>
                <w:bCs w:val="1"/>
                <w:color w:val="auto"/>
              </w:rPr>
              <w:t>Ant-Harassment trainings for employees</w:t>
            </w:r>
            <w:r>
              <w:rPr>
                <w:rFonts w:ascii="Calibri" w:cs="Calibri" w:eastAsia="Calibri" w:hAnsi="Calibri"/>
                <w:sz w:val="16"/>
                <w:szCs w:val="16"/>
                <w:color w:val="auto"/>
              </w:rPr>
              <w:t xml:space="preserve"> in India and the United States</w:t>
            </w:r>
          </w:p>
        </w:tc>
      </w:tr>
      <w:tr>
        <w:trPr>
          <w:trHeight w:val="299"/>
        </w:trPr>
        <w:tc>
          <w:tcPr>
            <w:tcW w:w="3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Calibri" w:cs="Calibri" w:eastAsia="Calibri" w:hAnsi="Calibri"/>
                <w:sz w:val="14"/>
                <w:szCs w:val="14"/>
                <w:color w:val="auto"/>
                <w:w w:val="76"/>
              </w:rPr>
              <w:t>• </w:t>
            </w:r>
          </w:p>
        </w:tc>
        <w:tc>
          <w:tcPr>
            <w:tcW w:w="9380" w:type="dxa"/>
            <w:vAlign w:val="bottom"/>
          </w:tcPr>
          <w:p>
            <w:pPr>
              <w:ind w:left="60"/>
              <w:spacing w:after="0"/>
              <w:rPr>
                <w:sz w:val="20"/>
                <w:szCs w:val="20"/>
                <w:color w:val="auto"/>
              </w:rPr>
            </w:pP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Executve Women VP Development Program,</w:t>
            </w:r>
            <w:r>
              <w:rPr>
                <w:rFonts w:ascii="Calibri" w:cs="Calibri" w:eastAsia="Calibri" w:hAnsi="Calibri"/>
                <w:sz w:val="16"/>
                <w:szCs w:val="16"/>
                <w:color w:val="auto"/>
              </w:rPr>
              <w:t xml:space="preserve"> a nine-month leadership development program ofered to all of our women vice presidents in</w:t>
            </w:r>
          </w:p>
        </w:tc>
      </w:tr>
      <w:tr>
        <w:trPr>
          <w:trHeight w:val="195"/>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80" w:type="dxa"/>
            <w:vAlign w:val="bottom"/>
          </w:tcPr>
          <w:p>
            <w:pPr>
              <w:ind w:left="140"/>
              <w:spacing w:after="0"/>
              <w:rPr>
                <w:sz w:val="20"/>
                <w:szCs w:val="20"/>
                <w:color w:val="auto"/>
              </w:rPr>
            </w:pPr>
            <w:r>
              <w:rPr>
                <w:rFonts w:ascii="Calibri" w:cs="Calibri" w:eastAsia="Calibri" w:hAnsi="Calibri"/>
                <w:sz w:val="16"/>
                <w:szCs w:val="16"/>
                <w:color w:val="auto"/>
              </w:rPr>
              <w:t>2022 that includes virtual courses and workshops on executve leadership ofered through Cornell University’s eCornell platorm, coaching and</w:t>
            </w:r>
          </w:p>
        </w:tc>
      </w:tr>
      <w:tr>
        <w:trPr>
          <w:trHeight w:val="195"/>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80" w:type="dxa"/>
            <w:vAlign w:val="bottom"/>
          </w:tcPr>
          <w:p>
            <w:pPr>
              <w:ind w:left="140"/>
              <w:spacing w:after="0"/>
              <w:rPr>
                <w:sz w:val="20"/>
                <w:szCs w:val="20"/>
                <w:color w:val="auto"/>
              </w:rPr>
            </w:pPr>
            <w:r>
              <w:rPr>
                <w:rFonts w:ascii="Calibri" w:cs="Calibri" w:eastAsia="Calibri" w:hAnsi="Calibri"/>
                <w:sz w:val="16"/>
                <w:szCs w:val="16"/>
                <w:color w:val="auto"/>
              </w:rPr>
              <w:t>mentoring for strategic leadership capability development and leadership conversatons between partcipants and our executve and operatng</w:t>
            </w:r>
          </w:p>
        </w:tc>
      </w:tr>
      <w:tr>
        <w:trPr>
          <w:trHeight w:val="195"/>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80" w:type="dxa"/>
            <w:vAlign w:val="bottom"/>
          </w:tcPr>
          <w:p>
            <w:pPr>
              <w:ind w:left="140"/>
              <w:spacing w:after="0"/>
              <w:rPr>
                <w:sz w:val="20"/>
                <w:szCs w:val="20"/>
                <w:color w:val="auto"/>
              </w:rPr>
            </w:pPr>
            <w:r>
              <w:rPr>
                <w:rFonts w:ascii="Calibri" w:cs="Calibri" w:eastAsia="Calibri" w:hAnsi="Calibri"/>
                <w:sz w:val="16"/>
                <w:szCs w:val="16"/>
                <w:color w:val="auto"/>
              </w:rPr>
              <w:t>commitee members on DEI issues</w:t>
            </w:r>
          </w:p>
        </w:tc>
      </w:tr>
      <w:tr>
        <w:trPr>
          <w:trHeight w:val="299"/>
        </w:trPr>
        <w:tc>
          <w:tcPr>
            <w:tcW w:w="3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Calibri" w:cs="Calibri" w:eastAsia="Calibri" w:hAnsi="Calibri"/>
                <w:sz w:val="14"/>
                <w:szCs w:val="14"/>
                <w:color w:val="auto"/>
                <w:w w:val="76"/>
              </w:rPr>
              <w:t>• </w:t>
            </w:r>
          </w:p>
        </w:tc>
        <w:tc>
          <w:tcPr>
            <w:tcW w:w="9380" w:type="dxa"/>
            <w:vAlign w:val="bottom"/>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Employee Resource Groups,</w:t>
            </w:r>
            <w:r>
              <w:rPr>
                <w:rFonts w:ascii="Calibri" w:cs="Calibri" w:eastAsia="Calibri" w:hAnsi="Calibri"/>
                <w:sz w:val="16"/>
                <w:szCs w:val="16"/>
                <w:color w:val="auto"/>
                <w:w w:val="97"/>
              </w:rPr>
              <w:t xml:space="preserve"> focus groups of select employee communites aimed at supportng diverse groups and interests within the Company</w:t>
            </w:r>
          </w:p>
        </w:tc>
      </w:tr>
      <w:tr>
        <w:trPr>
          <w:trHeight w:val="157"/>
        </w:trPr>
        <w:tc>
          <w:tcPr>
            <w:tcW w:w="300" w:type="dxa"/>
            <w:vAlign w:val="bottom"/>
            <w:tcBorders>
              <w:bottom w:val="single" w:sz="8" w:color="B2B2B2"/>
            </w:tcBorders>
          </w:tcPr>
          <w:p>
            <w:pPr>
              <w:spacing w:after="0"/>
              <w:rPr>
                <w:sz w:val="13"/>
                <w:szCs w:val="13"/>
                <w:color w:val="auto"/>
              </w:rPr>
            </w:pPr>
          </w:p>
        </w:tc>
        <w:tc>
          <w:tcPr>
            <w:tcW w:w="300" w:type="dxa"/>
            <w:vAlign w:val="bottom"/>
            <w:tcBorders>
              <w:bottom w:val="single" w:sz="8" w:color="B2B2B2"/>
            </w:tcBorders>
          </w:tcPr>
          <w:p>
            <w:pPr>
              <w:spacing w:after="0"/>
              <w:rPr>
                <w:sz w:val="13"/>
                <w:szCs w:val="13"/>
                <w:color w:val="auto"/>
              </w:rPr>
            </w:pPr>
          </w:p>
        </w:tc>
        <w:tc>
          <w:tcPr>
            <w:tcW w:w="9380" w:type="dxa"/>
            <w:vAlign w:val="bottom"/>
            <w:tcBorders>
              <w:bottom w:val="single" w:sz="8" w:color="B2B2B2"/>
            </w:tcBorders>
          </w:tcPr>
          <w:p>
            <w:pPr>
              <w:spacing w:after="0"/>
              <w:rPr>
                <w:sz w:val="13"/>
                <w:szCs w:val="13"/>
                <w:color w:val="auto"/>
              </w:rPr>
            </w:pPr>
          </w:p>
        </w:tc>
      </w:tr>
      <w:tr>
        <w:trPr>
          <w:trHeight w:val="438"/>
        </w:trPr>
        <w:tc>
          <w:tcPr>
            <w:tcW w:w="300" w:type="dxa"/>
            <w:vAlign w:val="bottom"/>
          </w:tcPr>
          <w:p>
            <w:pPr>
              <w:jc w:val="right"/>
              <w:ind w:right="53"/>
              <w:spacing w:after="0"/>
              <w:rPr>
                <w:sz w:val="20"/>
                <w:szCs w:val="20"/>
                <w:color w:val="auto"/>
              </w:rPr>
            </w:pPr>
            <w:r>
              <w:rPr>
                <w:rFonts w:ascii="Calibri" w:cs="Calibri" w:eastAsia="Calibri" w:hAnsi="Calibri"/>
                <w:sz w:val="17"/>
                <w:szCs w:val="17"/>
                <w:b w:val="1"/>
                <w:bCs w:val="1"/>
                <w:color w:val="auto"/>
                <w:w w:val="80"/>
              </w:rPr>
              <w:t>52</w:t>
            </w:r>
          </w:p>
        </w:tc>
        <w:tc>
          <w:tcPr>
            <w:tcW w:w="300" w:type="dxa"/>
            <w:vAlign w:val="bottom"/>
          </w:tcPr>
          <w:p>
            <w:pPr>
              <w:ind w:left="120"/>
              <w:spacing w:after="0"/>
              <w:rPr>
                <w:sz w:val="20"/>
                <w:szCs w:val="20"/>
                <w:color w:val="auto"/>
              </w:rPr>
            </w:pPr>
            <w:r>
              <w:rPr>
                <w:rFonts w:ascii="Calibri" w:cs="Calibri" w:eastAsia="Calibri" w:hAnsi="Calibri"/>
                <w:sz w:val="28"/>
                <w:szCs w:val="28"/>
                <w:b w:val="1"/>
                <w:bCs w:val="1"/>
                <w:color w:val="FB4E0B"/>
              </w:rPr>
              <w:t>/</w:t>
            </w:r>
          </w:p>
        </w:tc>
        <w:tc>
          <w:tcPr>
            <w:tcW w:w="9380" w:type="dxa"/>
            <w:vAlign w:val="bottom"/>
          </w:tcPr>
          <w:p>
            <w:pPr>
              <w:ind w:left="180"/>
              <w:spacing w:after="0"/>
              <w:rPr>
                <w:sz w:val="20"/>
                <w:szCs w:val="20"/>
                <w:color w:val="auto"/>
              </w:rPr>
            </w:pPr>
            <w:r>
              <w:rPr>
                <w:rFonts w:ascii="Calibri" w:cs="Calibri" w:eastAsia="Calibri" w:hAnsi="Calibri"/>
                <w:sz w:val="13"/>
                <w:szCs w:val="13"/>
                <w:color w:val="auto"/>
              </w:rPr>
              <w:t>EXL 2023 Proxy Statement</w:t>
            </w:r>
          </w:p>
        </w:tc>
      </w:tr>
    </w:tbl>
    <w:p>
      <w:pPr>
        <w:sectPr>
          <w:pgSz w:w="11900" w:h="16838" w:orient="portrait"/>
          <w:cols w:equalWidth="0" w:num="1">
            <w:col w:w="10940"/>
          </w:cols>
          <w:pgMar w:left="320" w:top="471"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97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9400" w:type="dxa"/>
            <w:vAlign w:val="bottom"/>
          </w:tcPr>
          <w:p>
            <w:pPr>
              <w:ind w:left="8600"/>
              <w:spacing w:after="0"/>
              <w:rPr>
                <w:sz w:val="20"/>
                <w:szCs w:val="20"/>
                <w:color w:val="auto"/>
              </w:rPr>
            </w:pPr>
            <w:r>
              <w:rPr>
                <w:rFonts w:ascii="Calibri" w:cs="Calibri" w:eastAsia="Calibri" w:hAnsi="Calibri"/>
                <w:sz w:val="14"/>
                <w:szCs w:val="14"/>
                <w:b w:val="1"/>
                <w:bCs w:val="1"/>
                <w:color w:val="D8D8D8"/>
                <w:w w:val="96"/>
              </w:rPr>
              <w:t>Sustainability</w:t>
            </w:r>
          </w:p>
        </w:tc>
      </w:tr>
      <w:tr>
        <w:trPr>
          <w:trHeight w:val="369"/>
        </w:trPr>
        <w:tc>
          <w:tcPr>
            <w:tcW w:w="600" w:type="dxa"/>
            <w:vAlign w:val="bottom"/>
            <w:tcBorders>
              <w:bottom w:val="single" w:sz="8" w:color="D8D8D8"/>
            </w:tcBorders>
          </w:tcPr>
          <w:p>
            <w:pPr>
              <w:spacing w:after="0"/>
              <w:rPr>
                <w:sz w:val="24"/>
                <w:szCs w:val="24"/>
                <w:color w:val="auto"/>
              </w:rPr>
            </w:pPr>
          </w:p>
        </w:tc>
        <w:tc>
          <w:tcPr>
            <w:tcW w:w="9400" w:type="dxa"/>
            <w:vAlign w:val="bottom"/>
            <w:tcBorders>
              <w:bottom w:val="single" w:sz="8" w:color="D8D8D8"/>
            </w:tcBorders>
          </w:tcPr>
          <w:p>
            <w:pPr>
              <w:spacing w:after="0"/>
              <w:rPr>
                <w:sz w:val="24"/>
                <w:szCs w:val="24"/>
                <w:color w:val="auto"/>
              </w:rPr>
            </w:pPr>
          </w:p>
        </w:tc>
      </w:tr>
      <w:tr>
        <w:trPr>
          <w:trHeight w:val="252"/>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Diversity and Inclusion Springboard – Make your Mark,</w:t>
            </w:r>
            <w:r>
              <w:rPr>
                <w:rFonts w:ascii="Calibri" w:cs="Calibri" w:eastAsia="Calibri" w:hAnsi="Calibri"/>
                <w:sz w:val="16"/>
                <w:szCs w:val="16"/>
                <w:color w:val="auto"/>
                <w:w w:val="97"/>
              </w:rPr>
              <w:t xml:space="preserve"> a six-month certfcaton program for women at the mid- to senior-level for personal and</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professional advancement that is ofered annually</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“Super Mom,”</w:t>
            </w:r>
            <w:r>
              <w:rPr>
                <w:rFonts w:ascii="Calibri" w:cs="Calibri" w:eastAsia="Calibri" w:hAnsi="Calibri"/>
                <w:sz w:val="16"/>
                <w:szCs w:val="16"/>
                <w:color w:val="auto"/>
              </w:rPr>
              <w:t xml:space="preserve"> a program to improve retenton and engagement of new mothers through employee-friendly parental leave policies, fexible /</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reduced working hours for pre- and post-maternity, reorientaton afer long leave, extended leave, nursing statons and employee care, among</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others</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w w:val="99"/>
              </w:rPr>
              <w:t xml:space="preserve">   </w:t>
            </w:r>
            <w:r>
              <w:rPr>
                <w:rFonts w:ascii="Calibri" w:cs="Calibri" w:eastAsia="Calibri" w:hAnsi="Calibri"/>
                <w:sz w:val="16"/>
                <w:szCs w:val="16"/>
                <w:b w:val="1"/>
                <w:bCs w:val="1"/>
                <w:color w:val="auto"/>
                <w:w w:val="99"/>
              </w:rPr>
              <w:t>WE (Women at EXL),</w:t>
            </w:r>
            <w:r>
              <w:rPr>
                <w:rFonts w:ascii="Calibri" w:cs="Calibri" w:eastAsia="Calibri" w:hAnsi="Calibri"/>
                <w:sz w:val="16"/>
                <w:szCs w:val="16"/>
                <w:color w:val="auto"/>
                <w:w w:val="99"/>
              </w:rPr>
              <w:t xml:space="preserve"> a platorm with initatves such as Employee Resource Groups, a mentoring program (WE NURTURE), inner circles, women</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back to work, web chat series and face-to-face talks</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rPr>
              <w:t xml:space="preserve">   In 2022, we launched </w:t>
            </w:r>
            <w:r>
              <w:rPr>
                <w:rFonts w:ascii="Calibri" w:cs="Calibri" w:eastAsia="Calibri" w:hAnsi="Calibri"/>
                <w:sz w:val="16"/>
                <w:szCs w:val="16"/>
                <w:b w:val="1"/>
                <w:bCs w:val="1"/>
                <w:color w:val="auto"/>
              </w:rPr>
              <w:t>The Umbrella Project</w:t>
            </w:r>
            <w:r>
              <w:rPr>
                <w:rFonts w:ascii="Calibri" w:cs="Calibri" w:eastAsia="Calibri" w:hAnsi="Calibri"/>
                <w:sz w:val="16"/>
                <w:szCs w:val="16"/>
                <w:color w:val="auto"/>
              </w:rPr>
              <w:t>, a celebraton of inclusion alongside our LGBTQ+ colleagues, communites and allies worldwide</w:t>
            </w:r>
          </w:p>
        </w:tc>
      </w:tr>
      <w:tr>
        <w:trPr>
          <w:trHeight w:val="27"/>
        </w:trPr>
        <w:tc>
          <w:tcPr>
            <w:tcW w:w="600" w:type="dxa"/>
            <w:vAlign w:val="bottom"/>
            <w:tcBorders>
              <w:left w:val="single" w:sz="8" w:color="B2B2B2"/>
              <w:bottom w:val="single" w:sz="8" w:color="B2B2B2"/>
            </w:tcBorders>
          </w:tcPr>
          <w:p>
            <w:pPr>
              <w:spacing w:after="0"/>
              <w:rPr>
                <w:sz w:val="2"/>
                <w:szCs w:val="2"/>
                <w:color w:val="auto"/>
              </w:rPr>
            </w:pPr>
          </w:p>
        </w:tc>
        <w:tc>
          <w:tcPr>
            <w:tcW w:w="9400" w:type="dxa"/>
            <w:vAlign w:val="bottom"/>
            <w:tcBorders>
              <w:bottom w:val="single" w:sz="8" w:color="B2B2B2"/>
              <w:right w:val="single" w:sz="8" w:color="B2B2B2"/>
            </w:tcBorders>
          </w:tcPr>
          <w:p>
            <w:pPr>
              <w:spacing w:after="0"/>
              <w:rPr>
                <w:sz w:val="2"/>
                <w:szCs w:val="2"/>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Talent recruitment, development and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168910</wp:posOffset>
            </wp:positionV>
            <wp:extent cx="6848475" cy="1833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48475" cy="183388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Talent-frst</w:t>
      </w:r>
    </w:p>
    <w:p>
      <w:pPr>
        <w:spacing w:after="0" w:line="1"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mindset</w:t>
      </w:r>
    </w:p>
    <w:p>
      <w:pPr>
        <w:spacing w:after="0" w:line="314"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We view talent as a diferentator for our Company’s compettve advantage and, under the leadership of our board of directors and senior executves, are commited to a talent-frst mindset.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Integrated talent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management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framework</w:t>
      </w:r>
    </w:p>
    <w:p>
      <w:pPr>
        <w:spacing w:after="0" w:line="249" w:lineRule="exact"/>
        <w:rPr>
          <w:sz w:val="20"/>
          <w:szCs w:val="20"/>
          <w:color w:val="auto"/>
        </w:rPr>
      </w:pPr>
    </w:p>
    <w:p>
      <w:pPr>
        <w:spacing w:after="0" w:line="259" w:lineRule="auto"/>
        <w:rPr>
          <w:sz w:val="20"/>
          <w:szCs w:val="20"/>
          <w:color w:val="auto"/>
        </w:rPr>
      </w:pPr>
      <w:r>
        <w:rPr>
          <w:rFonts w:ascii="Calibri" w:cs="Calibri" w:eastAsia="Calibri" w:hAnsi="Calibri"/>
          <w:sz w:val="16"/>
          <w:szCs w:val="16"/>
          <w:color w:val="auto"/>
        </w:rPr>
        <w:t>We maintain an integrated talent management framework, employing actve collaboraton between our recruitment, capability development and human resource functons.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401320</wp:posOffset>
            </wp:positionV>
            <wp:extent cx="6848475" cy="1238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48475"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40"/>
        <w:spacing w:after="0" w:line="239" w:lineRule="auto"/>
        <w:rPr>
          <w:sz w:val="20"/>
          <w:szCs w:val="20"/>
          <w:color w:val="auto"/>
        </w:rPr>
      </w:pPr>
      <w:r>
        <w:rPr>
          <w:rFonts w:ascii="Calibri" w:cs="Calibri" w:eastAsia="Calibri" w:hAnsi="Calibri"/>
          <w:sz w:val="17"/>
          <w:szCs w:val="17"/>
          <w:b w:val="1"/>
          <w:bCs w:val="1"/>
          <w:color w:val="auto"/>
        </w:rPr>
        <w:t>Actve role for senior leadership</w:t>
      </w: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color w:val="auto"/>
        </w:rPr>
        <w:t>Our senior leadership team and board of directors play a critcal role in defning our talent priorites to align with our strategic vision for each of our business units, as well as with our clients’ priorites.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40"/>
        <w:spacing w:after="0" w:line="239" w:lineRule="auto"/>
        <w:rPr>
          <w:sz w:val="20"/>
          <w:szCs w:val="20"/>
          <w:color w:val="auto"/>
        </w:rPr>
      </w:pPr>
      <w:r>
        <w:rPr>
          <w:rFonts w:ascii="Calibri" w:cs="Calibri" w:eastAsia="Calibri" w:hAnsi="Calibri"/>
          <w:sz w:val="17"/>
          <w:szCs w:val="17"/>
          <w:b w:val="1"/>
          <w:bCs w:val="1"/>
          <w:color w:val="auto"/>
        </w:rPr>
        <w:t>Contnuous employee development</w:t>
      </w:r>
    </w:p>
    <w:p>
      <w:pPr>
        <w:spacing w:after="0" w:line="315" w:lineRule="exact"/>
        <w:rPr>
          <w:sz w:val="20"/>
          <w:szCs w:val="20"/>
          <w:color w:val="auto"/>
        </w:rPr>
      </w:pPr>
    </w:p>
    <w:p>
      <w:pPr>
        <w:ind w:right="140"/>
        <w:spacing w:after="0"/>
        <w:rPr>
          <w:sz w:val="20"/>
          <w:szCs w:val="20"/>
          <w:color w:val="auto"/>
        </w:rPr>
      </w:pPr>
      <w:r>
        <w:rPr>
          <w:rFonts w:ascii="Calibri" w:cs="Calibri" w:eastAsia="Calibri" w:hAnsi="Calibri"/>
          <w:sz w:val="17"/>
          <w:szCs w:val="17"/>
          <w:color w:val="auto"/>
        </w:rPr>
        <w:t>We focus on contnuously developing our employees through our rigorous promoton standards, client and industry-specifc training and compettve compensaton packages that include incentve-based compensaton.</w:t>
      </w:r>
    </w:p>
    <w:p>
      <w:pPr>
        <w:spacing w:after="0" w:line="200" w:lineRule="exact"/>
        <w:rPr>
          <w:sz w:val="20"/>
          <w:szCs w:val="20"/>
          <w:color w:val="auto"/>
        </w:rPr>
      </w:pPr>
    </w:p>
    <w:p>
      <w:pPr>
        <w:sectPr>
          <w:pgSz w:w="11900" w:h="16838" w:orient="portrait"/>
          <w:cols w:equalWidth="0" w:num="4">
            <w:col w:w="2820" w:space="300"/>
            <w:col w:w="2520" w:space="200"/>
            <w:col w:w="2520" w:space="200"/>
            <w:col w:w="2380"/>
          </w:cols>
          <w:pgMar w:left="320" w:top="471" w:right="639" w:bottom="1440" w:gutter="0" w:footer="0" w:header="0"/>
          <w:type w:val="continuous"/>
        </w:sectPr>
      </w:pPr>
    </w:p>
    <w:p>
      <w:pPr>
        <w:spacing w:after="0" w:line="208" w:lineRule="exact"/>
        <w:rPr>
          <w:sz w:val="20"/>
          <w:szCs w:val="20"/>
          <w:color w:val="auto"/>
        </w:rPr>
      </w:pPr>
    </w:p>
    <w:p>
      <w:pPr>
        <w:ind w:left="320" w:right="480"/>
        <w:spacing w:after="0" w:line="268" w:lineRule="auto"/>
        <w:rPr>
          <w:sz w:val="20"/>
          <w:szCs w:val="20"/>
          <w:color w:val="auto"/>
        </w:rPr>
      </w:pPr>
      <w:r>
        <w:rPr>
          <w:rFonts w:ascii="Calibri" w:cs="Calibri" w:eastAsia="Calibri" w:hAnsi="Calibri"/>
          <w:sz w:val="16"/>
          <w:szCs w:val="16"/>
          <w:color w:val="auto"/>
        </w:rPr>
        <w:t>We consider EXL to be a “learning” company, and promote a strong self-learning culture. We have insttutonalized a comprehensive set of practces, processes and programs to create an actve learning culture and to proactvely build market-relevant talent within our Company in four stages:</w:t>
      </w:r>
    </w:p>
    <w:p>
      <w:pPr>
        <w:spacing w:after="0" w:line="330" w:lineRule="exact"/>
        <w:rPr>
          <w:sz w:val="20"/>
          <w:szCs w:val="20"/>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Prejoining: </w:t>
      </w:r>
      <w:r>
        <w:rPr>
          <w:rFonts w:ascii="Calibri" w:cs="Calibri" w:eastAsia="Calibri" w:hAnsi="Calibri"/>
          <w:sz w:val="17"/>
          <w:szCs w:val="17"/>
          <w:color w:val="auto"/>
        </w:rPr>
        <w:t>Assessments, development on online learning platorms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Onboarding: </w:t>
      </w:r>
      <w:r>
        <w:rPr>
          <w:rFonts w:ascii="Calibri" w:cs="Calibri" w:eastAsia="Calibri" w:hAnsi="Calibri"/>
          <w:sz w:val="17"/>
          <w:szCs w:val="17"/>
          <w:color w:val="auto"/>
        </w:rPr>
        <w:t>Company orientaton, trainings and informal team meetngs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Job readiness: </w:t>
      </w:r>
      <w:r>
        <w:rPr>
          <w:rFonts w:ascii="Calibri" w:cs="Calibri" w:eastAsia="Calibri" w:hAnsi="Calibri"/>
          <w:sz w:val="17"/>
          <w:szCs w:val="17"/>
          <w:color w:val="auto"/>
        </w:rPr>
        <w:t>Educaton on client processes, tools and technologies, communicaton efectveness and cultural sensitvity</w:t>
      </w:r>
    </w:p>
    <w:p>
      <w:pPr>
        <w:spacing w:after="0" w:line="119" w:lineRule="exact"/>
        <w:rPr>
          <w:rFonts w:ascii="Calibri" w:cs="Calibri" w:eastAsia="Calibri" w:hAnsi="Calibri"/>
          <w:sz w:val="17"/>
          <w:szCs w:val="17"/>
          <w:color w:val="auto"/>
        </w:rPr>
      </w:pPr>
    </w:p>
    <w:p>
      <w:pPr>
        <w:ind w:left="1140" w:right="200" w:hanging="407"/>
        <w:spacing w:after="0" w:line="239" w:lineRule="auto"/>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Ongoing development: </w:t>
      </w:r>
      <w:r>
        <w:rPr>
          <w:rFonts w:ascii="Calibri" w:cs="Calibri" w:eastAsia="Calibri" w:hAnsi="Calibri"/>
          <w:sz w:val="17"/>
          <w:szCs w:val="17"/>
          <w:color w:val="auto"/>
        </w:rPr>
        <w:t>Contnued formal learning actvites, on the job, supervisor feedback and coaching, regular talent reviews and talent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inventory succession, leadership training to identfy and develop new leaders</w:t>
      </w:r>
    </w:p>
    <w:p>
      <w:pPr>
        <w:spacing w:after="0" w:line="107"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capability development framework is focused on developing our employees’ digital and domain expertse and leadership as a means to develop our talent internally. We do this through our learning academies, and through partnerships with industry organizatons, insttutes, business schools and consultng frms. In 2021 and into 2022, we launched a new learning management system, reNew, that permits our employees to engage in self-directed learning by partcipatng in collaboratve trainings that are personalized to their interests and positons and are delivered virtually from any locaton, at any tme. In 2022, we also launched a learning marketplace that provides employees with regularly updated best-in-class digital trainings and certfcatons.</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53</w:t>
      </w:r>
    </w:p>
    <w:p>
      <w:pPr>
        <w:sectPr>
          <w:pgSz w:w="11900" w:h="16838" w:orient="portrait"/>
          <w:cols w:equalWidth="0" w:num="1">
            <w:col w:w="10940"/>
          </w:cols>
          <w:pgMar w:left="320" w:top="471"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168910</wp:posOffset>
            </wp:positionV>
            <wp:extent cx="5823585" cy="12553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2358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54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139"/>
          </w:cols>
          <w:pgMar w:left="320" w:top="47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2022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704850</wp:posOffset>
            </wp:positionH>
            <wp:positionV relativeFrom="paragraph">
              <wp:posOffset>94615</wp:posOffset>
            </wp:positionV>
            <wp:extent cx="5741035" cy="51631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41035" cy="516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55</w:t>
      </w:r>
    </w:p>
    <w:p>
      <w:pPr>
        <w:sectPr>
          <w:pgSz w:w="11900" w:h="16838" w:orient="portrait"/>
          <w:cols w:equalWidth="0" w:num="1">
            <w:col w:w="10940"/>
          </w:cols>
          <w:pgMar w:left="320" w:top="471"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engagement and communicaton</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consider communicaton and engagement with our more than 45,400 employees distributed throughout more than 50 ofces worldwide to be important to our ability to promote our ONE EXL culture that prioritzes inclusivity and collaboraton, especially following our adopton of a hybrid operatng model with our employees working remotely and in-ofce. We contnued to rely on, and improve, our digital communicaton and collaboraton platorms and mult-channel approach to keeping our employees informed that we built out beginning in 2020 during the COVID-19 pandemic. In partcular, we engage with our employees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163830</wp:posOffset>
            </wp:positionV>
            <wp:extent cx="4064000" cy="17513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064000"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276225</wp:posOffset>
            </wp:positionV>
            <wp:extent cx="222885" cy="2146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Paid leave for new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163195</wp:posOffset>
            </wp:positionV>
            <wp:extent cx="222885" cy="2311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293"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Excused days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171450</wp:posOffset>
            </wp:positionV>
            <wp:extent cx="222885" cy="2393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22885" cy="239395"/>
                    </a:xfrm>
                    <a:prstGeom prst="rect">
                      <a:avLst/>
                    </a:prstGeom>
                    <a:noFill/>
                  </pic:spPr>
                </pic:pic>
              </a:graphicData>
            </a:graphic>
          </wp:anchor>
        </w:drawing>
      </w:r>
    </w:p>
    <w:p>
      <w:pPr>
        <w:spacing w:after="0" w:line="306"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Generous vacaton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179705</wp:posOffset>
            </wp:positionV>
            <wp:extent cx="222885" cy="165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2885" cy="165100"/>
                    </a:xfrm>
                    <a:prstGeom prst="rect">
                      <a:avLst/>
                    </a:prstGeom>
                    <a:noFill/>
                  </pic:spPr>
                </pic:pic>
              </a:graphicData>
            </a:graphic>
          </wp:anchor>
        </w:drawing>
      </w:r>
    </w:p>
    <w:p>
      <w:pPr>
        <w:spacing w:after="0" w:line="267"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Paid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138430</wp:posOffset>
            </wp:positionV>
            <wp:extent cx="206375" cy="255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6375" cy="255905"/>
                    </a:xfrm>
                    <a:prstGeom prst="rect">
                      <a:avLst/>
                    </a:prstGeom>
                    <a:noFill/>
                  </pic:spPr>
                </pic:pic>
              </a:graphicData>
            </a:graphic>
          </wp:anchor>
        </w:drawing>
      </w:r>
    </w:p>
    <w:p>
      <w:pPr>
        <w:spacing w:after="0" w:line="267"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Employee assistance program providing confdental counseling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employees also partcipate in our success:</w:t>
      </w:r>
    </w:p>
    <w:p>
      <w:pPr>
        <w:spacing w:after="0" w:line="235"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Annual or monthly incentves: 100% of our employees are eligible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-116840</wp:posOffset>
            </wp:positionV>
            <wp:extent cx="222885" cy="2228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295275</wp:posOffset>
            </wp:positionV>
            <wp:extent cx="222885" cy="2476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2885" cy="247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401K plans with Company match: 100% of our U.S. employees are eligible to enroll within three months of their employment at EXL</w:t>
      </w:r>
    </w:p>
    <w:p>
      <w:pPr>
        <w:spacing w:after="0" w:line="353" w:lineRule="exact"/>
        <w:rPr>
          <w:sz w:val="20"/>
          <w:szCs w:val="20"/>
          <w:color w:val="auto"/>
        </w:rPr>
      </w:pPr>
    </w:p>
    <w:p>
      <w:pPr>
        <w:ind w:left="960" w:right="100"/>
        <w:spacing w:after="0" w:line="239" w:lineRule="auto"/>
        <w:rPr>
          <w:sz w:val="20"/>
          <w:szCs w:val="20"/>
          <w:color w:val="auto"/>
        </w:rPr>
      </w:pPr>
      <w:r>
        <w:rPr>
          <w:rFonts w:ascii="Calibri" w:cs="Calibri" w:eastAsia="Calibri" w:hAnsi="Calibri"/>
          <w:sz w:val="17"/>
          <w:szCs w:val="17"/>
          <w:color w:val="auto"/>
        </w:rPr>
        <w:t>ESPP: Our employees in the U.S., the U.K. and India are invited to partcipate in our employee stock purchase plan, which was approved by our stockholders in our 2022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-207010</wp:posOffset>
            </wp:positionV>
            <wp:extent cx="222885" cy="2311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133"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56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00"/>
          </w:cols>
          <w:pgMar w:left="320" w:top="471" w:right="7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health, safety and wellbeing</w:t>
      </w:r>
    </w:p>
    <w:p>
      <w:pPr>
        <w:spacing w:after="0" w:line="219"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Because our people are so important to us, we have always viewed employee health, safety and wellbeing as one of our top commitments. We periodically provide trainings on health and safety to our employees, suppliers and partners. In 2022, approximately 99% of our employees completed our health and safety training e-module. We also conduct a risk assessment every six months with the aim of minimizing risk in the workplace. We have received a number of recognitons and awards for our eforts in employee health and safety, detailed below under “Achievements, certfcatons and awards” on page 59. We also have a number of initatves to promote our employees’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163830</wp:posOffset>
            </wp:positionV>
            <wp:extent cx="4469130" cy="3717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69130" cy="371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Cybersecurity at EXL</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are commited to protectng the confdentality, integrity, availability and privacy of the informaton assets of our clients and their customers, as well as our employees, vendors and any other third partes, that are shared with us and for which we are responsible and have developed robust informaton security and cybersecurity and data privacy controls, safeguards and enabling measures in accordance with applicable laws, regulatons and informaton security standards.</w:t>
      </w:r>
    </w:p>
    <w:p>
      <w:pPr>
        <w:spacing w:after="0" w:line="211"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We have implemented and maintain, and regularly improve upon, tools and capabilites to identfy, protect, detect, respond and recover from cyber threats, incidents and atacks; reduce vulnerabilites; and minimize the impact from cyber incidents. We have</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57</w:t>
      </w:r>
    </w:p>
    <w:p>
      <w:pPr>
        <w:sectPr>
          <w:pgSz w:w="11900" w:h="16838" w:orient="portrait"/>
          <w:cols w:equalWidth="0" w:num="1">
            <w:col w:w="10940"/>
          </w:cols>
          <w:pgMar w:left="320" w:top="471"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348" w:lineRule="exact"/>
        <w:rPr>
          <w:sz w:val="20"/>
          <w:szCs w:val="20"/>
          <w:color w:val="auto"/>
        </w:rPr>
      </w:pPr>
    </w:p>
    <w:p>
      <w:pPr>
        <w:jc w:val="both"/>
        <w:ind w:left="320" w:right="400"/>
        <w:spacing w:after="0" w:line="239" w:lineRule="auto"/>
        <w:rPr>
          <w:sz w:val="20"/>
          <w:szCs w:val="20"/>
          <w:color w:val="auto"/>
        </w:rPr>
      </w:pPr>
      <w:r>
        <w:rPr>
          <w:rFonts w:ascii="Calibri" w:cs="Calibri" w:eastAsia="Calibri" w:hAnsi="Calibri"/>
          <w:sz w:val="17"/>
          <w:szCs w:val="17"/>
          <w:color w:val="auto"/>
        </w:rPr>
        <w:t>an established culture of compliance around cybersecurity maters, and have a strong governance program built upon and supported by policies and processes, tools and technologies, and regular knowledge and awareness training. Each of our employees receives regular knowledge and awareness training on risk mitgaton and management and controls and procedures relatng to informaton security, cybersecurity and data privacy.</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comply with and/or are certfed in the following standards:</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1800" w:type="dxa"/>
            <w:vAlign w:val="bottom"/>
          </w:tcPr>
          <w:p>
            <w:pPr>
              <w:jc w:val="center"/>
              <w:ind w:right="462"/>
              <w:spacing w:after="0"/>
              <w:rPr>
                <w:sz w:val="20"/>
                <w:szCs w:val="20"/>
                <w:color w:val="auto"/>
              </w:rPr>
            </w:pPr>
            <w:r>
              <w:rPr>
                <w:rFonts w:ascii="Calibri" w:cs="Calibri" w:eastAsia="Calibri" w:hAnsi="Calibri"/>
                <w:sz w:val="16"/>
                <w:szCs w:val="16"/>
                <w:b w:val="1"/>
                <w:bCs w:val="1"/>
                <w:color w:val="auto"/>
                <w:w w:val="98"/>
              </w:rPr>
              <w:t>ISO 27001:2013</w:t>
            </w:r>
          </w:p>
        </w:tc>
        <w:tc>
          <w:tcPr>
            <w:tcW w:w="2340" w:type="dxa"/>
            <w:vAlign w:val="bottom"/>
          </w:tcPr>
          <w:p>
            <w:pPr>
              <w:jc w:val="center"/>
              <w:ind w:left="2"/>
              <w:spacing w:after="0"/>
              <w:rPr>
                <w:sz w:val="20"/>
                <w:szCs w:val="20"/>
                <w:color w:val="auto"/>
              </w:rPr>
            </w:pPr>
            <w:r>
              <w:rPr>
                <w:rFonts w:ascii="Calibri" w:cs="Calibri" w:eastAsia="Calibri" w:hAnsi="Calibri"/>
                <w:sz w:val="16"/>
                <w:szCs w:val="16"/>
                <w:b w:val="1"/>
                <w:bCs w:val="1"/>
                <w:color w:val="auto"/>
                <w:w w:val="96"/>
              </w:rPr>
              <w:t>PCI DSS 3.2.1 Credit</w:t>
            </w:r>
          </w:p>
        </w:tc>
        <w:tc>
          <w:tcPr>
            <w:tcW w:w="210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SOX 404 / SSAE 16,</w:t>
            </w:r>
          </w:p>
        </w:tc>
        <w:tc>
          <w:tcPr>
            <w:tcW w:w="2060" w:type="dxa"/>
            <w:vAlign w:val="bottom"/>
          </w:tcPr>
          <w:p>
            <w:pPr>
              <w:ind w:left="460"/>
              <w:spacing w:after="0"/>
              <w:rPr>
                <w:sz w:val="20"/>
                <w:szCs w:val="20"/>
                <w:color w:val="auto"/>
              </w:rPr>
            </w:pPr>
            <w:r>
              <w:rPr>
                <w:rFonts w:ascii="Calibri" w:cs="Calibri" w:eastAsia="Calibri" w:hAnsi="Calibri"/>
                <w:sz w:val="16"/>
                <w:szCs w:val="16"/>
                <w:b w:val="1"/>
                <w:bCs w:val="1"/>
                <w:color w:val="auto"/>
              </w:rPr>
              <w:t>Hitrust Certfcaton –</w:t>
            </w:r>
          </w:p>
        </w:tc>
        <w:tc>
          <w:tcPr>
            <w:tcW w:w="16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7"/>
              </w:rPr>
              <w:t>ISO 22301 Business</w:t>
            </w:r>
          </w:p>
        </w:tc>
      </w:tr>
      <w:tr>
        <w:trPr>
          <w:trHeight w:val="195"/>
        </w:trPr>
        <w:tc>
          <w:tcPr>
            <w:tcW w:w="1800" w:type="dxa"/>
            <w:vAlign w:val="bottom"/>
          </w:tcPr>
          <w:p>
            <w:pPr>
              <w:jc w:val="center"/>
              <w:ind w:right="462"/>
              <w:spacing w:after="0"/>
              <w:rPr>
                <w:sz w:val="20"/>
                <w:szCs w:val="20"/>
                <w:color w:val="auto"/>
              </w:rPr>
            </w:pPr>
            <w:r>
              <w:rPr>
                <w:rFonts w:ascii="Calibri" w:cs="Calibri" w:eastAsia="Calibri" w:hAnsi="Calibri"/>
                <w:sz w:val="16"/>
                <w:szCs w:val="16"/>
                <w:b w:val="1"/>
                <w:bCs w:val="1"/>
                <w:color w:val="auto"/>
                <w:w w:val="99"/>
              </w:rPr>
              <w:t>Global Informaton</w:t>
            </w:r>
          </w:p>
        </w:tc>
        <w:tc>
          <w:tcPr>
            <w:tcW w:w="2340" w:type="dxa"/>
            <w:vAlign w:val="bottom"/>
          </w:tcPr>
          <w:p>
            <w:pPr>
              <w:jc w:val="center"/>
              <w:ind w:left="2"/>
              <w:spacing w:after="0"/>
              <w:rPr>
                <w:sz w:val="20"/>
                <w:szCs w:val="20"/>
                <w:color w:val="auto"/>
              </w:rPr>
            </w:pPr>
            <w:r>
              <w:rPr>
                <w:rFonts w:ascii="Calibri" w:cs="Calibri" w:eastAsia="Calibri" w:hAnsi="Calibri"/>
                <w:sz w:val="16"/>
                <w:szCs w:val="16"/>
                <w:b w:val="1"/>
                <w:bCs w:val="1"/>
                <w:color w:val="auto"/>
                <w:w w:val="96"/>
              </w:rPr>
              <w:t>Card and Payment</w:t>
            </w:r>
          </w:p>
        </w:tc>
        <w:tc>
          <w:tcPr>
            <w:tcW w:w="21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SOC 1 and SOC 2 –</w:t>
            </w:r>
          </w:p>
        </w:tc>
        <w:tc>
          <w:tcPr>
            <w:tcW w:w="2060" w:type="dxa"/>
            <w:vAlign w:val="bottom"/>
          </w:tcPr>
          <w:p>
            <w:pPr>
              <w:ind w:left="440"/>
              <w:spacing w:after="0"/>
              <w:rPr>
                <w:sz w:val="20"/>
                <w:szCs w:val="20"/>
                <w:color w:val="auto"/>
              </w:rPr>
            </w:pPr>
            <w:r>
              <w:rPr>
                <w:rFonts w:ascii="Calibri" w:cs="Calibri" w:eastAsia="Calibri" w:hAnsi="Calibri"/>
                <w:sz w:val="16"/>
                <w:szCs w:val="16"/>
                <w:b w:val="1"/>
                <w:bCs w:val="1"/>
                <w:color w:val="auto"/>
              </w:rPr>
              <w:t>healthcare operatons</w:t>
            </w:r>
          </w:p>
        </w:tc>
        <w:tc>
          <w:tcPr>
            <w:tcW w:w="16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6"/>
              </w:rPr>
              <w:t>Resiliency</w:t>
            </w:r>
          </w:p>
        </w:tc>
      </w:tr>
      <w:tr>
        <w:trPr>
          <w:trHeight w:val="195"/>
        </w:trPr>
        <w:tc>
          <w:tcPr>
            <w:tcW w:w="1800" w:type="dxa"/>
            <w:vAlign w:val="bottom"/>
          </w:tcPr>
          <w:p>
            <w:pPr>
              <w:jc w:val="center"/>
              <w:ind w:right="462"/>
              <w:spacing w:after="0"/>
              <w:rPr>
                <w:sz w:val="20"/>
                <w:szCs w:val="20"/>
                <w:color w:val="auto"/>
              </w:rPr>
            </w:pPr>
            <w:r>
              <w:rPr>
                <w:rFonts w:ascii="Calibri" w:cs="Calibri" w:eastAsia="Calibri" w:hAnsi="Calibri"/>
                <w:sz w:val="16"/>
                <w:szCs w:val="16"/>
                <w:b w:val="1"/>
                <w:bCs w:val="1"/>
                <w:color w:val="auto"/>
                <w:w w:val="97"/>
              </w:rPr>
              <w:t>Security Standard –</w:t>
            </w:r>
          </w:p>
        </w:tc>
        <w:tc>
          <w:tcPr>
            <w:tcW w:w="2340" w:type="dxa"/>
            <w:vAlign w:val="bottom"/>
          </w:tcPr>
          <w:p>
            <w:pPr>
              <w:jc w:val="center"/>
              <w:ind w:left="22"/>
              <w:spacing w:after="0"/>
              <w:rPr>
                <w:sz w:val="20"/>
                <w:szCs w:val="20"/>
                <w:color w:val="auto"/>
              </w:rPr>
            </w:pPr>
            <w:r>
              <w:rPr>
                <w:rFonts w:ascii="Calibri" w:cs="Calibri" w:eastAsia="Calibri" w:hAnsi="Calibri"/>
                <w:sz w:val="16"/>
                <w:szCs w:val="16"/>
                <w:b w:val="1"/>
                <w:bCs w:val="1"/>
                <w:color w:val="auto"/>
              </w:rPr>
              <w:t>Industry Certfcaton</w:t>
            </w:r>
          </w:p>
        </w:tc>
        <w:tc>
          <w:tcPr>
            <w:tcW w:w="21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Company-wide</w:t>
            </w: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rPr>
              <w:t>Certfcaton – India,</w:t>
            </w:r>
          </w:p>
        </w:tc>
      </w:tr>
      <w:tr>
        <w:trPr>
          <w:trHeight w:val="195"/>
        </w:trPr>
        <w:tc>
          <w:tcPr>
            <w:tcW w:w="1800" w:type="dxa"/>
            <w:vAlign w:val="bottom"/>
          </w:tcPr>
          <w:p>
            <w:pPr>
              <w:jc w:val="center"/>
              <w:ind w:right="462"/>
              <w:spacing w:after="0"/>
              <w:rPr>
                <w:sz w:val="20"/>
                <w:szCs w:val="20"/>
                <w:color w:val="auto"/>
              </w:rPr>
            </w:pPr>
            <w:r>
              <w:rPr>
                <w:rFonts w:ascii="Calibri" w:cs="Calibri" w:eastAsia="Calibri" w:hAnsi="Calibri"/>
                <w:sz w:val="16"/>
                <w:szCs w:val="16"/>
                <w:b w:val="1"/>
                <w:bCs w:val="1"/>
                <w:color w:val="auto"/>
                <w:w w:val="97"/>
              </w:rPr>
              <w:t>Company-wide</w:t>
            </w:r>
          </w:p>
        </w:tc>
        <w:tc>
          <w:tcPr>
            <w:tcW w:w="2340" w:type="dxa"/>
            <w:vAlign w:val="bottom"/>
          </w:tcPr>
          <w:p>
            <w:pPr>
              <w:jc w:val="center"/>
              <w:ind w:left="2"/>
              <w:spacing w:after="0"/>
              <w:rPr>
                <w:sz w:val="20"/>
                <w:szCs w:val="20"/>
                <w:color w:val="auto"/>
              </w:rPr>
            </w:pPr>
            <w:r>
              <w:rPr>
                <w:rFonts w:ascii="Calibri" w:cs="Calibri" w:eastAsia="Calibri" w:hAnsi="Calibri"/>
                <w:sz w:val="16"/>
                <w:szCs w:val="16"/>
                <w:b w:val="1"/>
                <w:bCs w:val="1"/>
                <w:color w:val="auto"/>
                <w:w w:val="97"/>
              </w:rPr>
              <w:t>– India, Philippines</w:t>
            </w:r>
          </w:p>
        </w:tc>
        <w:tc>
          <w:tcPr>
            <w:tcW w:w="2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Philippines and South</w:t>
            </w:r>
          </w:p>
        </w:tc>
      </w:tr>
      <w:tr>
        <w:trPr>
          <w:trHeight w:val="195"/>
        </w:trPr>
        <w:tc>
          <w:tcPr>
            <w:tcW w:w="1800" w:type="dxa"/>
            <w:vAlign w:val="bottom"/>
          </w:tcPr>
          <w:p>
            <w:pPr>
              <w:spacing w:after="0"/>
              <w:rPr>
                <w:sz w:val="16"/>
                <w:szCs w:val="16"/>
                <w:color w:val="auto"/>
              </w:rPr>
            </w:pPr>
          </w:p>
        </w:tc>
        <w:tc>
          <w:tcPr>
            <w:tcW w:w="2340" w:type="dxa"/>
            <w:vAlign w:val="bottom"/>
          </w:tcPr>
          <w:p>
            <w:pPr>
              <w:jc w:val="center"/>
              <w:ind w:left="22"/>
              <w:spacing w:after="0"/>
              <w:rPr>
                <w:sz w:val="20"/>
                <w:szCs w:val="20"/>
                <w:color w:val="auto"/>
              </w:rPr>
            </w:pPr>
            <w:r>
              <w:rPr>
                <w:rFonts w:ascii="Calibri" w:cs="Calibri" w:eastAsia="Calibri" w:hAnsi="Calibri"/>
                <w:sz w:val="16"/>
                <w:szCs w:val="16"/>
                <w:b w:val="1"/>
                <w:bCs w:val="1"/>
                <w:color w:val="auto"/>
                <w:w w:val="97"/>
              </w:rPr>
              <w:t>and South Africa</w:t>
            </w:r>
          </w:p>
        </w:tc>
        <w:tc>
          <w:tcPr>
            <w:tcW w:w="2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9"/>
              </w:rPr>
              <w:t>Africa operatons</w:t>
            </w:r>
          </w:p>
        </w:tc>
      </w:tr>
      <w:tr>
        <w:trPr>
          <w:trHeight w:val="195"/>
        </w:trPr>
        <w:tc>
          <w:tcPr>
            <w:tcW w:w="1800" w:type="dxa"/>
            <w:vAlign w:val="bottom"/>
          </w:tcPr>
          <w:p>
            <w:pPr>
              <w:spacing w:after="0"/>
              <w:rPr>
                <w:sz w:val="16"/>
                <w:szCs w:val="16"/>
                <w:color w:val="auto"/>
              </w:rPr>
            </w:pPr>
          </w:p>
        </w:tc>
        <w:tc>
          <w:tcPr>
            <w:tcW w:w="2340" w:type="dxa"/>
            <w:vAlign w:val="bottom"/>
          </w:tcPr>
          <w:p>
            <w:pPr>
              <w:jc w:val="center"/>
              <w:ind w:left="2"/>
              <w:spacing w:after="0"/>
              <w:rPr>
                <w:sz w:val="20"/>
                <w:szCs w:val="20"/>
                <w:color w:val="auto"/>
              </w:rPr>
            </w:pPr>
            <w:r>
              <w:rPr>
                <w:rFonts w:ascii="Calibri" w:cs="Calibri" w:eastAsia="Calibri" w:hAnsi="Calibri"/>
                <w:sz w:val="16"/>
                <w:szCs w:val="16"/>
                <w:b w:val="1"/>
                <w:bCs w:val="1"/>
                <w:color w:val="auto"/>
              </w:rPr>
              <w:t>operatons</w:t>
            </w:r>
          </w:p>
        </w:tc>
        <w:tc>
          <w:tcPr>
            <w:tcW w:w="2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line="227"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For more informaton on our cybersecurity risk management, please see “Cybersecurity risk management” on page 44. For more informaton on our informaton security and data privacy procedures, please refer to our Sustainability Report, which is available on our website at www.exlservice.com/corporate-sustainability.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Responsible artfcial intelligence</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ensure that our use of artfcial intelligence (“AI”) in our business and operatons is ethical and trustworthy. We emphasize data integrity as key to eliminate bias in the applicaton of AI. We have a global AI Governance Policy and framework, and a cross-functonal AI Governance Commitee that oversees and governs our use of AI, with the overall aim of vetng and minimizing potental unethical or unlawful biases in AI processes. Pursuant to our AI Governance Policy, for each deployment of AI, our business teams are guided by our AI bias principles and, in many cases, include a risk assessment exercise. Applicable employees also partcipate in trainings to identfy and reduce bias in AI.</w:t>
      </w:r>
    </w:p>
    <w:p>
      <w:pPr>
        <w:spacing w:after="0" w:line="128"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58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Achievements, certfcatons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333375</wp:posOffset>
            </wp:positionV>
            <wp:extent cx="6740525" cy="545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4052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20" w:right="40"/>
        <w:spacing w:after="0" w:line="239" w:lineRule="auto"/>
        <w:rPr>
          <w:sz w:val="20"/>
          <w:szCs w:val="20"/>
          <w:color w:val="auto"/>
        </w:rPr>
      </w:pPr>
      <w:r>
        <w:rPr>
          <w:rFonts w:ascii="Calibri" w:cs="Calibri" w:eastAsia="Calibri" w:hAnsi="Calibri"/>
          <w:sz w:val="17"/>
          <w:szCs w:val="17"/>
          <w:b w:val="1"/>
          <w:bCs w:val="1"/>
          <w:color w:val="auto"/>
        </w:rPr>
        <w:t>Health and safety management system</w:t>
      </w:r>
      <w:r>
        <w:rPr>
          <w:rFonts w:ascii="Calibri" w:cs="Calibri" w:eastAsia="Calibri" w:hAnsi="Calibri"/>
          <w:sz w:val="17"/>
          <w:szCs w:val="17"/>
          <w:color w:val="auto"/>
        </w:rPr>
        <w:t>, and</w:t>
      </w:r>
      <w:r>
        <w:rPr>
          <w:rFonts w:ascii="Calibri" w:cs="Calibri" w:eastAsia="Calibri" w:hAnsi="Calibri"/>
          <w:sz w:val="17"/>
          <w:szCs w:val="17"/>
          <w:b w:val="1"/>
          <w:bCs w:val="1"/>
          <w:color w:val="auto"/>
        </w:rPr>
        <w:t xml:space="preserve"> 75% of our delivery centers </w:t>
      </w:r>
      <w:r>
        <w:rPr>
          <w:rFonts w:ascii="Calibri" w:cs="Calibri" w:eastAsia="Calibri" w:hAnsi="Calibri"/>
          <w:sz w:val="17"/>
          <w:szCs w:val="17"/>
          <w:color w:val="auto"/>
        </w:rPr>
        <w:t>as of December 31, 2022, are certfed to</w:t>
      </w:r>
      <w:r>
        <w:rPr>
          <w:rFonts w:ascii="Calibri" w:cs="Calibri" w:eastAsia="Calibri" w:hAnsi="Calibri"/>
          <w:sz w:val="17"/>
          <w:szCs w:val="17"/>
          <w:b w:val="1"/>
          <w:bCs w:val="1"/>
          <w:color w:val="auto"/>
        </w:rPr>
        <w:t xml:space="preserve"> ISO 45001:2018</w:t>
      </w:r>
      <w:r>
        <w:rPr>
          <w:rFonts w:ascii="Calibri" w:cs="Calibri" w:eastAsia="Calibri" w:hAnsi="Calibri"/>
          <w:sz w:val="17"/>
          <w:szCs w:val="17"/>
          <w:color w:val="auto"/>
        </w:rPr>
        <w:t>, meetng internatonal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standards for occupatonal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304165</wp:posOffset>
            </wp:positionV>
            <wp:extent cx="6740525" cy="5207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40525" cy="52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 xml:space="preserve">All of our delivery centers </w:t>
      </w:r>
      <w:r>
        <w:rPr>
          <w:rFonts w:ascii="Calibri" w:cs="Calibri" w:eastAsia="Calibri" w:hAnsi="Calibri"/>
          <w:sz w:val="17"/>
          <w:szCs w:val="17"/>
          <w:color w:val="auto"/>
        </w:rPr>
        <w:t>worldwide are</w:t>
      </w:r>
      <w:r>
        <w:rPr>
          <w:rFonts w:ascii="Calibri" w:cs="Calibri" w:eastAsia="Calibri" w:hAnsi="Calibri"/>
          <w:sz w:val="17"/>
          <w:szCs w:val="17"/>
          <w:b w:val="1"/>
          <w:bCs w:val="1"/>
          <w:color w:val="auto"/>
        </w:rPr>
        <w:t xml:space="preserve"> ISO 14001:2015 </w:t>
      </w:r>
      <w:r>
        <w:rPr>
          <w:rFonts w:ascii="Calibri" w:cs="Calibri" w:eastAsia="Calibri" w:hAnsi="Calibri"/>
          <w:sz w:val="17"/>
          <w:szCs w:val="17"/>
          <w:color w:val="auto"/>
        </w:rPr>
        <w:t>certfed, meetng internatonal standards for</w:t>
      </w:r>
    </w:p>
    <w:p>
      <w:pPr>
        <w:spacing w:after="0" w:line="1"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color w:val="auto"/>
        </w:rPr>
        <w:t>efectve environmental management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278765</wp:posOffset>
            </wp:positionV>
            <wp:extent cx="6740525" cy="916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40525" cy="91694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Calibri" w:cs="Calibri" w:eastAsia="Calibri" w:hAnsi="Calibri"/>
          <w:sz w:val="17"/>
          <w:szCs w:val="17"/>
          <w:b w:val="1"/>
          <w:bCs w:val="1"/>
          <w:color w:val="auto"/>
        </w:rPr>
        <w:t>Reportng pursuant to SASB Sofware</w:t>
      </w:r>
    </w:p>
    <w:p>
      <w:pPr>
        <w:ind w:left="1640"/>
        <w:spacing w:after="0" w:line="183" w:lineRule="auto"/>
        <w:rPr>
          <w:sz w:val="20"/>
          <w:szCs w:val="20"/>
          <w:color w:val="auto"/>
        </w:rPr>
      </w:pPr>
      <w:r>
        <w:rPr>
          <w:rFonts w:ascii="Calibri" w:cs="Calibri" w:eastAsia="Calibri" w:hAnsi="Calibri"/>
          <w:sz w:val="15"/>
          <w:szCs w:val="15"/>
          <w:b w:val="1"/>
          <w:bCs w:val="1"/>
          <w:color w:val="auto"/>
        </w:rPr>
        <w:t>and IT Services Standards (2018), GRI</w:t>
      </w:r>
    </w:p>
    <w:p>
      <w:pPr>
        <w:ind w:left="8040"/>
        <w:spacing w:after="0" w:line="186" w:lineRule="auto"/>
        <w:rPr>
          <w:sz w:val="20"/>
          <w:szCs w:val="20"/>
          <w:color w:val="auto"/>
        </w:rPr>
      </w:pPr>
      <w:r>
        <w:rPr>
          <w:rFonts w:ascii="Calibri" w:cs="Calibri" w:eastAsia="Calibri" w:hAnsi="Calibri"/>
          <w:sz w:val="11"/>
          <w:szCs w:val="11"/>
          <w:b w:val="1"/>
          <w:bCs w:val="1"/>
          <w:color w:val="auto"/>
        </w:rPr>
        <w:t>Partcipant</w:t>
      </w:r>
    </w:p>
    <w:p>
      <w:pPr>
        <w:ind w:left="2080"/>
        <w:spacing w:after="0" w:line="187" w:lineRule="auto"/>
        <w:rPr>
          <w:sz w:val="20"/>
          <w:szCs w:val="20"/>
          <w:color w:val="auto"/>
        </w:rPr>
      </w:pPr>
      <w:r>
        <w:rPr>
          <w:rFonts w:ascii="Calibri" w:cs="Calibri" w:eastAsia="Calibri" w:hAnsi="Calibri"/>
          <w:sz w:val="11"/>
          <w:szCs w:val="11"/>
          <w:b w:val="1"/>
          <w:bCs w:val="1"/>
          <w:color w:val="auto"/>
        </w:rPr>
        <w:t>Standards, 2016 and the</w:t>
      </w:r>
    </w:p>
    <w:p>
      <w:pPr>
        <w:ind w:left="7320"/>
        <w:spacing w:after="0" w:line="186" w:lineRule="auto"/>
        <w:rPr>
          <w:sz w:val="20"/>
          <w:szCs w:val="20"/>
          <w:color w:val="auto"/>
        </w:rPr>
      </w:pPr>
      <w:r>
        <w:rPr>
          <w:rFonts w:ascii="Calibri" w:cs="Calibri" w:eastAsia="Calibri" w:hAnsi="Calibri"/>
          <w:sz w:val="11"/>
          <w:szCs w:val="11"/>
          <w:b w:val="1"/>
          <w:bCs w:val="1"/>
          <w:color w:val="auto"/>
        </w:rPr>
        <w:t>United Natons Global Compact</w:t>
      </w:r>
    </w:p>
    <w:p>
      <w:pPr>
        <w:jc w:val="center"/>
        <w:ind w:right="5080"/>
        <w:spacing w:after="0" w:line="199" w:lineRule="auto"/>
        <w:rPr>
          <w:sz w:val="20"/>
          <w:szCs w:val="20"/>
          <w:color w:val="auto"/>
        </w:rPr>
      </w:pPr>
      <w:r>
        <w:rPr>
          <w:rFonts w:ascii="Calibri" w:cs="Calibri" w:eastAsia="Calibri" w:hAnsi="Calibri"/>
          <w:sz w:val="17"/>
          <w:szCs w:val="17"/>
          <w:b w:val="1"/>
          <w:bCs w:val="1"/>
          <w:color w:val="auto"/>
        </w:rPr>
        <w:t>United Natons Sustainable</w:t>
      </w:r>
    </w:p>
    <w:p>
      <w:pPr>
        <w:spacing w:after="0" w:line="1" w:lineRule="exact"/>
        <w:rPr>
          <w:sz w:val="20"/>
          <w:szCs w:val="20"/>
          <w:color w:val="auto"/>
        </w:rPr>
      </w:pPr>
    </w:p>
    <w:p>
      <w:pPr>
        <w:jc w:val="center"/>
        <w:ind w:right="5080"/>
        <w:spacing w:after="0"/>
        <w:rPr>
          <w:sz w:val="20"/>
          <w:szCs w:val="20"/>
          <w:color w:val="auto"/>
        </w:rPr>
      </w:pPr>
      <w:r>
        <w:rPr>
          <w:rFonts w:ascii="Calibri" w:cs="Calibri" w:eastAsia="Calibri" w:hAnsi="Calibri"/>
          <w:sz w:val="17"/>
          <w:szCs w:val="17"/>
          <w:b w:val="1"/>
          <w:bCs w:val="1"/>
          <w:color w:val="auto"/>
        </w:rPr>
        <w:t>Development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278765</wp:posOffset>
            </wp:positionV>
            <wp:extent cx="6740525" cy="387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40525" cy="3879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Calibri" w:cs="Calibri" w:eastAsia="Calibri" w:hAnsi="Calibri"/>
          <w:sz w:val="17"/>
          <w:szCs w:val="17"/>
          <w:b w:val="1"/>
          <w:bCs w:val="1"/>
          <w:color w:val="auto"/>
        </w:rPr>
        <w:t xml:space="preserve">Partcipant in the CDP’s Climate Change disclosure program </w:t>
      </w:r>
      <w:r>
        <w:rPr>
          <w:rFonts w:ascii="Calibri" w:cs="Calibri" w:eastAsia="Calibri" w:hAnsi="Calibri"/>
          <w:sz w:val="17"/>
          <w:szCs w:val="17"/>
          <w:color w:val="auto"/>
        </w:rPr>
        <w:t>with respect to GHG emissions and climate change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295275</wp:posOffset>
            </wp:positionV>
            <wp:extent cx="239395" cy="2393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295275</wp:posOffset>
            </wp:positionV>
            <wp:extent cx="239395" cy="2393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295275</wp:posOffset>
            </wp:positionV>
            <wp:extent cx="239395" cy="2393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Calibri" w:cs="Calibri" w:eastAsia="Calibri" w:hAnsi="Calibri"/>
          <w:sz w:val="17"/>
          <w:szCs w:val="17"/>
          <w:b w:val="1"/>
          <w:bCs w:val="1"/>
          <w:color w:val="auto"/>
        </w:rPr>
        <w:t>Safety Excellence Award</w:t>
      </w:r>
    </w:p>
    <w:p>
      <w:pPr>
        <w:spacing w:after="0" w:line="1" w:lineRule="exact"/>
        <w:rPr>
          <w:sz w:val="20"/>
          <w:szCs w:val="20"/>
          <w:color w:val="auto"/>
        </w:rPr>
      </w:pPr>
    </w:p>
    <w:p>
      <w:pPr>
        <w:ind w:left="700"/>
        <w:spacing w:after="0"/>
        <w:rPr>
          <w:sz w:val="20"/>
          <w:szCs w:val="20"/>
          <w:color w:val="auto"/>
        </w:rPr>
      </w:pPr>
      <w:r>
        <w:rPr>
          <w:rFonts w:ascii="Calibri" w:cs="Calibri" w:eastAsia="Calibri" w:hAnsi="Calibri"/>
          <w:sz w:val="17"/>
          <w:szCs w:val="17"/>
          <w:b w:val="1"/>
          <w:bCs w:val="1"/>
          <w:color w:val="auto"/>
        </w:rPr>
        <w:t>for Women’s Safety 2021 and</w:t>
      </w:r>
    </w:p>
    <w:p>
      <w:pPr>
        <w:spacing w:after="0" w:line="1" w:lineRule="exact"/>
        <w:rPr>
          <w:sz w:val="20"/>
          <w:szCs w:val="20"/>
          <w:color w:val="auto"/>
        </w:rPr>
      </w:pPr>
    </w:p>
    <w:p>
      <w:pPr>
        <w:ind w:left="680"/>
        <w:spacing w:after="0"/>
        <w:rPr>
          <w:sz w:val="20"/>
          <w:szCs w:val="20"/>
          <w:color w:val="auto"/>
        </w:rPr>
      </w:pPr>
      <w:r>
        <w:rPr>
          <w:rFonts w:ascii="Calibri" w:cs="Calibri" w:eastAsia="Calibri" w:hAnsi="Calibri"/>
          <w:sz w:val="17"/>
          <w:szCs w:val="17"/>
          <w:b w:val="1"/>
          <w:bCs w:val="1"/>
          <w:color w:val="auto"/>
        </w:rPr>
        <w:t>2022, and for Fire Safety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64135</wp:posOffset>
            </wp:positionV>
            <wp:extent cx="15449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202" w:lineRule="exact"/>
        <w:rPr>
          <w:sz w:val="20"/>
          <w:szCs w:val="20"/>
          <w:color w:val="auto"/>
        </w:rPr>
      </w:pPr>
    </w:p>
    <w:p>
      <w:pPr>
        <w:jc w:val="center"/>
        <w:ind w:right="460"/>
        <w:spacing w:after="0"/>
        <w:rPr>
          <w:sz w:val="20"/>
          <w:szCs w:val="20"/>
          <w:color w:val="auto"/>
        </w:rPr>
      </w:pPr>
      <w:r>
        <w:rPr>
          <w:rFonts w:ascii="Calibri" w:cs="Calibri" w:eastAsia="Calibri" w:hAnsi="Calibri"/>
          <w:sz w:val="13"/>
          <w:szCs w:val="13"/>
          <w:color w:val="auto"/>
        </w:rPr>
        <w:t>Internatonal Insttute of Safety &amp; Security</w:t>
      </w:r>
    </w:p>
    <w:p>
      <w:pPr>
        <w:spacing w:after="0" w:line="10" w:lineRule="exact"/>
        <w:rPr>
          <w:sz w:val="20"/>
          <w:szCs w:val="20"/>
          <w:color w:val="auto"/>
        </w:rPr>
      </w:pPr>
    </w:p>
    <w:p>
      <w:pPr>
        <w:jc w:val="center"/>
        <w:ind w:right="460"/>
        <w:spacing w:after="0"/>
        <w:rPr>
          <w:sz w:val="20"/>
          <w:szCs w:val="20"/>
          <w:color w:val="auto"/>
        </w:rPr>
      </w:pPr>
      <w:r>
        <w:rPr>
          <w:rFonts w:ascii="Calibri" w:cs="Calibri" w:eastAsia="Calibri" w:hAnsi="Calibri"/>
          <w:sz w:val="13"/>
          <w:szCs w:val="13"/>
          <w:color w:val="auto"/>
        </w:rPr>
        <w:t>Management (IISM) Global Conclave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276860</wp:posOffset>
            </wp:positionV>
            <wp:extent cx="239395" cy="2393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Calibri" w:cs="Calibri" w:eastAsia="Calibri" w:hAnsi="Calibri"/>
          <w:sz w:val="17"/>
          <w:szCs w:val="17"/>
          <w:b w:val="1"/>
          <w:bCs w:val="1"/>
          <w:color w:val="auto"/>
        </w:rPr>
        <w:t>Environmental Stewardship</w:t>
      </w:r>
    </w:p>
    <w:p>
      <w:pPr>
        <w:spacing w:after="0" w:line="14" w:lineRule="exact"/>
        <w:rPr>
          <w:sz w:val="20"/>
          <w:szCs w:val="20"/>
          <w:color w:val="auto"/>
        </w:rPr>
      </w:pPr>
    </w:p>
    <w:p>
      <w:pPr>
        <w:jc w:val="center"/>
        <w:ind w:right="460"/>
        <w:spacing w:after="0"/>
        <w:rPr>
          <w:sz w:val="20"/>
          <w:szCs w:val="20"/>
          <w:color w:val="auto"/>
        </w:rPr>
      </w:pPr>
      <w:r>
        <w:rPr>
          <w:rFonts w:ascii="Calibri" w:cs="Calibri" w:eastAsia="Calibri" w:hAnsi="Calibri"/>
          <w:sz w:val="17"/>
          <w:szCs w:val="17"/>
          <w:b w:val="1"/>
          <w:bCs w:val="1"/>
          <w:color w:val="auto"/>
        </w:rPr>
        <w:t>Award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14605</wp:posOffset>
            </wp:positionV>
            <wp:extent cx="15449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44955" cy="8255"/>
                    </a:xfrm>
                    <a:prstGeom prst="rect">
                      <a:avLst/>
                    </a:prstGeom>
                    <a:noFill/>
                  </pic:spPr>
                </pic:pic>
              </a:graphicData>
            </a:graphic>
          </wp:anchor>
        </w:drawing>
      </w:r>
    </w:p>
    <w:p>
      <w:pPr>
        <w:spacing w:after="0" w:line="124" w:lineRule="exact"/>
        <w:rPr>
          <w:sz w:val="20"/>
          <w:szCs w:val="20"/>
          <w:color w:val="auto"/>
        </w:rPr>
      </w:pPr>
    </w:p>
    <w:p>
      <w:pPr>
        <w:ind w:left="1200"/>
        <w:spacing w:after="0"/>
        <w:rPr>
          <w:sz w:val="20"/>
          <w:szCs w:val="20"/>
          <w:color w:val="auto"/>
        </w:rPr>
      </w:pPr>
      <w:r>
        <w:rPr>
          <w:rFonts w:ascii="Calibri" w:cs="Calibri" w:eastAsia="Calibri" w:hAnsi="Calibri"/>
          <w:sz w:val="13"/>
          <w:szCs w:val="13"/>
          <w:color w:val="auto"/>
        </w:rPr>
        <w:t>World Safety Forum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100 Most Sustainable</w:t>
            </w:r>
          </w:p>
        </w:tc>
        <w:tc>
          <w:tcPr>
            <w:tcW w:w="1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Safest Workplace</w:t>
            </w:r>
          </w:p>
        </w:tc>
      </w:tr>
      <w:tr>
        <w:trPr>
          <w:trHeight w:val="208"/>
        </w:trPr>
        <w:tc>
          <w:tcPr>
            <w:tcW w:w="254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Companies 2022 and 2023</w:t>
            </w:r>
          </w:p>
        </w:tc>
        <w:tc>
          <w:tcPr>
            <w:tcW w:w="1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Award 2021 and 2022</w:t>
            </w:r>
          </w:p>
        </w:tc>
      </w:tr>
      <w:tr>
        <w:trPr>
          <w:trHeight w:val="36"/>
        </w:trPr>
        <w:tc>
          <w:tcPr>
            <w:tcW w:w="254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59"/>
        </w:trPr>
        <w:tc>
          <w:tcPr>
            <w:tcW w:w="2540" w:type="dxa"/>
            <w:vAlign w:val="bottom"/>
          </w:tcPr>
          <w:p>
            <w:pPr>
              <w:jc w:val="center"/>
              <w:spacing w:after="0"/>
              <w:rPr>
                <w:sz w:val="20"/>
                <w:szCs w:val="20"/>
                <w:color w:val="auto"/>
              </w:rPr>
            </w:pPr>
            <w:r>
              <w:rPr>
                <w:rFonts w:ascii="Calibri" w:cs="Calibri" w:eastAsia="Calibri" w:hAnsi="Calibri"/>
                <w:sz w:val="13"/>
                <w:szCs w:val="13"/>
                <w:color w:val="auto"/>
                <w:w w:val="99"/>
              </w:rPr>
              <w:t>Barron’s</w:t>
            </w:r>
          </w:p>
        </w:tc>
        <w:tc>
          <w:tcPr>
            <w:tcW w:w="178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Calibri" w:cs="Calibri" w:eastAsia="Calibri" w:hAnsi="Calibri"/>
                <w:sz w:val="13"/>
                <w:szCs w:val="13"/>
                <w:color w:val="auto"/>
                <w:w w:val="97"/>
              </w:rPr>
              <w:t>World Safety Forum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384175</wp:posOffset>
            </wp:positionV>
            <wp:extent cx="239395" cy="2393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3235325</wp:posOffset>
            </wp:positionH>
            <wp:positionV relativeFrom="paragraph">
              <wp:posOffset>384175</wp:posOffset>
            </wp:positionV>
            <wp:extent cx="239395" cy="239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40" w:type="dxa"/>
            <w:vAlign w:val="bottom"/>
          </w:tcPr>
          <w:p>
            <w:pPr>
              <w:jc w:val="center"/>
              <w:spacing w:after="0"/>
              <w:rPr>
                <w:sz w:val="20"/>
                <w:szCs w:val="20"/>
                <w:color w:val="auto"/>
              </w:rPr>
            </w:pPr>
            <w:r>
              <w:rPr>
                <w:rFonts w:ascii="Calibri" w:cs="Calibri" w:eastAsia="Calibri" w:hAnsi="Calibri"/>
                <w:sz w:val="17"/>
                <w:szCs w:val="17"/>
                <w:b w:val="1"/>
                <w:bCs w:val="1"/>
                <w:color w:val="auto"/>
              </w:rPr>
              <w:t>Internatonal Safety Award</w:t>
            </w:r>
          </w:p>
        </w:tc>
        <w:tc>
          <w:tcPr>
            <w:tcW w:w="17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Most Trusted Companies</w:t>
            </w:r>
          </w:p>
        </w:tc>
      </w:tr>
      <w:tr>
        <w:trPr>
          <w:trHeight w:val="208"/>
        </w:trPr>
        <w:tc>
          <w:tcPr>
            <w:tcW w:w="254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2022</w:t>
            </w:r>
          </w:p>
        </w:tc>
        <w:tc>
          <w:tcPr>
            <w:tcW w:w="1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Calibri" w:cs="Calibri" w:eastAsia="Calibri" w:hAnsi="Calibri"/>
                <w:sz w:val="17"/>
                <w:szCs w:val="17"/>
                <w:b w:val="1"/>
                <w:bCs w:val="1"/>
                <w:color w:val="auto"/>
              </w:rPr>
              <w:t>2022 and 2023</w:t>
            </w:r>
          </w:p>
        </w:tc>
      </w:tr>
      <w:tr>
        <w:trPr>
          <w:trHeight w:val="36"/>
        </w:trPr>
        <w:tc>
          <w:tcPr>
            <w:tcW w:w="254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259"/>
        </w:trPr>
        <w:tc>
          <w:tcPr>
            <w:tcW w:w="2540" w:type="dxa"/>
            <w:vAlign w:val="bottom"/>
          </w:tcPr>
          <w:p>
            <w:pPr>
              <w:jc w:val="center"/>
              <w:spacing w:after="0"/>
              <w:rPr>
                <w:sz w:val="20"/>
                <w:szCs w:val="20"/>
                <w:color w:val="auto"/>
              </w:rPr>
            </w:pPr>
            <w:r>
              <w:rPr>
                <w:rFonts w:ascii="Calibri" w:cs="Calibri" w:eastAsia="Calibri" w:hAnsi="Calibri"/>
                <w:sz w:val="13"/>
                <w:szCs w:val="13"/>
                <w:color w:val="auto"/>
              </w:rPr>
              <w:t>Britsh Safety Council</w:t>
            </w:r>
          </w:p>
        </w:tc>
        <w:tc>
          <w:tcPr>
            <w:tcW w:w="178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Calibri" w:cs="Calibri" w:eastAsia="Calibri" w:hAnsi="Calibri"/>
                <w:sz w:val="13"/>
                <w:szCs w:val="13"/>
                <w:color w:val="auto"/>
                <w:w w:val="97"/>
              </w:rPr>
              <w:t>Newsweek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276860</wp:posOffset>
            </wp:positionV>
            <wp:extent cx="239395" cy="239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0"/>
        <w:spacing w:after="0"/>
        <w:rPr>
          <w:sz w:val="20"/>
          <w:szCs w:val="20"/>
          <w:color w:val="auto"/>
        </w:rPr>
      </w:pPr>
      <w:r>
        <w:rPr>
          <w:rFonts w:ascii="Calibri" w:cs="Calibri" w:eastAsia="Calibri" w:hAnsi="Calibri"/>
          <w:sz w:val="17"/>
          <w:szCs w:val="17"/>
          <w:b w:val="1"/>
          <w:bCs w:val="1"/>
          <w:color w:val="auto"/>
        </w:rPr>
        <w:t>Gold Medal—2022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6109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610995" cy="8255"/>
                    </a:xfrm>
                    <a:prstGeom prst="rect">
                      <a:avLst/>
                    </a:prstGeom>
                    <a:noFill/>
                  </pic:spPr>
                </pic:pic>
              </a:graphicData>
            </a:graphic>
          </wp:anchor>
        </w:drawing>
      </w:r>
    </w:p>
    <w:p>
      <w:pPr>
        <w:spacing w:after="0" w:line="137" w:lineRule="exact"/>
        <w:rPr>
          <w:sz w:val="20"/>
          <w:szCs w:val="20"/>
          <w:color w:val="auto"/>
        </w:rPr>
      </w:pPr>
    </w:p>
    <w:p>
      <w:pPr>
        <w:ind w:left="1040"/>
        <w:spacing w:after="0"/>
        <w:rPr>
          <w:sz w:val="20"/>
          <w:szCs w:val="20"/>
          <w:color w:val="auto"/>
        </w:rPr>
      </w:pPr>
      <w:r>
        <w:rPr>
          <w:rFonts w:ascii="Calibri" w:cs="Calibri" w:eastAsia="Calibri" w:hAnsi="Calibri"/>
          <w:sz w:val="13"/>
          <w:szCs w:val="13"/>
          <w:color w:val="auto"/>
        </w:rPr>
        <w:t>EcoVadis</w:t>
      </w:r>
    </w:p>
    <w:p>
      <w:pPr>
        <w:spacing w:after="0" w:line="306" w:lineRule="exact"/>
        <w:rPr>
          <w:sz w:val="20"/>
          <w:szCs w:val="20"/>
          <w:color w:val="auto"/>
        </w:rPr>
      </w:pPr>
    </w:p>
    <w:p>
      <w:pPr>
        <w:ind w:left="3520"/>
        <w:spacing w:after="0"/>
        <w:tabs>
          <w:tab w:leader="none" w:pos="5520" w:val="left"/>
          <w:tab w:leader="none" w:pos="590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59</w:t>
      </w:r>
    </w:p>
    <w:p>
      <w:pPr>
        <w:sectPr>
          <w:pgSz w:w="11900" w:h="16838" w:orient="portrait"/>
          <w:cols w:equalWidth="0" w:num="2">
            <w:col w:w="3920" w:space="720"/>
            <w:col w:w="6300"/>
          </w:cols>
          <w:pgMar w:left="320" w:top="471" w:right="6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Environmental, social and governance maters and pay-for-performance at EXL</w:t>
      </w:r>
    </w:p>
    <w:p>
      <w:pPr>
        <w:spacing w:after="0" w:line="114"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A porton of our CEO’s total compensaton is ted to the achievement of specifc performance goals relatng to ESG maters. For more informaton, see “Detailed review of compensaton components – Annual incentves – Determinaton of individual performance measure achievement” on page 79.</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Sustainability oversight</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more informaton on our oversight of sustainability and ESG-related maters and risks, see “Environmental, social and governance risk management” on page 45.</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Learn more about sustainability and environmental, social and governance maters at EXL</w:t>
      </w:r>
    </w:p>
    <w:p>
      <w:pPr>
        <w:spacing w:after="0" w:line="114" w:lineRule="exact"/>
        <w:rPr>
          <w:sz w:val="20"/>
          <w:szCs w:val="20"/>
          <w:color w:val="auto"/>
        </w:rPr>
      </w:pPr>
    </w:p>
    <w:p>
      <w:pPr>
        <w:ind w:left="320" w:right="200"/>
        <w:spacing w:after="0" w:line="268" w:lineRule="auto"/>
        <w:rPr>
          <w:sz w:val="20"/>
          <w:szCs w:val="20"/>
          <w:color w:val="auto"/>
        </w:rPr>
      </w:pPr>
      <w:r>
        <w:rPr>
          <w:rFonts w:ascii="Calibri" w:cs="Calibri" w:eastAsia="Calibri" w:hAnsi="Calibri"/>
          <w:sz w:val="16"/>
          <w:szCs w:val="16"/>
          <w:color w:val="auto"/>
        </w:rPr>
        <w:t>Please visit www.exlservice.com/about/sustainability to learn more about our eforts toward sustainability and the impacts we are making on our communites and the environment. Informaton on our website referred to in this Proxy Statement does not consttute a part of this Proxy Statement.</w:t>
      </w:r>
    </w:p>
    <w:p>
      <w:pPr>
        <w:spacing w:after="0" w:line="105"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60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740"/>
          </w:cols>
          <w:pgMar w:left="320" w:top="471" w:right="8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executve ofcers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executve ofcers</w:t>
      </w:r>
    </w:p>
    <w:p>
      <w:pPr>
        <w:spacing w:after="0" w:line="251" w:lineRule="exact"/>
        <w:rPr>
          <w:sz w:val="20"/>
          <w:szCs w:val="20"/>
          <w:color w:val="auto"/>
        </w:rPr>
      </w:pPr>
    </w:p>
    <w:p>
      <w:pPr>
        <w:ind w:left="2220"/>
        <w:spacing w:after="0"/>
        <w:tabs>
          <w:tab w:leader="none" w:pos="3880" w:val="left"/>
          <w:tab w:leader="none" w:pos="4100" w:val="left"/>
        </w:tabs>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(age 58)</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6"/>
          <w:szCs w:val="16"/>
          <w:b w:val="1"/>
          <w:bCs w:val="1"/>
          <w:i w:val="1"/>
          <w:iCs w:val="1"/>
          <w:color w:val="auto"/>
        </w:rPr>
        <w:t>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spacing w:after="0"/>
        <w:rPr>
          <w:sz w:val="20"/>
          <w:szCs w:val="20"/>
          <w:color w:val="auto"/>
        </w:rPr>
      </w:pPr>
      <w:r>
        <w:rPr>
          <w:rFonts w:ascii="Calibri" w:cs="Calibri" w:eastAsia="Calibri" w:hAnsi="Calibri"/>
          <w:sz w:val="17"/>
          <w:szCs w:val="17"/>
          <w:color w:val="auto"/>
        </w:rPr>
        <w:t>See secton enttled “Our board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tabs>
          <w:tab w:leader="none" w:pos="4000" w:val="left"/>
          <w:tab w:leader="none" w:pos="4220" w:val="left"/>
        </w:tabs>
        <w:rPr>
          <w:sz w:val="20"/>
          <w:szCs w:val="20"/>
          <w:color w:val="auto"/>
        </w:rPr>
      </w:pPr>
      <w:r>
        <w:rPr>
          <w:rFonts w:ascii="Calibri" w:cs="Calibri" w:eastAsia="Calibri" w:hAnsi="Calibri"/>
          <w:sz w:val="17"/>
          <w:szCs w:val="17"/>
          <w:b w:val="1"/>
          <w:bCs w:val="1"/>
          <w:color w:val="auto"/>
        </w:rPr>
        <w:t xml:space="preserve">Ajay Ayyappan </w:t>
      </w:r>
      <w:r>
        <w:rPr>
          <w:rFonts w:ascii="Calibri" w:cs="Calibri" w:eastAsia="Calibri" w:hAnsi="Calibri"/>
          <w:sz w:val="17"/>
          <w:szCs w:val="17"/>
          <w:color w:val="auto"/>
        </w:rPr>
        <w:t>(age 45)</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right="160"/>
        <w:spacing w:after="0"/>
        <w:rPr>
          <w:sz w:val="20"/>
          <w:szCs w:val="20"/>
          <w:color w:val="auto"/>
        </w:rPr>
      </w:pPr>
      <w:r>
        <w:rPr>
          <w:rFonts w:ascii="Calibri" w:cs="Calibri" w:eastAsia="Calibri" w:hAnsi="Calibri"/>
          <w:sz w:val="17"/>
          <w:szCs w:val="17"/>
          <w:color w:val="auto"/>
        </w:rPr>
        <w:t>Mr. Ayyappan has served as our Executve Vice President, General Counsel and Corporate Secretary since February 2023. He previously served as our Senior Vice President, General Counsel and Corporate Secretary (December 2018 to February 2023), our Vice President, Actng General Counsel and Corporate Secretary (August 2018 to December 2018), our Vice President, Deputy General Counsel and Assistant Secretary (April 2014 to August 2018) and our Vice President and Assistant General Counsel (March 2007 to March 2014). Prior to joining us, Mr. Ayyappan was a corporate associate at the law frm, Morgan, Lewis &amp; Bockius LLP.</w:t>
      </w:r>
    </w:p>
    <w:p>
      <w:pPr>
        <w:spacing w:after="0" w:line="328" w:lineRule="exact"/>
        <w:rPr>
          <w:sz w:val="20"/>
          <w:szCs w:val="20"/>
          <w:color w:val="auto"/>
        </w:rPr>
      </w:pPr>
    </w:p>
    <w:p>
      <w:pPr>
        <w:ind w:left="2220"/>
        <w:spacing w:after="0"/>
        <w:tabs>
          <w:tab w:leader="none" w:pos="3800" w:val="left"/>
          <w:tab w:leader="none" w:pos="4040" w:val="left"/>
        </w:tabs>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(age 51)</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right="80"/>
        <w:spacing w:after="0"/>
        <w:rPr>
          <w:sz w:val="20"/>
          <w:szCs w:val="20"/>
          <w:color w:val="auto"/>
        </w:rPr>
      </w:pPr>
      <w:r>
        <w:rPr>
          <w:rFonts w:ascii="Calibri" w:cs="Calibri" w:eastAsia="Calibri" w:hAnsi="Calibri"/>
          <w:sz w:val="17"/>
          <w:szCs w:val="17"/>
          <w:color w:val="auto"/>
        </w:rPr>
        <w:t>Mr. Bhalla has served as our Executve Vice President and Business Head, Insurance since January 2014 and as our Head of Outsourcing since November 2009. He previously served as Vice President, Operatons of EXL India (June 2006 to October 2009), as Vice President, Migratons, Quality and Process Excellence of EXL India (April 2002 to June 2006) and as Director, Quality Initatves of EXL India (May 2001 to March 2002). From May 1998 to May 2001, Mr. Bhalla served in various capacites at General Electric, including as the Quality Leader and E-Business Leader for GE Plastcs India. Mr. Bhalla is based in Delhi, India.</w:t>
      </w:r>
    </w:p>
    <w:p>
      <w:pPr>
        <w:spacing w:after="0" w:line="328" w:lineRule="exact"/>
        <w:rPr>
          <w:sz w:val="20"/>
          <w:szCs w:val="20"/>
          <w:color w:val="auto"/>
        </w:rPr>
      </w:pPr>
    </w:p>
    <w:p>
      <w:pPr>
        <w:ind w:left="2220"/>
        <w:spacing w:after="0"/>
        <w:tabs>
          <w:tab w:leader="none" w:pos="3780" w:val="left"/>
          <w:tab w:leader="none" w:pos="4020" w:val="left"/>
        </w:tabs>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(age 48)</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jc w:val="both"/>
        <w:ind w:left="2220" w:right="40"/>
        <w:spacing w:after="0" w:line="239" w:lineRule="auto"/>
        <w:rPr>
          <w:sz w:val="20"/>
          <w:szCs w:val="20"/>
          <w:color w:val="auto"/>
        </w:rPr>
      </w:pPr>
      <w:r>
        <w:rPr>
          <w:rFonts w:ascii="Calibri" w:cs="Calibri" w:eastAsia="Calibri" w:hAnsi="Calibri"/>
          <w:sz w:val="17"/>
          <w:szCs w:val="17"/>
          <w:color w:val="auto"/>
        </w:rPr>
        <w:t>Mr. Jetley has served as our Executve Vice President and Business Head, Analytcs since January 2020. He previously served in various leadership roles with us, including heading enterprise strategy and setng up a strategic deal team. Mr. Jetley has been with EXL since 2006. Prior to joining us, Mr. Jetley was a Partner at Inducts.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20"/>
        <w:spacing w:after="0"/>
        <w:tabs>
          <w:tab w:leader="none" w:pos="4020" w:val="left"/>
          <w:tab w:leader="none" w:pos="4240" w:val="left"/>
        </w:tabs>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(age 54)</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Emerging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right="40"/>
        <w:spacing w:after="0" w:line="239" w:lineRule="auto"/>
        <w:rPr>
          <w:sz w:val="20"/>
          <w:szCs w:val="20"/>
          <w:color w:val="auto"/>
        </w:rPr>
      </w:pPr>
      <w:r>
        <w:rPr>
          <w:rFonts w:ascii="Calibri" w:cs="Calibri" w:eastAsia="Calibri" w:hAnsi="Calibri"/>
          <w:sz w:val="17"/>
          <w:szCs w:val="17"/>
          <w:color w:val="auto"/>
        </w:rPr>
        <w:t>Mr. Kini has served as our Executve Vice President and Business Head, Emerging Business since October 2021. He previously served in several leadership roles with us, including in our strategic initatves and fnance and accountng services. Mr. Kini has been with EXL since 2001. Prior to joining us, Mr. Kini was a Finance Leader at Willis Faber.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61</w:t>
      </w:r>
    </w:p>
    <w:p>
      <w:pPr>
        <w:sectPr>
          <w:pgSz w:w="11900" w:h="16838" w:orient="portrait"/>
          <w:cols w:equalWidth="0" w:num="1">
            <w:col w:w="10940"/>
          </w:cols>
          <w:pgMar w:left="320" w:top="471"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executve ofcers</w:t>
      </w:r>
    </w:p>
    <w:p>
      <w:pPr>
        <w:spacing w:after="0" w:line="347" w:lineRule="exact"/>
        <w:rPr>
          <w:sz w:val="20"/>
          <w:szCs w:val="20"/>
          <w:color w:val="auto"/>
        </w:rPr>
      </w:pPr>
    </w:p>
    <w:p>
      <w:pPr>
        <w:ind w:left="2440"/>
        <w:spacing w:after="0"/>
        <w:tabs>
          <w:tab w:leader="none" w:pos="4100" w:val="left"/>
          <w:tab w:leader="none" w:pos="4320" w:val="left"/>
        </w:tabs>
        <w:rPr>
          <w:sz w:val="20"/>
          <w:szCs w:val="20"/>
          <w:color w:val="auto"/>
        </w:rPr>
      </w:pPr>
      <w:r>
        <w:rPr>
          <w:rFonts w:ascii="Calibri" w:cs="Calibri" w:eastAsia="Calibri" w:hAnsi="Calibri"/>
          <w:sz w:val="17"/>
          <w:szCs w:val="17"/>
          <w:b w:val="1"/>
          <w:bCs w:val="1"/>
          <w:color w:val="auto"/>
        </w:rPr>
        <w:t xml:space="preserve">Anita Mahon </w:t>
      </w:r>
      <w:r>
        <w:rPr>
          <w:rFonts w:ascii="Calibri" w:cs="Calibri" w:eastAsia="Calibri" w:hAnsi="Calibri"/>
          <w:sz w:val="17"/>
          <w:szCs w:val="17"/>
          <w:color w:val="auto"/>
        </w:rPr>
        <w:t>(age 54)</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60"/>
        <w:spacing w:after="0"/>
        <w:rPr>
          <w:sz w:val="20"/>
          <w:szCs w:val="20"/>
          <w:color w:val="auto"/>
        </w:rPr>
      </w:pPr>
      <w:r>
        <w:rPr>
          <w:rFonts w:ascii="Calibri" w:cs="Calibri" w:eastAsia="Calibri" w:hAnsi="Calibri"/>
          <w:sz w:val="17"/>
          <w:szCs w:val="17"/>
          <w:color w:val="auto"/>
        </w:rPr>
        <w:t>Ms. Mahon has served as our Executve Vice President and Business Head, Healthcare since May 2022, and previously served as our Executve Vice President and Chief Growth Ofcer (March 2020 to May 2022). Prior to joining us, Ms. Mahon served as Vice President, Data, Strategy &amp; Portolio Ofcer at IBM Watson Health, a business unit focused on developing cognitve and data-driven technologies to advance health. Ms. Mahon joined IBM in 2016 through its acquisiton of Truven Health Analytcs, a healthcare informaton and analytcs business, where she served as Chief Strategy Ofcer. Prior to Truven, she held other leadership roles that placed her at the intersecton of strategy, technology and analytcs.</w:t>
      </w:r>
    </w:p>
    <w:p>
      <w:pPr>
        <w:spacing w:after="0" w:line="328" w:lineRule="exact"/>
        <w:rPr>
          <w:sz w:val="20"/>
          <w:szCs w:val="20"/>
          <w:color w:val="auto"/>
        </w:rPr>
      </w:pPr>
    </w:p>
    <w:p>
      <w:pPr>
        <w:ind w:left="2440"/>
        <w:spacing w:after="0"/>
        <w:tabs>
          <w:tab w:leader="none" w:pos="4400" w:val="left"/>
          <w:tab w:leader="none" w:pos="4640" w:val="left"/>
        </w:tabs>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(age 54)</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80"/>
        <w:spacing w:after="0"/>
        <w:rPr>
          <w:sz w:val="20"/>
          <w:szCs w:val="20"/>
          <w:color w:val="auto"/>
        </w:rPr>
      </w:pPr>
      <w:r>
        <w:rPr>
          <w:rFonts w:ascii="Calibri" w:cs="Calibri" w:eastAsia="Calibri" w:hAnsi="Calibri"/>
          <w:sz w:val="17"/>
          <w:szCs w:val="17"/>
          <w:color w:val="auto"/>
        </w:rPr>
        <w:t>Mr. Nicolelli has served as our Executve Vice President and Chief Financial Ofcer since February 2020. Prior to joining the Company, Mr. Nicolelli served as Senior Vice President and Chief Financial Ofcer of Casa Systems beginning in 2019. He previously served 23 years at FactSet Research Systems, where he was Senior Vice President, Principal and Chief Financial Ofcer from 2009 to 2018.</w:t>
      </w:r>
    </w:p>
    <w:p>
      <w:pPr>
        <w:spacing w:after="0" w:line="200" w:lineRule="exact"/>
        <w:rPr>
          <w:sz w:val="20"/>
          <w:szCs w:val="20"/>
          <w:color w:val="auto"/>
        </w:rPr>
      </w:pPr>
    </w:p>
    <w:p>
      <w:pPr>
        <w:spacing w:after="0" w:line="282" w:lineRule="exact"/>
        <w:rPr>
          <w:sz w:val="20"/>
          <w:szCs w:val="20"/>
          <w:color w:val="auto"/>
        </w:rPr>
      </w:pPr>
    </w:p>
    <w:p>
      <w:pPr>
        <w:ind w:left="2440"/>
        <w:spacing w:after="0"/>
        <w:tabs>
          <w:tab w:leader="none" w:pos="3860" w:val="left"/>
          <w:tab w:leader="none" w:pos="4080" w:val="left"/>
        </w:tabs>
        <w:rPr>
          <w:sz w:val="20"/>
          <w:szCs w:val="20"/>
          <w:color w:val="auto"/>
        </w:rPr>
      </w:pPr>
      <w:r>
        <w:rPr>
          <w:rFonts w:ascii="Calibri" w:cs="Calibri" w:eastAsia="Calibri" w:hAnsi="Calibri"/>
          <w:sz w:val="17"/>
          <w:szCs w:val="17"/>
          <w:b w:val="1"/>
          <w:bCs w:val="1"/>
          <w:color w:val="auto"/>
        </w:rPr>
        <w:t xml:space="preserve">Ankor Rai </w:t>
      </w:r>
      <w:r>
        <w:rPr>
          <w:rFonts w:ascii="Calibri" w:cs="Calibri" w:eastAsia="Calibri" w:hAnsi="Calibri"/>
          <w:sz w:val="17"/>
          <w:szCs w:val="17"/>
          <w:color w:val="auto"/>
        </w:rPr>
        <w:t>(age 47)</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Digital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spacing w:after="0" w:line="239" w:lineRule="auto"/>
        <w:rPr>
          <w:sz w:val="20"/>
          <w:szCs w:val="20"/>
          <w:color w:val="auto"/>
        </w:rPr>
      </w:pPr>
      <w:r>
        <w:rPr>
          <w:rFonts w:ascii="Calibri" w:cs="Calibri" w:eastAsia="Calibri" w:hAnsi="Calibri"/>
          <w:sz w:val="17"/>
          <w:szCs w:val="17"/>
          <w:color w:val="auto"/>
        </w:rPr>
        <w:t>Mr. Rai has served as our Executve Vice President and Chief Digital Ofcer from October 2021 untl his resignaton in April 2023. He previously served in several leadership roles with us, including as the global co-head of our Analytcs business. Mr. Rai was with EXL since 2006. Prior to joining us, Mr. Rai was a Partner at Inducts.</w:t>
      </w:r>
    </w:p>
    <w:p>
      <w:pPr>
        <w:spacing w:after="0" w:line="200" w:lineRule="exact"/>
        <w:rPr>
          <w:sz w:val="20"/>
          <w:szCs w:val="20"/>
          <w:color w:val="auto"/>
        </w:rPr>
      </w:pPr>
    </w:p>
    <w:p>
      <w:pPr>
        <w:spacing w:after="0" w:line="306"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62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80" w:type="dxa"/>
            <w:vAlign w:val="bottom"/>
          </w:tcPr>
          <w:p>
            <w:pPr>
              <w:jc w:val="right"/>
              <w:spacing w:after="0"/>
              <w:rPr>
                <w:sz w:val="20"/>
                <w:szCs w:val="20"/>
                <w:color w:val="auto"/>
              </w:rPr>
            </w:pPr>
            <w:r>
              <w:rPr>
                <w:rFonts w:ascii="Calibri" w:cs="Calibri" w:eastAsia="Calibri" w:hAnsi="Calibri"/>
                <w:sz w:val="14"/>
                <w:szCs w:val="14"/>
                <w:b w:val="1"/>
                <w:bCs w:val="1"/>
                <w:color w:val="D8D8D8"/>
              </w:rPr>
              <w:t>Executve compensaton</w:t>
            </w:r>
          </w:p>
        </w:tc>
      </w:tr>
      <w:tr>
        <w:trPr>
          <w:trHeight w:val="707"/>
        </w:trPr>
        <w:tc>
          <w:tcPr>
            <w:tcW w:w="4340" w:type="dxa"/>
            <w:vAlign w:val="bottom"/>
            <w:gridSpan w:val="28"/>
          </w:tcPr>
          <w:p>
            <w:pPr>
              <w:spacing w:after="0"/>
              <w:rPr>
                <w:sz w:val="20"/>
                <w:szCs w:val="20"/>
                <w:color w:val="auto"/>
              </w:rPr>
            </w:pPr>
            <w:r>
              <w:rPr>
                <w:rFonts w:ascii="Calibri" w:cs="Calibri" w:eastAsia="Calibri" w:hAnsi="Calibri"/>
                <w:sz w:val="31"/>
                <w:szCs w:val="31"/>
                <w:color w:val="FB4E0B"/>
              </w:rPr>
              <w:t>Executve compensaton</w:t>
            </w:r>
          </w:p>
        </w:tc>
        <w:tc>
          <w:tcPr>
            <w:tcW w:w="6280" w:type="dxa"/>
            <w:vAlign w:val="bottom"/>
          </w:tcPr>
          <w:p>
            <w:pPr>
              <w:spacing w:after="0"/>
              <w:rPr>
                <w:sz w:val="24"/>
                <w:szCs w:val="24"/>
                <w:color w:val="auto"/>
              </w:rPr>
            </w:pPr>
          </w:p>
        </w:tc>
      </w:tr>
      <w:tr>
        <w:trPr>
          <w:trHeight w:val="724"/>
        </w:trPr>
        <w:tc>
          <w:tcPr>
            <w:tcW w:w="4340" w:type="dxa"/>
            <w:vAlign w:val="bottom"/>
            <w:gridSpan w:val="28"/>
          </w:tcPr>
          <w:p>
            <w:pPr>
              <w:spacing w:after="0"/>
              <w:rPr>
                <w:sz w:val="20"/>
                <w:szCs w:val="20"/>
                <w:color w:val="auto"/>
              </w:rPr>
            </w:pPr>
            <w:r>
              <w:rPr>
                <w:rFonts w:ascii="Calibri" w:cs="Calibri" w:eastAsia="Calibri" w:hAnsi="Calibri"/>
                <w:sz w:val="24"/>
                <w:szCs w:val="24"/>
                <w:color w:val="auto"/>
              </w:rPr>
              <w:t>Compensaton Discussion and Analysis</w:t>
            </w:r>
          </w:p>
        </w:tc>
        <w:tc>
          <w:tcPr>
            <w:tcW w:w="6280" w:type="dxa"/>
            <w:vAlign w:val="bottom"/>
          </w:tcPr>
          <w:p>
            <w:pPr>
              <w:spacing w:after="0"/>
              <w:rPr>
                <w:sz w:val="24"/>
                <w:szCs w:val="24"/>
                <w:color w:val="auto"/>
              </w:rPr>
            </w:pPr>
          </w:p>
        </w:tc>
      </w:tr>
      <w:tr>
        <w:trPr>
          <w:trHeight w:val="545"/>
        </w:trPr>
        <w:tc>
          <w:tcPr>
            <w:tcW w:w="4340" w:type="dxa"/>
            <w:vAlign w:val="bottom"/>
            <w:gridSpan w:val="28"/>
          </w:tcPr>
          <w:p>
            <w:pPr>
              <w:spacing w:after="0"/>
              <w:rPr>
                <w:sz w:val="20"/>
                <w:szCs w:val="20"/>
                <w:color w:val="auto"/>
              </w:rPr>
            </w:pPr>
            <w:r>
              <w:rPr>
                <w:rFonts w:ascii="Calibri" w:cs="Calibri" w:eastAsia="Calibri" w:hAnsi="Calibri"/>
                <w:sz w:val="19"/>
                <w:szCs w:val="19"/>
                <w:b w:val="1"/>
                <w:bCs w:val="1"/>
                <w:color w:val="FB4E0B"/>
              </w:rPr>
              <w:t>Table of Contents</w:t>
            </w:r>
          </w:p>
        </w:tc>
        <w:tc>
          <w:tcPr>
            <w:tcW w:w="6280" w:type="dxa"/>
            <w:vAlign w:val="bottom"/>
          </w:tcPr>
          <w:p>
            <w:pPr>
              <w:spacing w:after="0"/>
              <w:rPr>
                <w:sz w:val="24"/>
                <w:szCs w:val="24"/>
                <w:color w:val="auto"/>
              </w:rPr>
            </w:pPr>
          </w:p>
        </w:tc>
      </w:tr>
      <w:tr>
        <w:trPr>
          <w:trHeight w:val="409"/>
        </w:trPr>
        <w:tc>
          <w:tcPr>
            <w:tcW w:w="1640" w:type="dxa"/>
            <w:vAlign w:val="bottom"/>
            <w:tcBorders>
              <w:bottom w:val="single" w:sz="8" w:color="0000EE"/>
            </w:tcBorders>
            <w:gridSpan w:val="12"/>
          </w:tcPr>
          <w:p>
            <w:pPr>
              <w:spacing w:after="0"/>
              <w:rPr>
                <w:sz w:val="20"/>
                <w:szCs w:val="20"/>
                <w:color w:val="auto"/>
              </w:rPr>
            </w:pPr>
            <w:r>
              <w:rPr>
                <w:rFonts w:ascii="Calibri" w:cs="Calibri" w:eastAsia="Calibri" w:hAnsi="Calibri"/>
                <w:sz w:val="16"/>
                <w:szCs w:val="16"/>
                <w:b w:val="1"/>
                <w:bCs w:val="1"/>
                <w:color w:val="0000EE"/>
              </w:rPr>
              <w:t>Named executve ofcers</w:t>
            </w:r>
          </w:p>
        </w:tc>
        <w:tc>
          <w:tcPr>
            <w:tcW w:w="2700" w:type="dxa"/>
            <w:vAlign w:val="bottom"/>
            <w:gridSpan w:val="16"/>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65</w:t>
            </w:r>
          </w:p>
        </w:tc>
      </w:tr>
      <w:tr>
        <w:trPr>
          <w:trHeight w:val="279"/>
        </w:trPr>
        <w:tc>
          <w:tcPr>
            <w:tcW w:w="1280" w:type="dxa"/>
            <w:vAlign w:val="bottom"/>
            <w:tcBorders>
              <w:bottom w:val="single" w:sz="8" w:color="0000EE"/>
            </w:tcBorders>
            <w:gridSpan w:val="7"/>
          </w:tcPr>
          <w:p>
            <w:pPr>
              <w:spacing w:after="0"/>
              <w:rPr>
                <w:sz w:val="20"/>
                <w:szCs w:val="20"/>
                <w:color w:val="auto"/>
              </w:rPr>
            </w:pPr>
            <w:r>
              <w:rPr>
                <w:rFonts w:ascii="Calibri" w:cs="Calibri" w:eastAsia="Calibri" w:hAnsi="Calibri"/>
                <w:sz w:val="16"/>
                <w:szCs w:val="16"/>
                <w:b w:val="1"/>
                <w:bCs w:val="1"/>
                <w:color w:val="0000EE"/>
                <w:w w:val="98"/>
              </w:rPr>
              <w:t>Executve summary</w:t>
            </w:r>
          </w:p>
        </w:tc>
        <w:tc>
          <w:tcPr>
            <w:tcW w:w="3060" w:type="dxa"/>
            <w:vAlign w:val="bottom"/>
            <w:gridSpan w:val="21"/>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65</w:t>
            </w:r>
          </w:p>
        </w:tc>
      </w:tr>
      <w:tr>
        <w:trPr>
          <w:trHeight w:val="279"/>
        </w:trPr>
        <w:tc>
          <w:tcPr>
            <w:tcW w:w="160" w:type="dxa"/>
            <w:vAlign w:val="bottom"/>
          </w:tcPr>
          <w:p>
            <w:pPr>
              <w:spacing w:after="0"/>
              <w:rPr>
                <w:sz w:val="24"/>
                <w:szCs w:val="24"/>
                <w:color w:val="auto"/>
              </w:rPr>
            </w:pPr>
          </w:p>
        </w:tc>
        <w:tc>
          <w:tcPr>
            <w:tcW w:w="2820" w:type="dxa"/>
            <w:vAlign w:val="bottom"/>
            <w:tcBorders>
              <w:bottom w:val="single" w:sz="8" w:color="0000EE"/>
            </w:tcBorders>
            <w:gridSpan w:val="19"/>
          </w:tcPr>
          <w:p>
            <w:pPr>
              <w:spacing w:after="0"/>
              <w:rPr>
                <w:sz w:val="20"/>
                <w:szCs w:val="20"/>
                <w:color w:val="auto"/>
              </w:rPr>
            </w:pPr>
            <w:r>
              <w:rPr>
                <w:rFonts w:ascii="Calibri" w:cs="Calibri" w:eastAsia="Calibri" w:hAnsi="Calibri"/>
                <w:sz w:val="16"/>
                <w:szCs w:val="16"/>
                <w:color w:val="0000EE"/>
                <w:w w:val="98"/>
              </w:rPr>
              <w:t>Select 2022 fnancial and business highlights</w:t>
            </w:r>
          </w:p>
        </w:tc>
        <w:tc>
          <w:tcPr>
            <w:tcW w:w="1360" w:type="dxa"/>
            <w:vAlign w:val="bottom"/>
            <w:gridSpan w:val="8"/>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65</w:t>
            </w:r>
          </w:p>
        </w:tc>
      </w:tr>
      <w:tr>
        <w:trPr>
          <w:trHeight w:val="279"/>
        </w:trPr>
        <w:tc>
          <w:tcPr>
            <w:tcW w:w="160" w:type="dxa"/>
            <w:vAlign w:val="bottom"/>
          </w:tcPr>
          <w:p>
            <w:pPr>
              <w:spacing w:after="0"/>
              <w:rPr>
                <w:sz w:val="24"/>
                <w:szCs w:val="24"/>
                <w:color w:val="auto"/>
              </w:rPr>
            </w:pPr>
          </w:p>
        </w:tc>
        <w:tc>
          <w:tcPr>
            <w:tcW w:w="4180" w:type="dxa"/>
            <w:vAlign w:val="bottom"/>
            <w:gridSpan w:val="27"/>
          </w:tcPr>
          <w:p>
            <w:pPr>
              <w:spacing w:after="0"/>
              <w:rPr>
                <w:sz w:val="20"/>
                <w:szCs w:val="20"/>
                <w:color w:val="auto"/>
              </w:rPr>
            </w:pPr>
            <w:r>
              <w:rPr>
                <w:rFonts w:ascii="Calibri" w:cs="Calibri" w:eastAsia="Calibri" w:hAnsi="Calibri"/>
                <w:sz w:val="16"/>
                <w:szCs w:val="16"/>
                <w:color w:val="0000EE"/>
              </w:rPr>
              <w:t>Total stockholder return</w:t>
            </w:r>
          </w:p>
        </w:tc>
        <w:tc>
          <w:tcPr>
            <w:tcW w:w="628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4180" w:type="dxa"/>
            <w:vAlign w:val="bottom"/>
            <w:gridSpan w:val="27"/>
          </w:tcPr>
          <w:p>
            <w:pPr>
              <w:spacing w:after="0"/>
              <w:rPr>
                <w:sz w:val="20"/>
                <w:szCs w:val="20"/>
                <w:color w:val="auto"/>
              </w:rPr>
            </w:pPr>
            <w:r>
              <w:rPr>
                <w:rFonts w:ascii="Calibri" w:cs="Calibri" w:eastAsia="Calibri" w:hAnsi="Calibri"/>
                <w:sz w:val="16"/>
                <w:szCs w:val="16"/>
                <w:color w:val="0000EE"/>
              </w:rPr>
              <w:t>Awards and industry recogniton</w:t>
            </w:r>
          </w:p>
        </w:tc>
        <w:tc>
          <w:tcPr>
            <w:tcW w:w="628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79"/>
        </w:trPr>
        <w:tc>
          <w:tcPr>
            <w:tcW w:w="160" w:type="dxa"/>
            <w:vAlign w:val="bottom"/>
          </w:tcPr>
          <w:p>
            <w:pPr>
              <w:spacing w:after="0"/>
              <w:rPr>
                <w:sz w:val="24"/>
                <w:szCs w:val="24"/>
                <w:color w:val="auto"/>
              </w:rPr>
            </w:pPr>
          </w:p>
        </w:tc>
        <w:tc>
          <w:tcPr>
            <w:tcW w:w="2060" w:type="dxa"/>
            <w:vAlign w:val="bottom"/>
            <w:tcBorders>
              <w:top w:val="single" w:sz="8" w:color="0000EE"/>
            </w:tcBorders>
            <w:gridSpan w:val="15"/>
          </w:tcPr>
          <w:p>
            <w:pPr>
              <w:spacing w:after="0"/>
              <w:rPr>
                <w:sz w:val="20"/>
                <w:szCs w:val="20"/>
                <w:color w:val="auto"/>
              </w:rPr>
            </w:pPr>
            <w:r>
              <w:rPr>
                <w:rFonts w:ascii="Calibri" w:cs="Calibri" w:eastAsia="Calibri" w:hAnsi="Calibri"/>
                <w:sz w:val="16"/>
                <w:szCs w:val="16"/>
                <w:color w:val="0000EE"/>
              </w:rPr>
              <w:t>Clients and operatons</w:t>
            </w:r>
          </w:p>
        </w:tc>
        <w:tc>
          <w:tcPr>
            <w:tcW w:w="2120" w:type="dxa"/>
            <w:vAlign w:val="bottom"/>
            <w:gridSpan w:val="12"/>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4180" w:type="dxa"/>
            <w:vAlign w:val="bottom"/>
            <w:tcBorders>
              <w:bottom w:val="single" w:sz="8" w:color="0000EE"/>
            </w:tcBorders>
            <w:gridSpan w:val="27"/>
          </w:tcPr>
          <w:p>
            <w:pPr>
              <w:spacing w:after="0"/>
              <w:rPr>
                <w:sz w:val="20"/>
                <w:szCs w:val="20"/>
                <w:color w:val="auto"/>
              </w:rPr>
            </w:pPr>
            <w:r>
              <w:rPr>
                <w:rFonts w:ascii="Calibri" w:cs="Calibri" w:eastAsia="Calibri" w:hAnsi="Calibri"/>
                <w:sz w:val="16"/>
                <w:szCs w:val="16"/>
                <w:color w:val="0000EE"/>
                <w:w w:val="98"/>
              </w:rPr>
              <w:t>Summary of key compensaton consideratons &amp; decisions in 2022</w:t>
            </w:r>
          </w:p>
        </w:tc>
        <w:tc>
          <w:tcPr>
            <w:tcW w:w="6280" w:type="dxa"/>
            <w:vAlign w:val="bottom"/>
          </w:tcPr>
          <w:p>
            <w:pPr>
              <w:jc w:val="right"/>
              <w:spacing w:after="0"/>
              <w:rPr>
                <w:sz w:val="20"/>
                <w:szCs w:val="20"/>
                <w:color w:val="auto"/>
              </w:rPr>
            </w:pPr>
            <w:r>
              <w:rPr>
                <w:rFonts w:ascii="Calibri" w:cs="Calibri" w:eastAsia="Calibri" w:hAnsi="Calibri"/>
                <w:sz w:val="16"/>
                <w:szCs w:val="16"/>
                <w:color w:val="auto"/>
              </w:rPr>
              <w:t>67</w:t>
            </w:r>
          </w:p>
        </w:tc>
      </w:tr>
      <w:tr>
        <w:trPr>
          <w:trHeight w:val="279"/>
        </w:trPr>
        <w:tc>
          <w:tcPr>
            <w:tcW w:w="160" w:type="dxa"/>
            <w:vAlign w:val="bottom"/>
          </w:tcPr>
          <w:p>
            <w:pPr>
              <w:spacing w:after="0"/>
              <w:rPr>
                <w:sz w:val="24"/>
                <w:szCs w:val="24"/>
                <w:color w:val="auto"/>
              </w:rPr>
            </w:pPr>
          </w:p>
        </w:tc>
        <w:tc>
          <w:tcPr>
            <w:tcW w:w="1320" w:type="dxa"/>
            <w:vAlign w:val="bottom"/>
            <w:tcBorders>
              <w:bottom w:val="single" w:sz="8" w:color="0000EE"/>
            </w:tcBorders>
            <w:gridSpan w:val="7"/>
          </w:tcPr>
          <w:p>
            <w:pPr>
              <w:spacing w:after="0"/>
              <w:rPr>
                <w:sz w:val="20"/>
                <w:szCs w:val="20"/>
                <w:color w:val="auto"/>
              </w:rPr>
            </w:pPr>
            <w:r>
              <w:rPr>
                <w:rFonts w:ascii="Calibri" w:cs="Calibri" w:eastAsia="Calibri" w:hAnsi="Calibri"/>
                <w:sz w:val="16"/>
                <w:szCs w:val="16"/>
                <w:color w:val="0000EE"/>
                <w:w w:val="95"/>
              </w:rPr>
              <w:t>Pay-for-performance</w:t>
            </w:r>
          </w:p>
        </w:tc>
        <w:tc>
          <w:tcPr>
            <w:tcW w:w="2860" w:type="dxa"/>
            <w:vAlign w:val="bottom"/>
            <w:gridSpan w:val="20"/>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67</w:t>
            </w:r>
          </w:p>
        </w:tc>
      </w:tr>
      <w:tr>
        <w:trPr>
          <w:trHeight w:val="279"/>
        </w:trPr>
        <w:tc>
          <w:tcPr>
            <w:tcW w:w="4340" w:type="dxa"/>
            <w:vAlign w:val="bottom"/>
            <w:gridSpan w:val="28"/>
          </w:tcPr>
          <w:p>
            <w:pPr>
              <w:spacing w:after="0"/>
              <w:rPr>
                <w:sz w:val="20"/>
                <w:szCs w:val="20"/>
                <w:color w:val="auto"/>
              </w:rPr>
            </w:pPr>
            <w:r>
              <w:rPr>
                <w:rFonts w:ascii="Calibri" w:cs="Calibri" w:eastAsia="Calibri" w:hAnsi="Calibri"/>
                <w:sz w:val="16"/>
                <w:szCs w:val="16"/>
                <w:b w:val="1"/>
                <w:bCs w:val="1"/>
                <w:color w:val="0000EE"/>
              </w:rPr>
              <w:t>Executve compensaton program, practces and policies</w:t>
            </w: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69</w:t>
            </w:r>
          </w:p>
        </w:tc>
      </w:tr>
      <w:tr>
        <w:trPr>
          <w:trHeight w:val="279"/>
        </w:trPr>
        <w:tc>
          <w:tcPr>
            <w:tcW w:w="3400" w:type="dxa"/>
            <w:vAlign w:val="bottom"/>
            <w:tcBorders>
              <w:top w:val="single" w:sz="8" w:color="0000EE"/>
              <w:bottom w:val="single" w:sz="8" w:color="0000EE"/>
            </w:tcBorders>
            <w:gridSpan w:val="24"/>
          </w:tcPr>
          <w:p>
            <w:pPr>
              <w:spacing w:after="0"/>
              <w:rPr>
                <w:sz w:val="20"/>
                <w:szCs w:val="20"/>
                <w:color w:val="auto"/>
              </w:rPr>
            </w:pPr>
            <w:r>
              <w:rPr>
                <w:rFonts w:ascii="Calibri" w:cs="Calibri" w:eastAsia="Calibri" w:hAnsi="Calibri"/>
                <w:sz w:val="16"/>
                <w:szCs w:val="16"/>
                <w:b w:val="1"/>
                <w:bCs w:val="1"/>
                <w:color w:val="0000EE"/>
                <w:w w:val="97"/>
              </w:rPr>
              <w:t>Overview of compensaton policies and philosophies</w:t>
            </w:r>
          </w:p>
        </w:tc>
        <w:tc>
          <w:tcPr>
            <w:tcW w:w="200" w:type="dxa"/>
            <w:vAlign w:val="bottom"/>
            <w:tcBorders>
              <w:top w:val="single" w:sz="8" w:color="0000EE"/>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71</w:t>
            </w:r>
          </w:p>
        </w:tc>
      </w:tr>
      <w:tr>
        <w:trPr>
          <w:trHeight w:val="279"/>
        </w:trPr>
        <w:tc>
          <w:tcPr>
            <w:tcW w:w="4340" w:type="dxa"/>
            <w:vAlign w:val="bottom"/>
            <w:gridSpan w:val="28"/>
          </w:tcPr>
          <w:p>
            <w:pPr>
              <w:spacing w:after="0"/>
              <w:rPr>
                <w:sz w:val="20"/>
                <w:szCs w:val="20"/>
                <w:color w:val="auto"/>
              </w:rPr>
            </w:pPr>
            <w:r>
              <w:rPr>
                <w:rFonts w:ascii="Calibri" w:cs="Calibri" w:eastAsia="Calibri" w:hAnsi="Calibri"/>
                <w:sz w:val="16"/>
                <w:szCs w:val="16"/>
                <w:b w:val="1"/>
                <w:bCs w:val="1"/>
                <w:color w:val="0000EE"/>
              </w:rPr>
              <w:t>Compensaton process: roles and responsibilites</w:t>
            </w: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72</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9"/>
        </w:trPr>
        <w:tc>
          <w:tcPr>
            <w:tcW w:w="4340" w:type="dxa"/>
            <w:vAlign w:val="bottom"/>
            <w:gridSpan w:val="28"/>
          </w:tcPr>
          <w:p>
            <w:pPr>
              <w:spacing w:after="0"/>
              <w:rPr>
                <w:sz w:val="20"/>
                <w:szCs w:val="20"/>
                <w:color w:val="auto"/>
              </w:rPr>
            </w:pPr>
            <w:r>
              <w:rPr>
                <w:rFonts w:ascii="Calibri" w:cs="Calibri" w:eastAsia="Calibri" w:hAnsi="Calibri"/>
                <w:sz w:val="16"/>
                <w:szCs w:val="16"/>
                <w:b w:val="1"/>
                <w:bCs w:val="1"/>
                <w:color w:val="0000EE"/>
              </w:rPr>
              <w:t>Components of executve compensaton for 2022</w:t>
            </w: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74</w:t>
            </w:r>
          </w:p>
        </w:tc>
      </w:tr>
      <w:tr>
        <w:trPr>
          <w:trHeight w:val="279"/>
        </w:trPr>
        <w:tc>
          <w:tcPr>
            <w:tcW w:w="2980" w:type="dxa"/>
            <w:vAlign w:val="bottom"/>
            <w:tcBorders>
              <w:top w:val="single" w:sz="8" w:color="0000EE"/>
              <w:bottom w:val="single" w:sz="8" w:color="0000EE"/>
            </w:tcBorders>
            <w:gridSpan w:val="20"/>
          </w:tcPr>
          <w:p>
            <w:pPr>
              <w:spacing w:after="0"/>
              <w:rPr>
                <w:sz w:val="20"/>
                <w:szCs w:val="20"/>
                <w:color w:val="auto"/>
              </w:rPr>
            </w:pPr>
            <w:r>
              <w:rPr>
                <w:rFonts w:ascii="Calibri" w:cs="Calibri" w:eastAsia="Calibri" w:hAnsi="Calibri"/>
                <w:sz w:val="16"/>
                <w:szCs w:val="16"/>
                <w:b w:val="1"/>
                <w:bCs w:val="1"/>
                <w:color w:val="0000EE"/>
                <w:w w:val="97"/>
              </w:rPr>
              <w:t>Detailed review of compensaton components</w:t>
            </w:r>
          </w:p>
        </w:tc>
        <w:tc>
          <w:tcPr>
            <w:tcW w:w="180" w:type="dxa"/>
            <w:vAlign w:val="bottom"/>
            <w:tcBorders>
              <w:top w:val="single" w:sz="8" w:color="0000EE"/>
            </w:tcBorders>
            <w:gridSpan w:val="2"/>
          </w:tcPr>
          <w:p>
            <w:pPr>
              <w:spacing w:after="0"/>
              <w:rPr>
                <w:sz w:val="24"/>
                <w:szCs w:val="24"/>
                <w:color w:val="auto"/>
              </w:rPr>
            </w:pPr>
          </w:p>
        </w:tc>
        <w:tc>
          <w:tcPr>
            <w:tcW w:w="1180" w:type="dxa"/>
            <w:vAlign w:val="bottom"/>
            <w:gridSpan w:val="6"/>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75</w:t>
            </w:r>
          </w:p>
        </w:tc>
      </w:tr>
      <w:tr>
        <w:trPr>
          <w:trHeight w:val="279"/>
        </w:trPr>
        <w:tc>
          <w:tcPr>
            <w:tcW w:w="16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color w:val="0000EE"/>
                <w:w w:val="96"/>
              </w:rPr>
              <w:t>Base salary</w:t>
            </w:r>
          </w:p>
        </w:tc>
        <w:tc>
          <w:tcPr>
            <w:tcW w:w="3460" w:type="dxa"/>
            <w:vAlign w:val="bottom"/>
            <w:gridSpan w:val="25"/>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75</w:t>
            </w:r>
          </w:p>
        </w:tc>
      </w:tr>
      <w:tr>
        <w:trPr>
          <w:trHeight w:val="279"/>
        </w:trPr>
        <w:tc>
          <w:tcPr>
            <w:tcW w:w="160" w:type="dxa"/>
            <w:vAlign w:val="bottom"/>
          </w:tcPr>
          <w:p>
            <w:pPr>
              <w:spacing w:after="0"/>
              <w:rPr>
                <w:sz w:val="24"/>
                <w:szCs w:val="24"/>
                <w:color w:val="auto"/>
              </w:rPr>
            </w:pPr>
          </w:p>
        </w:tc>
        <w:tc>
          <w:tcPr>
            <w:tcW w:w="4180" w:type="dxa"/>
            <w:vAlign w:val="bottom"/>
            <w:gridSpan w:val="27"/>
          </w:tcPr>
          <w:p>
            <w:pPr>
              <w:spacing w:after="0"/>
              <w:rPr>
                <w:sz w:val="20"/>
                <w:szCs w:val="20"/>
                <w:color w:val="auto"/>
              </w:rPr>
            </w:pPr>
            <w:r>
              <w:rPr>
                <w:rFonts w:ascii="Calibri" w:cs="Calibri" w:eastAsia="Calibri" w:hAnsi="Calibri"/>
                <w:sz w:val="16"/>
                <w:szCs w:val="16"/>
                <w:color w:val="0000EE"/>
              </w:rPr>
              <w:t>Annual incentves</w:t>
            </w:r>
          </w:p>
        </w:tc>
        <w:tc>
          <w:tcPr>
            <w:tcW w:w="6280" w:type="dxa"/>
            <w:vAlign w:val="bottom"/>
          </w:tcPr>
          <w:p>
            <w:pPr>
              <w:jc w:val="right"/>
              <w:spacing w:after="0"/>
              <w:rPr>
                <w:sz w:val="20"/>
                <w:szCs w:val="20"/>
                <w:color w:val="auto"/>
              </w:rPr>
            </w:pPr>
            <w:r>
              <w:rPr>
                <w:rFonts w:ascii="Calibri" w:cs="Calibri" w:eastAsia="Calibri" w:hAnsi="Calibri"/>
                <w:sz w:val="16"/>
                <w:szCs w:val="16"/>
                <w:color w:val="auto"/>
              </w:rPr>
              <w:t>76</w:t>
            </w:r>
          </w:p>
        </w:tc>
      </w:tr>
      <w:tr>
        <w:trPr>
          <w:trHeight w:val="20"/>
        </w:trPr>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1780" w:type="dxa"/>
            <w:vAlign w:val="bottom"/>
            <w:tcBorders>
              <w:bottom w:val="single" w:sz="8" w:color="0000EE"/>
            </w:tcBorders>
            <w:gridSpan w:val="13"/>
          </w:tcPr>
          <w:p>
            <w:pPr>
              <w:spacing w:after="0"/>
              <w:rPr>
                <w:sz w:val="20"/>
                <w:szCs w:val="20"/>
                <w:color w:val="auto"/>
              </w:rPr>
            </w:pPr>
            <w:r>
              <w:rPr>
                <w:rFonts w:ascii="Calibri" w:cs="Calibri" w:eastAsia="Calibri" w:hAnsi="Calibri"/>
                <w:sz w:val="16"/>
                <w:szCs w:val="16"/>
                <w:color w:val="0000EE"/>
                <w:w w:val="98"/>
              </w:rPr>
              <w:t>Long-term equity incentves</w:t>
            </w:r>
          </w:p>
        </w:tc>
        <w:tc>
          <w:tcPr>
            <w:tcW w:w="2400" w:type="dxa"/>
            <w:vAlign w:val="bottom"/>
            <w:gridSpan w:val="14"/>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80</w:t>
            </w:r>
          </w:p>
        </w:tc>
      </w:tr>
      <w:tr>
        <w:trPr>
          <w:trHeight w:val="279"/>
        </w:trPr>
        <w:tc>
          <w:tcPr>
            <w:tcW w:w="4340" w:type="dxa"/>
            <w:vAlign w:val="bottom"/>
            <w:gridSpan w:val="28"/>
          </w:tcPr>
          <w:p>
            <w:pPr>
              <w:spacing w:after="0"/>
              <w:rPr>
                <w:sz w:val="20"/>
                <w:szCs w:val="20"/>
                <w:color w:val="auto"/>
              </w:rPr>
            </w:pPr>
            <w:r>
              <w:rPr>
                <w:rFonts w:ascii="Calibri" w:cs="Calibri" w:eastAsia="Calibri" w:hAnsi="Calibri"/>
                <w:sz w:val="16"/>
                <w:szCs w:val="16"/>
                <w:b w:val="1"/>
                <w:bCs w:val="1"/>
                <w:color w:val="0000EE"/>
              </w:rPr>
              <w:t>Fiscal year 2022 awards</w:t>
            </w: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9"/>
        </w:trPr>
        <w:tc>
          <w:tcPr>
            <w:tcW w:w="2920" w:type="dxa"/>
            <w:vAlign w:val="bottom"/>
            <w:tcBorders>
              <w:bottom w:val="single" w:sz="8" w:color="0000EE"/>
            </w:tcBorders>
            <w:gridSpan w:val="19"/>
          </w:tcPr>
          <w:p>
            <w:pPr>
              <w:spacing w:after="0"/>
              <w:rPr>
                <w:sz w:val="20"/>
                <w:szCs w:val="20"/>
                <w:color w:val="auto"/>
              </w:rPr>
            </w:pPr>
            <w:r>
              <w:rPr>
                <w:rFonts w:ascii="Calibri" w:cs="Calibri" w:eastAsia="Calibri" w:hAnsi="Calibri"/>
                <w:sz w:val="16"/>
                <w:szCs w:val="16"/>
                <w:b w:val="1"/>
                <w:bCs w:val="1"/>
                <w:color w:val="0000EE"/>
                <w:w w:val="97"/>
              </w:rPr>
              <w:t>Payout of awards granted in prior fscal years</w:t>
            </w:r>
          </w:p>
        </w:tc>
        <w:tc>
          <w:tcPr>
            <w:tcW w:w="1420" w:type="dxa"/>
            <w:vAlign w:val="bottom"/>
            <w:gridSpan w:val="9"/>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79"/>
        </w:trPr>
        <w:tc>
          <w:tcPr>
            <w:tcW w:w="1580" w:type="dxa"/>
            <w:vAlign w:val="bottom"/>
            <w:tcBorders>
              <w:bottom w:val="single" w:sz="8" w:color="0000EE"/>
            </w:tcBorders>
            <w:gridSpan w:val="10"/>
          </w:tcPr>
          <w:p>
            <w:pPr>
              <w:spacing w:after="0"/>
              <w:rPr>
                <w:sz w:val="20"/>
                <w:szCs w:val="20"/>
                <w:color w:val="auto"/>
              </w:rPr>
            </w:pPr>
            <w:r>
              <w:rPr>
                <w:rFonts w:ascii="Calibri" w:cs="Calibri" w:eastAsia="Calibri" w:hAnsi="Calibri"/>
                <w:sz w:val="16"/>
                <w:szCs w:val="16"/>
                <w:b w:val="1"/>
                <w:bCs w:val="1"/>
                <w:color w:val="0000EE"/>
                <w:w w:val="98"/>
              </w:rPr>
              <w:t>Benefts and perquisites</w:t>
            </w:r>
          </w:p>
        </w:tc>
        <w:tc>
          <w:tcPr>
            <w:tcW w:w="2760" w:type="dxa"/>
            <w:vAlign w:val="bottom"/>
            <w:gridSpan w:val="18"/>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79"/>
        </w:trPr>
        <w:tc>
          <w:tcPr>
            <w:tcW w:w="2020" w:type="dxa"/>
            <w:vAlign w:val="bottom"/>
            <w:tcBorders>
              <w:bottom w:val="single" w:sz="8" w:color="0000EE"/>
            </w:tcBorders>
            <w:gridSpan w:val="15"/>
          </w:tcPr>
          <w:p>
            <w:pPr>
              <w:spacing w:after="0"/>
              <w:rPr>
                <w:sz w:val="20"/>
                <w:szCs w:val="20"/>
                <w:color w:val="auto"/>
              </w:rPr>
            </w:pPr>
            <w:r>
              <w:rPr>
                <w:rFonts w:ascii="Calibri" w:cs="Calibri" w:eastAsia="Calibri" w:hAnsi="Calibri"/>
                <w:sz w:val="16"/>
                <w:szCs w:val="16"/>
                <w:b w:val="1"/>
                <w:bCs w:val="1"/>
                <w:color w:val="0000EE"/>
                <w:w w:val="98"/>
              </w:rPr>
              <w:t>Risk and compensaton policies</w:t>
            </w:r>
          </w:p>
        </w:tc>
        <w:tc>
          <w:tcPr>
            <w:tcW w:w="2320" w:type="dxa"/>
            <w:vAlign w:val="bottom"/>
            <w:gridSpan w:val="13"/>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79"/>
        </w:trPr>
        <w:tc>
          <w:tcPr>
            <w:tcW w:w="2680" w:type="dxa"/>
            <w:vAlign w:val="bottom"/>
            <w:tcBorders>
              <w:bottom w:val="single" w:sz="8" w:color="0000EE"/>
            </w:tcBorders>
            <w:gridSpan w:val="17"/>
          </w:tcPr>
          <w:p>
            <w:pPr>
              <w:spacing w:after="0"/>
              <w:rPr>
                <w:sz w:val="20"/>
                <w:szCs w:val="20"/>
                <w:color w:val="auto"/>
              </w:rPr>
            </w:pPr>
            <w:r>
              <w:rPr>
                <w:rFonts w:ascii="Calibri" w:cs="Calibri" w:eastAsia="Calibri" w:hAnsi="Calibri"/>
                <w:sz w:val="16"/>
                <w:szCs w:val="16"/>
                <w:b w:val="1"/>
                <w:bCs w:val="1"/>
                <w:color w:val="0000EE"/>
                <w:w w:val="97"/>
              </w:rPr>
              <w:t>Severance and change-in-control benefts</w:t>
            </w:r>
          </w:p>
        </w:tc>
        <w:tc>
          <w:tcPr>
            <w:tcW w:w="1660" w:type="dxa"/>
            <w:vAlign w:val="bottom"/>
            <w:gridSpan w:val="11"/>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84</w:t>
            </w:r>
          </w:p>
        </w:tc>
      </w:tr>
      <w:tr>
        <w:trPr>
          <w:trHeight w:val="279"/>
        </w:trPr>
        <w:tc>
          <w:tcPr>
            <w:tcW w:w="290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rPr>
              <w:t>Deductbility cap on executve compensaton</w:t>
            </w:r>
          </w:p>
        </w:tc>
        <w:tc>
          <w:tcPr>
            <w:tcW w:w="1440" w:type="dxa"/>
            <w:vAlign w:val="bottom"/>
            <w:gridSpan w:val="10"/>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85</w:t>
            </w:r>
          </w:p>
        </w:tc>
      </w:tr>
      <w:tr>
        <w:trPr>
          <w:trHeight w:val="279"/>
        </w:trPr>
        <w:tc>
          <w:tcPr>
            <w:tcW w:w="3780" w:type="dxa"/>
            <w:vAlign w:val="bottom"/>
            <w:tcBorders>
              <w:bottom w:val="single" w:sz="8" w:color="0000EE"/>
            </w:tcBorders>
            <w:gridSpan w:val="27"/>
          </w:tcPr>
          <w:p>
            <w:pPr>
              <w:spacing w:after="0"/>
              <w:rPr>
                <w:sz w:val="20"/>
                <w:szCs w:val="20"/>
                <w:color w:val="auto"/>
              </w:rPr>
            </w:pPr>
            <w:r>
              <w:rPr>
                <w:rFonts w:ascii="Calibri" w:cs="Calibri" w:eastAsia="Calibri" w:hAnsi="Calibri"/>
                <w:sz w:val="16"/>
                <w:szCs w:val="16"/>
                <w:b w:val="1"/>
                <w:bCs w:val="1"/>
                <w:color w:val="0000EE"/>
                <w:w w:val="98"/>
              </w:rPr>
              <w:t>Compensaton and Talent Management Commitee Report</w:t>
            </w:r>
          </w:p>
        </w:tc>
        <w:tc>
          <w:tcPr>
            <w:tcW w:w="560" w:type="dxa"/>
            <w:vAlign w:val="bottom"/>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86</w:t>
            </w:r>
          </w:p>
        </w:tc>
      </w:tr>
      <w:tr>
        <w:trPr>
          <w:trHeight w:val="279"/>
        </w:trPr>
        <w:tc>
          <w:tcPr>
            <w:tcW w:w="3200" w:type="dxa"/>
            <w:vAlign w:val="bottom"/>
            <w:tcBorders>
              <w:bottom w:val="single" w:sz="8" w:color="0000EE"/>
            </w:tcBorders>
            <w:gridSpan w:val="23"/>
          </w:tcPr>
          <w:p>
            <w:pPr>
              <w:spacing w:after="0"/>
              <w:rPr>
                <w:sz w:val="20"/>
                <w:szCs w:val="20"/>
                <w:color w:val="auto"/>
              </w:rPr>
            </w:pPr>
            <w:r>
              <w:rPr>
                <w:rFonts w:ascii="Calibri" w:cs="Calibri" w:eastAsia="Calibri" w:hAnsi="Calibri"/>
                <w:sz w:val="16"/>
                <w:szCs w:val="16"/>
                <w:b w:val="1"/>
                <w:bCs w:val="1"/>
                <w:color w:val="0000EE"/>
                <w:w w:val="99"/>
              </w:rPr>
              <w:t>Summary compensaton table for fscal year 2022</w:t>
            </w:r>
          </w:p>
        </w:tc>
        <w:tc>
          <w:tcPr>
            <w:tcW w:w="1140" w:type="dxa"/>
            <w:vAlign w:val="bottom"/>
            <w:gridSpan w:val="5"/>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87</w:t>
            </w:r>
          </w:p>
        </w:tc>
      </w:tr>
      <w:tr>
        <w:trPr>
          <w:trHeight w:val="279"/>
        </w:trPr>
        <w:tc>
          <w:tcPr>
            <w:tcW w:w="4340" w:type="dxa"/>
            <w:vAlign w:val="bottom"/>
            <w:gridSpan w:val="28"/>
          </w:tcPr>
          <w:p>
            <w:pPr>
              <w:spacing w:after="0"/>
              <w:rPr>
                <w:sz w:val="20"/>
                <w:szCs w:val="20"/>
                <w:color w:val="auto"/>
              </w:rPr>
            </w:pPr>
            <w:r>
              <w:rPr>
                <w:rFonts w:ascii="Calibri" w:cs="Calibri" w:eastAsia="Calibri" w:hAnsi="Calibri"/>
                <w:sz w:val="16"/>
                <w:szCs w:val="16"/>
                <w:b w:val="1"/>
                <w:bCs w:val="1"/>
                <w:color w:val="0000EE"/>
              </w:rPr>
              <w:t>Grants of plan-based awards table for fscal year 2022</w:t>
            </w: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89</w:t>
            </w:r>
          </w:p>
        </w:tc>
      </w:tr>
      <w:tr>
        <w:trPr>
          <w:trHeight w:val="279"/>
        </w:trPr>
        <w:tc>
          <w:tcPr>
            <w:tcW w:w="3460" w:type="dxa"/>
            <w:vAlign w:val="bottom"/>
            <w:tcBorders>
              <w:top w:val="single" w:sz="8" w:color="0000EE"/>
            </w:tcBorders>
            <w:gridSpan w:val="25"/>
          </w:tcPr>
          <w:p>
            <w:pPr>
              <w:spacing w:after="0"/>
              <w:rPr>
                <w:sz w:val="20"/>
                <w:szCs w:val="20"/>
                <w:color w:val="auto"/>
              </w:rPr>
            </w:pPr>
            <w:r>
              <w:rPr>
                <w:rFonts w:ascii="Calibri" w:cs="Calibri" w:eastAsia="Calibri" w:hAnsi="Calibri"/>
                <w:sz w:val="16"/>
                <w:szCs w:val="16"/>
                <w:b w:val="1"/>
                <w:bCs w:val="1"/>
                <w:color w:val="0000EE"/>
              </w:rPr>
              <w:t>Employment agreements</w:t>
            </w:r>
          </w:p>
        </w:tc>
        <w:tc>
          <w:tcPr>
            <w:tcW w:w="880" w:type="dxa"/>
            <w:vAlign w:val="bottom"/>
            <w:gridSpan w:val="3"/>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79"/>
        </w:trPr>
        <w:tc>
          <w:tcPr>
            <w:tcW w:w="160" w:type="dxa"/>
            <w:vAlign w:val="bottom"/>
            <w:tcBorders>
              <w:top w:val="single" w:sz="8" w:color="0000EE"/>
            </w:tcBorders>
          </w:tcPr>
          <w:p>
            <w:pPr>
              <w:spacing w:after="0"/>
              <w:rPr>
                <w:sz w:val="24"/>
                <w:szCs w:val="24"/>
                <w:color w:val="auto"/>
              </w:rPr>
            </w:pPr>
          </w:p>
        </w:tc>
        <w:tc>
          <w:tcPr>
            <w:tcW w:w="840" w:type="dxa"/>
            <w:vAlign w:val="bottom"/>
            <w:tcBorders>
              <w:top w:val="single" w:sz="8" w:color="0000EE"/>
              <w:bottom w:val="single" w:sz="8" w:color="0000EE"/>
            </w:tcBorders>
            <w:gridSpan w:val="5"/>
          </w:tcPr>
          <w:p>
            <w:pPr>
              <w:spacing w:after="0"/>
              <w:rPr>
                <w:sz w:val="20"/>
                <w:szCs w:val="20"/>
                <w:color w:val="auto"/>
              </w:rPr>
            </w:pPr>
            <w:r>
              <w:rPr>
                <w:rFonts w:ascii="Calibri" w:cs="Calibri" w:eastAsia="Calibri" w:hAnsi="Calibri"/>
                <w:sz w:val="16"/>
                <w:szCs w:val="16"/>
                <w:color w:val="0000EE"/>
                <w:w w:val="96"/>
              </w:rPr>
              <w:t>Rohit Kapoor</w:t>
            </w:r>
          </w:p>
        </w:tc>
        <w:tc>
          <w:tcPr>
            <w:tcW w:w="620" w:type="dxa"/>
            <w:vAlign w:val="bottom"/>
            <w:tcBorders>
              <w:top w:val="single" w:sz="8" w:color="0000EE"/>
            </w:tcBorders>
            <w:gridSpan w:val="5"/>
          </w:tcPr>
          <w:p>
            <w:pPr>
              <w:spacing w:after="0"/>
              <w:rPr>
                <w:sz w:val="24"/>
                <w:szCs w:val="24"/>
                <w:color w:val="auto"/>
              </w:rPr>
            </w:pPr>
          </w:p>
        </w:tc>
        <w:tc>
          <w:tcPr>
            <w:tcW w:w="2720" w:type="dxa"/>
            <w:vAlign w:val="bottom"/>
            <w:gridSpan w:val="17"/>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90</w:t>
            </w:r>
          </w:p>
        </w:tc>
      </w:tr>
      <w:tr>
        <w:trPr>
          <w:trHeight w:val="279"/>
        </w:trPr>
        <w:tc>
          <w:tcPr>
            <w:tcW w:w="160" w:type="dxa"/>
            <w:vAlign w:val="bottom"/>
          </w:tcPr>
          <w:p>
            <w:pPr>
              <w:spacing w:after="0"/>
              <w:rPr>
                <w:sz w:val="24"/>
                <w:szCs w:val="24"/>
                <w:color w:val="auto"/>
              </w:rPr>
            </w:pPr>
          </w:p>
        </w:tc>
        <w:tc>
          <w:tcPr>
            <w:tcW w:w="4180" w:type="dxa"/>
            <w:vAlign w:val="bottom"/>
            <w:gridSpan w:val="27"/>
          </w:tcPr>
          <w:p>
            <w:pPr>
              <w:spacing w:after="0"/>
              <w:rPr>
                <w:sz w:val="20"/>
                <w:szCs w:val="20"/>
                <w:color w:val="auto"/>
              </w:rPr>
            </w:pPr>
            <w:r>
              <w:rPr>
                <w:rFonts w:ascii="Calibri" w:cs="Calibri" w:eastAsia="Calibri" w:hAnsi="Calibri"/>
                <w:sz w:val="16"/>
                <w:szCs w:val="16"/>
                <w:color w:val="0000EE"/>
              </w:rPr>
              <w:t>Maurizio Nicolelli</w:t>
            </w:r>
          </w:p>
        </w:tc>
        <w:tc>
          <w:tcPr>
            <w:tcW w:w="6280" w:type="dxa"/>
            <w:vAlign w:val="bottom"/>
          </w:tcPr>
          <w:p>
            <w:pPr>
              <w:jc w:val="right"/>
              <w:spacing w:after="0"/>
              <w:rPr>
                <w:sz w:val="20"/>
                <w:szCs w:val="20"/>
                <w:color w:val="auto"/>
              </w:rPr>
            </w:pPr>
            <w:r>
              <w:rPr>
                <w:rFonts w:ascii="Calibri" w:cs="Calibri" w:eastAsia="Calibri" w:hAnsi="Calibri"/>
                <w:sz w:val="16"/>
                <w:szCs w:val="16"/>
                <w:color w:val="auto"/>
              </w:rPr>
              <w:t>91</w:t>
            </w:r>
          </w:p>
        </w:tc>
      </w:tr>
      <w:tr>
        <w:trPr>
          <w:trHeight w:val="279"/>
        </w:trPr>
        <w:tc>
          <w:tcPr>
            <w:tcW w:w="160" w:type="dxa"/>
            <w:vAlign w:val="bottom"/>
          </w:tcPr>
          <w:p>
            <w:pPr>
              <w:spacing w:after="0"/>
              <w:rPr>
                <w:sz w:val="24"/>
                <w:szCs w:val="24"/>
                <w:color w:val="auto"/>
              </w:rPr>
            </w:pPr>
          </w:p>
        </w:tc>
        <w:tc>
          <w:tcPr>
            <w:tcW w:w="1120" w:type="dxa"/>
            <w:vAlign w:val="bottom"/>
            <w:tcBorders>
              <w:top w:val="single" w:sz="8" w:color="0000EE"/>
            </w:tcBorders>
            <w:gridSpan w:val="6"/>
          </w:tcPr>
          <w:p>
            <w:pPr>
              <w:spacing w:after="0"/>
              <w:rPr>
                <w:sz w:val="20"/>
                <w:szCs w:val="20"/>
                <w:color w:val="auto"/>
              </w:rPr>
            </w:pPr>
            <w:r>
              <w:rPr>
                <w:rFonts w:ascii="Calibri" w:cs="Calibri" w:eastAsia="Calibri" w:hAnsi="Calibri"/>
                <w:sz w:val="16"/>
                <w:szCs w:val="16"/>
                <w:color w:val="0000EE"/>
              </w:rPr>
              <w:t>Vikas Bhalla</w:t>
            </w:r>
          </w:p>
        </w:tc>
        <w:tc>
          <w:tcPr>
            <w:tcW w:w="3060" w:type="dxa"/>
            <w:vAlign w:val="bottom"/>
            <w:gridSpan w:val="21"/>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91</w:t>
            </w:r>
          </w:p>
        </w:tc>
      </w:tr>
      <w:tr>
        <w:trPr>
          <w:trHeight w:val="279"/>
        </w:trPr>
        <w:tc>
          <w:tcPr>
            <w:tcW w:w="16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sz w:val="20"/>
                <w:szCs w:val="20"/>
                <w:color w:val="auto"/>
              </w:rPr>
            </w:pPr>
            <w:r>
              <w:rPr>
                <w:rFonts w:ascii="Calibri" w:cs="Calibri" w:eastAsia="Calibri" w:hAnsi="Calibri"/>
                <w:sz w:val="16"/>
                <w:szCs w:val="16"/>
                <w:color w:val="0000EE"/>
                <w:w w:val="97"/>
              </w:rPr>
              <w:t>Vivek Jetley</w:t>
            </w:r>
          </w:p>
        </w:tc>
        <w:tc>
          <w:tcPr>
            <w:tcW w:w="3420" w:type="dxa"/>
            <w:vAlign w:val="bottom"/>
            <w:gridSpan w:val="23"/>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92</w:t>
            </w:r>
          </w:p>
        </w:tc>
      </w:tr>
      <w:tr>
        <w:trPr>
          <w:trHeight w:val="279"/>
        </w:trPr>
        <w:tc>
          <w:tcPr>
            <w:tcW w:w="160" w:type="dxa"/>
            <w:vAlign w:val="bottom"/>
          </w:tcPr>
          <w:p>
            <w:pPr>
              <w:spacing w:after="0"/>
              <w:rPr>
                <w:sz w:val="24"/>
                <w:szCs w:val="24"/>
                <w:color w:val="auto"/>
              </w:rPr>
            </w:pPr>
          </w:p>
        </w:tc>
        <w:tc>
          <w:tcPr>
            <w:tcW w:w="620" w:type="dxa"/>
            <w:vAlign w:val="bottom"/>
            <w:tcBorders>
              <w:top w:val="single" w:sz="8" w:color="0000EE"/>
              <w:bottom w:val="single" w:sz="8" w:color="0000EE"/>
            </w:tcBorders>
          </w:tcPr>
          <w:p>
            <w:pPr>
              <w:spacing w:after="0"/>
              <w:rPr>
                <w:sz w:val="20"/>
                <w:szCs w:val="20"/>
                <w:color w:val="auto"/>
              </w:rPr>
            </w:pPr>
            <w:r>
              <w:rPr>
                <w:rFonts w:ascii="Calibri" w:cs="Calibri" w:eastAsia="Calibri" w:hAnsi="Calibri"/>
                <w:sz w:val="16"/>
                <w:szCs w:val="16"/>
                <w:color w:val="0000EE"/>
                <w:w w:val="95"/>
              </w:rPr>
              <w:t>Ankor Rai</w:t>
            </w:r>
          </w:p>
        </w:tc>
        <w:tc>
          <w:tcPr>
            <w:tcW w:w="120" w:type="dxa"/>
            <w:vAlign w:val="bottom"/>
            <w:tcBorders>
              <w:top w:val="single" w:sz="8" w:color="0000EE"/>
            </w:tcBorders>
            <w:gridSpan w:val="2"/>
          </w:tcPr>
          <w:p>
            <w:pPr>
              <w:spacing w:after="0"/>
              <w:rPr>
                <w:sz w:val="24"/>
                <w:szCs w:val="24"/>
                <w:color w:val="auto"/>
              </w:rPr>
            </w:pPr>
          </w:p>
        </w:tc>
        <w:tc>
          <w:tcPr>
            <w:tcW w:w="3440" w:type="dxa"/>
            <w:vAlign w:val="bottom"/>
            <w:gridSpan w:val="24"/>
          </w:tcPr>
          <w:p>
            <w:pPr>
              <w:spacing w:after="0"/>
              <w:rPr>
                <w:sz w:val="24"/>
                <w:szCs w:val="24"/>
                <w:color w:val="auto"/>
              </w:rPr>
            </w:pPr>
          </w:p>
        </w:tc>
        <w:tc>
          <w:tcPr>
            <w:tcW w:w="6280" w:type="dxa"/>
            <w:vAlign w:val="bottom"/>
          </w:tcPr>
          <w:p>
            <w:pPr>
              <w:jc w:val="right"/>
              <w:spacing w:after="0"/>
              <w:rPr>
                <w:sz w:val="20"/>
                <w:szCs w:val="20"/>
                <w:color w:val="auto"/>
              </w:rPr>
            </w:pPr>
            <w:r>
              <w:rPr>
                <w:rFonts w:ascii="Calibri" w:cs="Calibri" w:eastAsia="Calibri" w:hAnsi="Calibri"/>
                <w:sz w:val="16"/>
                <w:szCs w:val="16"/>
                <w:color w:val="auto"/>
              </w:rPr>
              <w:t>92</w:t>
            </w:r>
          </w:p>
        </w:tc>
      </w:tr>
    </w:tbl>
    <w:p>
      <w:pPr>
        <w:spacing w:after="0" w:line="200" w:lineRule="exact"/>
        <w:rPr>
          <w:sz w:val="20"/>
          <w:szCs w:val="20"/>
          <w:color w:val="auto"/>
        </w:rPr>
      </w:pPr>
    </w:p>
    <w:p>
      <w:pPr>
        <w:sectPr>
          <w:pgSz w:w="11900" w:h="16838" w:orient="portrait"/>
          <w:cols w:equalWidth="0" w:num="1">
            <w:col w:w="10940"/>
          </w:cols>
          <w:pgMar w:left="320" w:top="471" w:right="639" w:bottom="1440" w:gutter="0" w:footer="0" w:header="0"/>
        </w:sectPr>
      </w:pPr>
    </w:p>
    <w:p>
      <w:pPr>
        <w:spacing w:after="0" w:line="112"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63</w:t>
      </w:r>
    </w:p>
    <w:p>
      <w:pPr>
        <w:sectPr>
          <w:pgSz w:w="11900" w:h="16838" w:orient="portrait"/>
          <w:cols w:equalWidth="0" w:num="1">
            <w:col w:w="10940"/>
          </w:cols>
          <w:pgMar w:left="320" w:top="471" w:right="6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200" w:lineRule="exact"/>
        <w:rPr>
          <w:sz w:val="20"/>
          <w:szCs w:val="20"/>
          <w:color w:val="auto"/>
        </w:rPr>
      </w:pP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24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7"/>
              </w:rPr>
              <w:t>Outstanding equity awards at fscal 2022 year-end</w:t>
            </w:r>
          </w:p>
        </w:tc>
        <w:tc>
          <w:tcPr>
            <w:tcW w:w="4540" w:type="dxa"/>
            <w:vAlign w:val="bottom"/>
            <w:gridSpan w:val="3"/>
          </w:tcPr>
          <w:p>
            <w:pPr>
              <w:spacing w:after="0"/>
              <w:rPr>
                <w:sz w:val="16"/>
                <w:szCs w:val="16"/>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93</w:t>
            </w:r>
          </w:p>
        </w:tc>
      </w:tr>
      <w:tr>
        <w:trPr>
          <w:trHeight w:val="279"/>
        </w:trPr>
        <w:tc>
          <w:tcPr>
            <w:tcW w:w="7780" w:type="dxa"/>
            <w:vAlign w:val="bottom"/>
            <w:gridSpan w:val="12"/>
          </w:tcPr>
          <w:p>
            <w:pPr>
              <w:spacing w:after="0"/>
              <w:rPr>
                <w:sz w:val="20"/>
                <w:szCs w:val="20"/>
                <w:color w:val="auto"/>
              </w:rPr>
            </w:pPr>
            <w:r>
              <w:rPr>
                <w:rFonts w:ascii="Calibri" w:cs="Calibri" w:eastAsia="Calibri" w:hAnsi="Calibri"/>
                <w:sz w:val="16"/>
                <w:szCs w:val="16"/>
                <w:b w:val="1"/>
                <w:bCs w:val="1"/>
                <w:color w:val="0000EE"/>
              </w:rPr>
              <w:t>Opton exercises and stock vested during fscal year 2022</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94</w:t>
            </w:r>
          </w:p>
        </w:tc>
      </w:tr>
      <w:tr>
        <w:trPr>
          <w:trHeight w:val="279"/>
        </w:trPr>
        <w:tc>
          <w:tcPr>
            <w:tcW w:w="3660" w:type="dxa"/>
            <w:vAlign w:val="bottom"/>
            <w:tcBorders>
              <w:top w:val="single" w:sz="8" w:color="0000EE"/>
            </w:tcBorders>
            <w:gridSpan w:val="10"/>
          </w:tcPr>
          <w:p>
            <w:pPr>
              <w:spacing w:after="0"/>
              <w:rPr>
                <w:sz w:val="20"/>
                <w:szCs w:val="20"/>
                <w:color w:val="auto"/>
              </w:rPr>
            </w:pPr>
            <w:r>
              <w:rPr>
                <w:rFonts w:ascii="Calibri" w:cs="Calibri" w:eastAsia="Calibri" w:hAnsi="Calibri"/>
                <w:sz w:val="16"/>
                <w:szCs w:val="16"/>
                <w:b w:val="1"/>
                <w:bCs w:val="1"/>
                <w:color w:val="0000EE"/>
              </w:rPr>
              <w:t>Pension benefts for fscal year 2022</w:t>
            </w:r>
          </w:p>
        </w:tc>
        <w:tc>
          <w:tcPr>
            <w:tcW w:w="4120" w:type="dxa"/>
            <w:vAlign w:val="bottom"/>
            <w:gridSpan w:val="2"/>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95</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12"/>
          </w:tcPr>
          <w:p>
            <w:pPr>
              <w:spacing w:after="0"/>
              <w:rPr>
                <w:sz w:val="20"/>
                <w:szCs w:val="20"/>
                <w:color w:val="auto"/>
              </w:rPr>
            </w:pPr>
            <w:r>
              <w:rPr>
                <w:rFonts w:ascii="Calibri" w:cs="Calibri" w:eastAsia="Calibri" w:hAnsi="Calibri"/>
                <w:sz w:val="16"/>
                <w:szCs w:val="16"/>
                <w:b w:val="1"/>
                <w:bCs w:val="1"/>
                <w:color w:val="0000EE"/>
              </w:rPr>
              <w:t>Potental payments upon terminaton or change in control at fscal 2022 year-end</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95</w:t>
            </w:r>
          </w:p>
        </w:tc>
      </w:tr>
      <w:tr>
        <w:trPr>
          <w:trHeight w:val="279"/>
        </w:trPr>
        <w:tc>
          <w:tcPr>
            <w:tcW w:w="5240" w:type="dxa"/>
            <w:vAlign w:val="bottom"/>
            <w:tcBorders>
              <w:top w:val="single" w:sz="8" w:color="0000EE"/>
            </w:tcBorders>
            <w:gridSpan w:val="11"/>
          </w:tcPr>
          <w:p>
            <w:pPr>
              <w:spacing w:after="0"/>
              <w:rPr>
                <w:sz w:val="20"/>
                <w:szCs w:val="20"/>
                <w:color w:val="auto"/>
              </w:rPr>
            </w:pPr>
            <w:r>
              <w:rPr>
                <w:rFonts w:ascii="Calibri" w:cs="Calibri" w:eastAsia="Calibri" w:hAnsi="Calibri"/>
                <w:sz w:val="16"/>
                <w:szCs w:val="16"/>
                <w:b w:val="1"/>
                <w:bCs w:val="1"/>
                <w:color w:val="0000EE"/>
              </w:rPr>
              <w:t>Indicatve payouts for Rohit Kapoor</w:t>
            </w:r>
          </w:p>
        </w:tc>
        <w:tc>
          <w:tcPr>
            <w:tcW w:w="254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7780" w:type="dxa"/>
            <w:vAlign w:val="bottom"/>
            <w:gridSpan w:val="12"/>
          </w:tcPr>
          <w:p>
            <w:pPr>
              <w:spacing w:after="0"/>
              <w:rPr>
                <w:sz w:val="20"/>
                <w:szCs w:val="20"/>
                <w:color w:val="auto"/>
              </w:rPr>
            </w:pPr>
            <w:r>
              <w:rPr>
                <w:rFonts w:ascii="Calibri" w:cs="Calibri" w:eastAsia="Calibri" w:hAnsi="Calibri"/>
                <w:sz w:val="16"/>
                <w:szCs w:val="16"/>
                <w:b w:val="1"/>
                <w:bCs w:val="1"/>
                <w:color w:val="0000EE"/>
              </w:rPr>
              <w:t>Indicatve payouts for Maurizio Nicolelli</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100</w:t>
            </w:r>
          </w:p>
        </w:tc>
      </w:tr>
      <w:tr>
        <w:trPr>
          <w:trHeight w:val="279"/>
        </w:trPr>
        <w:tc>
          <w:tcPr>
            <w:tcW w:w="2280" w:type="dxa"/>
            <w:vAlign w:val="bottom"/>
            <w:tcBorders>
              <w:top w:val="single" w:sz="8" w:color="0000EE"/>
              <w:bottom w:val="single" w:sz="8" w:color="0000EE"/>
            </w:tcBorders>
            <w:gridSpan w:val="6"/>
          </w:tcPr>
          <w:p>
            <w:pPr>
              <w:spacing w:after="0"/>
              <w:rPr>
                <w:sz w:val="20"/>
                <w:szCs w:val="20"/>
                <w:color w:val="auto"/>
              </w:rPr>
            </w:pPr>
            <w:r>
              <w:rPr>
                <w:rFonts w:ascii="Calibri" w:cs="Calibri" w:eastAsia="Calibri" w:hAnsi="Calibri"/>
                <w:sz w:val="16"/>
                <w:szCs w:val="16"/>
                <w:b w:val="1"/>
                <w:bCs w:val="1"/>
                <w:color w:val="0000EE"/>
                <w:w w:val="99"/>
              </w:rPr>
              <w:t>Indicatve payouts for Vikas Bhalla</w:t>
            </w:r>
          </w:p>
        </w:tc>
        <w:tc>
          <w:tcPr>
            <w:tcW w:w="280" w:type="dxa"/>
            <w:vAlign w:val="bottom"/>
            <w:tcBorders>
              <w:top w:val="single" w:sz="8" w:color="0000EE"/>
            </w:tcBorders>
          </w:tcPr>
          <w:p>
            <w:pPr>
              <w:spacing w:after="0"/>
              <w:rPr>
                <w:sz w:val="24"/>
                <w:szCs w:val="24"/>
                <w:color w:val="auto"/>
              </w:rPr>
            </w:pPr>
          </w:p>
        </w:tc>
        <w:tc>
          <w:tcPr>
            <w:tcW w:w="5220" w:type="dxa"/>
            <w:vAlign w:val="bottom"/>
            <w:gridSpan w:val="5"/>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101</w:t>
            </w:r>
          </w:p>
        </w:tc>
      </w:tr>
      <w:tr>
        <w:trPr>
          <w:trHeight w:val="279"/>
        </w:trPr>
        <w:tc>
          <w:tcPr>
            <w:tcW w:w="220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b w:val="1"/>
                <w:bCs w:val="1"/>
                <w:color w:val="0000EE"/>
                <w:w w:val="97"/>
              </w:rPr>
              <w:t>Indicatve payouts for Vivek Jetley</w:t>
            </w:r>
          </w:p>
        </w:tc>
        <w:tc>
          <w:tcPr>
            <w:tcW w:w="5580" w:type="dxa"/>
            <w:vAlign w:val="bottom"/>
            <w:gridSpan w:val="7"/>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101</w:t>
            </w:r>
          </w:p>
        </w:tc>
      </w:tr>
      <w:tr>
        <w:trPr>
          <w:trHeight w:val="279"/>
        </w:trPr>
        <w:tc>
          <w:tcPr>
            <w:tcW w:w="2060" w:type="dxa"/>
            <w:vAlign w:val="bottom"/>
            <w:tcBorders>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7"/>
              </w:rPr>
              <w:t>Indicatve payouts for Ankor Rai</w:t>
            </w:r>
          </w:p>
        </w:tc>
        <w:tc>
          <w:tcPr>
            <w:tcW w:w="5720" w:type="dxa"/>
            <w:vAlign w:val="bottom"/>
            <w:gridSpan w:val="8"/>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102</w:t>
            </w:r>
          </w:p>
        </w:tc>
      </w:tr>
      <w:tr>
        <w:trPr>
          <w:trHeight w:val="279"/>
        </w:trPr>
        <w:tc>
          <w:tcPr>
            <w:tcW w:w="7780" w:type="dxa"/>
            <w:vAlign w:val="bottom"/>
            <w:gridSpan w:val="12"/>
          </w:tcPr>
          <w:p>
            <w:pPr>
              <w:spacing w:after="0"/>
              <w:rPr>
                <w:sz w:val="20"/>
                <w:szCs w:val="20"/>
                <w:color w:val="auto"/>
              </w:rPr>
            </w:pPr>
            <w:r>
              <w:rPr>
                <w:rFonts w:ascii="Calibri" w:cs="Calibri" w:eastAsia="Calibri" w:hAnsi="Calibri"/>
                <w:sz w:val="16"/>
                <w:szCs w:val="16"/>
                <w:b w:val="1"/>
                <w:bCs w:val="1"/>
                <w:color w:val="0000EE"/>
              </w:rPr>
              <w:t>Certain defned terms</w:t>
            </w: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102</w:t>
            </w:r>
          </w:p>
        </w:tc>
      </w:tr>
      <w:tr>
        <w:trPr>
          <w:trHeight w:val="279"/>
        </w:trPr>
        <w:tc>
          <w:tcPr>
            <w:tcW w:w="1400" w:type="dxa"/>
            <w:vAlign w:val="bottom"/>
            <w:tcBorders>
              <w:top w:val="single" w:sz="8" w:color="0000EE"/>
            </w:tcBorders>
            <w:gridSpan w:val="3"/>
          </w:tcPr>
          <w:p>
            <w:pPr>
              <w:spacing w:after="0"/>
              <w:rPr>
                <w:sz w:val="20"/>
                <w:szCs w:val="20"/>
                <w:color w:val="auto"/>
              </w:rPr>
            </w:pPr>
            <w:r>
              <w:rPr>
                <w:rFonts w:ascii="Calibri" w:cs="Calibri" w:eastAsia="Calibri" w:hAnsi="Calibri"/>
                <w:sz w:val="16"/>
                <w:szCs w:val="16"/>
                <w:b w:val="1"/>
                <w:bCs w:val="1"/>
                <w:color w:val="0000EE"/>
              </w:rPr>
              <w:t>CEO pay rato</w:t>
            </w:r>
          </w:p>
        </w:tc>
        <w:tc>
          <w:tcPr>
            <w:tcW w:w="6380" w:type="dxa"/>
            <w:vAlign w:val="bottom"/>
            <w:gridSpan w:val="9"/>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104</w:t>
            </w:r>
          </w:p>
        </w:tc>
      </w:tr>
      <w:tr>
        <w:trPr>
          <w:trHeight w:val="20"/>
        </w:trPr>
        <w:tc>
          <w:tcPr>
            <w:tcW w:w="860" w:type="dxa"/>
            <w:vAlign w:val="bottom"/>
            <w:gridSpan w:val="2"/>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79"/>
        </w:trPr>
        <w:tc>
          <w:tcPr>
            <w:tcW w:w="274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9"/>
              </w:rPr>
              <w:t>Director compensaton for fscal year 2022</w:t>
            </w:r>
          </w:p>
        </w:tc>
        <w:tc>
          <w:tcPr>
            <w:tcW w:w="5040" w:type="dxa"/>
            <w:vAlign w:val="bottom"/>
            <w:gridSpan w:val="4"/>
          </w:tcPr>
          <w:p>
            <w:pPr>
              <w:spacing w:after="0"/>
              <w:rPr>
                <w:sz w:val="24"/>
                <w:szCs w:val="24"/>
                <w:color w:val="auto"/>
              </w:rPr>
            </w:pPr>
          </w:p>
        </w:tc>
        <w:tc>
          <w:tcPr>
            <w:tcW w:w="2800" w:type="dxa"/>
            <w:vAlign w:val="bottom"/>
          </w:tcPr>
          <w:p>
            <w:pPr>
              <w:jc w:val="right"/>
              <w:spacing w:after="0"/>
              <w:rPr>
                <w:sz w:val="20"/>
                <w:szCs w:val="20"/>
                <w:color w:val="auto"/>
              </w:rPr>
            </w:pPr>
            <w:r>
              <w:rPr>
                <w:rFonts w:ascii="Calibri" w:cs="Calibri" w:eastAsia="Calibri" w:hAnsi="Calibri"/>
                <w:sz w:val="16"/>
                <w:szCs w:val="16"/>
                <w:b w:val="1"/>
                <w:bCs w:val="1"/>
                <w:color w:val="auto"/>
              </w:rPr>
              <w:t>109</w:t>
            </w:r>
          </w:p>
        </w:tc>
      </w:tr>
      <w:tr>
        <w:trPr>
          <w:trHeight w:val="477"/>
        </w:trPr>
        <w:tc>
          <w:tcPr>
            <w:tcW w:w="440" w:type="dxa"/>
            <w:vAlign w:val="bottom"/>
          </w:tcPr>
          <w:p>
            <w:pPr>
              <w:ind w:left="100"/>
              <w:spacing w:after="0"/>
              <w:rPr>
                <w:sz w:val="20"/>
                <w:szCs w:val="20"/>
                <w:color w:val="auto"/>
              </w:rPr>
            </w:pPr>
            <w:r>
              <w:rPr>
                <w:rFonts w:ascii="Calibri" w:cs="Calibri" w:eastAsia="Calibri" w:hAnsi="Calibri"/>
                <w:sz w:val="17"/>
                <w:szCs w:val="17"/>
                <w:b w:val="1"/>
                <w:bCs w:val="1"/>
                <w:color w:val="auto"/>
              </w:rPr>
              <w:t>64</w:t>
            </w:r>
          </w:p>
        </w:tc>
        <w:tc>
          <w:tcPr>
            <w:tcW w:w="7340" w:type="dxa"/>
            <w:vAlign w:val="bottom"/>
            <w:gridSpan w:val="11"/>
          </w:tcPr>
          <w:p>
            <w:pPr>
              <w:ind w:left="1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2800" w:type="dxa"/>
            <w:vAlign w:val="bottom"/>
          </w:tcPr>
          <w:p>
            <w:pPr>
              <w:spacing w:after="0"/>
              <w:rPr>
                <w:sz w:val="24"/>
                <w:szCs w:val="24"/>
                <w:color w:val="auto"/>
              </w:rPr>
            </w:pPr>
          </w:p>
        </w:tc>
      </w:tr>
    </w:tbl>
    <w:p>
      <w:pPr>
        <w:sectPr>
          <w:pgSz w:w="11900" w:h="16838" w:orient="portrait"/>
          <w:cols w:equalWidth="0" w:num="1">
            <w:col w:w="10900"/>
          </w:cols>
          <w:pgMar w:left="320" w:top="471" w:right="6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Named Executve Ofcers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determined in accordance with SEC rules, our named executve ofcers (“NEOs”) for 2022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163195</wp:posOffset>
            </wp:positionV>
            <wp:extent cx="528955" cy="528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our Executve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our Executve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Vivek Jetley</w:t>
      </w:r>
      <w:r>
        <w:rPr>
          <w:rFonts w:ascii="Calibri" w:cs="Calibri" w:eastAsia="Calibri" w:hAnsi="Calibri"/>
          <w:sz w:val="17"/>
          <w:szCs w:val="17"/>
          <w:color w:val="auto"/>
        </w:rPr>
        <w:t>, our Executve Vice President and Business Head, 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124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895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Ankor Rai, </w:t>
      </w:r>
      <w:r>
        <w:rPr>
          <w:rFonts w:ascii="Calibri" w:cs="Calibri" w:eastAsia="Calibri" w:hAnsi="Calibri"/>
          <w:sz w:val="17"/>
          <w:szCs w:val="17"/>
          <w:color w:val="auto"/>
        </w:rPr>
        <w:t>our Executve Vice President and Chief Digital Ofcer untl April 2023</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Executve summary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Select 2022 fnancial and business highlights</w:t>
      </w:r>
    </w:p>
    <w:p>
      <w:pPr>
        <w:spacing w:after="0" w:line="128" w:lineRule="exact"/>
        <w:rPr>
          <w:sz w:val="20"/>
          <w:szCs w:val="20"/>
          <w:color w:val="auto"/>
        </w:rPr>
      </w:pPr>
    </w:p>
    <w:p>
      <w:pPr>
        <w:ind w:left="1140" w:right="360" w:hanging="407"/>
        <w:spacing w:after="0" w:line="239" w:lineRule="auto"/>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Our annual revenues increased 25.8% from $1.12 billion in fscal year 2021 to $1.41 billion in fscal year 2022. Analytcs revenue increased 40.5% and digital operatons and solutons revenue increased 15.6%.</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24.6% from $114.8 million to $143.0 million.</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Our diluted EPS increased from $3.35 to $4.23, an increase of 26.1%.</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We added approximately 8,000 employees to our global workforce, mainly in our delivery centers.</w:t>
      </w:r>
    </w:p>
    <w:p>
      <w:pPr>
        <w:spacing w:after="0" w:line="119" w:lineRule="exact"/>
        <w:rPr>
          <w:rFonts w:ascii="Calibri" w:cs="Calibri" w:eastAsia="Calibri" w:hAnsi="Calibri"/>
          <w:sz w:val="17"/>
          <w:szCs w:val="17"/>
          <w:color w:val="auto"/>
        </w:rPr>
      </w:pPr>
    </w:p>
    <w:p>
      <w:pPr>
        <w:ind w:left="1140" w:right="40" w:hanging="407"/>
        <w:spacing w:after="0" w:line="239" w:lineRule="auto"/>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In 2022, the Company returned capital to stockholders by repurchasing $68.5 million of shares. The Company’s board of directors authorized a $300 million common stock repurchase program beginning January 1, 2022.</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65</w:t>
      </w:r>
    </w:p>
    <w:p>
      <w:pPr>
        <w:sectPr>
          <w:pgSz w:w="11900" w:h="16838" w:orient="portrait"/>
          <w:cols w:equalWidth="0" w:num="1">
            <w:col w:w="10940"/>
          </w:cols>
          <w:pgMar w:left="320" w:top="471"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following graphs compare our 1-year, 3-year and 5-year cumulatve total stockholder return (“TSR”) as of December 31, 2022, with the median TSR of companies comprising Nasdaq, S&amp;P 600 and our peer group. As shown in the table, our 1-Year, 3-Year and 5-Year TSR outperformed all of our market benchmarks.</w:t>
      </w:r>
    </w:p>
    <w:p>
      <w:pPr>
        <w:spacing w:after="0" w:line="237" w:lineRule="exact"/>
        <w:rPr>
          <w:sz w:val="20"/>
          <w:szCs w:val="20"/>
          <w:color w:val="auto"/>
        </w:rPr>
      </w:pPr>
    </w:p>
    <w:p>
      <w:pPr>
        <w:ind w:left="1800"/>
        <w:spacing w:after="0"/>
        <w:tabs>
          <w:tab w:leader="none" w:pos="5460" w:val="left"/>
          <w:tab w:leader="none" w:pos="8900" w:val="left"/>
        </w:tabs>
        <w:rPr>
          <w:sz w:val="20"/>
          <w:szCs w:val="20"/>
          <w:color w:val="auto"/>
        </w:rPr>
      </w:pPr>
      <w:r>
        <w:rPr>
          <w:rFonts w:ascii="Calibri" w:cs="Calibri" w:eastAsia="Calibri" w:hAnsi="Calibri"/>
          <w:sz w:val="17"/>
          <w:szCs w:val="17"/>
          <w:b w:val="1"/>
          <w:bCs w:val="1"/>
          <w:color w:val="auto"/>
        </w:rPr>
        <w:t>1-Year TSR</w:t>
      </w:r>
      <w:r>
        <w:rPr>
          <w:sz w:val="20"/>
          <w:szCs w:val="20"/>
          <w:color w:val="auto"/>
        </w:rPr>
        <w:tab/>
      </w:r>
      <w:r>
        <w:rPr>
          <w:rFonts w:ascii="Calibri" w:cs="Calibri" w:eastAsia="Calibri" w:hAnsi="Calibri"/>
          <w:sz w:val="17"/>
          <w:szCs w:val="17"/>
          <w:b w:val="1"/>
          <w:bCs w:val="1"/>
          <w:color w:val="auto"/>
        </w:rPr>
        <w:t>3-Year TSR</w:t>
      </w:r>
      <w:r>
        <w:rPr>
          <w:sz w:val="20"/>
          <w:szCs w:val="20"/>
          <w:color w:val="auto"/>
        </w:rPr>
        <w:tab/>
      </w:r>
      <w:r>
        <w:rPr>
          <w:rFonts w:ascii="Calibri" w:cs="Calibri" w:eastAsia="Calibri" w:hAnsi="Calibri"/>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163195</wp:posOffset>
            </wp:positionV>
            <wp:extent cx="6146165" cy="12553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4616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Awards and industry recogniton</w:t>
      </w:r>
    </w:p>
    <w:p>
      <w:pPr>
        <w:spacing w:after="0" w:line="127" w:lineRule="exact"/>
        <w:rPr>
          <w:sz w:val="20"/>
          <w:szCs w:val="20"/>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Our people are our primary assets, and they contnue to be recognized across the industry.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As in prior years, we contnued to receive numerous industry recognitons and awards, including:</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Customer’s Choice in Gartner</w:t>
      </w:r>
      <w:r>
        <w:rPr>
          <w:rFonts w:ascii="Calibri" w:cs="Calibri" w:eastAsia="Calibri" w:hAnsi="Calibri"/>
          <w:sz w:val="12"/>
          <w:szCs w:val="12"/>
          <w:color w:val="auto"/>
        </w:rPr>
        <w:t>®</w:t>
      </w:r>
      <w:r>
        <w:rPr>
          <w:rFonts w:ascii="Calibri" w:cs="Calibri" w:eastAsia="Calibri" w:hAnsi="Calibri"/>
          <w:sz w:val="16"/>
          <w:szCs w:val="16"/>
          <w:color w:val="auto"/>
        </w:rPr>
        <w:t xml:space="preserve"> Peer Insights</w:t>
      </w:r>
      <w:r>
        <w:rPr>
          <w:rFonts w:ascii="Calibri" w:cs="Calibri" w:eastAsia="Calibri" w:hAnsi="Calibri"/>
          <w:sz w:val="12"/>
          <w:szCs w:val="12"/>
          <w:color w:val="auto"/>
        </w:rPr>
        <w:t>™</w:t>
      </w:r>
      <w:r>
        <w:rPr>
          <w:rFonts w:ascii="Calibri" w:cs="Calibri" w:eastAsia="Calibri" w:hAnsi="Calibri"/>
          <w:sz w:val="16"/>
          <w:szCs w:val="16"/>
          <w:color w:val="auto"/>
        </w:rPr>
        <w:t xml:space="preserve"> for Data and Analytcs Service Providers</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 xml:space="preserve">–Leader in Everest Group </w:t>
      </w:r>
      <w:r>
        <w:rPr>
          <w:rFonts w:ascii="Calibri" w:cs="Calibri" w:eastAsia="Calibri" w:hAnsi="Calibri"/>
          <w:sz w:val="17"/>
          <w:szCs w:val="17"/>
          <w:i w:val="1"/>
          <w:iCs w:val="1"/>
          <w:color w:val="auto"/>
        </w:rPr>
        <w:t>Advanced Analytcs and Insights Services</w:t>
      </w:r>
      <w:r>
        <w:rPr>
          <w:rFonts w:ascii="Calibri" w:cs="Calibri" w:eastAsia="Calibri" w:hAnsi="Calibri"/>
          <w:sz w:val="17"/>
          <w:szCs w:val="17"/>
          <w:color w:val="auto"/>
        </w:rPr>
        <w:t xml:space="preserve"> and </w:t>
      </w:r>
      <w:r>
        <w:rPr>
          <w:rFonts w:ascii="Calibri" w:cs="Calibri" w:eastAsia="Calibri" w:hAnsi="Calibri"/>
          <w:sz w:val="17"/>
          <w:szCs w:val="17"/>
          <w:i w:val="1"/>
          <w:iCs w:val="1"/>
          <w:color w:val="auto"/>
        </w:rPr>
        <w:t>Healthcare Analytcs Service Providers PEAK Matrix</w:t>
      </w:r>
      <w:r>
        <w:rPr>
          <w:rFonts w:ascii="Calibri" w:cs="Calibri" w:eastAsia="Calibri" w:hAnsi="Calibri"/>
          <w:sz w:val="13"/>
          <w:szCs w:val="13"/>
          <w:i w:val="1"/>
          <w:iCs w:val="1"/>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Assessments</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–Leader in Gartner</w:t>
      </w:r>
      <w:r>
        <w:rPr>
          <w:rFonts w:ascii="Calibri" w:cs="Calibri" w:eastAsia="Calibri" w:hAnsi="Calibri"/>
          <w:sz w:val="13"/>
          <w:szCs w:val="13"/>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Magic Quadrant</w:t>
      </w:r>
      <w:r>
        <w:rPr>
          <w:rFonts w:ascii="Calibri" w:cs="Calibri" w:eastAsia="Calibri" w:hAnsi="Calibri"/>
          <w:sz w:val="13"/>
          <w:szCs w:val="13"/>
          <w:i w:val="1"/>
          <w:iCs w:val="1"/>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for Finance and Accountng Business Process Outsourcing</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all four categories in the </w:t>
      </w:r>
      <w:r>
        <w:rPr>
          <w:rFonts w:ascii="Calibri" w:cs="Calibri" w:eastAsia="Calibri" w:hAnsi="Calibri"/>
          <w:sz w:val="16"/>
          <w:szCs w:val="16"/>
          <w:i w:val="1"/>
          <w:iCs w:val="1"/>
          <w:color w:val="auto"/>
        </w:rPr>
        <w:t>ISG Provider Lens</w:t>
      </w:r>
      <w:r>
        <w:rPr>
          <w:rFonts w:ascii="Calibri" w:cs="Calibri" w:eastAsia="Calibri" w:hAnsi="Calibri"/>
          <w:sz w:val="12"/>
          <w:szCs w:val="12"/>
          <w:i w:val="1"/>
          <w:iCs w:val="1"/>
          <w:color w:val="auto"/>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for Digital Finance and Accountng Outsourcing Services</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 xml:space="preserve">–Leader in Everest Group </w:t>
      </w:r>
      <w:r>
        <w:rPr>
          <w:rFonts w:ascii="Calibri" w:cs="Calibri" w:eastAsia="Calibri" w:hAnsi="Calibri"/>
          <w:sz w:val="17"/>
          <w:szCs w:val="17"/>
          <w:i w:val="1"/>
          <w:iCs w:val="1"/>
          <w:color w:val="auto"/>
        </w:rPr>
        <w:t>Digital Platorm &amp; Augmentaton Suite in Insurance BPS PEAK Matrix</w:t>
      </w:r>
      <w:r>
        <w:rPr>
          <w:rFonts w:ascii="Calibri" w:cs="Calibri" w:eastAsia="Calibri" w:hAnsi="Calibri"/>
          <w:sz w:val="13"/>
          <w:szCs w:val="13"/>
          <w:i w:val="1"/>
          <w:iCs w:val="1"/>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Assessment</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 xml:space="preserve">–Luminary in Celent </w:t>
      </w:r>
      <w:r>
        <w:rPr>
          <w:rFonts w:ascii="Calibri" w:cs="Calibri" w:eastAsia="Calibri" w:hAnsi="Calibri"/>
          <w:sz w:val="17"/>
          <w:szCs w:val="17"/>
          <w:i w:val="1"/>
          <w:iCs w:val="1"/>
          <w:color w:val="auto"/>
        </w:rPr>
        <w:t>New Business and Underwritng Systems: Global Life Insurance</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Everest Group </w:t>
      </w:r>
      <w:r>
        <w:rPr>
          <w:rFonts w:ascii="Calibri" w:cs="Calibri" w:eastAsia="Calibri" w:hAnsi="Calibri"/>
          <w:sz w:val="16"/>
          <w:szCs w:val="16"/>
          <w:i w:val="1"/>
          <w:iCs w:val="1"/>
          <w:color w:val="auto"/>
        </w:rPr>
        <w:t>Property &amp; Casualty Insurance BPS PEAK Matrix</w:t>
      </w:r>
      <w:r>
        <w:rPr>
          <w:rFonts w:ascii="Calibri" w:cs="Calibri" w:eastAsia="Calibri" w:hAnsi="Calibri"/>
          <w:sz w:val="12"/>
          <w:szCs w:val="12"/>
          <w:color w:val="auto"/>
        </w:rPr>
        <w:t>®</w:t>
      </w:r>
    </w:p>
    <w:p>
      <w:pPr>
        <w:spacing w:after="0" w:line="119" w:lineRule="exact"/>
        <w:rPr>
          <w:rFonts w:ascii="Calibri" w:cs="Calibri" w:eastAsia="Calibri" w:hAnsi="Calibri"/>
          <w:sz w:val="17"/>
          <w:szCs w:val="17"/>
          <w:color w:val="auto"/>
        </w:rPr>
      </w:pPr>
    </w:p>
    <w:p>
      <w:pPr>
        <w:ind w:left="1580" w:right="6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 xml:space="preserve">–Leader in all three categories in the </w:t>
      </w:r>
      <w:r>
        <w:rPr>
          <w:rFonts w:ascii="Calibri" w:cs="Calibri" w:eastAsia="Calibri" w:hAnsi="Calibri"/>
          <w:sz w:val="17"/>
          <w:szCs w:val="17"/>
          <w:i w:val="1"/>
          <w:iCs w:val="1"/>
          <w:color w:val="auto"/>
        </w:rPr>
        <w:t>ISG Provider Lens</w:t>
      </w:r>
      <w:r>
        <w:rPr>
          <w:rFonts w:ascii="Calibri" w:cs="Calibri" w:eastAsia="Calibri" w:hAnsi="Calibri"/>
          <w:sz w:val="13"/>
          <w:szCs w:val="13"/>
          <w:i w:val="1"/>
          <w:iCs w:val="1"/>
          <w:color w:val="auto"/>
        </w:rPr>
        <w: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for Insurance Services: P&amp;C Insurance BPO Services, Life &amp; Retrement Insurance</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BPO Services and Life &amp; Retrement TPA Services</w:t>
      </w:r>
    </w:p>
    <w:p>
      <w:pPr>
        <w:spacing w:after="0" w:line="118"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Best in KLAS 2022 for Risk Adjustment</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Best in Class in the </w:t>
      </w:r>
      <w:r>
        <w:rPr>
          <w:rFonts w:ascii="Calibri" w:cs="Calibri" w:eastAsia="Calibri" w:hAnsi="Calibri"/>
          <w:sz w:val="16"/>
          <w:szCs w:val="16"/>
          <w:i w:val="1"/>
          <w:iCs w:val="1"/>
          <w:color w:val="auto"/>
        </w:rPr>
        <w:t>Aité Matrix: Payment Integrity in Healthcare</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Leader in Everest Group </w:t>
      </w:r>
      <w:r>
        <w:rPr>
          <w:rFonts w:ascii="Calibri" w:cs="Calibri" w:eastAsia="Calibri" w:hAnsi="Calibri"/>
          <w:sz w:val="16"/>
          <w:szCs w:val="16"/>
          <w:i w:val="1"/>
          <w:iCs w:val="1"/>
          <w:color w:val="auto"/>
        </w:rPr>
        <w:t>Healthcare Payer Operatons PEAK Matrix</w:t>
      </w:r>
      <w:r>
        <w:rPr>
          <w:rFonts w:ascii="Calibri" w:cs="Calibri" w:eastAsia="Calibri" w:hAnsi="Calibri"/>
          <w:sz w:val="12"/>
          <w:szCs w:val="12"/>
          <w:color w:val="auto"/>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Assessment 2022</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Clients and operatons</w:t>
      </w:r>
    </w:p>
    <w:p>
      <w:pPr>
        <w:spacing w:after="0" w:line="127" w:lineRule="exact"/>
        <w:rPr>
          <w:sz w:val="20"/>
          <w:szCs w:val="20"/>
          <w:color w:val="auto"/>
        </w:rPr>
      </w:pPr>
    </w:p>
    <w:p>
      <w:pPr>
        <w:ind w:left="1140" w:hanging="407"/>
        <w:spacing w:after="0"/>
        <w:tabs>
          <w:tab w:leader="none" w:pos="114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In 2022, we won 59 new clients, adding to the 58 new clients we won in 2021.</w:t>
      </w:r>
    </w:p>
    <w:p>
      <w:pPr>
        <w:spacing w:after="0" w:line="119" w:lineRule="exact"/>
        <w:rPr>
          <w:rFonts w:ascii="Calibri" w:cs="Calibri" w:eastAsia="Calibri" w:hAnsi="Calibri"/>
          <w:sz w:val="17"/>
          <w:szCs w:val="17"/>
          <w:color w:val="auto"/>
        </w:rPr>
      </w:pPr>
    </w:p>
    <w:p>
      <w:pPr>
        <w:ind w:left="1140" w:right="280" w:hanging="407"/>
        <w:spacing w:after="0" w:line="239" w:lineRule="auto"/>
        <w:tabs>
          <w:tab w:leader="none" w:pos="114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In the past year, revenue from our top 20 clients grew by 18.4%, with 16 of those clients contractng for our services and solutons in both analytcs and digital operatons and solutons.</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66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40"/>
          </w:cols>
          <w:pgMar w:left="320" w:top="471" w:right="7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Summary of key compensaton consideratons &amp; decisions in 2022</w:t>
      </w:r>
    </w:p>
    <w:p>
      <w:pPr>
        <w:spacing w:after="0" w:line="106"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following highlights the Compensaton and Talent Management Commitee’s key consideratons and compensaton decisions in 2022 and with respect to performance for 2022 for our NEOs.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ind w:left="80"/>
              <w:spacing w:after="0"/>
              <w:rPr>
                <w:sz w:val="20"/>
                <w:szCs w:val="20"/>
                <w:color w:val="auto"/>
              </w:rPr>
            </w:pPr>
            <w:r>
              <w:rPr>
                <w:rFonts w:ascii="Calibri" w:cs="Calibri" w:eastAsia="Calibri" w:hAnsi="Calibri"/>
                <w:sz w:val="17"/>
                <w:szCs w:val="17"/>
                <w:b w:val="1"/>
                <w:bCs w:val="1"/>
                <w:color w:val="FB4E0B"/>
              </w:rPr>
              <w:t>Items</w:t>
            </w:r>
          </w:p>
        </w:tc>
        <w:tc>
          <w:tcPr>
            <w:tcW w:w="8580" w:type="dxa"/>
            <w:vAlign w:val="bottom"/>
          </w:tcPr>
          <w:p>
            <w:pPr>
              <w:ind w:left="80"/>
              <w:spacing w:after="0"/>
              <w:rPr>
                <w:sz w:val="20"/>
                <w:szCs w:val="20"/>
                <w:color w:val="auto"/>
              </w:rPr>
            </w:pPr>
            <w:r>
              <w:rPr>
                <w:rFonts w:ascii="Calibri" w:cs="Calibri" w:eastAsia="Calibri" w:hAnsi="Calibri"/>
                <w:sz w:val="17"/>
                <w:szCs w:val="17"/>
                <w:b w:val="1"/>
                <w:bCs w:val="1"/>
                <w:color w:val="FB4E0B"/>
              </w:rPr>
              <w:t>Consideratons and decisions</w:t>
            </w:r>
          </w:p>
        </w:tc>
      </w:tr>
      <w:tr>
        <w:trPr>
          <w:trHeight w:val="94"/>
        </w:trPr>
        <w:tc>
          <w:tcPr>
            <w:tcW w:w="2040" w:type="dxa"/>
            <w:vAlign w:val="bottom"/>
            <w:tcBorders>
              <w:bottom w:val="single" w:sz="8" w:color="FB4E0B"/>
            </w:tcBorders>
          </w:tcPr>
          <w:p>
            <w:pPr>
              <w:spacing w:after="0"/>
              <w:rPr>
                <w:sz w:val="8"/>
                <w:szCs w:val="8"/>
                <w:color w:val="auto"/>
              </w:rPr>
            </w:pPr>
          </w:p>
        </w:tc>
        <w:tc>
          <w:tcPr>
            <w:tcW w:w="8580" w:type="dxa"/>
            <w:vAlign w:val="bottom"/>
            <w:tcBorders>
              <w:bottom w:val="single" w:sz="8" w:color="FB4E0B"/>
            </w:tcBorders>
          </w:tcPr>
          <w:p>
            <w:pPr>
              <w:spacing w:after="0"/>
              <w:rPr>
                <w:sz w:val="8"/>
                <w:szCs w:val="8"/>
                <w:color w:val="auto"/>
              </w:rPr>
            </w:pPr>
          </w:p>
        </w:tc>
      </w:tr>
      <w:tr>
        <w:trPr>
          <w:trHeight w:val="237"/>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Say on Pay Approval</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Over 99% of our stockholders approved, on a non-binding basis (excluding broker non-votes), of our compensaton of our NEOs.</w:t>
            </w:r>
          </w:p>
        </w:tc>
      </w:tr>
      <w:tr>
        <w:trPr>
          <w:trHeight w:val="283"/>
        </w:trPr>
        <w:tc>
          <w:tcPr>
            <w:tcW w:w="204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r>
        <w:trPr>
          <w:trHeight w:val="230"/>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Base Salaries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Base salaries for our NEOs were revised efectve October 1, 2022, as described below.</w:t>
            </w:r>
          </w:p>
        </w:tc>
      </w:tr>
      <w:tr>
        <w:trPr>
          <w:trHeight w:val="88"/>
        </w:trPr>
        <w:tc>
          <w:tcPr>
            <w:tcW w:w="20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tcBorders>
          </w:tcPr>
          <w:p>
            <w:pPr>
              <w:spacing w:after="0"/>
              <w:rPr>
                <w:sz w:val="7"/>
                <w:szCs w:val="7"/>
                <w:color w:val="auto"/>
              </w:rPr>
            </w:pPr>
          </w:p>
        </w:tc>
      </w:tr>
      <w:tr>
        <w:trPr>
          <w:trHeight w:val="223"/>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Annual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7"/>
              </w:rPr>
              <w:t>We based our annual incentves on achievement of Company goals (revenue and AOPM) and personal performance goals. In 2022, we</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rPr>
              <w:t>delivered 107.66% of our revenue performance target and 101.45% of our AOPM target, resultng in annual incentve payout</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calculatons for our NEOs, ranging from 153% of target performance to 159% of target performance of the named executve ofcers.</w:t>
            </w:r>
          </w:p>
        </w:tc>
      </w:tr>
      <w:tr>
        <w:trPr>
          <w:trHeight w:val="92"/>
        </w:trPr>
        <w:tc>
          <w:tcPr>
            <w:tcW w:w="204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tcBorders>
          </w:tcPr>
          <w:p>
            <w:pPr>
              <w:spacing w:after="0"/>
              <w:rPr>
                <w:sz w:val="8"/>
                <w:szCs w:val="8"/>
                <w:color w:val="auto"/>
              </w:rPr>
            </w:pPr>
          </w:p>
        </w:tc>
      </w:tr>
      <w:tr>
        <w:trPr>
          <w:trHeight w:val="223"/>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Equity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This was the third and fnal performance year for the performance-based restricted stock units granted in 2020. We achieved 101.6%</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of the revenue target for the revenue-linked restricted stock units resultng in 100% of target funding of those grants. The Company’s</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TSR performance was at the 97.6 percentle among its performance peer group (as defned below), resultng in the NEOs earning</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200% of the 2020 relatve TSR- linked restricted stock units pursuant to the terms of the original grant. In the aggregate, the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performance-based restricted stock units granted in 2020 achieved vestng of shares at 150% of target performance. No adjustments</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were made to the 2020 performance-based restricted stock units or the associated performance targets to account for the impact of</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the COVID-19 pandemic in the 2020, 2021 and 2022 fscal years.</w:t>
            </w:r>
          </w:p>
        </w:tc>
      </w:tr>
      <w:tr>
        <w:trPr>
          <w:trHeight w:val="345"/>
        </w:trPr>
        <w:tc>
          <w:tcPr>
            <w:tcW w:w="2040" w:type="dxa"/>
            <w:vAlign w:val="bottom"/>
            <w:tcBorders>
              <w:bottom w:val="single" w:sz="8" w:color="FB4E0B"/>
              <w:right w:val="single" w:sz="8" w:color="auto"/>
            </w:tcBorders>
          </w:tcPr>
          <w:p>
            <w:pPr>
              <w:spacing w:after="0"/>
              <w:rPr>
                <w:sz w:val="24"/>
                <w:szCs w:val="24"/>
                <w:color w:val="auto"/>
              </w:rPr>
            </w:pPr>
          </w:p>
        </w:tc>
        <w:tc>
          <w:tcPr>
            <w:tcW w:w="8580" w:type="dxa"/>
            <w:vAlign w:val="bottom"/>
            <w:tcBorders>
              <w:bottom w:val="single" w:sz="8" w:color="FB4E0B"/>
            </w:tcBorders>
          </w:tcPr>
          <w:p>
            <w:pPr>
              <w:spacing w:after="0"/>
              <w:rPr>
                <w:sz w:val="24"/>
                <w:szCs w:val="24"/>
                <w:color w:val="auto"/>
              </w:rPr>
            </w:pPr>
          </w:p>
        </w:tc>
      </w:tr>
    </w:tbl>
    <w:p>
      <w:pPr>
        <w:spacing w:after="0" w:line="29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Pay-for-performance</w:t>
      </w:r>
    </w:p>
    <w:p>
      <w:pPr>
        <w:spacing w:after="0" w:line="106"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298"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67</w:t>
      </w:r>
    </w:p>
    <w:p>
      <w:pPr>
        <w:sectPr>
          <w:pgSz w:w="11900" w:h="16838" w:orient="portrait"/>
          <w:cols w:equalWidth="0" w:num="1">
            <w:col w:w="10940"/>
          </w:cols>
          <w:pgMar w:left="320" w:top="471"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As illustrated by the following charts, the majority of compensaton that may be earned by our named executve ofcers is ted to the achievement of fnancial performance metrics (annual incentve awards and PRSUs) or fuctuates with the underlying value of our common stock (RSUs).</w:t>
      </w:r>
    </w:p>
    <w:p>
      <w:pPr>
        <w:spacing w:after="0" w:line="228" w:lineRule="exact"/>
        <w:rPr>
          <w:sz w:val="20"/>
          <w:szCs w:val="20"/>
          <w:color w:val="auto"/>
        </w:rPr>
      </w:pPr>
    </w:p>
    <w:tbl>
      <w:tblPr>
        <w:tblLayout w:type="fixed"/>
        <w:tblInd w:w="2160" w:type="dxa"/>
        <w:tblCellMar>
          <w:top w:w="0" w:type="dxa"/>
          <w:left w:w="0" w:type="dxa"/>
          <w:bottom w:w="0" w:type="dxa"/>
          <w:right w:w="0" w:type="dxa"/>
        </w:tblCellMar>
      </w:tblPr>
      <w:tr>
        <w:trPr>
          <w:trHeight w:val="232"/>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Vice Chairman &amp; CEO</w:t>
            </w:r>
          </w:p>
        </w:tc>
        <w:tc>
          <w:tcPr>
            <w:tcW w:w="3660" w:type="dxa"/>
            <w:vAlign w:val="bottom"/>
          </w:tcPr>
          <w:p>
            <w:pPr>
              <w:ind w:left="1780"/>
              <w:spacing w:after="0"/>
              <w:rPr>
                <w:sz w:val="20"/>
                <w:szCs w:val="20"/>
                <w:color w:val="auto"/>
              </w:rPr>
            </w:pPr>
            <w:r>
              <w:rPr>
                <w:rFonts w:ascii="Calibri" w:cs="Calibri" w:eastAsia="Calibri" w:hAnsi="Calibri"/>
                <w:sz w:val="19"/>
                <w:szCs w:val="19"/>
                <w:b w:val="1"/>
                <w:bCs w:val="1"/>
                <w:color w:val="FB4E0B"/>
              </w:rPr>
              <w:t>NEO compensaton mix</w:t>
            </w:r>
          </w:p>
        </w:tc>
      </w:tr>
      <w:tr>
        <w:trPr>
          <w:trHeight w:val="248"/>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compensaton mix</w:t>
            </w:r>
          </w:p>
        </w:tc>
        <w:tc>
          <w:tcPr>
            <w:tcW w:w="3660" w:type="dxa"/>
            <w:vAlign w:val="bottom"/>
          </w:tcPr>
          <w:p>
            <w:pPr>
              <w:ind w:left="1800"/>
              <w:spacing w:after="0"/>
              <w:rPr>
                <w:sz w:val="20"/>
                <w:szCs w:val="20"/>
                <w:color w:val="auto"/>
              </w:rPr>
            </w:pPr>
            <w:r>
              <w:rPr>
                <w:rFonts w:ascii="Calibri" w:cs="Calibri" w:eastAsia="Calibri" w:hAnsi="Calibri"/>
                <w:sz w:val="14"/>
                <w:szCs w:val="14"/>
                <w:color w:val="auto"/>
                <w:w w:val="98"/>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143510</wp:posOffset>
            </wp:positionV>
            <wp:extent cx="2147570" cy="19246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143510</wp:posOffset>
            </wp:positionV>
            <wp:extent cx="1776095" cy="15284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7609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*Base salary also includes other compensaton</w:t>
      </w:r>
    </w:p>
    <w:p>
      <w:pPr>
        <w:spacing w:after="0" w:line="124"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68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540"/>
          </w:cols>
          <w:pgMar w:left="320" w:top="471" w:right="10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Executve compensaton program, practces and policies</w:t>
      </w:r>
    </w:p>
    <w:p>
      <w:pPr>
        <w:spacing w:after="0" w:line="114"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compensaton programs, practces and policies are reviewed and re-evaluated regularly and are subject to change from tme to tme in line with market best practces, including alignment of pay with performance. Our executve compensaton philosophy is aligned with our core values, focused on pay-for-performance and designed to refect appropriate governance practces aligned with the needs of our business. Listed below are some of the Company’s more signifcant practces and policies that were in efect during fscal year 2022, which were adopted to drive performance and to align our executves’ interests with those of our stockholders.</w:t>
      </w: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24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What we do</w:t>
            </w:r>
          </w:p>
        </w:tc>
        <w:tc>
          <w:tcPr>
            <w:tcW w:w="4300" w:type="dxa"/>
            <w:vAlign w:val="bottom"/>
            <w:gridSpan w:val="2"/>
          </w:tcPr>
          <w:p>
            <w:pPr>
              <w:ind w:left="160"/>
              <w:spacing w:after="0"/>
              <w:rPr>
                <w:sz w:val="20"/>
                <w:szCs w:val="20"/>
                <w:color w:val="auto"/>
              </w:rPr>
            </w:pPr>
            <w:r>
              <w:rPr>
                <w:rFonts w:ascii="Calibri" w:cs="Calibri" w:eastAsia="Calibri" w:hAnsi="Calibri"/>
                <w:sz w:val="17"/>
                <w:szCs w:val="17"/>
                <w:b w:val="1"/>
                <w:bCs w:val="1"/>
                <w:color w:val="FB4E0B"/>
              </w:rPr>
              <w:t>What we don’t do</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55"/>
        </w:trPr>
        <w:tc>
          <w:tcPr>
            <w:tcW w:w="540" w:type="dxa"/>
            <w:vAlign w:val="bottom"/>
            <w:tcBorders>
              <w:bottom w:val="single" w:sz="8" w:color="FB4E0B"/>
            </w:tcBorders>
          </w:tcPr>
          <w:p>
            <w:pPr>
              <w:spacing w:after="0"/>
              <w:rPr>
                <w:sz w:val="4"/>
                <w:szCs w:val="4"/>
                <w:color w:val="auto"/>
              </w:rPr>
            </w:pPr>
          </w:p>
        </w:tc>
        <w:tc>
          <w:tcPr>
            <w:tcW w:w="4700" w:type="dxa"/>
            <w:vAlign w:val="bottom"/>
            <w:tcBorders>
              <w:bottom w:val="single" w:sz="8" w:color="FB4E0B"/>
            </w:tcBorders>
          </w:tcPr>
          <w:p>
            <w:pPr>
              <w:spacing w:after="0"/>
              <w:rPr>
                <w:sz w:val="4"/>
                <w:szCs w:val="4"/>
                <w:color w:val="auto"/>
              </w:rPr>
            </w:pPr>
          </w:p>
        </w:tc>
        <w:tc>
          <w:tcPr>
            <w:tcW w:w="620" w:type="dxa"/>
            <w:vAlign w:val="bottom"/>
            <w:tcBorders>
              <w:bottom w:val="single" w:sz="8" w:color="FB4E0B"/>
            </w:tcBorders>
          </w:tcPr>
          <w:p>
            <w:pPr>
              <w:spacing w:after="0"/>
              <w:rPr>
                <w:sz w:val="4"/>
                <w:szCs w:val="4"/>
                <w:color w:val="auto"/>
              </w:rPr>
            </w:pPr>
          </w:p>
        </w:tc>
        <w:tc>
          <w:tcPr>
            <w:tcW w:w="4760" w:type="dxa"/>
            <w:vAlign w:val="bottom"/>
            <w:tcBorders>
              <w:bottom w:val="single" w:sz="8" w:color="FB4E0B"/>
            </w:tcBorders>
            <w:gridSpan w:val="3"/>
          </w:tcPr>
          <w:p>
            <w:pPr>
              <w:spacing w:after="0"/>
              <w:rPr>
                <w:sz w:val="4"/>
                <w:szCs w:val="4"/>
                <w:color w:val="auto"/>
              </w:rPr>
            </w:pPr>
          </w:p>
        </w:tc>
      </w:tr>
      <w:tr>
        <w:trPr>
          <w:trHeight w:val="20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w w:val="99"/>
              </w:rPr>
              <w:t xml:space="preserve">Align our executve pay with performance: </w:t>
            </w:r>
            <w:r>
              <w:rPr>
                <w:rFonts w:ascii="Calibri" w:cs="Calibri" w:eastAsia="Calibri" w:hAnsi="Calibri"/>
                <w:sz w:val="16"/>
                <w:szCs w:val="16"/>
                <w:color w:val="auto"/>
                <w:w w:val="99"/>
              </w:rPr>
              <w:t>We link a signifcant porton</w:t>
            </w:r>
          </w:p>
        </w:tc>
        <w:tc>
          <w:tcPr>
            <w:tcW w:w="620" w:type="dxa"/>
            <w:vAlign w:val="bottom"/>
            <w:tcBorders>
              <w:right w:val="single" w:sz="8" w:color="auto"/>
            </w:tcBorders>
          </w:tcPr>
          <w:p>
            <w:pPr>
              <w:spacing w:after="0"/>
              <w:rPr>
                <w:sz w:val="18"/>
                <w:szCs w:val="18"/>
                <w:color w:val="auto"/>
              </w:rPr>
            </w:pPr>
          </w:p>
        </w:tc>
        <w:tc>
          <w:tcPr>
            <w:tcW w:w="4760" w:type="dxa"/>
            <w:vAlign w:val="bottom"/>
            <w:gridSpan w:val="3"/>
          </w:tcPr>
          <w:p>
            <w:pPr>
              <w:ind w:left="80"/>
              <w:spacing w:after="0"/>
              <w:rPr>
                <w:sz w:val="20"/>
                <w:szCs w:val="20"/>
                <w:color w:val="auto"/>
              </w:rPr>
            </w:pPr>
            <w:r>
              <w:rPr>
                <w:rFonts w:ascii="Calibri" w:cs="Calibri" w:eastAsia="Calibri" w:hAnsi="Calibri"/>
                <w:sz w:val="16"/>
                <w:szCs w:val="16"/>
                <w:b w:val="1"/>
                <w:bCs w:val="1"/>
                <w:color w:val="auto"/>
              </w:rPr>
              <w:t xml:space="preserve">No opton repricing: </w:t>
            </w:r>
            <w:r>
              <w:rPr>
                <w:rFonts w:ascii="Calibri" w:cs="Calibri" w:eastAsia="Calibri" w:hAnsi="Calibri"/>
                <w:sz w:val="16"/>
                <w:szCs w:val="16"/>
                <w:color w:val="auto"/>
              </w:rPr>
              <w:t>We prohibit opton repricing without stockholder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 each NEO’s total compensaton to the achievement of specifc</w:t>
            </w:r>
          </w:p>
        </w:tc>
        <w:tc>
          <w:tcPr>
            <w:tcW w:w="620" w:type="dxa"/>
            <w:vAlign w:val="bottom"/>
            <w:tcBorders>
              <w:right w:val="single" w:sz="8" w:color="auto"/>
            </w:tcBorders>
          </w:tcPr>
          <w:p>
            <w:pPr>
              <w:spacing w:after="0"/>
              <w:rPr>
                <w:sz w:val="16"/>
                <w:szCs w:val="16"/>
                <w:color w:val="auto"/>
              </w:rPr>
            </w:pPr>
          </w:p>
        </w:tc>
        <w:tc>
          <w:tcPr>
            <w:tcW w:w="3680" w:type="dxa"/>
            <w:vAlign w:val="bottom"/>
          </w:tcPr>
          <w:p>
            <w:pPr>
              <w:ind w:left="80"/>
              <w:spacing w:after="0"/>
              <w:rPr>
                <w:sz w:val="20"/>
                <w:szCs w:val="20"/>
                <w:color w:val="auto"/>
              </w:rPr>
            </w:pPr>
            <w:r>
              <w:rPr>
                <w:rFonts w:ascii="Calibri" w:cs="Calibri" w:eastAsia="Calibri" w:hAnsi="Calibri"/>
                <w:sz w:val="16"/>
                <w:szCs w:val="16"/>
                <w:color w:val="auto"/>
              </w:rPr>
              <w:t>approval.</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performance goals.</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Variable compensaton is “at-risk” and rewards performance and</w:t>
            </w:r>
          </w:p>
        </w:tc>
        <w:tc>
          <w:tcPr>
            <w:tcW w:w="620" w:type="dxa"/>
            <w:vAlign w:val="bottom"/>
            <w:tcBorders>
              <w:right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contributons to both short- and long-term fnancial performance.</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886"/>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gridSpan w:val="3"/>
          </w:tcPr>
          <w:p>
            <w:pPr>
              <w:spacing w:after="0"/>
              <w:rPr>
                <w:sz w:val="24"/>
                <w:szCs w:val="24"/>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Use appropriate peer groups when establishing compensaton: </w:t>
            </w:r>
            <w:r>
              <w:rPr>
                <w:rFonts w:ascii="Calibri" w:cs="Calibri" w:eastAsia="Calibri" w:hAnsi="Calibri"/>
                <w:sz w:val="16"/>
                <w:szCs w:val="16"/>
                <w:color w:val="auto"/>
              </w:rPr>
              <w:t>We</w:t>
            </w:r>
          </w:p>
        </w:tc>
        <w:tc>
          <w:tcPr>
            <w:tcW w:w="620" w:type="dxa"/>
            <w:vAlign w:val="bottom"/>
            <w:tcBorders>
              <w:right w:val="single" w:sz="8" w:color="auto"/>
            </w:tcBorders>
          </w:tcPr>
          <w:p>
            <w:pPr>
              <w:spacing w:after="0"/>
              <w:rPr>
                <w:sz w:val="17"/>
                <w:szCs w:val="17"/>
                <w:color w:val="auto"/>
              </w:rPr>
            </w:pPr>
          </w:p>
        </w:tc>
        <w:tc>
          <w:tcPr>
            <w:tcW w:w="4760" w:type="dxa"/>
            <w:vAlign w:val="bottom"/>
            <w:gridSpan w:val="3"/>
          </w:tcPr>
          <w:p>
            <w:pPr>
              <w:ind w:left="80"/>
              <w:spacing w:after="0"/>
              <w:rPr>
                <w:sz w:val="20"/>
                <w:szCs w:val="20"/>
                <w:color w:val="auto"/>
              </w:rPr>
            </w:pPr>
            <w:r>
              <w:rPr>
                <w:rFonts w:ascii="Calibri" w:cs="Calibri" w:eastAsia="Calibri" w:hAnsi="Calibri"/>
                <w:sz w:val="16"/>
                <w:szCs w:val="16"/>
                <w:b w:val="1"/>
                <w:bCs w:val="1"/>
                <w:color w:val="auto"/>
              </w:rPr>
              <w:t xml:space="preserve">No opton backdatng or discountng: </w:t>
            </w:r>
            <w:r>
              <w:rPr>
                <w:rFonts w:ascii="Calibri" w:cs="Calibri" w:eastAsia="Calibri" w:hAnsi="Calibri"/>
                <w:sz w:val="16"/>
                <w:szCs w:val="16"/>
                <w:color w:val="auto"/>
              </w:rPr>
              <w:t>We prohibit opton backdatng and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established a peer group to help us review market practces and design</w:t>
            </w:r>
          </w:p>
        </w:tc>
        <w:tc>
          <w:tcPr>
            <w:tcW w:w="620" w:type="dxa"/>
            <w:vAlign w:val="bottom"/>
            <w:tcBorders>
              <w:right w:val="single" w:sz="8" w:color="auto"/>
            </w:tcBorders>
          </w:tcPr>
          <w:p>
            <w:pPr>
              <w:spacing w:after="0"/>
              <w:rPr>
                <w:sz w:val="16"/>
                <w:szCs w:val="16"/>
                <w:color w:val="auto"/>
              </w:rPr>
            </w:pPr>
          </w:p>
        </w:tc>
        <w:tc>
          <w:tcPr>
            <w:tcW w:w="3680" w:type="dxa"/>
            <w:vAlign w:val="bottom"/>
          </w:tcPr>
          <w:p>
            <w:pPr>
              <w:ind w:left="80"/>
              <w:spacing w:after="0"/>
              <w:rPr>
                <w:sz w:val="20"/>
                <w:szCs w:val="20"/>
                <w:color w:val="auto"/>
              </w:rPr>
            </w:pPr>
            <w:r>
              <w:rPr>
                <w:rFonts w:ascii="Calibri" w:cs="Calibri" w:eastAsia="Calibri" w:hAnsi="Calibri"/>
                <w:sz w:val="16"/>
                <w:szCs w:val="16"/>
                <w:color w:val="auto"/>
              </w:rPr>
              <w:t>discountng.</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 compettve compensaton program. The criteria for peer group</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selecton include, annual revenues, similarity in business model and</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strategic focus, scope of operatons, potental mobility of talent and</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industry alignment.</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set compensaton of our executve ofcers at levels that we believe</w:t>
            </w:r>
          </w:p>
        </w:tc>
        <w:tc>
          <w:tcPr>
            <w:tcW w:w="620" w:type="dxa"/>
            <w:vAlign w:val="bottom"/>
            <w:tcBorders>
              <w:right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are appropriate relatve to the compensaton paid to similarly situated</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ofcers of our peers, giving consideraton to market and other factors.</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gridSpan w:val="3"/>
          </w:tcPr>
          <w:p>
            <w:pPr>
              <w:spacing w:after="0"/>
              <w:rPr>
                <w:sz w:val="23"/>
                <w:szCs w:val="23"/>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Ensure equity compensaton best practces: </w:t>
            </w:r>
            <w:r>
              <w:rPr>
                <w:rFonts w:ascii="Calibri" w:cs="Calibri" w:eastAsia="Calibri" w:hAnsi="Calibri"/>
                <w:sz w:val="16"/>
                <w:szCs w:val="16"/>
                <w:color w:val="auto"/>
              </w:rPr>
              <w:t>We design equity</w:t>
            </w:r>
          </w:p>
        </w:tc>
        <w:tc>
          <w:tcPr>
            <w:tcW w:w="620" w:type="dxa"/>
            <w:vAlign w:val="bottom"/>
            <w:tcBorders>
              <w:right w:val="single" w:sz="8" w:color="auto"/>
            </w:tcBorders>
          </w:tcPr>
          <w:p>
            <w:pPr>
              <w:spacing w:after="0"/>
              <w:rPr>
                <w:sz w:val="17"/>
                <w:szCs w:val="17"/>
                <w:color w:val="auto"/>
              </w:rPr>
            </w:pPr>
          </w:p>
        </w:tc>
        <w:tc>
          <w:tcPr>
            <w:tcW w:w="4760" w:type="dxa"/>
            <w:vAlign w:val="bottom"/>
            <w:gridSpan w:val="3"/>
          </w:tcPr>
          <w:p>
            <w:pPr>
              <w:ind w:left="80"/>
              <w:spacing w:after="0"/>
              <w:rPr>
                <w:sz w:val="20"/>
                <w:szCs w:val="20"/>
                <w:color w:val="auto"/>
              </w:rPr>
            </w:pPr>
            <w:r>
              <w:rPr>
                <w:rFonts w:ascii="Calibri" w:cs="Calibri" w:eastAsia="Calibri" w:hAnsi="Calibri"/>
                <w:sz w:val="16"/>
                <w:szCs w:val="16"/>
                <w:b w:val="1"/>
                <w:bCs w:val="1"/>
                <w:color w:val="auto"/>
              </w:rPr>
              <w:t xml:space="preserve">No excessive overhang or diluton: </w:t>
            </w:r>
            <w:r>
              <w:rPr>
                <w:rFonts w:ascii="Calibri" w:cs="Calibri" w:eastAsia="Calibri" w:hAnsi="Calibri"/>
                <w:sz w:val="16"/>
                <w:szCs w:val="16"/>
                <w:color w:val="auto"/>
              </w:rPr>
              <w:t>We do not have excessive overhang</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incentves to encourage our executves to maintain a long-term view of</w:t>
            </w:r>
          </w:p>
        </w:tc>
        <w:tc>
          <w:tcPr>
            <w:tcW w:w="620" w:type="dxa"/>
            <w:vAlign w:val="bottom"/>
            <w:tcBorders>
              <w:right w:val="single" w:sz="8" w:color="auto"/>
            </w:tcBorders>
          </w:tcPr>
          <w:p>
            <w:pPr>
              <w:spacing w:after="0"/>
              <w:rPr>
                <w:sz w:val="16"/>
                <w:szCs w:val="16"/>
                <w:color w:val="auto"/>
              </w:rPr>
            </w:pPr>
          </w:p>
        </w:tc>
        <w:tc>
          <w:tcPr>
            <w:tcW w:w="3680" w:type="dxa"/>
            <w:vAlign w:val="bottom"/>
          </w:tcPr>
          <w:p>
            <w:pPr>
              <w:ind w:left="80"/>
              <w:spacing w:after="0"/>
              <w:rPr>
                <w:sz w:val="20"/>
                <w:szCs w:val="20"/>
                <w:color w:val="auto"/>
              </w:rPr>
            </w:pPr>
            <w:r>
              <w:rPr>
                <w:rFonts w:ascii="Calibri" w:cs="Calibri" w:eastAsia="Calibri" w:hAnsi="Calibri"/>
                <w:sz w:val="16"/>
                <w:szCs w:val="16"/>
                <w:color w:val="auto"/>
              </w:rPr>
              <w:t>or diluton from equity grants.</w:t>
            </w: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stockholder value creaton, to encourage retenton and to ensure a</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signifcant porton of the award is performance-based. Equity awards</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7"/>
              </w:rPr>
              <w:t>are granted on the basis of the executve’s prior year’s performance and</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are subject to tme or performance-based vestng conditons. A</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signifcant porton of such awards only pay out according to the</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achievement of Company performance goals covering a 3-year period.</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hold dividends accrued under our equity awards, if any, untl the</w:t>
            </w:r>
          </w:p>
        </w:tc>
        <w:tc>
          <w:tcPr>
            <w:tcW w:w="620" w:type="dxa"/>
            <w:vAlign w:val="bottom"/>
            <w:tcBorders>
              <w:right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recipient vests in the underlying shares or units.</w:t>
            </w:r>
          </w:p>
        </w:tc>
        <w:tc>
          <w:tcPr>
            <w:tcW w:w="620" w:type="dxa"/>
            <w:vAlign w:val="bottom"/>
            <w:tcBorders>
              <w:right w:val="single" w:sz="8" w:color="auto"/>
            </w:tcBorders>
          </w:tcPr>
          <w:p>
            <w:pPr>
              <w:spacing w:after="0"/>
              <w:rPr>
                <w:sz w:val="16"/>
                <w:szCs w:val="16"/>
                <w:color w:val="auto"/>
              </w:rPr>
            </w:pPr>
          </w:p>
        </w:tc>
        <w:tc>
          <w:tcPr>
            <w:tcW w:w="3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36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r>
      <w:tr>
        <w:trPr>
          <w:trHeight w:val="607"/>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tcPr>
          <w:p>
            <w:pPr>
              <w:ind w:left="1980"/>
              <w:spacing w:after="0"/>
              <w:rPr>
                <w:sz w:val="20"/>
                <w:szCs w:val="20"/>
                <w:color w:val="auto"/>
              </w:rPr>
            </w:pPr>
            <w:r>
              <w:rPr>
                <w:rFonts w:ascii="Calibri" w:cs="Calibri" w:eastAsia="Calibri" w:hAnsi="Calibri"/>
                <w:sz w:val="13"/>
                <w:szCs w:val="13"/>
                <w:color w:val="auto"/>
              </w:rPr>
              <w:t>EXL 2023 Proxy Statement</w:t>
            </w:r>
          </w:p>
        </w:tc>
        <w:tc>
          <w:tcPr>
            <w:tcW w:w="580" w:type="dxa"/>
            <w:vAlign w:val="bottom"/>
          </w:tcPr>
          <w:p>
            <w:pPr>
              <w:jc w:val="right"/>
              <w:ind w:right="1"/>
              <w:spacing w:after="0"/>
              <w:rPr>
                <w:sz w:val="20"/>
                <w:szCs w:val="20"/>
                <w:color w:val="auto"/>
              </w:rPr>
            </w:pPr>
            <w:r>
              <w:rPr>
                <w:rFonts w:ascii="Calibri" w:cs="Calibri" w:eastAsia="Calibri" w:hAnsi="Calibri"/>
                <w:sz w:val="28"/>
                <w:szCs w:val="28"/>
                <w:b w:val="1"/>
                <w:bCs w:val="1"/>
                <w:color w:val="FB4E0B"/>
              </w:rPr>
              <w:t>/</w:t>
            </w:r>
          </w:p>
        </w:tc>
        <w:tc>
          <w:tcPr>
            <w:tcW w:w="500" w:type="dxa"/>
            <w:vAlign w:val="bottom"/>
          </w:tcPr>
          <w:p>
            <w:pPr>
              <w:jc w:val="right"/>
              <w:ind w:right="113"/>
              <w:spacing w:after="0"/>
              <w:rPr>
                <w:sz w:val="20"/>
                <w:szCs w:val="20"/>
                <w:color w:val="auto"/>
              </w:rPr>
            </w:pPr>
            <w:r>
              <w:rPr>
                <w:rFonts w:ascii="Calibri" w:cs="Calibri" w:eastAsia="Calibri" w:hAnsi="Calibri"/>
                <w:sz w:val="17"/>
                <w:szCs w:val="17"/>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-4519930</wp:posOffset>
            </wp:positionV>
            <wp:extent cx="173355" cy="173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-4519930</wp:posOffset>
            </wp:positionV>
            <wp:extent cx="173355" cy="1733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-3248025</wp:posOffset>
            </wp:positionV>
            <wp:extent cx="173355" cy="1733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-3248025</wp:posOffset>
            </wp:positionV>
            <wp:extent cx="173355" cy="1733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-1868170</wp:posOffset>
            </wp:positionV>
            <wp:extent cx="173355" cy="1733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-1868170</wp:posOffset>
            </wp:positionV>
            <wp:extent cx="173355" cy="1733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9" w:lineRule="exact"/>
        <w:rPr>
          <w:sz w:val="20"/>
          <w:szCs w:val="20"/>
          <w:color w:val="auto"/>
        </w:rPr>
      </w:pPr>
    </w:p>
    <w:tbl>
      <w:tblPr>
        <w:tblLayout w:type="fixed"/>
        <w:tblInd w:w="320" w:type="dxa"/>
        <w:tblCellMar>
          <w:top w:w="0" w:type="dxa"/>
          <w:left w:w="0" w:type="dxa"/>
          <w:bottom w:w="0" w:type="dxa"/>
          <w:right w:w="0" w:type="dxa"/>
        </w:tblCellMar>
      </w:tblPr>
      <w:tr>
        <w:trPr>
          <w:trHeight w:val="220"/>
        </w:trPr>
        <w:tc>
          <w:tcPr>
            <w:tcW w:w="540" w:type="dxa"/>
            <w:vAlign w:val="bottom"/>
            <w:tcBorders>
              <w:top w:val="single" w:sz="8" w:color="auto"/>
              <w:right w:val="single" w:sz="8" w:color="auto"/>
            </w:tcBorders>
          </w:tcPr>
          <w:p>
            <w:pPr>
              <w:spacing w:after="0"/>
              <w:rPr>
                <w:sz w:val="19"/>
                <w:szCs w:val="19"/>
                <w:color w:val="auto"/>
              </w:rPr>
            </w:pPr>
          </w:p>
        </w:tc>
        <w:tc>
          <w:tcPr>
            <w:tcW w:w="4700" w:type="dxa"/>
            <w:vAlign w:val="bottom"/>
            <w:tcBorders>
              <w:top w:val="single" w:sz="8" w:color="auto"/>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Maintain an independent Compensaton and Talent Management</w:t>
            </w:r>
          </w:p>
        </w:tc>
        <w:tc>
          <w:tcPr>
            <w:tcW w:w="620" w:type="dxa"/>
            <w:vAlign w:val="bottom"/>
            <w:tcBorders>
              <w:top w:val="single" w:sz="8" w:color="auto"/>
              <w:right w:val="single" w:sz="8" w:color="auto"/>
            </w:tcBorders>
          </w:tcPr>
          <w:p>
            <w:pPr>
              <w:spacing w:after="0"/>
              <w:rPr>
                <w:sz w:val="19"/>
                <w:szCs w:val="19"/>
                <w:color w:val="auto"/>
              </w:rPr>
            </w:pPr>
          </w:p>
        </w:tc>
        <w:tc>
          <w:tcPr>
            <w:tcW w:w="4760" w:type="dxa"/>
            <w:vAlign w:val="bottom"/>
            <w:tcBorders>
              <w:top w:val="single" w:sz="8" w:color="auto"/>
            </w:tcBorders>
          </w:tcPr>
          <w:p>
            <w:pPr>
              <w:ind w:left="80"/>
              <w:spacing w:after="0"/>
              <w:rPr>
                <w:sz w:val="20"/>
                <w:szCs w:val="20"/>
                <w:color w:val="auto"/>
              </w:rPr>
            </w:pPr>
            <w:r>
              <w:rPr>
                <w:rFonts w:ascii="Calibri" w:cs="Calibri" w:eastAsia="Calibri" w:hAnsi="Calibri"/>
                <w:sz w:val="16"/>
                <w:szCs w:val="16"/>
                <w:b w:val="1"/>
                <w:bCs w:val="1"/>
                <w:color w:val="auto"/>
              </w:rPr>
              <w:t xml:space="preserve">Limited perquisites: </w:t>
            </w:r>
            <w:r>
              <w:rPr>
                <w:rFonts w:ascii="Calibri" w:cs="Calibri" w:eastAsia="Calibri" w:hAnsi="Calibri"/>
                <w:sz w:val="16"/>
                <w:szCs w:val="16"/>
                <w:color w:val="auto"/>
              </w:rPr>
              <w:t>We provide our named executve ofcers with only</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Commitee and consultant: </w:t>
            </w:r>
            <w:r>
              <w:rPr>
                <w:rFonts w:ascii="Calibri" w:cs="Calibri" w:eastAsia="Calibri" w:hAnsi="Calibri"/>
                <w:sz w:val="16"/>
                <w:szCs w:val="16"/>
                <w:color w:val="auto"/>
              </w:rPr>
              <w:t>Compensaton decisions for our NEOs are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limited perquisites and personal benefts that serve an important</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approved by a Compensaton and Talent Management Commitee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business purpose in additon to the regular benefts ofered to all</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composed of non-employee independent directors.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employees.</w:t>
            </w: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Our Compensaton and Talent Management Commitee is advised by an</w:t>
            </w:r>
          </w:p>
        </w:tc>
        <w:tc>
          <w:tcPr>
            <w:tcW w:w="620" w:type="dxa"/>
            <w:vAlign w:val="bottom"/>
            <w:tcBorders>
              <w:right w:val="single" w:sz="8" w:color="auto"/>
            </w:tcBorders>
          </w:tcPr>
          <w:p>
            <w:pPr>
              <w:spacing w:after="0"/>
              <w:rPr>
                <w:sz w:val="24"/>
                <w:szCs w:val="24"/>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We consider the perquisites and personal benefts that we ofer to our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independent consultant who reports directly to the Compensaton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executves in India to be customary benefts which allow us to remain</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Talent Management Commitee and provides no other services to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compettve for top talent.</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Company or management.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Mitgate risks: </w:t>
            </w:r>
            <w:r>
              <w:rPr>
                <w:rFonts w:ascii="Calibri" w:cs="Calibri" w:eastAsia="Calibri" w:hAnsi="Calibri"/>
                <w:sz w:val="16"/>
                <w:szCs w:val="16"/>
                <w:color w:val="auto"/>
              </w:rPr>
              <w:t>The mix and design of our compensaton programs</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tax gross-ups: </w:t>
            </w:r>
            <w:r>
              <w:rPr>
                <w:rFonts w:ascii="Calibri" w:cs="Calibri" w:eastAsia="Calibri" w:hAnsi="Calibri"/>
                <w:sz w:val="16"/>
                <w:szCs w:val="16"/>
                <w:color w:val="auto"/>
              </w:rPr>
              <w:t>We do not provide “gross-ups” to any of our named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serves to mitgate operatonal, fnancial, legal, regulatory, strategic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ofcers, including gross-ups for any excise taxes imposed with</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reputatonal risks.</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respect to Secton 280G (change-in-control payments) or Secton 409A</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(nonqualifed deferred compensaton) of the U.S. Internal Revenue Code</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of 1986, as amended (which we refer to as the “Code”).</w:t>
            </w: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clawback policy: </w:t>
            </w:r>
            <w:r>
              <w:rPr>
                <w:rFonts w:ascii="Calibri" w:cs="Calibri" w:eastAsia="Calibri" w:hAnsi="Calibri"/>
                <w:sz w:val="16"/>
                <w:szCs w:val="16"/>
                <w:color w:val="auto"/>
              </w:rPr>
              <w:t>We maintain a compensaton recovery</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hedging: </w:t>
            </w:r>
            <w:r>
              <w:rPr>
                <w:rFonts w:ascii="Calibri" w:cs="Calibri" w:eastAsia="Calibri" w:hAnsi="Calibri"/>
                <w:sz w:val="16"/>
                <w:szCs w:val="16"/>
                <w:color w:val="auto"/>
              </w:rPr>
              <w:t>We maintain a policy in which the following persons are</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policy that allows the Company to recover compensaton (including</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prohibited from engaging in hedging transactons involving our shares</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cash and/or equity awards) previously paid to one or more ofcers in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and other securites: our directors and their secretaries and other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the event of a fnancial restatement caused by noncompliance with</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executve ofcers and their secretaries and other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reportng requirements that impacts the applicable performance metric</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assistants; our employees in the accountng, fnance and legal</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if, in the opinion of our board of directors or Compensaton and Talent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8"/>
              </w:rPr>
              <w:t>departments; the members and permanent invitees of our operatng and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Management Commitee, the identfed executve’s misconduct was a</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executve commitees; and all of our vice president level 2 and 3 ofcers</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material factor causing the restatement.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w w:val="99"/>
              </w:rPr>
              <w:t>(whom we refer to collectvely as “Reportng Persons”). For this purpose,</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“hedging” refers to any strategy to ofset or reduce the risk of price</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fuctuatons in our shares or other securites or to protect, in whole or in</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part, against declines in the value of our shares or other securites. This</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prohibiton thus applies to all transactons in derivatve securites based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on our stock such as other securites, including puts, calls, swaps and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collar arrangements.</w:t>
            </w: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robust stock ownership policy: </w:t>
            </w:r>
            <w:r>
              <w:rPr>
                <w:rFonts w:ascii="Calibri" w:cs="Calibri" w:eastAsia="Calibri" w:hAnsi="Calibri"/>
                <w:sz w:val="16"/>
                <w:szCs w:val="16"/>
                <w:color w:val="auto"/>
              </w:rPr>
              <w:t>We maintain a stock</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pledging: </w:t>
            </w:r>
            <w:r>
              <w:rPr>
                <w:rFonts w:ascii="Calibri" w:cs="Calibri" w:eastAsia="Calibri" w:hAnsi="Calibri"/>
                <w:sz w:val="16"/>
                <w:szCs w:val="16"/>
                <w:color w:val="auto"/>
              </w:rPr>
              <w:t>Under our policy mentoned above, Reportng Persons (as</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policy that requires our CEO to maintain aggregate stock</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defned above) are only permited to pledge shares of our stock that</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equal to at least six tmes his base salary and vested stock</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exceed those required to be owned under our Stock Ownership Policy</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equal to at least three tmes his base salary, and that,</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described above.</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efectve as of January 1, 2022, requires the other members of our</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 commitee to maintain vested stock ownership equal to at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least two tmes their respectve base salaries. Covered executves have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three years from their hire date to atain the required stock ownership</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levels (or three years from January 1, 2022 for existng covered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7"/>
              </w:rPr>
              <w:t>directors that requires directors to maintain stock ownership of at least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fve tmes their respectve annual cash retainers. Directors have fve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years from their appointment date to atain the required stock</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levels.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As of December 31, 2022, all covered executves and directors were in</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compliance with the stock ownership policy.</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274"/>
        </w:trPr>
        <w:tc>
          <w:tcPr>
            <w:tcW w:w="540" w:type="dxa"/>
            <w:vAlign w:val="bottom"/>
            <w:tcBorders>
              <w:right w:val="single" w:sz="8" w:color="auto"/>
            </w:tcBorders>
          </w:tcPr>
          <w:p>
            <w:pPr>
              <w:spacing w:after="0"/>
              <w:rPr>
                <w:sz w:val="23"/>
                <w:szCs w:val="23"/>
                <w:color w:val="auto"/>
              </w:rPr>
            </w:pPr>
          </w:p>
        </w:tc>
        <w:tc>
          <w:tcPr>
            <w:tcW w:w="4700" w:type="dxa"/>
            <w:vAlign w:val="bottom"/>
            <w:tcBorders>
              <w:right w:val="single" w:sz="8" w:color="auto"/>
            </w:tcBorders>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4760" w:type="dxa"/>
            <w:vAlign w:val="bottom"/>
          </w:tcPr>
          <w:p>
            <w:pPr>
              <w:spacing w:after="0"/>
              <w:rPr>
                <w:sz w:val="23"/>
                <w:szCs w:val="23"/>
                <w:color w:val="auto"/>
              </w:rPr>
            </w:pPr>
          </w:p>
        </w:tc>
      </w:tr>
      <w:tr>
        <w:trPr>
          <w:trHeight w:val="45"/>
        </w:trPr>
        <w:tc>
          <w:tcPr>
            <w:tcW w:w="540" w:type="dxa"/>
            <w:vAlign w:val="bottom"/>
            <w:tcBorders>
              <w:bottom w:val="single" w:sz="8" w:color="FB4E0B"/>
            </w:tcBorders>
          </w:tcPr>
          <w:p>
            <w:pPr>
              <w:spacing w:after="0"/>
              <w:rPr>
                <w:sz w:val="3"/>
                <w:szCs w:val="3"/>
                <w:color w:val="auto"/>
              </w:rPr>
            </w:pPr>
          </w:p>
        </w:tc>
        <w:tc>
          <w:tcPr>
            <w:tcW w:w="4700" w:type="dxa"/>
            <w:vAlign w:val="bottom"/>
            <w:tcBorders>
              <w:bottom w:val="single" w:sz="8" w:color="FB4E0B"/>
            </w:tcBorders>
          </w:tcPr>
          <w:p>
            <w:pPr>
              <w:spacing w:after="0"/>
              <w:rPr>
                <w:sz w:val="3"/>
                <w:szCs w:val="3"/>
                <w:color w:val="auto"/>
              </w:rPr>
            </w:pPr>
          </w:p>
        </w:tc>
        <w:tc>
          <w:tcPr>
            <w:tcW w:w="620" w:type="dxa"/>
            <w:vAlign w:val="bottom"/>
            <w:tcBorders>
              <w:bottom w:val="single" w:sz="8" w:color="FB4E0B"/>
            </w:tcBorders>
          </w:tcPr>
          <w:p>
            <w:pPr>
              <w:spacing w:after="0"/>
              <w:rPr>
                <w:sz w:val="3"/>
                <w:szCs w:val="3"/>
                <w:color w:val="auto"/>
              </w:rPr>
            </w:pPr>
          </w:p>
        </w:tc>
        <w:tc>
          <w:tcPr>
            <w:tcW w:w="4760" w:type="dxa"/>
            <w:vAlign w:val="bottom"/>
            <w:tcBorders>
              <w:bottom w:val="single" w:sz="8" w:color="FB4E0B"/>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-6442710</wp:posOffset>
            </wp:positionV>
            <wp:extent cx="173355" cy="1733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-6442710</wp:posOffset>
            </wp:positionV>
            <wp:extent cx="173355" cy="1733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-5187315</wp:posOffset>
            </wp:positionV>
            <wp:extent cx="173355" cy="173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-5187315</wp:posOffset>
            </wp:positionV>
            <wp:extent cx="173355" cy="1733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-4377690</wp:posOffset>
            </wp:positionV>
            <wp:extent cx="173355" cy="1733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-4377690</wp:posOffset>
            </wp:positionV>
            <wp:extent cx="173355" cy="1733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-2453005</wp:posOffset>
            </wp:positionV>
            <wp:extent cx="173355" cy="1733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-2453005</wp:posOffset>
            </wp:positionV>
            <wp:extent cx="173355" cy="1733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pacing w:after="0" w:line="83"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70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Overview of compensaton policies and philosophies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believe that our long-term success is linked to our ability to recruit, train, motvate and retain employees at every level. There is signifcant compettve pressure in our industry for qualifed managers with a track record of achievement. It is critcal that we recruit, train, motvate and retain highly talented individuals at all levels of the organizaton who are commited to our core values of innovaton, collaboraton, excellence, integrity and mutual respect. We believe that our executve compensaton programs are integral to achieving this end.</w:t>
      </w:r>
    </w:p>
    <w:p>
      <w:pPr>
        <w:spacing w:after="0" w:line="211" w:lineRule="exact"/>
        <w:rPr>
          <w:sz w:val="20"/>
          <w:szCs w:val="20"/>
          <w:color w:val="auto"/>
        </w:rPr>
      </w:pPr>
    </w:p>
    <w:p>
      <w:pPr>
        <w:ind w:left="320" w:right="660"/>
        <w:spacing w:after="0" w:line="239" w:lineRule="auto"/>
        <w:rPr>
          <w:sz w:val="20"/>
          <w:szCs w:val="20"/>
          <w:color w:val="auto"/>
        </w:rPr>
      </w:pPr>
      <w:r>
        <w:rPr>
          <w:rFonts w:ascii="Calibri" w:cs="Calibri" w:eastAsia="Calibri" w:hAnsi="Calibri"/>
          <w:sz w:val="17"/>
          <w:szCs w:val="17"/>
          <w:color w:val="auto"/>
        </w:rPr>
        <w:t>Our Compensaton and Talent Management Commitee bases its executve compensaton programs on the following objectves, which guide us in establishing all of our compensaton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502285</wp:posOffset>
            </wp:positionV>
            <wp:extent cx="6740525" cy="817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0525" cy="817880"/>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right="1720"/>
        <w:spacing w:after="0" w:line="249" w:lineRule="auto"/>
        <w:rPr>
          <w:sz w:val="20"/>
          <w:szCs w:val="20"/>
          <w:color w:val="auto"/>
        </w:rPr>
      </w:pPr>
      <w:r>
        <w:rPr>
          <w:rFonts w:ascii="Calibri" w:cs="Calibri" w:eastAsia="Calibri" w:hAnsi="Calibri"/>
          <w:sz w:val="21"/>
          <w:szCs w:val="21"/>
          <w:b w:val="1"/>
          <w:bCs w:val="1"/>
          <w:color w:val="auto"/>
        </w:rPr>
        <w:t>Compensaton should be based on responsibility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3230245" cy="11563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230245" cy="1156335"/>
                    </a:xfrm>
                    <a:prstGeom prst="rect">
                      <a:avLst/>
                    </a:prstGeom>
                    <a:noFill/>
                  </pic:spPr>
                </pic:pic>
              </a:graphicData>
            </a:graphic>
          </wp:anchor>
        </w:drawing>
      </w:r>
    </w:p>
    <w:p>
      <w:pPr>
        <w:spacing w:after="0" w:line="398" w:lineRule="exact"/>
        <w:rPr>
          <w:sz w:val="20"/>
          <w:szCs w:val="20"/>
          <w:color w:val="auto"/>
        </w:rPr>
      </w:pPr>
    </w:p>
    <w:p>
      <w:pPr>
        <w:ind w:left="460" w:right="960"/>
        <w:spacing w:after="0" w:line="242" w:lineRule="auto"/>
        <w:rPr>
          <w:sz w:val="20"/>
          <w:szCs w:val="20"/>
          <w:color w:val="auto"/>
        </w:rPr>
      </w:pPr>
      <w:r>
        <w:rPr>
          <w:rFonts w:ascii="Calibri" w:cs="Calibri" w:eastAsia="Calibri" w:hAnsi="Calibri"/>
          <w:sz w:val="21"/>
          <w:szCs w:val="21"/>
          <w:b w:val="1"/>
          <w:bCs w:val="1"/>
          <w:color w:val="FB4E0B"/>
        </w:rPr>
        <w:t>Our compensaton program should deliver top-ter compensaton in return for top-ter individual and company performance, and lower ter compensaton for individual performance and/or our performance that falls short of expectatons.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214630</wp:posOffset>
            </wp:positionV>
            <wp:extent cx="3230245" cy="817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230245" cy="81788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980"/>
        <w:spacing w:after="0" w:line="241" w:lineRule="auto"/>
        <w:rPr>
          <w:sz w:val="20"/>
          <w:szCs w:val="20"/>
          <w:color w:val="auto"/>
        </w:rPr>
      </w:pPr>
      <w:r>
        <w:rPr>
          <w:rFonts w:ascii="Calibri" w:cs="Calibri" w:eastAsia="Calibri" w:hAnsi="Calibri"/>
          <w:sz w:val="21"/>
          <w:szCs w:val="21"/>
          <w:b w:val="1"/>
          <w:bCs w:val="1"/>
          <w:color w:val="auto"/>
        </w:rPr>
        <w:t>Pay-for-performance and retenton must be balanced in order to ensure the ongoing motvaton and commitment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207010</wp:posOffset>
            </wp:positionV>
            <wp:extent cx="3230245" cy="4876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230245" cy="4876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right="1200"/>
        <w:spacing w:after="0" w:line="238" w:lineRule="auto"/>
        <w:rPr>
          <w:sz w:val="20"/>
          <w:szCs w:val="20"/>
          <w:color w:val="auto"/>
        </w:rPr>
      </w:pPr>
      <w:r>
        <w:rPr>
          <w:rFonts w:ascii="Calibri" w:cs="Calibri" w:eastAsia="Calibri" w:hAnsi="Calibri"/>
          <w:sz w:val="21"/>
          <w:szCs w:val="21"/>
          <w:b w:val="1"/>
          <w:bCs w:val="1"/>
          <w:color w:val="FB4E0B"/>
        </w:rPr>
        <w:t>Compensaton should balance long-term and short-term objectves.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700"/>
        <w:spacing w:after="0" w:line="241" w:lineRule="auto"/>
        <w:rPr>
          <w:sz w:val="20"/>
          <w:szCs w:val="20"/>
          <w:color w:val="auto"/>
        </w:rPr>
      </w:pPr>
      <w:r>
        <w:rPr>
          <w:rFonts w:ascii="Calibri" w:cs="Calibri" w:eastAsia="Calibri" w:hAnsi="Calibri"/>
          <w:sz w:val="21"/>
          <w:szCs w:val="21"/>
          <w:b w:val="1"/>
          <w:bCs w:val="1"/>
          <w:color w:val="FB4E0B"/>
        </w:rPr>
        <w:t>Equity-based compensaton should be higher for persons with higher levels of responsibility and greater infuence on long-term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207010</wp:posOffset>
            </wp:positionV>
            <wp:extent cx="3296285" cy="6527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296285" cy="6527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60"/>
        <w:spacing w:after="0"/>
        <w:rPr>
          <w:sz w:val="20"/>
          <w:szCs w:val="20"/>
          <w:color w:val="auto"/>
        </w:rPr>
      </w:pPr>
      <w:r>
        <w:rPr>
          <w:rFonts w:ascii="Calibri" w:cs="Calibri" w:eastAsia="Calibri" w:hAnsi="Calibri"/>
          <w:sz w:val="21"/>
          <w:szCs w:val="21"/>
          <w:b w:val="1"/>
          <w:bCs w:val="1"/>
          <w:color w:val="auto"/>
        </w:rPr>
        <w:t>To enable us to atract and retain top talent, compensaton should refect the value of the job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3296285" cy="4876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296285" cy="48768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620"/>
        <w:spacing w:after="0" w:line="238" w:lineRule="auto"/>
        <w:rPr>
          <w:sz w:val="20"/>
          <w:szCs w:val="20"/>
          <w:color w:val="auto"/>
        </w:rPr>
      </w:pPr>
      <w:r>
        <w:rPr>
          <w:rFonts w:ascii="Calibri" w:cs="Calibri" w:eastAsia="Calibri" w:hAnsi="Calibri"/>
          <w:sz w:val="21"/>
          <w:szCs w:val="21"/>
          <w:b w:val="1"/>
          <w:bCs w:val="1"/>
          <w:color w:val="FB4E0B"/>
        </w:rPr>
        <w:t>Compensaton programs should be easy to understand.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3296285" cy="768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296285" cy="7683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1160"/>
        <w:spacing w:after="0"/>
        <w:rPr>
          <w:sz w:val="20"/>
          <w:szCs w:val="20"/>
          <w:color w:val="auto"/>
        </w:rPr>
      </w:pPr>
      <w:r>
        <w:rPr>
          <w:rFonts w:ascii="Calibri" w:cs="Calibri" w:eastAsia="Calibri" w:hAnsi="Calibri"/>
          <w:sz w:val="21"/>
          <w:szCs w:val="21"/>
          <w:b w:val="1"/>
          <w:bCs w:val="1"/>
          <w:color w:val="auto"/>
        </w:rPr>
        <w:t>Compensaton should be administered uniformly across the Company with clear- cut objectves and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00"/>
        <w:spacing w:after="0"/>
        <w:tabs>
          <w:tab w:leader="none" w:pos="540" w:val="left"/>
          <w:tab w:leader="none" w:pos="16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71</w:t>
      </w:r>
    </w:p>
    <w:p>
      <w:pPr>
        <w:sectPr>
          <w:pgSz w:w="11900" w:h="16838" w:orient="portrait"/>
          <w:cols w:equalWidth="0" w:num="2">
            <w:col w:w="5160" w:space="720"/>
            <w:col w:w="5060"/>
          </w:cols>
          <w:pgMar w:left="320" w:top="471" w:right="6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process: roles and responsibilites</w:t>
      </w:r>
    </w:p>
    <w:p>
      <w:pPr>
        <w:spacing w:after="0" w:line="114" w:lineRule="exact"/>
        <w:rPr>
          <w:sz w:val="20"/>
          <w:szCs w:val="20"/>
          <w:color w:val="auto"/>
        </w:rPr>
      </w:pPr>
    </w:p>
    <w:p>
      <w:pPr>
        <w:jc w:val="both"/>
        <w:ind w:left="320" w:right="280"/>
        <w:spacing w:after="0" w:line="239" w:lineRule="auto"/>
        <w:rPr>
          <w:sz w:val="20"/>
          <w:szCs w:val="20"/>
          <w:color w:val="auto"/>
        </w:rPr>
      </w:pPr>
      <w:r>
        <w:rPr>
          <w:rFonts w:ascii="Calibri" w:cs="Calibri" w:eastAsia="Calibri" w:hAnsi="Calibri"/>
          <w:sz w:val="17"/>
          <w:szCs w:val="17"/>
          <w:color w:val="auto"/>
        </w:rPr>
        <w:t>Our Compensaton and Talent Management Commitee has established a number of processes to assist it in ensuring that our executve compensaton programs are achieving their objectves. Our Compensaton and Talent Management Commitee, our management and our independent compensaton consultant are each engaged in these processes, as described in greater detail below.</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321"/>
        </w:trPr>
        <w:tc>
          <w:tcPr>
            <w:tcW w:w="1620" w:type="dxa"/>
            <w:vAlign w:val="bottom"/>
            <w:tcBorders>
              <w:top w:val="single" w:sz="8" w:color="FB4E0B"/>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Company</w:t>
            </w:r>
          </w:p>
        </w:tc>
        <w:tc>
          <w:tcPr>
            <w:tcW w:w="9000" w:type="dxa"/>
            <w:vAlign w:val="bottom"/>
            <w:tcBorders>
              <w:top w:val="single" w:sz="8" w:color="FB4E0B"/>
            </w:tcBorders>
          </w:tcPr>
          <w:p>
            <w:pPr>
              <w:ind w:left="80"/>
              <w:spacing w:after="0"/>
              <w:rPr>
                <w:sz w:val="20"/>
                <w:szCs w:val="20"/>
                <w:color w:val="auto"/>
              </w:rPr>
            </w:pPr>
            <w:r>
              <w:rPr>
                <w:rFonts w:ascii="Calibri" w:cs="Calibri" w:eastAsia="Calibri" w:hAnsi="Calibri"/>
                <w:sz w:val="16"/>
                <w:szCs w:val="16"/>
                <w:b w:val="1"/>
                <w:bCs w:val="1"/>
                <w:color w:val="auto"/>
              </w:rPr>
              <w:t>Establishment of performance measures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performance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At the beginning of each year, or the end of the prior year, our Compensaton and Talent Management Commitee establishes the Company-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Compensaton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wide and relevant business line performance measures on which our named executve ofcers’ annual incentve awards and equity incentve</w:t>
            </w:r>
          </w:p>
        </w:tc>
        <w:tc>
          <w:tcPr>
            <w:tcW w:w="0" w:type="dxa"/>
            <w:vAlign w:val="bottom"/>
          </w:tcPr>
          <w:p>
            <w:pPr>
              <w:spacing w:after="0"/>
              <w:rPr>
                <w:sz w:val="1"/>
                <w:szCs w:val="1"/>
                <w:color w:val="auto"/>
              </w:rPr>
            </w:pPr>
          </w:p>
        </w:tc>
      </w:tr>
      <w:tr>
        <w:trPr>
          <w:trHeight w:val="241"/>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Talent Management</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awards are largely based. These measures refect targets that are intended to encourage stretch performance.</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Commitee</w:t>
            </w:r>
          </w:p>
        </w:tc>
        <w:tc>
          <w:tcPr>
            <w:tcW w:w="900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Assessment of Company performance</w:t>
            </w:r>
          </w:p>
        </w:tc>
        <w:tc>
          <w:tcPr>
            <w:tcW w:w="0" w:type="dxa"/>
            <w:vAlign w:val="bottom"/>
          </w:tcPr>
          <w:p>
            <w:pPr>
              <w:spacing w:after="0"/>
              <w:rPr>
                <w:sz w:val="1"/>
                <w:szCs w:val="1"/>
                <w:color w:val="auto"/>
              </w:rPr>
            </w:pPr>
          </w:p>
        </w:tc>
      </w:tr>
      <w:tr>
        <w:trPr>
          <w:trHeight w:val="165"/>
        </w:trPr>
        <w:tc>
          <w:tcPr>
            <w:tcW w:w="1620" w:type="dxa"/>
            <w:vAlign w:val="bottom"/>
            <w:tcBorders>
              <w:right w:val="single" w:sz="8" w:color="auto"/>
            </w:tcBorders>
          </w:tcPr>
          <w:p>
            <w:pPr>
              <w:spacing w:after="0"/>
              <w:rPr>
                <w:sz w:val="14"/>
                <w:szCs w:val="14"/>
                <w:color w:val="auto"/>
              </w:rPr>
            </w:pPr>
          </w:p>
        </w:tc>
        <w:tc>
          <w:tcPr>
            <w:tcW w:w="9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At the end of the performance period, the Compensaton and Talent Management Commitee reviews and certfes our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achievement in relaton to the pre-established targets, and considers the appropriateness of adjustments to the performance criteria and</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calculatons of performance achievement.</w:t>
            </w:r>
          </w:p>
        </w:tc>
        <w:tc>
          <w:tcPr>
            <w:tcW w:w="0" w:type="dxa"/>
            <w:vAlign w:val="bottom"/>
          </w:tcPr>
          <w:p>
            <w:pPr>
              <w:spacing w:after="0"/>
              <w:rPr>
                <w:sz w:val="1"/>
                <w:szCs w:val="1"/>
                <w:color w:val="auto"/>
              </w:rPr>
            </w:pPr>
          </w:p>
        </w:tc>
      </w:tr>
      <w:tr>
        <w:trPr>
          <w:trHeight w:val="235"/>
        </w:trPr>
        <w:tc>
          <w:tcPr>
            <w:tcW w:w="1620" w:type="dxa"/>
            <w:vAlign w:val="bottom"/>
            <w:tcBorders>
              <w:bottom w:val="single" w:sz="8" w:color="auto"/>
              <w:right w:val="single" w:sz="8" w:color="auto"/>
            </w:tcBorders>
          </w:tcPr>
          <w:p>
            <w:pPr>
              <w:spacing w:after="0"/>
              <w:rPr>
                <w:sz w:val="20"/>
                <w:szCs w:val="20"/>
                <w:color w:val="auto"/>
              </w:rPr>
            </w:pPr>
          </w:p>
        </w:tc>
        <w:tc>
          <w:tcPr>
            <w:tcW w:w="9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Individual</w:t>
            </w:r>
          </w:p>
        </w:tc>
        <w:tc>
          <w:tcPr>
            <w:tcW w:w="9000" w:type="dxa"/>
            <w:vAlign w:val="bottom"/>
          </w:tcPr>
          <w:p>
            <w:pPr>
              <w:ind w:left="80"/>
              <w:spacing w:after="0"/>
              <w:rPr>
                <w:sz w:val="20"/>
                <w:szCs w:val="20"/>
                <w:color w:val="auto"/>
              </w:rPr>
            </w:pPr>
            <w:r>
              <w:rPr>
                <w:rFonts w:ascii="Calibri" w:cs="Calibri" w:eastAsia="Calibri" w:hAnsi="Calibri"/>
                <w:sz w:val="16"/>
                <w:szCs w:val="16"/>
                <w:color w:val="auto"/>
              </w:rPr>
              <w:t>The evaluaton of an individual’s performance determines a porton of the payouts under our annual incentve program and also infuences</w:t>
            </w:r>
          </w:p>
        </w:tc>
        <w:tc>
          <w:tcPr>
            <w:tcW w:w="0" w:type="dxa"/>
            <w:vAlign w:val="bottom"/>
          </w:tcPr>
          <w:p>
            <w:pPr>
              <w:spacing w:after="0"/>
              <w:rPr>
                <w:sz w:val="1"/>
                <w:szCs w:val="1"/>
                <w:color w:val="auto"/>
              </w:rPr>
            </w:pPr>
          </w:p>
        </w:tc>
      </w:tr>
      <w:tr>
        <w:trPr>
          <w:trHeight w:val="215"/>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performance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any changes in base salary for each of our named executve ofcers.</w:t>
            </w: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board of directors,</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620" w:type="dxa"/>
            <w:vAlign w:val="bottom"/>
            <w:tcBorders>
              <w:right w:val="single" w:sz="8" w:color="auto"/>
            </w:tcBorders>
          </w:tcPr>
          <w:p>
            <w:pPr>
              <w:ind w:left="140"/>
              <w:spacing w:after="0" w:line="201" w:lineRule="exact"/>
              <w:rPr>
                <w:sz w:val="20"/>
                <w:szCs w:val="20"/>
                <w:color w:val="auto"/>
              </w:rPr>
            </w:pPr>
            <w:r>
              <w:rPr>
                <w:rFonts w:ascii="Calibri" w:cs="Calibri" w:eastAsia="Calibri" w:hAnsi="Calibri"/>
                <w:sz w:val="17"/>
                <w:szCs w:val="17"/>
                <w:b w:val="1"/>
                <w:bCs w:val="1"/>
                <w:color w:val="auto"/>
              </w:rPr>
              <w:t>Compensaton</w:t>
            </w:r>
          </w:p>
        </w:tc>
        <w:tc>
          <w:tcPr>
            <w:tcW w:w="9000" w:type="dxa"/>
            <w:vAlign w:val="bottom"/>
          </w:tcPr>
          <w:p>
            <w:pPr>
              <w:ind w:left="80"/>
              <w:spacing w:after="0" w:line="191" w:lineRule="exact"/>
              <w:rPr>
                <w:sz w:val="20"/>
                <w:szCs w:val="20"/>
                <w:color w:val="auto"/>
              </w:rPr>
            </w:pPr>
            <w:r>
              <w:rPr>
                <w:rFonts w:ascii="Calibri" w:cs="Calibri" w:eastAsia="Calibri" w:hAnsi="Calibri"/>
                <w:sz w:val="16"/>
                <w:szCs w:val="16"/>
                <w:b w:val="1"/>
                <w:bCs w:val="1"/>
                <w:color w:val="auto"/>
              </w:rPr>
              <w:t>Assessment of Vice Chairman and CEO performance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and Nominatng</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For Mr. Kapoor, our board of directors reviews and provides feedback on a self-evaluaton prepared by Mr. Kapoor. Once all directors have</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and Governance</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given feedback on Mr. Kapoor’s performance, our Chairman and Chair of the Compensaton and Talent Management Commitee lead a</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Commitees,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comprehensive discussion of the full board of directors on Mr. Kapoor’s performance, leadership accomplishments and overall competence</w:t>
            </w:r>
          </w:p>
        </w:tc>
        <w:tc>
          <w:tcPr>
            <w:tcW w:w="0" w:type="dxa"/>
            <w:vAlign w:val="bottom"/>
          </w:tcPr>
          <w:p>
            <w:pPr>
              <w:spacing w:after="0"/>
              <w:rPr>
                <w:sz w:val="1"/>
                <w:szCs w:val="1"/>
                <w:color w:val="auto"/>
              </w:rPr>
            </w:pPr>
          </w:p>
        </w:tc>
      </w:tr>
      <w:tr>
        <w:trPr>
          <w:trHeight w:val="185"/>
        </w:trPr>
        <w:tc>
          <w:tcPr>
            <w:tcW w:w="1620" w:type="dxa"/>
            <w:vAlign w:val="bottom"/>
            <w:tcBorders>
              <w:right w:val="single" w:sz="8" w:color="auto"/>
            </w:tcBorders>
            <w:vMerge w:val="restart"/>
          </w:tcPr>
          <w:p>
            <w:pPr>
              <w:ind w:left="140"/>
              <w:spacing w:after="0"/>
              <w:rPr>
                <w:sz w:val="20"/>
                <w:szCs w:val="20"/>
                <w:color w:val="auto"/>
              </w:rPr>
            </w:pPr>
            <w:r>
              <w:rPr>
                <w:rFonts w:ascii="Calibri" w:cs="Calibri" w:eastAsia="Calibri" w:hAnsi="Calibri"/>
                <w:sz w:val="17"/>
                <w:szCs w:val="17"/>
                <w:b w:val="1"/>
                <w:bCs w:val="1"/>
                <w:color w:val="auto"/>
              </w:rPr>
              <w:t>Vice Chairman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to evaluate the achievement of established objectves.</w:t>
            </w:r>
          </w:p>
        </w:tc>
        <w:tc>
          <w:tcPr>
            <w:tcW w:w="0" w:type="dxa"/>
            <w:vAlign w:val="bottom"/>
          </w:tcPr>
          <w:p>
            <w:pPr>
              <w:spacing w:after="0"/>
              <w:rPr>
                <w:sz w:val="1"/>
                <w:szCs w:val="1"/>
                <w:color w:val="auto"/>
              </w:rPr>
            </w:pPr>
          </w:p>
        </w:tc>
      </w:tr>
      <w:tr>
        <w:trPr>
          <w:trHeight w:val="65"/>
        </w:trPr>
        <w:tc>
          <w:tcPr>
            <w:tcW w:w="1620" w:type="dxa"/>
            <w:vAlign w:val="bottom"/>
            <w:tcBorders>
              <w:right w:val="single" w:sz="8" w:color="auto"/>
            </w:tcBorders>
            <w:vMerge w:val="continue"/>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CEO</w:t>
            </w:r>
          </w:p>
        </w:tc>
        <w:tc>
          <w:tcPr>
            <w:tcW w:w="9000" w:type="dxa"/>
            <w:vAlign w:val="bottom"/>
            <w:vMerge w:val="restart"/>
          </w:tcPr>
          <w:p>
            <w:pPr>
              <w:ind w:left="80"/>
              <w:spacing w:after="0"/>
              <w:rPr>
                <w:sz w:val="20"/>
                <w:szCs w:val="20"/>
                <w:color w:val="auto"/>
              </w:rPr>
            </w:pPr>
            <w:r>
              <w:rPr>
                <w:rFonts w:ascii="Calibri" w:cs="Calibri" w:eastAsia="Calibri" w:hAnsi="Calibri"/>
                <w:sz w:val="16"/>
                <w:szCs w:val="16"/>
                <w:b w:val="1"/>
                <w:bCs w:val="1"/>
                <w:color w:val="auto"/>
              </w:rPr>
              <w:t>Assessment of performance for all other NEOs and executve ofcers</w:t>
            </w:r>
          </w:p>
        </w:tc>
        <w:tc>
          <w:tcPr>
            <w:tcW w:w="0" w:type="dxa"/>
            <w:vAlign w:val="bottom"/>
          </w:tcPr>
          <w:p>
            <w:pPr>
              <w:spacing w:after="0"/>
              <w:rPr>
                <w:sz w:val="1"/>
                <w:szCs w:val="1"/>
                <w:color w:val="auto"/>
              </w:rPr>
            </w:pPr>
          </w:p>
        </w:tc>
      </w:tr>
      <w:tr>
        <w:trPr>
          <w:trHeight w:val="152"/>
        </w:trPr>
        <w:tc>
          <w:tcPr>
            <w:tcW w:w="1620" w:type="dxa"/>
            <w:vAlign w:val="bottom"/>
            <w:tcBorders>
              <w:right w:val="single" w:sz="8" w:color="auto"/>
            </w:tcBorders>
          </w:tcPr>
          <w:p>
            <w:pPr>
              <w:spacing w:after="0"/>
              <w:rPr>
                <w:sz w:val="13"/>
                <w:szCs w:val="13"/>
                <w:color w:val="auto"/>
              </w:rPr>
            </w:pPr>
          </w:p>
        </w:tc>
        <w:tc>
          <w:tcPr>
            <w:tcW w:w="9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For all other NEOs and executve ofcers, Mr. Kapoor makes a performance assessment and compensaton recommendaton to our board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directors. He bases the performance assessments on our named executve ofcers’ self-evaluatons and his performance assessments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each of them.</w:t>
            </w:r>
          </w:p>
        </w:tc>
        <w:tc>
          <w:tcPr>
            <w:tcW w:w="0" w:type="dxa"/>
            <w:vAlign w:val="bottom"/>
          </w:tcPr>
          <w:p>
            <w:pPr>
              <w:spacing w:after="0"/>
              <w:rPr>
                <w:sz w:val="1"/>
                <w:szCs w:val="1"/>
                <w:color w:val="auto"/>
              </w:rPr>
            </w:pPr>
          </w:p>
        </w:tc>
      </w:tr>
      <w:tr>
        <w:trPr>
          <w:trHeight w:val="429"/>
        </w:trPr>
        <w:tc>
          <w:tcPr>
            <w:tcW w:w="1620" w:type="dxa"/>
            <w:vAlign w:val="bottom"/>
            <w:tcBorders>
              <w:right w:val="single" w:sz="8" w:color="auto"/>
            </w:tcBorders>
          </w:tcPr>
          <w:p>
            <w:pPr>
              <w:spacing w:after="0"/>
              <w:rPr>
                <w:sz w:val="24"/>
                <w:szCs w:val="24"/>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Our board of directors reviews the performance assessments with Mr. Kapoor, and evaluates the achievement of established objectves by</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each executve ofcer and his or her business line, if applicable, and his or her contributon to our performance, leadership accomplishments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and overall competence. The board of directors may exercise their judgment based on the executve ofcer’s interactons with the board of</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spacing w:after="0"/>
              <w:rPr>
                <w:sz w:val="16"/>
                <w:szCs w:val="16"/>
                <w:color w:val="auto"/>
              </w:rPr>
            </w:pPr>
          </w:p>
        </w:tc>
        <w:tc>
          <w:tcPr>
            <w:tcW w:w="9000" w:type="dxa"/>
            <w:vAlign w:val="bottom"/>
          </w:tcPr>
          <w:p>
            <w:pPr>
              <w:ind w:left="80"/>
              <w:spacing w:after="0"/>
              <w:rPr>
                <w:sz w:val="20"/>
                <w:szCs w:val="20"/>
                <w:color w:val="auto"/>
              </w:rPr>
            </w:pPr>
            <w:r>
              <w:rPr>
                <w:rFonts w:ascii="Calibri" w:cs="Calibri" w:eastAsia="Calibri" w:hAnsi="Calibri"/>
                <w:sz w:val="16"/>
                <w:szCs w:val="16"/>
                <w:color w:val="auto"/>
              </w:rPr>
              <w:t>directors.</w:t>
            </w:r>
          </w:p>
        </w:tc>
        <w:tc>
          <w:tcPr>
            <w:tcW w:w="0" w:type="dxa"/>
            <w:vAlign w:val="bottom"/>
          </w:tcPr>
          <w:p>
            <w:pPr>
              <w:spacing w:after="0"/>
              <w:rPr>
                <w:sz w:val="1"/>
                <w:szCs w:val="1"/>
                <w:color w:val="auto"/>
              </w:rPr>
            </w:pPr>
          </w:p>
        </w:tc>
      </w:tr>
      <w:tr>
        <w:trPr>
          <w:trHeight w:val="326"/>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Other maters</w:t>
            </w:r>
          </w:p>
        </w:tc>
        <w:tc>
          <w:tcPr>
            <w:tcW w:w="9000" w:type="dxa"/>
            <w:vAlign w:val="bottom"/>
          </w:tcPr>
          <w:p>
            <w:pPr>
              <w:ind w:left="80"/>
              <w:spacing w:after="0"/>
              <w:rPr>
                <w:sz w:val="20"/>
                <w:szCs w:val="20"/>
                <w:color w:val="auto"/>
              </w:rPr>
            </w:pPr>
            <w:r>
              <w:rPr>
                <w:rFonts w:ascii="Calibri" w:cs="Calibri" w:eastAsia="Calibri" w:hAnsi="Calibri"/>
                <w:sz w:val="16"/>
                <w:szCs w:val="16"/>
                <w:color w:val="auto"/>
                <w:w w:val="99"/>
              </w:rPr>
              <w:t>Our Compensaton and Talent Management Commitee periodically reviews related maters such as succession planning and management,</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relevant to</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evaluaton of management performance, changes in the scope of managerial responsibilites, and consideraton of the business</w:t>
            </w:r>
          </w:p>
        </w:tc>
        <w:tc>
          <w:tcPr>
            <w:tcW w:w="0" w:type="dxa"/>
            <w:vAlign w:val="bottom"/>
          </w:tcPr>
          <w:p>
            <w:pPr>
              <w:spacing w:after="0"/>
              <w:rPr>
                <w:sz w:val="1"/>
                <w:szCs w:val="1"/>
                <w:color w:val="auto"/>
              </w:rPr>
            </w:pPr>
          </w:p>
        </w:tc>
      </w:tr>
      <w:tr>
        <w:trPr>
          <w:trHeight w:val="195"/>
        </w:trPr>
        <w:tc>
          <w:tcPr>
            <w:tcW w:w="1620" w:type="dxa"/>
            <w:vAlign w:val="bottom"/>
            <w:tcBorders>
              <w:right w:val="single" w:sz="8" w:color="auto"/>
            </w:tcBorders>
          </w:tcPr>
          <w:p>
            <w:pPr>
              <w:ind w:left="140"/>
              <w:spacing w:after="0" w:line="195" w:lineRule="exact"/>
              <w:rPr>
                <w:sz w:val="20"/>
                <w:szCs w:val="20"/>
                <w:color w:val="auto"/>
              </w:rPr>
            </w:pPr>
            <w:r>
              <w:rPr>
                <w:rFonts w:ascii="Calibri" w:cs="Calibri" w:eastAsia="Calibri" w:hAnsi="Calibri"/>
                <w:sz w:val="17"/>
                <w:szCs w:val="17"/>
                <w:b w:val="1"/>
                <w:bCs w:val="1"/>
                <w:color w:val="auto"/>
              </w:rPr>
              <w:t>compensaton</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environment, and considers such maters in making compensaton decisions. The Compensaton and Talent Management Commitee also</w:t>
            </w:r>
          </w:p>
        </w:tc>
        <w:tc>
          <w:tcPr>
            <w:tcW w:w="0" w:type="dxa"/>
            <w:vAlign w:val="bottom"/>
          </w:tcPr>
          <w:p>
            <w:pPr>
              <w:spacing w:after="0"/>
              <w:rPr>
                <w:sz w:val="1"/>
                <w:szCs w:val="1"/>
                <w:color w:val="auto"/>
              </w:rPr>
            </w:pPr>
          </w:p>
        </w:tc>
      </w:tr>
      <w:tr>
        <w:trPr>
          <w:trHeight w:val="199"/>
        </w:trPr>
        <w:tc>
          <w:tcPr>
            <w:tcW w:w="162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decisions –</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takes into account an executve ofcer’s job responsibilites, performance, qualifcatons and skills in determining individual compensaton</w:t>
            </w:r>
          </w:p>
        </w:tc>
        <w:tc>
          <w:tcPr>
            <w:tcW w:w="0" w:type="dxa"/>
            <w:vAlign w:val="bottom"/>
          </w:tcPr>
          <w:p>
            <w:pPr>
              <w:spacing w:after="0"/>
              <w:rPr>
                <w:sz w:val="1"/>
                <w:szCs w:val="1"/>
                <w:color w:val="auto"/>
              </w:rPr>
            </w:pPr>
          </w:p>
        </w:tc>
      </w:tr>
      <w:tr>
        <w:trPr>
          <w:trHeight w:val="185"/>
        </w:trPr>
        <w:tc>
          <w:tcPr>
            <w:tcW w:w="1620" w:type="dxa"/>
            <w:vAlign w:val="bottom"/>
            <w:tcBorders>
              <w:right w:val="single" w:sz="8" w:color="auto"/>
            </w:tcBorders>
            <w:vMerge w:val="restart"/>
          </w:tcPr>
          <w:p>
            <w:pPr>
              <w:ind w:left="140"/>
              <w:spacing w:after="0"/>
              <w:rPr>
                <w:sz w:val="20"/>
                <w:szCs w:val="20"/>
                <w:color w:val="auto"/>
              </w:rPr>
            </w:pPr>
            <w:r>
              <w:rPr>
                <w:rFonts w:ascii="Calibri" w:cs="Calibri" w:eastAsia="Calibri" w:hAnsi="Calibri"/>
                <w:sz w:val="17"/>
                <w:szCs w:val="17"/>
                <w:b w:val="1"/>
                <w:bCs w:val="1"/>
                <w:color w:val="auto"/>
              </w:rPr>
              <w:t>Compensaton and</w:t>
            </w:r>
          </w:p>
        </w:tc>
        <w:tc>
          <w:tcPr>
            <w:tcW w:w="9000" w:type="dxa"/>
            <w:vAlign w:val="bottom"/>
          </w:tcPr>
          <w:p>
            <w:pPr>
              <w:ind w:left="80"/>
              <w:spacing w:after="0" w:line="185" w:lineRule="exact"/>
              <w:rPr>
                <w:sz w:val="20"/>
                <w:szCs w:val="20"/>
                <w:color w:val="auto"/>
              </w:rPr>
            </w:pPr>
            <w:r>
              <w:rPr>
                <w:rFonts w:ascii="Calibri" w:cs="Calibri" w:eastAsia="Calibri" w:hAnsi="Calibri"/>
                <w:sz w:val="16"/>
                <w:szCs w:val="16"/>
                <w:color w:val="auto"/>
              </w:rPr>
              <w:t>levels.</w:t>
            </w:r>
          </w:p>
        </w:tc>
        <w:tc>
          <w:tcPr>
            <w:tcW w:w="0" w:type="dxa"/>
            <w:vAlign w:val="bottom"/>
          </w:tcPr>
          <w:p>
            <w:pPr>
              <w:spacing w:after="0"/>
              <w:rPr>
                <w:sz w:val="1"/>
                <w:szCs w:val="1"/>
                <w:color w:val="auto"/>
              </w:rPr>
            </w:pPr>
          </w:p>
        </w:tc>
      </w:tr>
      <w:tr>
        <w:trPr>
          <w:trHeight w:val="65"/>
        </w:trPr>
        <w:tc>
          <w:tcPr>
            <w:tcW w:w="1620" w:type="dxa"/>
            <w:vAlign w:val="bottom"/>
            <w:tcBorders>
              <w:right w:val="single" w:sz="8" w:color="auto"/>
            </w:tcBorders>
            <w:vMerge w:val="continue"/>
          </w:tcPr>
          <w:p>
            <w:pPr>
              <w:spacing w:after="0"/>
              <w:rPr>
                <w:sz w:val="5"/>
                <w:szCs w:val="5"/>
                <w:color w:val="auto"/>
              </w:rPr>
            </w:pPr>
          </w:p>
        </w:tc>
        <w:tc>
          <w:tcPr>
            <w:tcW w:w="9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Talent Management</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Commitee</w:t>
            </w: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2"/>
        </w:trPr>
        <w:tc>
          <w:tcPr>
            <w:tcW w:w="1620" w:type="dxa"/>
            <w:vAlign w:val="bottom"/>
            <w:tcBorders>
              <w:bottom w:val="single" w:sz="8" w:color="auto"/>
              <w:right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72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alibri" w:cs="Calibri" w:eastAsia="Calibri" w:hAnsi="Calibri"/>
                <w:sz w:val="14"/>
                <w:szCs w:val="14"/>
                <w:b w:val="1"/>
                <w:bCs w:val="1"/>
                <w:color w:val="D8D8D8"/>
              </w:rPr>
              <w:t>Executve compensaton</w:t>
            </w:r>
          </w:p>
        </w:tc>
        <w:tc>
          <w:tcPr>
            <w:tcW w:w="0" w:type="dxa"/>
            <w:vAlign w:val="bottom"/>
          </w:tcPr>
          <w:p>
            <w:pPr>
              <w:spacing w:after="0"/>
              <w:rPr>
                <w:sz w:val="1"/>
                <w:szCs w:val="1"/>
                <w:color w:val="auto"/>
              </w:rPr>
            </w:pPr>
          </w:p>
        </w:tc>
      </w:tr>
      <w:tr>
        <w:trPr>
          <w:trHeight w:val="369"/>
        </w:trPr>
        <w:tc>
          <w:tcPr>
            <w:tcW w:w="20" w:type="dxa"/>
            <w:vAlign w:val="bottom"/>
            <w:vMerge w:val="restart"/>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4"/>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560" w:type="dxa"/>
            <w:vAlign w:val="bottom"/>
            <w:tcBorders>
              <w:right w:val="single" w:sz="8" w:color="auto"/>
            </w:tcBorders>
          </w:tcPr>
          <w:p>
            <w:pPr>
              <w:spacing w:after="0" w:line="171" w:lineRule="exact"/>
              <w:rPr>
                <w:sz w:val="20"/>
                <w:szCs w:val="20"/>
                <w:color w:val="auto"/>
              </w:rPr>
            </w:pPr>
            <w:r>
              <w:rPr>
                <w:rFonts w:ascii="Calibri" w:cs="Calibri" w:eastAsia="Calibri" w:hAnsi="Calibri"/>
                <w:sz w:val="17"/>
                <w:szCs w:val="17"/>
                <w:b w:val="1"/>
                <w:bCs w:val="1"/>
                <w:color w:val="auto"/>
              </w:rPr>
              <w:t>Independent</w:t>
            </w:r>
          </w:p>
        </w:tc>
        <w:tc>
          <w:tcPr>
            <w:tcW w:w="8520" w:type="dxa"/>
            <w:vAlign w:val="bottom"/>
            <w:gridSpan w:val="4"/>
          </w:tcPr>
          <w:p>
            <w:pPr>
              <w:ind w:left="180"/>
              <w:spacing w:after="0" w:line="171" w:lineRule="exact"/>
              <w:rPr>
                <w:sz w:val="20"/>
                <w:szCs w:val="20"/>
                <w:color w:val="auto"/>
              </w:rPr>
            </w:pPr>
            <w:r>
              <w:rPr>
                <w:rFonts w:ascii="Calibri" w:cs="Calibri" w:eastAsia="Calibri" w:hAnsi="Calibri"/>
                <w:sz w:val="16"/>
                <w:szCs w:val="16"/>
                <w:color w:val="auto"/>
              </w:rPr>
              <w:t>For 2022, the Compensaton and Talent Management Commitee retained the services of Farient, a qualifed and independent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80" w:type="dxa"/>
            <w:vAlign w:val="bottom"/>
            <w:tcBorders>
              <w:right w:val="single" w:sz="8" w:color="auto"/>
            </w:tcBorders>
            <w:gridSpan w:val="2"/>
          </w:tcPr>
          <w:p>
            <w:pPr>
              <w:spacing w:after="0" w:line="195" w:lineRule="exact"/>
              <w:rPr>
                <w:sz w:val="20"/>
                <w:szCs w:val="20"/>
                <w:color w:val="auto"/>
              </w:rPr>
            </w:pPr>
            <w:r>
              <w:rPr>
                <w:rFonts w:ascii="Calibri" w:cs="Calibri" w:eastAsia="Calibri" w:hAnsi="Calibri"/>
                <w:sz w:val="17"/>
                <w:szCs w:val="17"/>
                <w:b w:val="1"/>
                <w:bCs w:val="1"/>
                <w:color w:val="auto"/>
              </w:rPr>
              <w:t>compensaton</w:t>
            </w:r>
          </w:p>
        </w:tc>
        <w:tc>
          <w:tcPr>
            <w:tcW w:w="9060" w:type="dxa"/>
            <w:vAlign w:val="bottom"/>
            <w:gridSpan w:val="5"/>
          </w:tcPr>
          <w:p>
            <w:pPr>
              <w:ind w:left="180"/>
              <w:spacing w:after="0" w:line="185" w:lineRule="exact"/>
              <w:rPr>
                <w:sz w:val="20"/>
                <w:szCs w:val="20"/>
                <w:color w:val="auto"/>
              </w:rPr>
            </w:pPr>
            <w:r>
              <w:rPr>
                <w:rFonts w:ascii="Calibri" w:cs="Calibri" w:eastAsia="Calibri" w:hAnsi="Calibri"/>
                <w:sz w:val="16"/>
                <w:szCs w:val="16"/>
                <w:color w:val="auto"/>
              </w:rPr>
              <w:t>compensaton consultant, to aid the Compensaton and Talent Management Commitee in performing its dutes. The Compensaton and</w:t>
            </w:r>
          </w:p>
        </w:tc>
        <w:tc>
          <w:tcPr>
            <w:tcW w:w="0" w:type="dxa"/>
            <w:vAlign w:val="bottom"/>
          </w:tcPr>
          <w:p>
            <w:pPr>
              <w:spacing w:after="0"/>
              <w:rPr>
                <w:sz w:val="1"/>
                <w:szCs w:val="1"/>
                <w:color w:val="auto"/>
              </w:rPr>
            </w:pPr>
          </w:p>
        </w:tc>
      </w:tr>
      <w:tr>
        <w:trPr>
          <w:trHeight w:val="198"/>
        </w:trPr>
        <w:tc>
          <w:tcPr>
            <w:tcW w:w="1580" w:type="dxa"/>
            <w:vAlign w:val="bottom"/>
            <w:tcBorders>
              <w:right w:val="single" w:sz="8" w:color="auto"/>
            </w:tcBorders>
            <w:gridSpan w:val="2"/>
          </w:tcPr>
          <w:p>
            <w:pPr>
              <w:spacing w:after="0" w:line="199" w:lineRule="exact"/>
              <w:rPr>
                <w:sz w:val="20"/>
                <w:szCs w:val="20"/>
                <w:color w:val="auto"/>
              </w:rPr>
            </w:pPr>
            <w:r>
              <w:rPr>
                <w:rFonts w:ascii="Calibri" w:cs="Calibri" w:eastAsia="Calibri" w:hAnsi="Calibri"/>
                <w:sz w:val="17"/>
                <w:szCs w:val="17"/>
                <w:b w:val="1"/>
                <w:bCs w:val="1"/>
                <w:color w:val="auto"/>
              </w:rPr>
              <w:t>consultant</w:t>
            </w:r>
          </w:p>
        </w:tc>
        <w:tc>
          <w:tcPr>
            <w:tcW w:w="7640" w:type="dxa"/>
            <w:vAlign w:val="bottom"/>
            <w:gridSpan w:val="3"/>
          </w:tcPr>
          <w:p>
            <w:pPr>
              <w:ind w:left="180"/>
              <w:spacing w:after="0" w:line="185" w:lineRule="exact"/>
              <w:rPr>
                <w:sz w:val="20"/>
                <w:szCs w:val="20"/>
                <w:color w:val="auto"/>
              </w:rPr>
            </w:pPr>
            <w:r>
              <w:rPr>
                <w:rFonts w:ascii="Calibri" w:cs="Calibri" w:eastAsia="Calibri" w:hAnsi="Calibri"/>
                <w:sz w:val="16"/>
                <w:szCs w:val="16"/>
                <w:color w:val="auto"/>
              </w:rPr>
              <w:t>Talent Management Commitee’s compensaton consultant assists in:</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76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reviewing our executve pay philosophy</w:t>
            </w: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76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collectng and evaluatng external market data regarding executve compensaton and performance,</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selectng peer group companies,</w:t>
            </w:r>
          </w:p>
        </w:tc>
        <w:tc>
          <w:tcPr>
            <w:tcW w:w="4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reviewing the Proxy Statement,</w:t>
            </w:r>
          </w:p>
        </w:tc>
        <w:tc>
          <w:tcPr>
            <w:tcW w:w="4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906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w w:val="99"/>
              </w:rPr>
              <w:t>•</w:t>
            </w:r>
            <w:r>
              <w:rPr>
                <w:rFonts w:ascii="Calibri" w:cs="Calibri" w:eastAsia="Calibri" w:hAnsi="Calibri"/>
                <w:sz w:val="16"/>
                <w:szCs w:val="16"/>
                <w:color w:val="auto"/>
                <w:w w:val="99"/>
              </w:rPr>
              <w:t xml:space="preserve">      advising the Compensaton and Talent Management Commitee on developing trends and best practces in executve and director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7000" w:type="dxa"/>
            <w:vAlign w:val="bottom"/>
            <w:gridSpan w:val="2"/>
          </w:tcPr>
          <w:p>
            <w:pPr>
              <w:ind w:left="180"/>
              <w:spacing w:after="0" w:line="187" w:lineRule="exact"/>
              <w:rPr>
                <w:sz w:val="20"/>
                <w:szCs w:val="20"/>
                <w:color w:val="auto"/>
              </w:rPr>
            </w:pPr>
            <w:r>
              <w:rPr>
                <w:rFonts w:ascii="Calibri" w:cs="Calibri" w:eastAsia="Calibri" w:hAnsi="Calibri"/>
                <w:sz w:val="16"/>
                <w:szCs w:val="16"/>
                <w:color w:val="auto"/>
              </w:rPr>
              <w:t>compensaton and equity and compensaton governance, and</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852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and Talent Management Commitee on incentve plan design that aligns with our strategy.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line="187" w:lineRule="exact"/>
              <w:rPr>
                <w:sz w:val="20"/>
                <w:szCs w:val="20"/>
                <w:color w:val="auto"/>
              </w:rPr>
            </w:pPr>
            <w:r>
              <w:rPr>
                <w:rFonts w:ascii="Calibri" w:cs="Calibri" w:eastAsia="Calibri" w:hAnsi="Calibri"/>
                <w:sz w:val="16"/>
                <w:szCs w:val="16"/>
                <w:color w:val="auto"/>
                <w:w w:val="98"/>
              </w:rPr>
              <w:t>In additon, Farient advises our Nominatng and Corporate Governance Commitee regarding director compensaton. Other than performing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rPr>
              <w:t>these consultng services, Farient does not provide other services to us or our executve ofcers. We have afrmatvely determined that no</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8520" w:type="dxa"/>
            <w:vAlign w:val="bottom"/>
            <w:gridSpan w:val="4"/>
          </w:tcPr>
          <w:p>
            <w:pPr>
              <w:ind w:left="180"/>
              <w:spacing w:after="0"/>
              <w:rPr>
                <w:sz w:val="20"/>
                <w:szCs w:val="20"/>
                <w:color w:val="auto"/>
              </w:rPr>
            </w:pPr>
            <w:r>
              <w:rPr>
                <w:rFonts w:ascii="Calibri" w:cs="Calibri" w:eastAsia="Calibri" w:hAnsi="Calibri"/>
                <w:sz w:val="16"/>
                <w:szCs w:val="16"/>
                <w:color w:val="auto"/>
              </w:rPr>
              <w:t>confict of interest has arisen in connecton with the work of Farient as compensaton consultant for the Compensaton and Talent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6"/>
                <w:szCs w:val="16"/>
                <w:color w:val="auto"/>
              </w:rPr>
              <w:t>Management Commitee.</w:t>
            </w:r>
          </w:p>
        </w:tc>
        <w:tc>
          <w:tcPr>
            <w:tcW w:w="4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9060" w:type="dxa"/>
            <w:vAlign w:val="bottom"/>
            <w:tcBorders>
              <w:bottom w:val="single" w:sz="8" w:color="auto"/>
            </w:tcBorders>
            <w:gridSpan w:val="5"/>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560" w:type="dxa"/>
            <w:vAlign w:val="bottom"/>
            <w:tcBorders>
              <w:right w:val="single" w:sz="8" w:color="auto"/>
            </w:tcBorders>
          </w:tcPr>
          <w:p>
            <w:pPr>
              <w:spacing w:after="0" w:line="171" w:lineRule="exact"/>
              <w:rPr>
                <w:sz w:val="20"/>
                <w:szCs w:val="20"/>
                <w:color w:val="auto"/>
              </w:rPr>
            </w:pPr>
            <w:r>
              <w:rPr>
                <w:rFonts w:ascii="Calibri" w:cs="Calibri" w:eastAsia="Calibri" w:hAnsi="Calibri"/>
                <w:sz w:val="17"/>
                <w:szCs w:val="17"/>
                <w:b w:val="1"/>
                <w:bCs w:val="1"/>
                <w:color w:val="auto"/>
              </w:rPr>
              <w:t>Peer market data</w:t>
            </w:r>
          </w:p>
        </w:tc>
        <w:tc>
          <w:tcPr>
            <w:tcW w:w="9060" w:type="dxa"/>
            <w:vAlign w:val="bottom"/>
            <w:gridSpan w:val="5"/>
          </w:tcPr>
          <w:p>
            <w:pPr>
              <w:ind w:left="180"/>
              <w:spacing w:after="0" w:line="171" w:lineRule="exact"/>
              <w:rPr>
                <w:sz w:val="20"/>
                <w:szCs w:val="20"/>
                <w:color w:val="auto"/>
              </w:rPr>
            </w:pPr>
            <w:r>
              <w:rPr>
                <w:rFonts w:ascii="Calibri" w:cs="Calibri" w:eastAsia="Calibri" w:hAnsi="Calibri"/>
                <w:sz w:val="16"/>
                <w:szCs w:val="16"/>
                <w:color w:val="auto"/>
              </w:rPr>
              <w:t>We review peer compensaton data on an annual basis in order to set compensaton for each following year. At the tme compensaton</w:t>
            </w: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17"/>
                <w:szCs w:val="17"/>
                <w:b w:val="1"/>
                <w:bCs w:val="1"/>
                <w:color w:val="auto"/>
              </w:rPr>
              <w:t>Compensaton and</w:t>
            </w:r>
          </w:p>
        </w:tc>
        <w:tc>
          <w:tcPr>
            <w:tcW w:w="9060" w:type="dxa"/>
            <w:vAlign w:val="bottom"/>
            <w:gridSpan w:val="5"/>
          </w:tcPr>
          <w:p>
            <w:pPr>
              <w:ind w:left="180"/>
              <w:spacing w:after="0" w:line="185" w:lineRule="exact"/>
              <w:rPr>
                <w:sz w:val="20"/>
                <w:szCs w:val="20"/>
                <w:color w:val="auto"/>
              </w:rPr>
            </w:pPr>
            <w:r>
              <w:rPr>
                <w:rFonts w:ascii="Calibri" w:cs="Calibri" w:eastAsia="Calibri" w:hAnsi="Calibri"/>
                <w:sz w:val="16"/>
                <w:szCs w:val="16"/>
                <w:color w:val="auto"/>
              </w:rPr>
              <w:t>decisions were made for our senior executve ofcers in 2022, our Compensaton and Talent Management Commitee reviewed publicly</w:t>
            </w:r>
          </w:p>
        </w:tc>
        <w:tc>
          <w:tcPr>
            <w:tcW w:w="0" w:type="dxa"/>
            <w:vAlign w:val="bottom"/>
          </w:tcPr>
          <w:p>
            <w:pPr>
              <w:spacing w:after="0"/>
              <w:rPr>
                <w:sz w:val="1"/>
                <w:szCs w:val="1"/>
                <w:color w:val="auto"/>
              </w:rPr>
            </w:pPr>
          </w:p>
        </w:tc>
      </w:tr>
      <w:tr>
        <w:trPr>
          <w:trHeight w:val="147"/>
        </w:trPr>
        <w:tc>
          <w:tcPr>
            <w:tcW w:w="1580" w:type="dxa"/>
            <w:vAlign w:val="bottom"/>
            <w:tcBorders>
              <w:right w:val="single" w:sz="8" w:color="auto"/>
            </w:tcBorders>
            <w:gridSpan w:val="2"/>
            <w:vMerge w:val="continue"/>
          </w:tcPr>
          <w:p>
            <w:pPr>
              <w:spacing w:after="0"/>
              <w:rPr>
                <w:sz w:val="12"/>
                <w:szCs w:val="12"/>
                <w:color w:val="auto"/>
              </w:rPr>
            </w:pPr>
          </w:p>
        </w:tc>
        <w:tc>
          <w:tcPr>
            <w:tcW w:w="9060" w:type="dxa"/>
            <w:vAlign w:val="bottom"/>
            <w:gridSpan w:val="5"/>
            <w:vMerge w:val="restart"/>
          </w:tcPr>
          <w:p>
            <w:pPr>
              <w:ind w:left="180"/>
              <w:spacing w:after="0"/>
              <w:rPr>
                <w:sz w:val="20"/>
                <w:szCs w:val="20"/>
                <w:color w:val="auto"/>
              </w:rPr>
            </w:pPr>
            <w:r>
              <w:rPr>
                <w:rFonts w:ascii="Calibri" w:cs="Calibri" w:eastAsia="Calibri" w:hAnsi="Calibri"/>
                <w:sz w:val="16"/>
                <w:szCs w:val="16"/>
                <w:color w:val="auto"/>
                <w:w w:val="98"/>
              </w:rPr>
              <w:t>available compensaton data. In partnership with our independent compensaton consultant, we have established a list of criteria to assess</w:t>
            </w:r>
          </w:p>
        </w:tc>
        <w:tc>
          <w:tcPr>
            <w:tcW w:w="0" w:type="dxa"/>
            <w:vAlign w:val="bottom"/>
          </w:tcPr>
          <w:p>
            <w:pPr>
              <w:spacing w:after="0"/>
              <w:rPr>
                <w:sz w:val="1"/>
                <w:szCs w:val="1"/>
                <w:color w:val="auto"/>
              </w:rPr>
            </w:pPr>
          </w:p>
        </w:tc>
      </w:tr>
      <w:tr>
        <w:trPr>
          <w:trHeight w:val="48"/>
        </w:trPr>
        <w:tc>
          <w:tcPr>
            <w:tcW w:w="1580" w:type="dxa"/>
            <w:vAlign w:val="bottom"/>
            <w:tcBorders>
              <w:right w:val="single" w:sz="8" w:color="auto"/>
            </w:tcBorders>
            <w:gridSpan w:val="2"/>
            <w:vMerge w:val="restart"/>
          </w:tcPr>
          <w:p>
            <w:pPr>
              <w:spacing w:after="0"/>
              <w:rPr>
                <w:sz w:val="20"/>
                <w:szCs w:val="20"/>
                <w:color w:val="auto"/>
              </w:rPr>
            </w:pPr>
            <w:r>
              <w:rPr>
                <w:rFonts w:ascii="Calibri" w:cs="Calibri" w:eastAsia="Calibri" w:hAnsi="Calibri"/>
                <w:sz w:val="17"/>
                <w:szCs w:val="17"/>
                <w:b w:val="1"/>
                <w:bCs w:val="1"/>
                <w:color w:val="auto"/>
              </w:rPr>
              <w:t>Talent Management</w:t>
            </w:r>
          </w:p>
        </w:tc>
        <w:tc>
          <w:tcPr>
            <w:tcW w:w="90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80" w:type="dxa"/>
            <w:vAlign w:val="bottom"/>
            <w:tcBorders>
              <w:right w:val="single" w:sz="8" w:color="auto"/>
            </w:tcBorders>
            <w:gridSpan w:val="2"/>
            <w:vMerge w:val="continue"/>
          </w:tcPr>
          <w:p>
            <w:pPr>
              <w:spacing w:after="0"/>
              <w:rPr>
                <w:sz w:val="14"/>
                <w:szCs w:val="14"/>
                <w:color w:val="auto"/>
              </w:rPr>
            </w:pPr>
          </w:p>
        </w:tc>
        <w:tc>
          <w:tcPr>
            <w:tcW w:w="9060" w:type="dxa"/>
            <w:vAlign w:val="bottom"/>
            <w:gridSpan w:val="5"/>
          </w:tcPr>
          <w:p>
            <w:pPr>
              <w:ind w:left="180"/>
              <w:spacing w:after="0" w:line="162" w:lineRule="exact"/>
              <w:rPr>
                <w:sz w:val="20"/>
                <w:szCs w:val="20"/>
                <w:color w:val="auto"/>
              </w:rPr>
            </w:pPr>
            <w:r>
              <w:rPr>
                <w:rFonts w:ascii="Calibri" w:cs="Calibri" w:eastAsia="Calibri" w:hAnsi="Calibri"/>
                <w:sz w:val="16"/>
                <w:szCs w:val="16"/>
                <w:color w:val="auto"/>
              </w:rPr>
              <w:t>the relevance of diferent companies to be included in our compensaton peer group. The criteria by which we select our peers includes</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Commitee and</w:t>
            </w: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w w:val="99"/>
              </w:rPr>
              <w:t>companies that are in similar industries as us, have similar business models as us (operatng in similar markets, requiring similar executve</w:t>
            </w:r>
          </w:p>
        </w:tc>
        <w:tc>
          <w:tcPr>
            <w:tcW w:w="0" w:type="dxa"/>
            <w:vAlign w:val="bottom"/>
          </w:tcPr>
          <w:p>
            <w:pPr>
              <w:spacing w:after="0"/>
              <w:rPr>
                <w:sz w:val="1"/>
                <w:szCs w:val="1"/>
                <w:color w:val="auto"/>
              </w:rPr>
            </w:pPr>
          </w:p>
        </w:tc>
      </w:tr>
      <w:tr>
        <w:trPr>
          <w:trHeight w:val="208"/>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independent</w:t>
            </w:r>
          </w:p>
        </w:tc>
        <w:tc>
          <w:tcPr>
            <w:tcW w:w="9060" w:type="dxa"/>
            <w:vAlign w:val="bottom"/>
            <w:gridSpan w:val="5"/>
          </w:tcPr>
          <w:p>
            <w:pPr>
              <w:ind w:left="180"/>
              <w:spacing w:after="0"/>
              <w:rPr>
                <w:sz w:val="20"/>
                <w:szCs w:val="20"/>
                <w:color w:val="auto"/>
              </w:rPr>
            </w:pPr>
            <w:r>
              <w:rPr>
                <w:rFonts w:ascii="Calibri" w:cs="Calibri" w:eastAsia="Calibri" w:hAnsi="Calibri"/>
                <w:sz w:val="16"/>
                <w:szCs w:val="16"/>
                <w:color w:val="auto"/>
                <w:w w:val="99"/>
              </w:rPr>
              <w:t>talent skills and subject to similar market forces), and are within a revenue range of around half our revenues to four tmes our revenues.</w:t>
            </w:r>
          </w:p>
        </w:tc>
        <w:tc>
          <w:tcPr>
            <w:tcW w:w="0" w:type="dxa"/>
            <w:vAlign w:val="bottom"/>
          </w:tcPr>
          <w:p>
            <w:pPr>
              <w:spacing w:after="0"/>
              <w:rPr>
                <w:sz w:val="1"/>
                <w:szCs w:val="1"/>
                <w:color w:val="auto"/>
              </w:rPr>
            </w:pPr>
          </w:p>
        </w:tc>
      </w:tr>
      <w:tr>
        <w:trPr>
          <w:trHeight w:val="206"/>
        </w:trPr>
        <w:tc>
          <w:tcPr>
            <w:tcW w:w="1580" w:type="dxa"/>
            <w:vAlign w:val="bottom"/>
            <w:tcBorders>
              <w:right w:val="single" w:sz="8" w:color="auto"/>
            </w:tcBorders>
            <w:gridSpan w:val="2"/>
          </w:tcPr>
          <w:p>
            <w:pPr>
              <w:spacing w:after="0" w:line="206" w:lineRule="exact"/>
              <w:rPr>
                <w:sz w:val="20"/>
                <w:szCs w:val="20"/>
                <w:color w:val="auto"/>
              </w:rPr>
            </w:pPr>
            <w:r>
              <w:rPr>
                <w:rFonts w:ascii="Calibri" w:cs="Calibri" w:eastAsia="Calibri" w:hAnsi="Calibri"/>
                <w:sz w:val="17"/>
                <w:szCs w:val="17"/>
                <w:b w:val="1"/>
                <w:bCs w:val="1"/>
                <w:color w:val="auto"/>
              </w:rPr>
              <w:t>compensaton</w:t>
            </w:r>
          </w:p>
        </w:tc>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tcBorders>
              <w:right w:val="single" w:sz="8" w:color="auto"/>
            </w:tcBorders>
            <w:gridSpan w:val="2"/>
          </w:tcPr>
          <w:p>
            <w:pPr>
              <w:spacing w:after="0"/>
              <w:rPr>
                <w:sz w:val="20"/>
                <w:szCs w:val="20"/>
                <w:color w:val="auto"/>
              </w:rPr>
            </w:pPr>
            <w:r>
              <w:rPr>
                <w:rFonts w:ascii="Calibri" w:cs="Calibri" w:eastAsia="Calibri" w:hAnsi="Calibri"/>
                <w:sz w:val="17"/>
                <w:szCs w:val="17"/>
                <w:b w:val="1"/>
                <w:bCs w:val="1"/>
                <w:color w:val="auto"/>
              </w:rPr>
              <w:t>consultants</w:t>
            </w:r>
          </w:p>
        </w:tc>
        <w:tc>
          <w:tcPr>
            <w:tcW w:w="8520" w:type="dxa"/>
            <w:vAlign w:val="bottom"/>
            <w:gridSpan w:val="4"/>
          </w:tcPr>
          <w:p>
            <w:pPr>
              <w:ind w:left="180"/>
              <w:spacing w:after="0"/>
              <w:rPr>
                <w:sz w:val="20"/>
                <w:szCs w:val="20"/>
                <w:color w:val="auto"/>
              </w:rPr>
            </w:pPr>
            <w:r>
              <w:rPr>
                <w:rFonts w:ascii="Calibri" w:cs="Calibri" w:eastAsia="Calibri" w:hAnsi="Calibri"/>
                <w:sz w:val="16"/>
                <w:szCs w:val="16"/>
                <w:color w:val="auto"/>
                <w:w w:val="99"/>
              </w:rPr>
              <w:t>The following chart shows the companies that make up our peer group as well as the respectve industries and revenues of each: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20" w:type="dxa"/>
            <w:vAlign w:val="bottom"/>
            <w:gridSpan w:val="2"/>
          </w:tcPr>
          <w:p>
            <w:pPr>
              <w:jc w:val="right"/>
              <w:ind w:right="79"/>
              <w:spacing w:after="0"/>
              <w:rPr>
                <w:sz w:val="20"/>
                <w:szCs w:val="20"/>
                <w:color w:val="auto"/>
              </w:rPr>
            </w:pPr>
            <w:r>
              <w:rPr>
                <w:rFonts w:ascii="Calibri" w:cs="Calibri" w:eastAsia="Calibri" w:hAnsi="Calibri"/>
                <w:sz w:val="17"/>
                <w:szCs w:val="17"/>
                <w:b w:val="1"/>
                <w:bCs w:val="1"/>
                <w:color w:val="FB4E0B"/>
              </w:rPr>
              <w:t>Revenue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7"/>
                <w:szCs w:val="17"/>
                <w:b w:val="1"/>
                <w:bCs w:val="1"/>
                <w:color w:val="FB4E0B"/>
              </w:rPr>
              <w:t>Company</w:t>
            </w:r>
          </w:p>
        </w:tc>
        <w:tc>
          <w:tcPr>
            <w:tcW w:w="4660" w:type="dxa"/>
            <w:vAlign w:val="bottom"/>
          </w:tcPr>
          <w:p>
            <w:pPr>
              <w:ind w:left="120"/>
              <w:spacing w:after="0"/>
              <w:rPr>
                <w:sz w:val="20"/>
                <w:szCs w:val="20"/>
                <w:color w:val="auto"/>
              </w:rPr>
            </w:pPr>
            <w:r>
              <w:rPr>
                <w:rFonts w:ascii="Calibri" w:cs="Calibri" w:eastAsia="Calibri" w:hAnsi="Calibri"/>
                <w:sz w:val="17"/>
                <w:szCs w:val="17"/>
                <w:b w:val="1"/>
                <w:bCs w:val="1"/>
                <w:color w:val="FB4E0B"/>
              </w:rPr>
              <w:t>Industry</w:t>
            </w:r>
          </w:p>
        </w:tc>
        <w:tc>
          <w:tcPr>
            <w:tcW w:w="1420" w:type="dxa"/>
            <w:vAlign w:val="bottom"/>
            <w:gridSpan w:val="2"/>
          </w:tcPr>
          <w:p>
            <w:pPr>
              <w:jc w:val="right"/>
              <w:spacing w:after="0"/>
              <w:rPr>
                <w:sz w:val="20"/>
                <w:szCs w:val="20"/>
                <w:color w:val="auto"/>
              </w:rPr>
            </w:pPr>
            <w:r>
              <w:rPr>
                <w:rFonts w:ascii="Calibri" w:cs="Calibri" w:eastAsia="Calibri" w:hAnsi="Calibri"/>
                <w:sz w:val="17"/>
                <w:szCs w:val="17"/>
                <w:b w:val="1"/>
                <w:bCs w:val="1"/>
                <w:color w:val="FB4E0B"/>
              </w:rPr>
              <w:t>($MM, USD)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2980" w:type="dxa"/>
            <w:vAlign w:val="bottom"/>
            <w:tcBorders>
              <w:bottom w:val="single" w:sz="8" w:color="FB4E0B"/>
            </w:tcBorders>
            <w:gridSpan w:val="2"/>
          </w:tcPr>
          <w:p>
            <w:pPr>
              <w:spacing w:after="0"/>
              <w:rPr>
                <w:sz w:val="8"/>
                <w:szCs w:val="8"/>
                <w:color w:val="auto"/>
              </w:rPr>
            </w:pPr>
          </w:p>
        </w:tc>
        <w:tc>
          <w:tcPr>
            <w:tcW w:w="4660" w:type="dxa"/>
            <w:vAlign w:val="bottom"/>
            <w:tcBorders>
              <w:bottom w:val="single" w:sz="8" w:color="FB4E0B"/>
            </w:tcBorders>
          </w:tcPr>
          <w:p>
            <w:pPr>
              <w:spacing w:after="0"/>
              <w:rPr>
                <w:sz w:val="8"/>
                <w:szCs w:val="8"/>
                <w:color w:val="auto"/>
              </w:rPr>
            </w:pPr>
          </w:p>
        </w:tc>
        <w:tc>
          <w:tcPr>
            <w:tcW w:w="1420" w:type="dxa"/>
            <w:vAlign w:val="bottom"/>
            <w:tcBorders>
              <w:bottom w:val="single" w:sz="8" w:color="FB4E0B"/>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EPAM Systems, Inc.</w:t>
            </w:r>
          </w:p>
        </w:tc>
        <w:tc>
          <w:tcPr>
            <w:tcW w:w="4660" w:type="dxa"/>
            <w:vAlign w:val="bottom"/>
          </w:tcPr>
          <w:p>
            <w:pPr>
              <w:ind w:left="120"/>
              <w:spacing w:after="0" w:line="185" w:lineRule="exact"/>
              <w:rPr>
                <w:sz w:val="20"/>
                <w:szCs w:val="20"/>
                <w:color w:val="auto"/>
              </w:rPr>
            </w:pPr>
            <w:r>
              <w:rPr>
                <w:rFonts w:ascii="Calibri" w:cs="Calibri" w:eastAsia="Calibri" w:hAnsi="Calibri"/>
                <w:sz w:val="16"/>
                <w:szCs w:val="16"/>
                <w:color w:val="auto"/>
              </w:rPr>
              <w:t>IT Consultng and Other Services</w:t>
            </w:r>
          </w:p>
        </w:tc>
        <w:tc>
          <w:tcPr>
            <w:tcW w:w="1420" w:type="dxa"/>
            <w:vAlign w:val="bottom"/>
            <w:gridSpan w:val="2"/>
          </w:tcPr>
          <w:p>
            <w:pPr>
              <w:jc w:val="right"/>
              <w:ind w:right="159"/>
              <w:spacing w:after="0" w:line="185" w:lineRule="exact"/>
              <w:rPr>
                <w:sz w:val="20"/>
                <w:szCs w:val="20"/>
                <w:color w:val="auto"/>
              </w:rPr>
            </w:pPr>
            <w:r>
              <w:rPr>
                <w:rFonts w:ascii="Calibri" w:cs="Calibri" w:eastAsia="Calibri" w:hAnsi="Calibri"/>
                <w:sz w:val="16"/>
                <w:szCs w:val="16"/>
                <w:color w:val="auto"/>
              </w:rPr>
              <w:t>$4,825</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Genpact Limited</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$4,371</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Splunk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$3,654</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Verisk Analytcs,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Research and Consultng Services</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$2,497</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TTEC Holdings,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$2,444</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Teradata Corporaton</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Systems Sofware</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$1,795</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980" w:type="dxa"/>
            <w:vAlign w:val="bottom"/>
            <w:tcBorders>
              <w:bottom w:val="single" w:sz="8" w:color="D8D8D8"/>
            </w:tcBorders>
            <w:gridSpan w:val="2"/>
            <w:shd w:val="clear" w:color="auto" w:fill="D8D8D8"/>
          </w:tcPr>
          <w:p>
            <w:pPr>
              <w:ind w:left="180"/>
              <w:spacing w:after="0" w:line="178" w:lineRule="exact"/>
              <w:rPr>
                <w:sz w:val="20"/>
                <w:szCs w:val="20"/>
                <w:color w:val="auto"/>
              </w:rPr>
            </w:pPr>
            <w:r>
              <w:rPr>
                <w:rFonts w:ascii="Calibri" w:cs="Calibri" w:eastAsia="Calibri" w:hAnsi="Calibri"/>
                <w:sz w:val="16"/>
                <w:szCs w:val="16"/>
                <w:b w:val="1"/>
                <w:bCs w:val="1"/>
                <w:color w:val="auto"/>
              </w:rPr>
              <w:t>ExlService Holdings, Inc.</w:t>
            </w:r>
          </w:p>
        </w:tc>
        <w:tc>
          <w:tcPr>
            <w:tcW w:w="4660" w:type="dxa"/>
            <w:vAlign w:val="bottom"/>
            <w:tcBorders>
              <w:bottom w:val="single" w:sz="8" w:color="D8D8D8"/>
            </w:tcBorders>
            <w:shd w:val="clear" w:color="auto" w:fill="D8D8D8"/>
          </w:tcPr>
          <w:p>
            <w:pPr>
              <w:ind w:left="120"/>
              <w:spacing w:after="0" w:line="178" w:lineRule="exact"/>
              <w:rPr>
                <w:sz w:val="20"/>
                <w:szCs w:val="20"/>
                <w:color w:val="auto"/>
              </w:rPr>
            </w:pPr>
            <w:r>
              <w:rPr>
                <w:rFonts w:ascii="Calibri" w:cs="Calibri" w:eastAsia="Calibri" w:hAnsi="Calibri"/>
                <w:sz w:val="16"/>
                <w:szCs w:val="16"/>
                <w:b w:val="1"/>
                <w:bCs w:val="1"/>
                <w:color w:val="auto"/>
              </w:rPr>
              <w:t>Data Processing and Outsourced Services</w:t>
            </w:r>
          </w:p>
        </w:tc>
        <w:tc>
          <w:tcPr>
            <w:tcW w:w="1420" w:type="dxa"/>
            <w:vAlign w:val="bottom"/>
            <w:tcBorders>
              <w:bottom w:val="single" w:sz="8" w:color="D8D8D8"/>
              <w:right w:val="single" w:sz="8" w:color="auto"/>
            </w:tcBorders>
            <w:gridSpan w:val="2"/>
            <w:shd w:val="clear" w:color="auto" w:fill="D8D8D8"/>
          </w:tcPr>
          <w:p>
            <w:pPr>
              <w:jc w:val="right"/>
              <w:ind w:right="159"/>
              <w:spacing w:after="0" w:line="178" w:lineRule="exact"/>
              <w:rPr>
                <w:sz w:val="20"/>
                <w:szCs w:val="20"/>
                <w:color w:val="auto"/>
              </w:rPr>
            </w:pPr>
            <w:r>
              <w:rPr>
                <w:rFonts w:ascii="Calibri" w:cs="Calibri" w:eastAsia="Calibri" w:hAnsi="Calibri"/>
                <w:sz w:val="16"/>
                <w:szCs w:val="16"/>
                <w:b w:val="1"/>
                <w:bCs w:val="1"/>
                <w:color w:val="auto"/>
              </w:rPr>
              <w:t>$1,412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Fair Isaac Corporaton</w:t>
            </w:r>
          </w:p>
        </w:tc>
        <w:tc>
          <w:tcPr>
            <w:tcW w:w="4660" w:type="dxa"/>
            <w:vAlign w:val="bottom"/>
            <w:tcBorders>
              <w:top w:val="single" w:sz="8" w:color="auto"/>
            </w:tcBorders>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1420" w:type="dxa"/>
            <w:vAlign w:val="bottom"/>
            <w:tcBorders>
              <w:top w:val="single" w:sz="8" w:color="auto"/>
            </w:tcBorders>
            <w:gridSpan w:val="2"/>
          </w:tcPr>
          <w:p>
            <w:pPr>
              <w:jc w:val="right"/>
              <w:ind w:right="159"/>
              <w:spacing w:after="0" w:line="178" w:lineRule="exact"/>
              <w:rPr>
                <w:sz w:val="20"/>
                <w:szCs w:val="20"/>
                <w:color w:val="auto"/>
              </w:rPr>
            </w:pPr>
            <w:r>
              <w:rPr>
                <w:rFonts w:ascii="Calibri" w:cs="Calibri" w:eastAsia="Calibri" w:hAnsi="Calibri"/>
                <w:sz w:val="16"/>
                <w:szCs w:val="16"/>
                <w:color w:val="auto"/>
              </w:rPr>
              <w:t>$1,377</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WNS (Holdings) Limited</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$1,110</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CSG Systems Internatonal,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$1,090</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MultPlan Corporaton</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Health Care Technology</w:t>
            </w:r>
          </w:p>
        </w:tc>
        <w:tc>
          <w:tcPr>
            <w:tcW w:w="1420" w:type="dxa"/>
            <w:vAlign w:val="bottom"/>
            <w:gridSpan w:val="2"/>
          </w:tcPr>
          <w:p>
            <w:pPr>
              <w:jc w:val="right"/>
              <w:ind w:right="159"/>
              <w:spacing w:after="0" w:line="178" w:lineRule="exact"/>
              <w:rPr>
                <w:sz w:val="20"/>
                <w:szCs w:val="20"/>
                <w:color w:val="auto"/>
              </w:rPr>
            </w:pPr>
            <w:r>
              <w:rPr>
                <w:rFonts w:ascii="Calibri" w:cs="Calibri" w:eastAsia="Calibri" w:hAnsi="Calibri"/>
                <w:sz w:val="16"/>
                <w:szCs w:val="16"/>
                <w:color w:val="auto"/>
              </w:rPr>
              <w:t>$1,080</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Perfcient,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IT Consultng and Other Services</w:t>
            </w:r>
          </w:p>
        </w:tc>
        <w:tc>
          <w:tcPr>
            <w:tcW w:w="880" w:type="dxa"/>
            <w:vAlign w:val="bottom"/>
          </w:tcPr>
          <w:p>
            <w:pPr>
              <w:jc w:val="right"/>
              <w:spacing w:after="0" w:line="178" w:lineRule="exact"/>
              <w:rPr>
                <w:sz w:val="20"/>
                <w:szCs w:val="20"/>
                <w:color w:val="auto"/>
              </w:rPr>
            </w:pPr>
            <w:r>
              <w:rPr>
                <w:rFonts w:ascii="Calibri" w:cs="Calibri" w:eastAsia="Calibri" w:hAnsi="Calibri"/>
                <w:sz w:val="16"/>
                <w:szCs w:val="16"/>
                <w:color w:val="auto"/>
              </w:rPr>
              <w:t>$</w:t>
            </w:r>
          </w:p>
        </w:tc>
        <w:tc>
          <w:tcPr>
            <w:tcW w:w="540" w:type="dxa"/>
            <w:vAlign w:val="bottom"/>
          </w:tcPr>
          <w:p>
            <w:pPr>
              <w:jc w:val="right"/>
              <w:ind w:right="179"/>
              <w:spacing w:after="0" w:line="178" w:lineRule="exact"/>
              <w:rPr>
                <w:sz w:val="20"/>
                <w:szCs w:val="20"/>
                <w:color w:val="auto"/>
              </w:rPr>
            </w:pPr>
            <w:r>
              <w:rPr>
                <w:rFonts w:ascii="Calibri" w:cs="Calibri" w:eastAsia="Calibri" w:hAnsi="Calibri"/>
                <w:sz w:val="16"/>
                <w:szCs w:val="16"/>
                <w:color w:val="auto"/>
              </w:rPr>
              <w:t>905</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Guidewire Sofware, Inc.</w:t>
            </w:r>
          </w:p>
        </w:tc>
        <w:tc>
          <w:tcPr>
            <w:tcW w:w="466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880" w:type="dxa"/>
            <w:vAlign w:val="bottom"/>
          </w:tcPr>
          <w:p>
            <w:pPr>
              <w:jc w:val="right"/>
              <w:spacing w:after="0" w:line="178" w:lineRule="exact"/>
              <w:rPr>
                <w:sz w:val="20"/>
                <w:szCs w:val="20"/>
                <w:color w:val="auto"/>
              </w:rPr>
            </w:pPr>
            <w:r>
              <w:rPr>
                <w:rFonts w:ascii="Calibri" w:cs="Calibri" w:eastAsia="Calibri" w:hAnsi="Calibri"/>
                <w:sz w:val="16"/>
                <w:szCs w:val="16"/>
                <w:color w:val="auto"/>
              </w:rPr>
              <w:t>$</w:t>
            </w:r>
          </w:p>
        </w:tc>
        <w:tc>
          <w:tcPr>
            <w:tcW w:w="540" w:type="dxa"/>
            <w:vAlign w:val="bottom"/>
          </w:tcPr>
          <w:p>
            <w:pPr>
              <w:jc w:val="right"/>
              <w:ind w:right="179"/>
              <w:spacing w:after="0" w:line="178" w:lineRule="exact"/>
              <w:rPr>
                <w:sz w:val="20"/>
                <w:szCs w:val="20"/>
                <w:color w:val="auto"/>
              </w:rPr>
            </w:pPr>
            <w:r>
              <w:rPr>
                <w:rFonts w:ascii="Calibri" w:cs="Calibri" w:eastAsia="Calibri" w:hAnsi="Calibri"/>
                <w:sz w:val="16"/>
                <w:szCs w:val="16"/>
                <w:color w:val="auto"/>
              </w:rPr>
              <w:t>813</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Borders>
              <w:top w:val="single" w:sz="8" w:color="FB4E0B"/>
            </w:tcBorders>
          </w:tcPr>
          <w:p>
            <w:pPr>
              <w:spacing w:after="0"/>
              <w:rPr>
                <w:sz w:val="24"/>
                <w:szCs w:val="24"/>
                <w:color w:val="auto"/>
              </w:rPr>
            </w:pPr>
          </w:p>
        </w:tc>
        <w:tc>
          <w:tcPr>
            <w:tcW w:w="2340" w:type="dxa"/>
            <w:vAlign w:val="bottom"/>
            <w:tcBorders>
              <w:top w:val="single" w:sz="8" w:color="FB4E0B"/>
            </w:tcBorders>
          </w:tcPr>
          <w:p>
            <w:pPr>
              <w:spacing w:after="0"/>
              <w:rPr>
                <w:sz w:val="24"/>
                <w:szCs w:val="24"/>
                <w:color w:val="auto"/>
              </w:rPr>
            </w:pPr>
          </w:p>
        </w:tc>
        <w:tc>
          <w:tcPr>
            <w:tcW w:w="4660" w:type="dxa"/>
            <w:vAlign w:val="bottom"/>
            <w:tcBorders>
              <w:top w:val="single" w:sz="8" w:color="FB4E0B"/>
            </w:tcBorders>
          </w:tcPr>
          <w:p>
            <w:pPr>
              <w:ind w:left="3280"/>
              <w:spacing w:after="0"/>
              <w:rPr>
                <w:sz w:val="20"/>
                <w:szCs w:val="20"/>
                <w:color w:val="auto"/>
              </w:rPr>
            </w:pPr>
            <w:r>
              <w:rPr>
                <w:rFonts w:ascii="Calibri" w:cs="Calibri" w:eastAsia="Calibri" w:hAnsi="Calibri"/>
                <w:sz w:val="13"/>
                <w:szCs w:val="13"/>
                <w:color w:val="auto"/>
                <w:w w:val="97"/>
              </w:rPr>
              <w:t>EXL 2023 Proxy Statement</w:t>
            </w:r>
          </w:p>
        </w:tc>
        <w:tc>
          <w:tcPr>
            <w:tcW w:w="880" w:type="dxa"/>
            <w:vAlign w:val="bottom"/>
            <w:tcBorders>
              <w:top w:val="single" w:sz="8" w:color="FB4E0B"/>
            </w:tcBorders>
          </w:tcPr>
          <w:p>
            <w:pPr>
              <w:jc w:val="right"/>
              <w:ind w:right="38"/>
              <w:spacing w:after="0"/>
              <w:rPr>
                <w:sz w:val="20"/>
                <w:szCs w:val="20"/>
                <w:color w:val="auto"/>
              </w:rPr>
            </w:pPr>
            <w:r>
              <w:rPr>
                <w:rFonts w:ascii="Calibri" w:cs="Calibri" w:eastAsia="Calibri" w:hAnsi="Calibri"/>
                <w:sz w:val="28"/>
                <w:szCs w:val="28"/>
                <w:b w:val="1"/>
                <w:bCs w:val="1"/>
                <w:color w:val="FB4E0B"/>
              </w:rPr>
              <w:t>/</w:t>
            </w:r>
          </w:p>
        </w:tc>
        <w:tc>
          <w:tcPr>
            <w:tcW w:w="540" w:type="dxa"/>
            <w:vAlign w:val="bottom"/>
            <w:tcBorders>
              <w:top w:val="single" w:sz="8" w:color="FB4E0B"/>
            </w:tcBorders>
          </w:tcPr>
          <w:p>
            <w:pPr>
              <w:jc w:val="right"/>
              <w:ind w:right="139"/>
              <w:spacing w:after="0"/>
              <w:rPr>
                <w:sz w:val="20"/>
                <w:szCs w:val="20"/>
                <w:color w:val="auto"/>
              </w:rPr>
            </w:pPr>
            <w:r>
              <w:rPr>
                <w:rFonts w:ascii="Calibri" w:cs="Calibri" w:eastAsia="Calibri" w:hAnsi="Calibri"/>
                <w:sz w:val="17"/>
                <w:szCs w:val="17"/>
                <w:b w:val="1"/>
                <w:bCs w:val="1"/>
                <w:color w:val="auto"/>
              </w:rPr>
              <w:t>73</w:t>
            </w: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52" w:lineRule="exact"/>
        <w:rPr>
          <w:sz w:val="20"/>
          <w:szCs w:val="20"/>
          <w:color w:val="auto"/>
        </w:rPr>
      </w:pPr>
    </w:p>
    <w:p>
      <w:pPr>
        <w:ind w:left="2000"/>
        <w:spacing w:after="0"/>
        <w:rPr>
          <w:sz w:val="20"/>
          <w:szCs w:val="20"/>
          <w:color w:val="auto"/>
        </w:rPr>
      </w:pPr>
      <w:r>
        <w:rPr>
          <w:rFonts w:ascii="Calibri" w:cs="Calibri" w:eastAsia="Calibri" w:hAnsi="Calibri"/>
          <w:sz w:val="14"/>
          <w:szCs w:val="14"/>
          <w:color w:val="auto"/>
        </w:rPr>
        <w:t>We use a separate peer group for measuring performance under our PRSUs, as described under “Compensaton—Fiscal year 2022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-97155</wp:posOffset>
            </wp:positionV>
            <wp:extent cx="8255" cy="20072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2007235"/>
                    </a:xfrm>
                    <a:prstGeom prst="rect">
                      <a:avLst/>
                    </a:prstGeom>
                    <a:noFill/>
                  </pic:spPr>
                </pic:pic>
              </a:graphicData>
            </a:graphic>
          </wp:anchor>
        </w:drawing>
      </w:r>
    </w:p>
    <w:p>
      <w:pPr>
        <w:spacing w:after="0" w:line="238" w:lineRule="exact"/>
        <w:rPr>
          <w:sz w:val="20"/>
          <w:szCs w:val="20"/>
          <w:color w:val="auto"/>
        </w:rPr>
      </w:pPr>
    </w:p>
    <w:p>
      <w:pPr>
        <w:ind w:left="2000" w:right="240"/>
        <w:spacing w:after="0" w:line="236" w:lineRule="auto"/>
        <w:rPr>
          <w:sz w:val="20"/>
          <w:szCs w:val="20"/>
          <w:color w:val="auto"/>
        </w:rPr>
      </w:pPr>
      <w:r>
        <w:rPr>
          <w:rFonts w:ascii="Calibri" w:cs="Calibri" w:eastAsia="Calibri" w:hAnsi="Calibri"/>
          <w:sz w:val="16"/>
          <w:szCs w:val="16"/>
          <w:color w:val="auto"/>
        </w:rPr>
        <w:t>Management also used compensaton survey data from Aon Consultng, comprising companies within our global industry with whom we compete for talent. While the Compensaton and Talent Management Commitee reviewed and considered the data provided by these surveys, it did not consider or review the compensaton paid to executves at the component companies included within such surveys and did not use this informaton or any other data as a defnitve benchmark to set executve compensaton for fscal year 2022.</w:t>
      </w:r>
    </w:p>
    <w:p>
      <w:pPr>
        <w:spacing w:after="0" w:line="246" w:lineRule="exact"/>
        <w:rPr>
          <w:sz w:val="20"/>
          <w:szCs w:val="20"/>
          <w:color w:val="auto"/>
        </w:rPr>
      </w:pPr>
    </w:p>
    <w:p>
      <w:pPr>
        <w:ind w:left="2000" w:right="80"/>
        <w:spacing w:after="0" w:line="235" w:lineRule="auto"/>
        <w:rPr>
          <w:sz w:val="20"/>
          <w:szCs w:val="20"/>
          <w:color w:val="auto"/>
        </w:rPr>
      </w:pPr>
      <w:r>
        <w:rPr>
          <w:rFonts w:ascii="Calibri" w:cs="Calibri" w:eastAsia="Calibri" w:hAnsi="Calibri"/>
          <w:sz w:val="16"/>
          <w:szCs w:val="16"/>
          <w:color w:val="auto"/>
        </w:rPr>
        <w:t>Our Compensaton and Talent Management Commitee reviews compensaton informaton provided by Farient and other third-party data in order to evaluate each executve’s base pay, annual incentves and equity incentves when changes in compensaton are considered. Compensaton decisions are designed to promote our fundamental business objectves and strategy.</w:t>
      </w:r>
    </w:p>
    <w:p>
      <w:pPr>
        <w:spacing w:after="0" w:line="246" w:lineRule="exact"/>
        <w:rPr>
          <w:sz w:val="20"/>
          <w:szCs w:val="20"/>
          <w:color w:val="auto"/>
        </w:rPr>
      </w:pPr>
    </w:p>
    <w:p>
      <w:pPr>
        <w:ind w:left="2000" w:right="140"/>
        <w:spacing w:after="0" w:line="235" w:lineRule="auto"/>
        <w:rPr>
          <w:sz w:val="20"/>
          <w:szCs w:val="20"/>
          <w:color w:val="auto"/>
        </w:rPr>
      </w:pPr>
      <w:r>
        <w:rPr>
          <w:rFonts w:ascii="Calibri" w:cs="Calibri" w:eastAsia="Calibri" w:hAnsi="Calibri"/>
          <w:sz w:val="16"/>
          <w:szCs w:val="16"/>
          <w:color w:val="auto"/>
        </w:rPr>
        <w:t>Our Compensaton and Talent Management Commitee uses the compensaton data to obtain a general understanding of current market practces, so it can design our executve compensaton program to be compettve. Market data is not used exclusively, but rather as a point of reference to draw comparisons and distnctons.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216535</wp:posOffset>
            </wp:positionV>
            <wp:extent cx="6740525" cy="165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Components of executve compensaton for 2022</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2022, the compensaton of executve ofcers consisted of the following fve primary components: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520" w:type="dxa"/>
            <w:vAlign w:val="bottom"/>
            <w:gridSpan w:val="2"/>
          </w:tcPr>
          <w:p>
            <w:pPr>
              <w:ind w:left="80"/>
              <w:spacing w:after="0"/>
              <w:rPr>
                <w:sz w:val="20"/>
                <w:szCs w:val="20"/>
                <w:color w:val="auto"/>
              </w:rPr>
            </w:pPr>
            <w:r>
              <w:rPr>
                <w:rFonts w:ascii="Calibri" w:cs="Calibri" w:eastAsia="Calibri" w:hAnsi="Calibri"/>
                <w:sz w:val="17"/>
                <w:szCs w:val="17"/>
                <w:b w:val="1"/>
                <w:bCs w:val="1"/>
                <w:color w:val="FB4E0B"/>
              </w:rPr>
              <w:t>Compensaton component</w:t>
            </w:r>
          </w:p>
        </w:tc>
        <w:tc>
          <w:tcPr>
            <w:tcW w:w="3620" w:type="dxa"/>
            <w:vAlign w:val="bottom"/>
          </w:tcPr>
          <w:p>
            <w:pPr>
              <w:ind w:left="2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180"/>
              <w:spacing w:after="0"/>
              <w:rPr>
                <w:sz w:val="20"/>
                <w:szCs w:val="20"/>
                <w:color w:val="auto"/>
              </w:rPr>
            </w:pPr>
            <w:r>
              <w:rPr>
                <w:rFonts w:ascii="Calibri" w:cs="Calibri" w:eastAsia="Calibri" w:hAnsi="Calibri"/>
                <w:sz w:val="17"/>
                <w:szCs w:val="17"/>
                <w:b w:val="1"/>
                <w:bCs w:val="1"/>
                <w:color w:val="FB4E0B"/>
              </w:rPr>
              <w:t>Objectves</w:t>
            </w:r>
          </w:p>
        </w:tc>
        <w:tc>
          <w:tcPr>
            <w:tcW w:w="0" w:type="dxa"/>
            <w:vAlign w:val="bottom"/>
          </w:tcPr>
          <w:p>
            <w:pPr>
              <w:spacing w:after="0"/>
              <w:rPr>
                <w:sz w:val="1"/>
                <w:szCs w:val="1"/>
                <w:color w:val="auto"/>
              </w:rPr>
            </w:pPr>
          </w:p>
        </w:tc>
      </w:tr>
      <w:tr>
        <w:trPr>
          <w:trHeight w:val="55"/>
        </w:trPr>
        <w:tc>
          <w:tcPr>
            <w:tcW w:w="3520" w:type="dxa"/>
            <w:vAlign w:val="bottom"/>
            <w:tcBorders>
              <w:bottom w:val="single" w:sz="8" w:color="FB4E0B"/>
            </w:tcBorders>
            <w:gridSpan w:val="2"/>
          </w:tcPr>
          <w:p>
            <w:pPr>
              <w:spacing w:after="0"/>
              <w:rPr>
                <w:sz w:val="4"/>
                <w:szCs w:val="4"/>
                <w:color w:val="auto"/>
              </w:rPr>
            </w:pPr>
          </w:p>
        </w:tc>
        <w:tc>
          <w:tcPr>
            <w:tcW w:w="36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gridSpan w:val="2"/>
          </w:tcPr>
          <w:p>
            <w:pPr>
              <w:ind w:left="80"/>
              <w:spacing w:after="0"/>
              <w:rPr>
                <w:sz w:val="20"/>
                <w:szCs w:val="20"/>
                <w:color w:val="auto"/>
              </w:rPr>
            </w:pPr>
            <w:r>
              <w:rPr>
                <w:rFonts w:ascii="Calibri" w:cs="Calibri" w:eastAsia="Calibri" w:hAnsi="Calibri"/>
                <w:sz w:val="17"/>
                <w:szCs w:val="17"/>
                <w:b w:val="1"/>
                <w:bCs w:val="1"/>
                <w:color w:val="auto"/>
              </w:rPr>
              <w:t>Base salary</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Fixed compensaton that is reviewed annually and is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a base level of compensaton that</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based on performance, experience, responsibilites,</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corresponds to the job functon performed.</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skill set and market value.</w:t>
            </w: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Atract, retain, reward and motvate qualifed and</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480" w:type="dxa"/>
            <w:vAlign w:val="bottom"/>
          </w:tcPr>
          <w:p>
            <w:pPr>
              <w:ind w:left="180"/>
              <w:spacing w:after="0"/>
              <w:rPr>
                <w:sz w:val="20"/>
                <w:szCs w:val="20"/>
                <w:color w:val="auto"/>
              </w:rPr>
            </w:pPr>
            <w:r>
              <w:rPr>
                <w:rFonts w:ascii="Calibri" w:cs="Calibri" w:eastAsia="Calibri" w:hAnsi="Calibri"/>
                <w:sz w:val="16"/>
                <w:szCs w:val="16"/>
                <w:color w:val="auto"/>
              </w:rPr>
              <w:t>experienced executves.</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gridSpan w:val="2"/>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gridSpan w:val="2"/>
          </w:tcPr>
          <w:p>
            <w:pPr>
              <w:ind w:left="80"/>
              <w:spacing w:after="0"/>
              <w:rPr>
                <w:sz w:val="20"/>
                <w:szCs w:val="20"/>
                <w:color w:val="auto"/>
              </w:rPr>
            </w:pPr>
            <w:r>
              <w:rPr>
                <w:rFonts w:ascii="Calibri" w:cs="Calibri" w:eastAsia="Calibri" w:hAnsi="Calibri"/>
                <w:sz w:val="17"/>
                <w:szCs w:val="17"/>
                <w:b w:val="1"/>
                <w:bCs w:val="1"/>
                <w:color w:val="auto"/>
              </w:rPr>
              <w:t>Annual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“At-risk” compensaton earned based on</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Incentvize executves to achieve annual goals that</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performance measured against pre-established</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w w:val="98"/>
              </w:rPr>
              <w:t>ultmately contribute to long-term company growth</w:t>
            </w: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annual goals.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and stockholder return.</w:t>
            </w:r>
          </w:p>
        </w:tc>
        <w:tc>
          <w:tcPr>
            <w:tcW w:w="0" w:type="dxa"/>
            <w:vAlign w:val="bottom"/>
          </w:tcPr>
          <w:p>
            <w:pPr>
              <w:spacing w:after="0"/>
              <w:rPr>
                <w:sz w:val="1"/>
                <w:szCs w:val="1"/>
                <w:color w:val="auto"/>
              </w:rPr>
            </w:pPr>
          </w:p>
        </w:tc>
      </w:tr>
      <w:tr>
        <w:trPr>
          <w:trHeight w:val="312"/>
        </w:trPr>
        <w:tc>
          <w:tcPr>
            <w:tcW w:w="44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75% of each NEO’s award is ted to Company-wide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performance with the remaining 25% to the</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achievement of individualized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gridSpan w:val="2"/>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gridSpan w:val="2"/>
          </w:tcPr>
          <w:p>
            <w:pPr>
              <w:ind w:left="80"/>
              <w:spacing w:after="0"/>
              <w:rPr>
                <w:sz w:val="20"/>
                <w:szCs w:val="20"/>
                <w:color w:val="auto"/>
              </w:rPr>
            </w:pPr>
            <w:r>
              <w:rPr>
                <w:rFonts w:ascii="Calibri" w:cs="Calibri" w:eastAsia="Calibri" w:hAnsi="Calibri"/>
                <w:sz w:val="17"/>
                <w:szCs w:val="17"/>
                <w:b w:val="1"/>
                <w:bCs w:val="1"/>
                <w:color w:val="auto"/>
              </w:rPr>
              <w:t>Long-term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w w:val="97"/>
              </w:rPr>
              <w:t>“At-risk” compensaton in the form of restricted stock</w:t>
            </w:r>
          </w:p>
        </w:tc>
        <w:tc>
          <w:tcPr>
            <w:tcW w:w="3480" w:type="dxa"/>
            <w:vAlign w:val="bottom"/>
          </w:tcPr>
          <w:p>
            <w:pPr>
              <w:ind w:left="180"/>
              <w:spacing w:after="0"/>
              <w:rPr>
                <w:sz w:val="20"/>
                <w:szCs w:val="20"/>
                <w:color w:val="auto"/>
              </w:rPr>
            </w:pPr>
            <w:r>
              <w:rPr>
                <w:rFonts w:ascii="Calibri" w:cs="Calibri" w:eastAsia="Calibri" w:hAnsi="Calibri"/>
                <w:sz w:val="16"/>
                <w:szCs w:val="16"/>
                <w:color w:val="auto"/>
                <w:w w:val="97"/>
              </w:rPr>
              <w:t>Align executve interests with those of stockholders.</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unit awards whose value fuctuates according to</w:t>
            </w: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Reward contnuous service with the company.</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stockholder value.</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4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40% of the award vests based on contnued service.</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Incentvize executves to achieve goals that drive</w:t>
            </w:r>
          </w:p>
        </w:tc>
        <w:tc>
          <w:tcPr>
            <w:tcW w:w="0" w:type="dxa"/>
            <w:vAlign w:val="bottom"/>
          </w:tcPr>
          <w:p>
            <w:pPr>
              <w:spacing w:after="0"/>
              <w:rPr>
                <w:sz w:val="1"/>
                <w:szCs w:val="1"/>
                <w:color w:val="auto"/>
              </w:rPr>
            </w:pPr>
          </w:p>
        </w:tc>
      </w:tr>
      <w:tr>
        <w:trPr>
          <w:trHeight w:val="78"/>
        </w:trPr>
        <w:tc>
          <w:tcPr>
            <w:tcW w:w="440" w:type="dxa"/>
            <w:vAlign w:val="bottom"/>
          </w:tcPr>
          <w:p>
            <w:pPr>
              <w:spacing w:after="0"/>
              <w:rPr>
                <w:sz w:val="6"/>
                <w:szCs w:val="6"/>
                <w:color w:val="auto"/>
              </w:rPr>
            </w:pPr>
          </w:p>
        </w:tc>
        <w:tc>
          <w:tcPr>
            <w:tcW w:w="308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vMerge w:val="restart"/>
          </w:tcPr>
          <w:p>
            <w:pPr>
              <w:ind w:left="180"/>
              <w:spacing w:after="0"/>
              <w:rPr>
                <w:sz w:val="20"/>
                <w:szCs w:val="20"/>
                <w:color w:val="auto"/>
              </w:rPr>
            </w:pPr>
            <w:r>
              <w:rPr>
                <w:rFonts w:ascii="Calibri" w:cs="Calibri" w:eastAsia="Calibri" w:hAnsi="Calibri"/>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440" w:type="dxa"/>
            <w:vAlign w:val="bottom"/>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60% vests based on achievement of revenue and</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total stockholder return goals.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44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In additon, for 2022, certain executves had the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ability to receive share matching awards, as</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described in greater detail below.</w:t>
            </w: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0" w:type="dxa"/>
            <w:vAlign w:val="bottom"/>
            <w:tcBorders>
              <w:bottom w:val="single" w:sz="8" w:color="FB4E0B"/>
            </w:tcBorders>
          </w:tcPr>
          <w:p>
            <w:pPr>
              <w:spacing w:after="0"/>
              <w:rPr>
                <w:sz w:val="14"/>
                <w:szCs w:val="14"/>
                <w:color w:val="auto"/>
              </w:rPr>
            </w:pPr>
          </w:p>
        </w:tc>
        <w:tc>
          <w:tcPr>
            <w:tcW w:w="3080" w:type="dxa"/>
            <w:vAlign w:val="bottom"/>
            <w:tcBorders>
              <w:bottom w:val="single" w:sz="8" w:color="FB4E0B"/>
              <w:right w:val="single" w:sz="8" w:color="auto"/>
            </w:tcBorders>
          </w:tcPr>
          <w:p>
            <w:pPr>
              <w:spacing w:after="0"/>
              <w:rPr>
                <w:sz w:val="14"/>
                <w:szCs w:val="14"/>
                <w:color w:val="auto"/>
              </w:rPr>
            </w:pPr>
          </w:p>
        </w:tc>
        <w:tc>
          <w:tcPr>
            <w:tcW w:w="3620" w:type="dxa"/>
            <w:vAlign w:val="bottom"/>
            <w:tcBorders>
              <w:bottom w:val="single" w:sz="8" w:color="FB4E0B"/>
              <w:right w:val="single" w:sz="8" w:color="auto"/>
            </w:tcBorders>
          </w:tcPr>
          <w:p>
            <w:pPr>
              <w:spacing w:after="0"/>
              <w:rPr>
                <w:sz w:val="14"/>
                <w:szCs w:val="14"/>
                <w:color w:val="auto"/>
              </w:rPr>
            </w:pPr>
          </w:p>
        </w:tc>
        <w:tc>
          <w:tcPr>
            <w:tcW w:w="3480" w:type="dxa"/>
            <w:vAlign w:val="bottom"/>
            <w:tcBorders>
              <w:bottom w:val="single" w:sz="8" w:color="FB4E0B"/>
            </w:tcBorders>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440" w:type="dxa"/>
            <w:vAlign w:val="bottom"/>
          </w:tcPr>
          <w:p>
            <w:pPr>
              <w:ind w:left="100"/>
              <w:spacing w:after="0"/>
              <w:rPr>
                <w:sz w:val="20"/>
                <w:szCs w:val="20"/>
                <w:color w:val="auto"/>
              </w:rPr>
            </w:pPr>
            <w:r>
              <w:rPr>
                <w:rFonts w:ascii="Calibri" w:cs="Calibri" w:eastAsia="Calibri" w:hAnsi="Calibri"/>
                <w:sz w:val="17"/>
                <w:szCs w:val="17"/>
                <w:b w:val="1"/>
                <w:bCs w:val="1"/>
                <w:color w:val="auto"/>
              </w:rPr>
              <w:t>74</w:t>
            </w:r>
          </w:p>
        </w:tc>
        <w:tc>
          <w:tcPr>
            <w:tcW w:w="3080" w:type="dxa"/>
            <w:vAlign w:val="bottom"/>
          </w:tcPr>
          <w:p>
            <w:pPr>
              <w:ind w:left="1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3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80" w:type="dxa"/>
            <w:vAlign w:val="bottom"/>
          </w:tcPr>
          <w:p>
            <w:pPr>
              <w:ind w:left="2080"/>
              <w:spacing w:after="0"/>
              <w:rPr>
                <w:sz w:val="20"/>
                <w:szCs w:val="20"/>
                <w:color w:val="auto"/>
              </w:rPr>
            </w:pPr>
            <w:r>
              <w:rPr>
                <w:rFonts w:ascii="Calibri" w:cs="Calibri" w:eastAsia="Calibri" w:hAnsi="Calibri"/>
                <w:sz w:val="14"/>
                <w:szCs w:val="14"/>
                <w:b w:val="1"/>
                <w:bCs w:val="1"/>
                <w:color w:val="D8D8D8"/>
              </w:rPr>
              <w:t>Executve compensaton</w:t>
            </w:r>
          </w:p>
        </w:tc>
      </w:tr>
      <w:tr>
        <w:trPr>
          <w:trHeight w:val="567"/>
        </w:trPr>
        <w:tc>
          <w:tcPr>
            <w:tcW w:w="3520" w:type="dxa"/>
            <w:vAlign w:val="bottom"/>
          </w:tcPr>
          <w:p>
            <w:pPr>
              <w:ind w:left="80"/>
              <w:spacing w:after="0"/>
              <w:rPr>
                <w:sz w:val="20"/>
                <w:szCs w:val="20"/>
                <w:color w:val="auto"/>
              </w:rPr>
            </w:pPr>
            <w:r>
              <w:rPr>
                <w:rFonts w:ascii="Calibri" w:cs="Calibri" w:eastAsia="Calibri" w:hAnsi="Calibri"/>
                <w:sz w:val="17"/>
                <w:szCs w:val="17"/>
                <w:b w:val="1"/>
                <w:bCs w:val="1"/>
                <w:color w:val="FB4E0B"/>
              </w:rPr>
              <w:t>Compensaton component</w:t>
            </w:r>
          </w:p>
        </w:tc>
        <w:tc>
          <w:tcPr>
            <w:tcW w:w="3620" w:type="dxa"/>
            <w:vAlign w:val="bottom"/>
          </w:tcPr>
          <w:p>
            <w:pPr>
              <w:ind w:left="200"/>
              <w:spacing w:after="0"/>
              <w:rPr>
                <w:sz w:val="20"/>
                <w:szCs w:val="20"/>
                <w:color w:val="auto"/>
              </w:rPr>
            </w:pPr>
            <w:r>
              <w:rPr>
                <w:rFonts w:ascii="Calibri" w:cs="Calibri" w:eastAsia="Calibri" w:hAnsi="Calibri"/>
                <w:sz w:val="17"/>
                <w:szCs w:val="17"/>
                <w:b w:val="1"/>
                <w:bCs w:val="1"/>
                <w:color w:val="FB4E0B"/>
              </w:rPr>
              <w:t>Descripton</w:t>
            </w:r>
          </w:p>
        </w:tc>
        <w:tc>
          <w:tcPr>
            <w:tcW w:w="3480" w:type="dxa"/>
            <w:vAlign w:val="bottom"/>
          </w:tcPr>
          <w:p>
            <w:pPr>
              <w:ind w:left="180"/>
              <w:spacing w:after="0"/>
              <w:rPr>
                <w:sz w:val="20"/>
                <w:szCs w:val="20"/>
                <w:color w:val="auto"/>
              </w:rPr>
            </w:pPr>
            <w:r>
              <w:rPr>
                <w:rFonts w:ascii="Calibri" w:cs="Calibri" w:eastAsia="Calibri" w:hAnsi="Calibri"/>
                <w:sz w:val="17"/>
                <w:szCs w:val="17"/>
                <w:b w:val="1"/>
                <w:bCs w:val="1"/>
                <w:color w:val="FB4E0B"/>
              </w:rPr>
              <w:t>Objectves</w:t>
            </w:r>
          </w:p>
        </w:tc>
      </w:tr>
      <w:tr>
        <w:trPr>
          <w:trHeight w:val="55"/>
        </w:trPr>
        <w:tc>
          <w:tcPr>
            <w:tcW w:w="3520" w:type="dxa"/>
            <w:vAlign w:val="bottom"/>
            <w:tcBorders>
              <w:bottom w:val="single" w:sz="8" w:color="FB4E0B"/>
            </w:tcBorders>
          </w:tcPr>
          <w:p>
            <w:pPr>
              <w:spacing w:after="0"/>
              <w:rPr>
                <w:sz w:val="4"/>
                <w:szCs w:val="4"/>
                <w:color w:val="auto"/>
              </w:rPr>
            </w:pPr>
          </w:p>
        </w:tc>
        <w:tc>
          <w:tcPr>
            <w:tcW w:w="36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tcPr>
          <w:p>
            <w:pPr>
              <w:spacing w:after="0"/>
              <w:rPr>
                <w:sz w:val="4"/>
                <w:szCs w:val="4"/>
                <w:color w:val="auto"/>
              </w:rPr>
            </w:pPr>
          </w:p>
        </w:tc>
      </w:tr>
      <w:tr>
        <w:trPr>
          <w:trHeight w:val="243"/>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benefts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Broad-based benefts provided to company</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a total compensaton package that is</w:t>
            </w: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employees (e.g., health and group insurance), a</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compettve with the marketplace and addresses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retrement savings plan and other personal benefts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unique needs, especially for overseas executves.</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where appropriate.</w:t>
            </w:r>
          </w:p>
        </w:tc>
        <w:tc>
          <w:tcPr>
            <w:tcW w:w="3480" w:type="dxa"/>
            <w:vAlign w:val="bottom"/>
          </w:tcPr>
          <w:p>
            <w:pPr>
              <w:spacing w:after="0"/>
              <w:rPr>
                <w:sz w:val="16"/>
                <w:szCs w:val="16"/>
                <w:color w:val="auto"/>
              </w:rPr>
            </w:pPr>
          </w:p>
        </w:tc>
      </w:tr>
      <w:tr>
        <w:trPr>
          <w:trHeight w:val="40"/>
        </w:trPr>
        <w:tc>
          <w:tcPr>
            <w:tcW w:w="35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6"/>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Severance and change</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Protect executves during potentally tumultuous</w:t>
            </w:r>
          </w:p>
        </w:tc>
        <w:tc>
          <w:tcPr>
            <w:tcW w:w="3480" w:type="dxa"/>
            <w:vAlign w:val="bottom"/>
          </w:tcPr>
          <w:p>
            <w:pPr>
              <w:ind w:left="180"/>
              <w:spacing w:after="0"/>
              <w:rPr>
                <w:sz w:val="20"/>
                <w:szCs w:val="20"/>
                <w:color w:val="auto"/>
              </w:rPr>
            </w:pPr>
            <w:r>
              <w:rPr>
                <w:rFonts w:ascii="Calibri" w:cs="Calibri" w:eastAsia="Calibri" w:hAnsi="Calibri"/>
                <w:sz w:val="16"/>
                <w:szCs w:val="16"/>
                <w:color w:val="auto"/>
                <w:w w:val="98"/>
              </w:rPr>
              <w:t>Allow executves to focus on generatng stockholder</w:t>
            </w:r>
          </w:p>
        </w:tc>
      </w:tr>
      <w:tr>
        <w:trPr>
          <w:trHeight w:val="215"/>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 control protectons</w:t>
            </w: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corporate transacton.</w:t>
            </w:r>
          </w:p>
        </w:tc>
        <w:tc>
          <w:tcPr>
            <w:tcW w:w="3480" w:type="dxa"/>
            <w:vAlign w:val="bottom"/>
          </w:tcPr>
          <w:p>
            <w:pPr>
              <w:ind w:left="180"/>
              <w:spacing w:after="0" w:line="185" w:lineRule="exact"/>
              <w:rPr>
                <w:sz w:val="20"/>
                <w:szCs w:val="20"/>
                <w:color w:val="auto"/>
              </w:rPr>
            </w:pPr>
            <w:r>
              <w:rPr>
                <w:rFonts w:ascii="Calibri" w:cs="Calibri" w:eastAsia="Calibri" w:hAnsi="Calibri"/>
                <w:sz w:val="16"/>
                <w:szCs w:val="16"/>
                <w:color w:val="auto"/>
              </w:rPr>
              <w:t>value during a change in control transacton.</w:t>
            </w:r>
          </w:p>
        </w:tc>
      </w:tr>
      <w:tr>
        <w:trPr>
          <w:trHeight w:val="28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Provide reduced post-employment compensaton</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Provide market-compettve post-employment</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upon other involuntary terminatons.</w:t>
            </w:r>
          </w:p>
        </w:tc>
        <w:tc>
          <w:tcPr>
            <w:tcW w:w="3480" w:type="dxa"/>
            <w:vAlign w:val="bottom"/>
          </w:tcPr>
          <w:p>
            <w:pPr>
              <w:ind w:left="180"/>
              <w:spacing w:after="0"/>
              <w:rPr>
                <w:sz w:val="20"/>
                <w:szCs w:val="20"/>
                <w:color w:val="auto"/>
              </w:rPr>
            </w:pPr>
            <w:r>
              <w:rPr>
                <w:rFonts w:ascii="Calibri" w:cs="Calibri" w:eastAsia="Calibri" w:hAnsi="Calibri"/>
                <w:sz w:val="16"/>
                <w:szCs w:val="16"/>
                <w:color w:val="auto"/>
              </w:rPr>
              <w:t>compensaton recognizing executves likely require</w:t>
            </w: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480" w:type="dxa"/>
            <w:vAlign w:val="bottom"/>
          </w:tcPr>
          <w:p>
            <w:pPr>
              <w:ind w:left="180"/>
              <w:spacing w:after="0"/>
              <w:rPr>
                <w:sz w:val="20"/>
                <w:szCs w:val="20"/>
                <w:color w:val="auto"/>
              </w:rPr>
            </w:pPr>
            <w:r>
              <w:rPr>
                <w:rFonts w:ascii="Calibri" w:cs="Calibri" w:eastAsia="Calibri" w:hAnsi="Calibri"/>
                <w:sz w:val="16"/>
                <w:szCs w:val="16"/>
                <w:color w:val="auto"/>
              </w:rPr>
              <w:t>more tme to fnd subsequent employment.</w:t>
            </w:r>
          </w:p>
        </w:tc>
      </w:tr>
      <w:tr>
        <w:trPr>
          <w:trHeight w:val="163"/>
        </w:trPr>
        <w:tc>
          <w:tcPr>
            <w:tcW w:w="3520" w:type="dxa"/>
            <w:vAlign w:val="bottom"/>
            <w:tcBorders>
              <w:bottom w:val="single" w:sz="8" w:color="FB4E0B"/>
              <w:right w:val="single" w:sz="8" w:color="auto"/>
            </w:tcBorders>
          </w:tcPr>
          <w:p>
            <w:pPr>
              <w:spacing w:after="0"/>
              <w:rPr>
                <w:sz w:val="14"/>
                <w:szCs w:val="14"/>
                <w:color w:val="auto"/>
              </w:rPr>
            </w:pPr>
          </w:p>
        </w:tc>
        <w:tc>
          <w:tcPr>
            <w:tcW w:w="3620" w:type="dxa"/>
            <w:vAlign w:val="bottom"/>
            <w:tcBorders>
              <w:bottom w:val="single" w:sz="8" w:color="FB4E0B"/>
              <w:right w:val="single" w:sz="8" w:color="auto"/>
            </w:tcBorders>
          </w:tcPr>
          <w:p>
            <w:pPr>
              <w:spacing w:after="0"/>
              <w:rPr>
                <w:sz w:val="14"/>
                <w:szCs w:val="14"/>
                <w:color w:val="auto"/>
              </w:rPr>
            </w:pPr>
          </w:p>
        </w:tc>
        <w:tc>
          <w:tcPr>
            <w:tcW w:w="3480" w:type="dxa"/>
            <w:vAlign w:val="bottom"/>
            <w:tcBorders>
              <w:bottom w:val="single" w:sz="8" w:color="FB4E0B"/>
            </w:tcBorders>
          </w:tcPr>
          <w:p>
            <w:pPr>
              <w:spacing w:after="0"/>
              <w:rPr>
                <w:sz w:val="14"/>
                <w:szCs w:val="14"/>
                <w:color w:val="auto"/>
              </w:rPr>
            </w:pPr>
          </w:p>
        </w:tc>
      </w:tr>
    </w:tbl>
    <w:p>
      <w:pPr>
        <w:spacing w:after="0" w:line="39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Detailed review of compensaton components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Base salary</w:t>
      </w:r>
    </w:p>
    <w:p>
      <w:pPr>
        <w:spacing w:after="0" w:line="115"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As discussed above, we provide our executve ofcers fxed compensaton commensurate with their performance, experience, responsibilites, skill set and market value. This atracts and retains an appropriate caliber of talent for the positon and provides a base wage that is not subject to our performance risk. In setng base salaries for 2022, our Compensaton and Talent Management Commitee considered:</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200" w:type="dxa"/>
            <w:vAlign w:val="bottom"/>
            <w:tcBorders>
              <w:top w:val="single" w:sz="8" w:color="FB4E0B"/>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Individual performance</w:t>
            </w:r>
          </w:p>
        </w:tc>
        <w:tc>
          <w:tcPr>
            <w:tcW w:w="6340" w:type="dxa"/>
            <w:vAlign w:val="bottom"/>
            <w:tcBorders>
              <w:top w:val="single" w:sz="8" w:color="FB4E0B"/>
            </w:tcBorders>
          </w:tcPr>
          <w:p>
            <w:pPr>
              <w:ind w:left="80"/>
              <w:spacing w:after="0"/>
              <w:rPr>
                <w:sz w:val="20"/>
                <w:szCs w:val="20"/>
                <w:color w:val="auto"/>
              </w:rPr>
            </w:pPr>
            <w:r>
              <w:rPr>
                <w:rFonts w:ascii="Calibri" w:cs="Calibri" w:eastAsia="Calibri" w:hAnsi="Calibri"/>
                <w:sz w:val="17"/>
                <w:szCs w:val="17"/>
                <w:color w:val="auto"/>
              </w:rPr>
              <w:t>The degree to which the executve met and exceeded expectatons.</w:t>
            </w:r>
          </w:p>
        </w:tc>
        <w:tc>
          <w:tcPr>
            <w:tcW w:w="680" w:type="dxa"/>
            <w:vAlign w:val="bottom"/>
            <w:tcBorders>
              <w:top w:val="single" w:sz="8" w:color="FB4E0B"/>
            </w:tcBorders>
          </w:tcPr>
          <w:p>
            <w:pPr>
              <w:spacing w:after="0"/>
              <w:rPr>
                <w:sz w:val="20"/>
                <w:szCs w:val="20"/>
                <w:color w:val="auto"/>
              </w:rPr>
            </w:pPr>
          </w:p>
        </w:tc>
        <w:tc>
          <w:tcPr>
            <w:tcW w:w="400" w:type="dxa"/>
            <w:vAlign w:val="bottom"/>
            <w:tcBorders>
              <w:top w:val="single" w:sz="8" w:color="FB4E0B"/>
            </w:tcBorders>
          </w:tcPr>
          <w:p>
            <w:pPr>
              <w:spacing w:after="0"/>
              <w:rPr>
                <w:sz w:val="20"/>
                <w:szCs w:val="20"/>
                <w:color w:val="auto"/>
              </w:rPr>
            </w:pP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6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199"/>
        </w:trPr>
        <w:tc>
          <w:tcPr>
            <w:tcW w:w="3200" w:type="dxa"/>
            <w:vAlign w:val="bottom"/>
            <w:tcBorders>
              <w:right w:val="single" w:sz="8" w:color="auto"/>
            </w:tcBorders>
          </w:tcPr>
          <w:p>
            <w:pPr>
              <w:ind w:left="140"/>
              <w:spacing w:after="0" w:line="199" w:lineRule="exact"/>
              <w:rPr>
                <w:sz w:val="20"/>
                <w:szCs w:val="20"/>
                <w:color w:val="auto"/>
              </w:rPr>
            </w:pPr>
            <w:r>
              <w:rPr>
                <w:rFonts w:ascii="Calibri" w:cs="Calibri" w:eastAsia="Calibri" w:hAnsi="Calibri"/>
                <w:sz w:val="17"/>
                <w:szCs w:val="17"/>
                <w:b w:val="1"/>
                <w:bCs w:val="1"/>
                <w:color w:val="auto"/>
              </w:rPr>
              <w:t>Market data</w:t>
            </w:r>
          </w:p>
        </w:tc>
        <w:tc>
          <w:tcPr>
            <w:tcW w:w="6340" w:type="dxa"/>
            <w:vAlign w:val="bottom"/>
          </w:tcPr>
          <w:p>
            <w:pPr>
              <w:ind w:left="80"/>
              <w:spacing w:after="0" w:line="199" w:lineRule="exact"/>
              <w:rPr>
                <w:sz w:val="20"/>
                <w:szCs w:val="20"/>
                <w:color w:val="auto"/>
              </w:rPr>
            </w:pPr>
            <w:r>
              <w:rPr>
                <w:rFonts w:ascii="Calibri" w:cs="Calibri" w:eastAsia="Calibri" w:hAnsi="Calibri"/>
                <w:sz w:val="17"/>
                <w:szCs w:val="17"/>
                <w:color w:val="auto"/>
              </w:rPr>
              <w:t>Market data to test reasonableness of compensaton.</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7020" w:type="dxa"/>
            <w:vAlign w:val="bottom"/>
            <w:tcBorders>
              <w:bottom w:val="single" w:sz="8" w:color="auto"/>
            </w:tcBorders>
            <w:gridSpan w:val="2"/>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193"/>
        </w:trPr>
        <w:tc>
          <w:tcPr>
            <w:tcW w:w="3200" w:type="dxa"/>
            <w:vAlign w:val="bottom"/>
            <w:tcBorders>
              <w:right w:val="single" w:sz="8" w:color="auto"/>
            </w:tcBorders>
          </w:tcPr>
          <w:p>
            <w:pPr>
              <w:ind w:left="140"/>
              <w:spacing w:after="0" w:line="193" w:lineRule="exact"/>
              <w:rPr>
                <w:sz w:val="20"/>
                <w:szCs w:val="20"/>
                <w:color w:val="auto"/>
              </w:rPr>
            </w:pPr>
            <w:r>
              <w:rPr>
                <w:rFonts w:ascii="Calibri" w:cs="Calibri" w:eastAsia="Calibri" w:hAnsi="Calibri"/>
                <w:sz w:val="17"/>
                <w:szCs w:val="17"/>
                <w:b w:val="1"/>
                <w:bCs w:val="1"/>
                <w:color w:val="auto"/>
              </w:rPr>
              <w:t>Overall compensaton mix</w:t>
            </w:r>
          </w:p>
        </w:tc>
        <w:tc>
          <w:tcPr>
            <w:tcW w:w="7020" w:type="dxa"/>
            <w:vAlign w:val="bottom"/>
            <w:gridSpan w:val="2"/>
          </w:tcPr>
          <w:p>
            <w:pPr>
              <w:ind w:left="80"/>
              <w:spacing w:after="0" w:line="193" w:lineRule="exact"/>
              <w:rPr>
                <w:sz w:val="20"/>
                <w:szCs w:val="20"/>
                <w:color w:val="auto"/>
              </w:rPr>
            </w:pPr>
            <w:r>
              <w:rPr>
                <w:rFonts w:ascii="Calibri" w:cs="Calibri" w:eastAsia="Calibri" w:hAnsi="Calibri"/>
                <w:sz w:val="17"/>
                <w:szCs w:val="17"/>
                <w:color w:val="auto"/>
              </w:rPr>
              <w:t>Senior employees should have a greater porton of their compensaton ted to increasing stockholder</w:t>
            </w:r>
          </w:p>
        </w:tc>
        <w:tc>
          <w:tcPr>
            <w:tcW w:w="400" w:type="dxa"/>
            <w:vAlign w:val="bottom"/>
          </w:tcPr>
          <w:p>
            <w:pPr>
              <w:spacing w:after="0"/>
              <w:rPr>
                <w:sz w:val="16"/>
                <w:szCs w:val="16"/>
                <w:color w:val="auto"/>
              </w:rPr>
            </w:pPr>
          </w:p>
        </w:tc>
      </w:tr>
      <w:tr>
        <w:trPr>
          <w:trHeight w:val="206"/>
        </w:trPr>
        <w:tc>
          <w:tcPr>
            <w:tcW w:w="3200" w:type="dxa"/>
            <w:vAlign w:val="bottom"/>
            <w:tcBorders>
              <w:right w:val="single" w:sz="8" w:color="auto"/>
            </w:tcBorders>
          </w:tcPr>
          <w:p>
            <w:pPr>
              <w:spacing w:after="0"/>
              <w:rPr>
                <w:sz w:val="17"/>
                <w:szCs w:val="17"/>
                <w:color w:val="auto"/>
              </w:rPr>
            </w:pPr>
          </w:p>
        </w:tc>
        <w:tc>
          <w:tcPr>
            <w:tcW w:w="6340" w:type="dxa"/>
            <w:vAlign w:val="bottom"/>
          </w:tcPr>
          <w:p>
            <w:pPr>
              <w:ind w:left="80"/>
              <w:spacing w:after="0" w:line="206" w:lineRule="exact"/>
              <w:rPr>
                <w:sz w:val="20"/>
                <w:szCs w:val="20"/>
                <w:color w:val="auto"/>
              </w:rPr>
            </w:pPr>
            <w:r>
              <w:rPr>
                <w:rFonts w:ascii="Calibri" w:cs="Calibri" w:eastAsia="Calibri" w:hAnsi="Calibri"/>
                <w:sz w:val="17"/>
                <w:szCs w:val="17"/>
                <w:color w:val="auto"/>
              </w:rPr>
              <w:t>value.</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33"/>
        </w:trPr>
        <w:tc>
          <w:tcPr>
            <w:tcW w:w="3200" w:type="dxa"/>
            <w:vAlign w:val="bottom"/>
            <w:tcBorders>
              <w:bottom w:val="single" w:sz="8" w:color="FB4E0B"/>
              <w:right w:val="single" w:sz="8" w:color="auto"/>
            </w:tcBorders>
          </w:tcPr>
          <w:p>
            <w:pPr>
              <w:spacing w:after="0"/>
              <w:rPr>
                <w:sz w:val="11"/>
                <w:szCs w:val="11"/>
                <w:color w:val="auto"/>
              </w:rPr>
            </w:pPr>
          </w:p>
        </w:tc>
        <w:tc>
          <w:tcPr>
            <w:tcW w:w="6340" w:type="dxa"/>
            <w:vAlign w:val="bottom"/>
            <w:tcBorders>
              <w:bottom w:val="single" w:sz="8" w:color="FB4E0B"/>
            </w:tcBorders>
          </w:tcPr>
          <w:p>
            <w:pPr>
              <w:spacing w:after="0"/>
              <w:rPr>
                <w:sz w:val="11"/>
                <w:szCs w:val="11"/>
                <w:color w:val="auto"/>
              </w:rPr>
            </w:pPr>
          </w:p>
        </w:tc>
        <w:tc>
          <w:tcPr>
            <w:tcW w:w="680" w:type="dxa"/>
            <w:vAlign w:val="bottom"/>
            <w:tcBorders>
              <w:bottom w:val="single" w:sz="8" w:color="FB4E0B"/>
            </w:tcBorders>
          </w:tcPr>
          <w:p>
            <w:pPr>
              <w:spacing w:after="0"/>
              <w:rPr>
                <w:sz w:val="11"/>
                <w:szCs w:val="11"/>
                <w:color w:val="auto"/>
              </w:rPr>
            </w:pPr>
          </w:p>
        </w:tc>
        <w:tc>
          <w:tcPr>
            <w:tcW w:w="400" w:type="dxa"/>
            <w:vAlign w:val="bottom"/>
            <w:tcBorders>
              <w:bottom w:val="single" w:sz="8" w:color="FB4E0B"/>
            </w:tcBorders>
          </w:tcPr>
          <w:p>
            <w:pPr>
              <w:spacing w:after="0"/>
              <w:rPr>
                <w:sz w:val="11"/>
                <w:szCs w:val="11"/>
                <w:color w:val="auto"/>
              </w:rPr>
            </w:pPr>
          </w:p>
        </w:tc>
      </w:tr>
      <w:tr>
        <w:trPr>
          <w:trHeight w:val="601"/>
        </w:trPr>
        <w:tc>
          <w:tcPr>
            <w:tcW w:w="3200" w:type="dxa"/>
            <w:vAlign w:val="bottom"/>
          </w:tcPr>
          <w:p>
            <w:pPr>
              <w:spacing w:after="0"/>
              <w:rPr>
                <w:sz w:val="24"/>
                <w:szCs w:val="24"/>
                <w:color w:val="auto"/>
              </w:rPr>
            </w:pPr>
          </w:p>
        </w:tc>
        <w:tc>
          <w:tcPr>
            <w:tcW w:w="6340" w:type="dxa"/>
            <w:vAlign w:val="bottom"/>
          </w:tcPr>
          <w:p>
            <w:pPr>
              <w:ind w:left="4640"/>
              <w:spacing w:after="0"/>
              <w:rPr>
                <w:sz w:val="20"/>
                <w:szCs w:val="20"/>
                <w:color w:val="auto"/>
              </w:rPr>
            </w:pPr>
            <w:r>
              <w:rPr>
                <w:rFonts w:ascii="Calibri" w:cs="Calibri" w:eastAsia="Calibri" w:hAnsi="Calibri"/>
                <w:sz w:val="13"/>
                <w:szCs w:val="13"/>
                <w:color w:val="auto"/>
              </w:rPr>
              <w:t>EXL 2023 Proxy Statement</w:t>
            </w:r>
          </w:p>
        </w:tc>
        <w:tc>
          <w:tcPr>
            <w:tcW w:w="680" w:type="dxa"/>
            <w:vAlign w:val="bottom"/>
          </w:tcPr>
          <w:p>
            <w:pPr>
              <w:jc w:val="right"/>
              <w:ind w:right="101"/>
              <w:spacing w:after="0"/>
              <w:rPr>
                <w:sz w:val="20"/>
                <w:szCs w:val="20"/>
                <w:color w:val="auto"/>
              </w:rPr>
            </w:pPr>
            <w:r>
              <w:rPr>
                <w:rFonts w:ascii="Calibri" w:cs="Calibri" w:eastAsia="Calibri" w:hAnsi="Calibri"/>
                <w:sz w:val="28"/>
                <w:szCs w:val="28"/>
                <w:b w:val="1"/>
                <w:bCs w:val="1"/>
                <w:color w:val="FB4E0B"/>
              </w:rPr>
              <w:t>/</w:t>
            </w:r>
          </w:p>
        </w:tc>
        <w:tc>
          <w:tcPr>
            <w:tcW w:w="400" w:type="dxa"/>
            <w:vAlign w:val="bottom"/>
          </w:tcPr>
          <w:p>
            <w:pPr>
              <w:jc w:val="right"/>
              <w:ind w:right="113"/>
              <w:spacing w:after="0"/>
              <w:rPr>
                <w:sz w:val="20"/>
                <w:szCs w:val="20"/>
                <w:color w:val="auto"/>
              </w:rPr>
            </w:pPr>
            <w:r>
              <w:rPr>
                <w:rFonts w:ascii="Calibri" w:cs="Calibri" w:eastAsia="Calibri" w:hAnsi="Calibri"/>
                <w:sz w:val="17"/>
                <w:szCs w:val="17"/>
                <w:b w:val="1"/>
                <w:bCs w:val="1"/>
                <w:color w:val="auto"/>
              </w:rPr>
              <w:t>75</w:t>
            </w:r>
          </w:p>
        </w:tc>
      </w:tr>
    </w:tbl>
    <w:p>
      <w:pPr>
        <w:sectPr>
          <w:pgSz w:w="11900" w:h="16838" w:orient="portrait"/>
          <w:cols w:equalWidth="0" w:num="1">
            <w:col w:w="10940"/>
          </w:cols>
          <w:pgMar w:left="320" w:top="471"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Upon completng its review, the Compensaton and Talent Management Commitee determined it was appropriate to increase base salaries for all of our named executve ofcers, efectve as of October 1, 2022. Notng that, as of that date, it had been one and a half years since any base salary increase for Mr. Bhalla and Mr. Jetley and almost three years since any base salary increase for Mr. Nicolelli, the Compensaton and Talent Management Commitee determined that base salary increases were warranted in order to align more closely to the median of the market, including in light of the internal promoton of certain of our NEOs, Mr. Jetley and Mr. Rai, within the last several years, and account for individual performance. In additon, Mr. Jetley’s base salary increase recognizes the signifcant growth in Analytcs over the past year, and Mr. Rai’s recognizes the importance of the Company’s digital strategy. The fxed compensaton amount for Mr. Bhalla covers not only base salary, but also amounts available as a travel allowance, an automobile allowance, a housing allowance, and a cash supplementary allowance, consistent with compensaton practces in India.</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alibri" w:cs="Calibri" w:eastAsia="Calibri" w:hAnsi="Calibri"/>
                <w:sz w:val="14"/>
                <w:szCs w:val="14"/>
                <w:b w:val="1"/>
                <w:bCs w:val="1"/>
                <w:color w:val="auto"/>
              </w:rPr>
              <w:t>2021 Base salary /</w:t>
            </w:r>
          </w:p>
        </w:tc>
        <w:tc>
          <w:tcPr>
            <w:tcW w:w="17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2022 Base salary /</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80" w:type="dxa"/>
            <w:vAlign w:val="bottom"/>
            <w:vMerge w:val="restart"/>
          </w:tcPr>
          <w:p>
            <w:pPr>
              <w:ind w:left="140"/>
              <w:spacing w:after="0"/>
              <w:rPr>
                <w:sz w:val="20"/>
                <w:szCs w:val="20"/>
                <w:color w:val="auto"/>
              </w:rPr>
            </w:pPr>
            <w:r>
              <w:rPr>
                <w:rFonts w:ascii="Calibri" w:cs="Calibri" w:eastAsia="Calibri" w:hAnsi="Calibri"/>
                <w:sz w:val="17"/>
                <w:szCs w:val="17"/>
                <w:b w:val="1"/>
                <w:bCs w:val="1"/>
                <w:color w:val="FB4E0B"/>
              </w:rPr>
              <w:t>Name</w:t>
            </w:r>
          </w:p>
        </w:tc>
        <w:tc>
          <w:tcPr>
            <w:tcW w:w="16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17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960" w:type="dxa"/>
            <w:vAlign w:val="bottom"/>
          </w:tcPr>
          <w:p>
            <w:pPr>
              <w:jc w:val="right"/>
              <w:ind w:right="378"/>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69"/>
        </w:trPr>
        <w:tc>
          <w:tcPr>
            <w:tcW w:w="6280" w:type="dxa"/>
            <w:vAlign w:val="bottom"/>
            <w:vMerge w:val="continue"/>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17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960" w:type="dxa"/>
            <w:vAlign w:val="bottom"/>
          </w:tcPr>
          <w:p>
            <w:pPr>
              <w:jc w:val="right"/>
              <w:ind w:right="178"/>
              <w:spacing w:after="0" w:line="169" w:lineRule="exact"/>
              <w:rPr>
                <w:sz w:val="20"/>
                <w:szCs w:val="20"/>
                <w:color w:val="auto"/>
              </w:rPr>
            </w:pPr>
            <w:r>
              <w:rPr>
                <w:rFonts w:ascii="Calibri" w:cs="Calibri" w:eastAsia="Calibri" w:hAnsi="Calibri"/>
                <w:sz w:val="14"/>
                <w:szCs w:val="14"/>
                <w:b w:val="1"/>
                <w:bCs w:val="1"/>
                <w:color w:val="auto"/>
              </w:rPr>
              <w:t>Increase</w:t>
            </w:r>
          </w:p>
        </w:tc>
        <w:tc>
          <w:tcPr>
            <w:tcW w:w="0" w:type="dxa"/>
            <w:vAlign w:val="bottom"/>
          </w:tcPr>
          <w:p>
            <w:pPr>
              <w:spacing w:after="0"/>
              <w:rPr>
                <w:sz w:val="1"/>
                <w:szCs w:val="1"/>
                <w:color w:val="auto"/>
              </w:rPr>
            </w:pPr>
          </w:p>
        </w:tc>
      </w:tr>
      <w:tr>
        <w:trPr>
          <w:trHeight w:val="37"/>
        </w:trPr>
        <w:tc>
          <w:tcPr>
            <w:tcW w:w="6280" w:type="dxa"/>
            <w:vAlign w:val="bottom"/>
            <w:tcBorders>
              <w:bottom w:val="single" w:sz="8" w:color="FB4E0B"/>
            </w:tcBorders>
          </w:tcPr>
          <w:p>
            <w:pPr>
              <w:spacing w:after="0"/>
              <w:rPr>
                <w:sz w:val="3"/>
                <w:szCs w:val="3"/>
                <w:color w:val="auto"/>
              </w:rPr>
            </w:pPr>
          </w:p>
        </w:tc>
        <w:tc>
          <w:tcPr>
            <w:tcW w:w="1640" w:type="dxa"/>
            <w:vAlign w:val="bottom"/>
            <w:tcBorders>
              <w:bottom w:val="single" w:sz="8" w:color="FB4E0B"/>
            </w:tcBorders>
          </w:tcPr>
          <w:p>
            <w:pPr>
              <w:spacing w:after="0"/>
              <w:rPr>
                <w:sz w:val="3"/>
                <w:szCs w:val="3"/>
                <w:color w:val="auto"/>
              </w:rPr>
            </w:pPr>
          </w:p>
        </w:tc>
        <w:tc>
          <w:tcPr>
            <w:tcW w:w="1760" w:type="dxa"/>
            <w:vAlign w:val="bottom"/>
            <w:tcBorders>
              <w:bottom w:val="single" w:sz="8" w:color="FB4E0B"/>
            </w:tcBorders>
          </w:tcPr>
          <w:p>
            <w:pPr>
              <w:spacing w:after="0"/>
              <w:rPr>
                <w:sz w:val="3"/>
                <w:szCs w:val="3"/>
                <w:color w:val="auto"/>
              </w:rPr>
            </w:pPr>
          </w:p>
        </w:tc>
        <w:tc>
          <w:tcPr>
            <w:tcW w:w="96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28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Rohit Kapoor</w:t>
            </w:r>
          </w:p>
        </w:tc>
        <w:tc>
          <w:tcPr>
            <w:tcW w:w="164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750,000</w:t>
            </w:r>
          </w:p>
        </w:tc>
        <w:tc>
          <w:tcPr>
            <w:tcW w:w="176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815,000</w:t>
            </w:r>
          </w:p>
        </w:tc>
        <w:tc>
          <w:tcPr>
            <w:tcW w:w="960" w:type="dxa"/>
            <w:vAlign w:val="bottom"/>
            <w:tcBorders>
              <w:right w:val="single" w:sz="8" w:color="auto"/>
            </w:tcBorders>
          </w:tcPr>
          <w:p>
            <w:pPr>
              <w:jc w:val="right"/>
              <w:ind w:right="38"/>
              <w:spacing w:after="0"/>
              <w:rPr>
                <w:sz w:val="20"/>
                <w:szCs w:val="20"/>
                <w:color w:val="auto"/>
              </w:rPr>
            </w:pPr>
            <w:r>
              <w:rPr>
                <w:rFonts w:ascii="Calibri" w:cs="Calibri" w:eastAsia="Calibri" w:hAnsi="Calibri"/>
                <w:sz w:val="17"/>
                <w:szCs w:val="17"/>
                <w:color w:val="auto"/>
              </w:rPr>
              <w:t>8.67%</w:t>
            </w:r>
          </w:p>
        </w:tc>
        <w:tc>
          <w:tcPr>
            <w:tcW w:w="0" w:type="dxa"/>
            <w:vAlign w:val="bottom"/>
          </w:tcPr>
          <w:p>
            <w:pPr>
              <w:spacing w:after="0"/>
              <w:rPr>
                <w:sz w:val="1"/>
                <w:szCs w:val="1"/>
                <w:color w:val="auto"/>
              </w:rPr>
            </w:pPr>
          </w:p>
        </w:tc>
      </w:tr>
      <w:tr>
        <w:trPr>
          <w:trHeight w:val="127"/>
        </w:trPr>
        <w:tc>
          <w:tcPr>
            <w:tcW w:w="628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628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Maurizio Nicolelli</w:t>
            </w:r>
          </w:p>
        </w:tc>
        <w:tc>
          <w:tcPr>
            <w:tcW w:w="164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475,000</w:t>
            </w:r>
          </w:p>
        </w:tc>
        <w:tc>
          <w:tcPr>
            <w:tcW w:w="176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510,000</w:t>
            </w:r>
          </w:p>
        </w:tc>
        <w:tc>
          <w:tcPr>
            <w:tcW w:w="960" w:type="dxa"/>
            <w:vAlign w:val="bottom"/>
            <w:tcBorders>
              <w:right w:val="single" w:sz="8" w:color="auto"/>
            </w:tcBorders>
          </w:tcPr>
          <w:p>
            <w:pPr>
              <w:jc w:val="right"/>
              <w:ind w:right="38"/>
              <w:spacing w:after="0"/>
              <w:rPr>
                <w:sz w:val="20"/>
                <w:szCs w:val="20"/>
                <w:color w:val="auto"/>
              </w:rPr>
            </w:pPr>
            <w:r>
              <w:rPr>
                <w:rFonts w:ascii="Calibri" w:cs="Calibri" w:eastAsia="Calibri" w:hAnsi="Calibri"/>
                <w:sz w:val="17"/>
                <w:szCs w:val="17"/>
                <w:color w:val="auto"/>
              </w:rPr>
              <w:t>7.37%</w:t>
            </w:r>
          </w:p>
        </w:tc>
        <w:tc>
          <w:tcPr>
            <w:tcW w:w="0" w:type="dxa"/>
            <w:vAlign w:val="bottom"/>
          </w:tcPr>
          <w:p>
            <w:pPr>
              <w:spacing w:after="0"/>
              <w:rPr>
                <w:sz w:val="1"/>
                <w:szCs w:val="1"/>
                <w:color w:val="auto"/>
              </w:rPr>
            </w:pPr>
          </w:p>
        </w:tc>
      </w:tr>
      <w:tr>
        <w:trPr>
          <w:trHeight w:val="127"/>
        </w:trPr>
        <w:tc>
          <w:tcPr>
            <w:tcW w:w="628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628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Vikas Bhalla</w:t>
            </w:r>
          </w:p>
        </w:tc>
        <w:tc>
          <w:tcPr>
            <w:tcW w:w="164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INR 24,500,000</w:t>
            </w:r>
            <w:r>
              <w:rPr>
                <w:rFonts w:ascii="Calibri" w:cs="Calibri" w:eastAsia="Calibri" w:hAnsi="Calibri"/>
                <w:sz w:val="13"/>
                <w:szCs w:val="13"/>
                <w:color w:val="auto"/>
              </w:rPr>
              <w:t>(1)</w:t>
            </w:r>
          </w:p>
        </w:tc>
        <w:tc>
          <w:tcPr>
            <w:tcW w:w="176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INR 27,900,000</w:t>
            </w:r>
            <w:r>
              <w:rPr>
                <w:rFonts w:ascii="Calibri" w:cs="Calibri" w:eastAsia="Calibri" w:hAnsi="Calibri"/>
                <w:sz w:val="13"/>
                <w:szCs w:val="13"/>
                <w:color w:val="auto"/>
              </w:rPr>
              <w:t>(2)</w:t>
            </w:r>
          </w:p>
        </w:tc>
        <w:tc>
          <w:tcPr>
            <w:tcW w:w="960" w:type="dxa"/>
            <w:vAlign w:val="bottom"/>
            <w:tcBorders>
              <w:right w:val="single" w:sz="8" w:color="auto"/>
            </w:tcBorders>
          </w:tcPr>
          <w:p>
            <w:pPr>
              <w:jc w:val="right"/>
              <w:ind w:right="38"/>
              <w:spacing w:after="0"/>
              <w:rPr>
                <w:sz w:val="20"/>
                <w:szCs w:val="20"/>
                <w:color w:val="auto"/>
              </w:rPr>
            </w:pPr>
            <w:r>
              <w:rPr>
                <w:rFonts w:ascii="Calibri" w:cs="Calibri" w:eastAsia="Calibri" w:hAnsi="Calibri"/>
                <w:sz w:val="17"/>
                <w:szCs w:val="17"/>
                <w:color w:val="auto"/>
              </w:rPr>
              <w:t>13.88%</w:t>
            </w:r>
          </w:p>
        </w:tc>
        <w:tc>
          <w:tcPr>
            <w:tcW w:w="0" w:type="dxa"/>
            <w:vAlign w:val="bottom"/>
          </w:tcPr>
          <w:p>
            <w:pPr>
              <w:spacing w:after="0"/>
              <w:rPr>
                <w:sz w:val="1"/>
                <w:szCs w:val="1"/>
                <w:color w:val="auto"/>
              </w:rPr>
            </w:pPr>
          </w:p>
        </w:tc>
      </w:tr>
      <w:tr>
        <w:trPr>
          <w:trHeight w:val="127"/>
        </w:trPr>
        <w:tc>
          <w:tcPr>
            <w:tcW w:w="628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628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Vivek Jetley</w:t>
            </w:r>
          </w:p>
        </w:tc>
        <w:tc>
          <w:tcPr>
            <w:tcW w:w="164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420,000</w:t>
            </w:r>
          </w:p>
        </w:tc>
        <w:tc>
          <w:tcPr>
            <w:tcW w:w="176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500,000</w:t>
            </w:r>
          </w:p>
        </w:tc>
        <w:tc>
          <w:tcPr>
            <w:tcW w:w="960" w:type="dxa"/>
            <w:vAlign w:val="bottom"/>
            <w:tcBorders>
              <w:right w:val="single" w:sz="8" w:color="auto"/>
            </w:tcBorders>
          </w:tcPr>
          <w:p>
            <w:pPr>
              <w:jc w:val="right"/>
              <w:ind w:right="38"/>
              <w:spacing w:after="0"/>
              <w:rPr>
                <w:sz w:val="20"/>
                <w:szCs w:val="20"/>
                <w:color w:val="auto"/>
              </w:rPr>
            </w:pPr>
            <w:r>
              <w:rPr>
                <w:rFonts w:ascii="Calibri" w:cs="Calibri" w:eastAsia="Calibri" w:hAnsi="Calibri"/>
                <w:sz w:val="17"/>
                <w:szCs w:val="17"/>
                <w:color w:val="auto"/>
              </w:rPr>
              <w:t>19.05%</w:t>
            </w:r>
          </w:p>
        </w:tc>
        <w:tc>
          <w:tcPr>
            <w:tcW w:w="0" w:type="dxa"/>
            <w:vAlign w:val="bottom"/>
          </w:tcPr>
          <w:p>
            <w:pPr>
              <w:spacing w:after="0"/>
              <w:rPr>
                <w:sz w:val="1"/>
                <w:szCs w:val="1"/>
                <w:color w:val="auto"/>
              </w:rPr>
            </w:pPr>
          </w:p>
        </w:tc>
      </w:tr>
      <w:tr>
        <w:trPr>
          <w:trHeight w:val="127"/>
        </w:trPr>
        <w:tc>
          <w:tcPr>
            <w:tcW w:w="628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628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Ankor Rai</w:t>
            </w:r>
          </w:p>
        </w:tc>
        <w:tc>
          <w:tcPr>
            <w:tcW w:w="164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410,000</w:t>
            </w:r>
          </w:p>
        </w:tc>
        <w:tc>
          <w:tcPr>
            <w:tcW w:w="1760" w:type="dxa"/>
            <w:vAlign w:val="bottom"/>
            <w:tcBorders>
              <w:right w:val="single" w:sz="8" w:color="auto"/>
            </w:tcBorders>
          </w:tcPr>
          <w:p>
            <w:pPr>
              <w:jc w:val="right"/>
              <w:ind w:right="140"/>
              <w:spacing w:after="0"/>
              <w:rPr>
                <w:sz w:val="20"/>
                <w:szCs w:val="20"/>
                <w:color w:val="auto"/>
              </w:rPr>
            </w:pPr>
            <w:r>
              <w:rPr>
                <w:rFonts w:ascii="Calibri" w:cs="Calibri" w:eastAsia="Calibri" w:hAnsi="Calibri"/>
                <w:sz w:val="17"/>
                <w:szCs w:val="17"/>
                <w:color w:val="auto"/>
              </w:rPr>
              <w:t>450,000</w:t>
            </w:r>
          </w:p>
        </w:tc>
        <w:tc>
          <w:tcPr>
            <w:tcW w:w="960" w:type="dxa"/>
            <w:vAlign w:val="bottom"/>
            <w:tcBorders>
              <w:right w:val="single" w:sz="8" w:color="auto"/>
            </w:tcBorders>
          </w:tcPr>
          <w:p>
            <w:pPr>
              <w:jc w:val="right"/>
              <w:ind w:right="38"/>
              <w:spacing w:after="0"/>
              <w:rPr>
                <w:sz w:val="20"/>
                <w:szCs w:val="20"/>
                <w:color w:val="auto"/>
              </w:rPr>
            </w:pPr>
            <w:r>
              <w:rPr>
                <w:rFonts w:ascii="Calibri" w:cs="Calibri" w:eastAsia="Calibri" w:hAnsi="Calibri"/>
                <w:sz w:val="17"/>
                <w:szCs w:val="17"/>
                <w:color w:val="auto"/>
              </w:rPr>
              <w:t>9.76%</w:t>
            </w:r>
          </w:p>
        </w:tc>
        <w:tc>
          <w:tcPr>
            <w:tcW w:w="0" w:type="dxa"/>
            <w:vAlign w:val="bottom"/>
          </w:tcPr>
          <w:p>
            <w:pPr>
              <w:spacing w:after="0"/>
              <w:rPr>
                <w:sz w:val="1"/>
                <w:szCs w:val="1"/>
                <w:color w:val="auto"/>
              </w:rPr>
            </w:pPr>
          </w:p>
        </w:tc>
      </w:tr>
      <w:tr>
        <w:trPr>
          <w:trHeight w:val="133"/>
        </w:trPr>
        <w:tc>
          <w:tcPr>
            <w:tcW w:w="6280" w:type="dxa"/>
            <w:vAlign w:val="bottom"/>
            <w:tcBorders>
              <w:bottom w:val="single" w:sz="8" w:color="FB4E0B"/>
              <w:right w:val="single" w:sz="8" w:color="auto"/>
            </w:tcBorders>
          </w:tcPr>
          <w:p>
            <w:pPr>
              <w:spacing w:after="0"/>
              <w:rPr>
                <w:sz w:val="11"/>
                <w:szCs w:val="11"/>
                <w:color w:val="auto"/>
              </w:rPr>
            </w:pPr>
          </w:p>
        </w:tc>
        <w:tc>
          <w:tcPr>
            <w:tcW w:w="1640" w:type="dxa"/>
            <w:vAlign w:val="bottom"/>
            <w:tcBorders>
              <w:bottom w:val="single" w:sz="8" w:color="FB4E0B"/>
              <w:right w:val="single" w:sz="8" w:color="auto"/>
            </w:tcBorders>
          </w:tcPr>
          <w:p>
            <w:pPr>
              <w:spacing w:after="0"/>
              <w:rPr>
                <w:sz w:val="11"/>
                <w:szCs w:val="11"/>
                <w:color w:val="auto"/>
              </w:rPr>
            </w:pPr>
          </w:p>
        </w:tc>
        <w:tc>
          <w:tcPr>
            <w:tcW w:w="1760" w:type="dxa"/>
            <w:vAlign w:val="bottom"/>
            <w:tcBorders>
              <w:bottom w:val="single" w:sz="8" w:color="FB4E0B"/>
              <w:right w:val="single" w:sz="8" w:color="auto"/>
            </w:tcBorders>
          </w:tcPr>
          <w:p>
            <w:pPr>
              <w:spacing w:after="0"/>
              <w:rPr>
                <w:sz w:val="11"/>
                <w:szCs w:val="11"/>
                <w:color w:val="auto"/>
              </w:rPr>
            </w:pPr>
          </w:p>
        </w:tc>
        <w:tc>
          <w:tcPr>
            <w:tcW w:w="960" w:type="dxa"/>
            <w:vAlign w:val="bottom"/>
            <w:tcBorders>
              <w:bottom w:val="single" w:sz="8" w:color="FB4E0B"/>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00" w:hanging="184"/>
        <w:spacing w:after="0"/>
        <w:tabs>
          <w:tab w:leader="none" w:pos="50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Equivalent to $329,611, converted at 74.33 INR to 1 USD, which was the exchange rate on December 31, 2021.</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1"/>
        </w:numPr>
        <w:rPr>
          <w:rFonts w:ascii="Calibri" w:cs="Calibri" w:eastAsia="Calibri" w:hAnsi="Calibri"/>
          <w:sz w:val="13"/>
          <w:szCs w:val="13"/>
          <w:color w:val="auto"/>
        </w:rPr>
      </w:pPr>
      <w:r>
        <w:rPr>
          <w:rFonts w:ascii="Calibri" w:cs="Calibri" w:eastAsia="Calibri" w:hAnsi="Calibri"/>
          <w:sz w:val="13"/>
          <w:szCs w:val="13"/>
          <w:color w:val="auto"/>
        </w:rPr>
        <w:t>Equivalent to $337,282, converted at 82.72 INR to 1 USD, which was the exchange rate on December 30, 2022.</w:t>
      </w:r>
    </w:p>
    <w:p>
      <w:pPr>
        <w:spacing w:after="0" w:line="19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Annual incentves</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have established an annual incentve program in order to align our executve ofcers’ goals with our performance targets for the current year and to encourage meaningful contributons to our future fnancial performance. Our Compensaton and Talent Management Commitee approved the framework of our annual incentve program in late 2021 for awards payable in respect of 2022 performance. Under the program, annual incentve award target amounts, expressed as a percentage of base salary or annual fxed compensaton, are established for partcipants at the beginning of each year unless their employment agreements contain diferent terms. Funding of potental annual incentve award payouts for the year are determined by our fnancial results for the year relatve to predetermined performance measures and our assessment of each named executve ofcer’s performance relatve to his predetermined individual performance goals. If our performance falls short of target, our aggregate funding of the annual incentve pool declines. If we do not achieve a minimum threshold for the established fnancial performance objectves, then the annual incentve pool is not funded for that partcular objectve. Although the Compensaton and Talent Management Commitee has not historically done so, except in 2020 in light of the unantcipated impact of the COVID-19 pandemic, it has the discreton under the 2018 Plan to adjust an award payout from the amount yielded by the formula at the end of the performance period for reasons such as the efect of changes in laws or regulatory rules, acquisitons or divesttures, extraordinary accountng items, foreign exchange gains or losses, and/or any specifc unusual or non-recurring events. The Compensaton and Talent Management Commitee did not use any discreton for the 2022 annual incentve awards.</w:t>
      </w:r>
    </w:p>
    <w:p>
      <w:pPr>
        <w:spacing w:after="0" w:line="133"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76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and Talent Management Commitee considered the following when establishing the awards for 2022:</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incentve award targets</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Annual incentve award targets were established based on job responsibilites and comparable market data. Our objectve was to set targets such that total annual cash compensaton was within the broad middle range of market data and a substantal porton of that compensaton was linked to our performance. Consistent with our executve compensaton policy, individuals with greater job responsibilites had a greater proporton of their total compensaton ted to our performance. During 2022, our Compensaton and Talent Management Commitee established the following annual incentve award targets (expressed as a percentage of base salary or annual fxed compensaton) as well as maximum targets for each named executve ofcer.</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00" w:type="dxa"/>
            <w:vAlign w:val="bottom"/>
          </w:tcPr>
          <w:p>
            <w:pPr>
              <w:ind w:left="140"/>
              <w:spacing w:after="0"/>
              <w:rPr>
                <w:sz w:val="20"/>
                <w:szCs w:val="20"/>
                <w:color w:val="auto"/>
              </w:rPr>
            </w:pPr>
            <w:r>
              <w:rPr>
                <w:rFonts w:ascii="Calibri" w:cs="Calibri" w:eastAsia="Calibri" w:hAnsi="Calibri"/>
                <w:sz w:val="17"/>
                <w:szCs w:val="17"/>
                <w:b w:val="1"/>
                <w:bCs w:val="1"/>
                <w:color w:val="FB4E0B"/>
              </w:rPr>
              <w:t>Name</w:t>
            </w:r>
          </w:p>
        </w:tc>
        <w:tc>
          <w:tcPr>
            <w:tcW w:w="382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target</w:t>
            </w:r>
          </w:p>
        </w:tc>
        <w:tc>
          <w:tcPr>
            <w:tcW w:w="3900" w:type="dxa"/>
            <w:vAlign w:val="bottom"/>
          </w:tcPr>
          <w:p>
            <w:pPr>
              <w:ind w:left="80"/>
              <w:spacing w:after="0"/>
              <w:rPr>
                <w:sz w:val="20"/>
                <w:szCs w:val="20"/>
                <w:color w:val="auto"/>
              </w:rPr>
            </w:pPr>
            <w:r>
              <w:rPr>
                <w:rFonts w:ascii="Calibri" w:cs="Calibri" w:eastAsia="Calibri" w:hAnsi="Calibri"/>
                <w:sz w:val="17"/>
                <w:szCs w:val="17"/>
                <w:b w:val="1"/>
                <w:bCs w:val="1"/>
                <w:color w:val="FB4E0B"/>
              </w:rPr>
              <w:t>Annual incentve award maximum</w:t>
            </w:r>
          </w:p>
        </w:tc>
      </w:tr>
      <w:tr>
        <w:trPr>
          <w:trHeight w:val="81"/>
        </w:trPr>
        <w:tc>
          <w:tcPr>
            <w:tcW w:w="2900" w:type="dxa"/>
            <w:vAlign w:val="bottom"/>
            <w:tcBorders>
              <w:bottom w:val="single" w:sz="8" w:color="FB4E0B"/>
            </w:tcBorders>
          </w:tcPr>
          <w:p>
            <w:pPr>
              <w:spacing w:after="0"/>
              <w:rPr>
                <w:sz w:val="7"/>
                <w:szCs w:val="7"/>
                <w:color w:val="auto"/>
              </w:rPr>
            </w:pPr>
          </w:p>
        </w:tc>
        <w:tc>
          <w:tcPr>
            <w:tcW w:w="3820" w:type="dxa"/>
            <w:vAlign w:val="bottom"/>
            <w:tcBorders>
              <w:bottom w:val="single" w:sz="8" w:color="FB4E0B"/>
            </w:tcBorders>
          </w:tcPr>
          <w:p>
            <w:pPr>
              <w:spacing w:after="0"/>
              <w:rPr>
                <w:sz w:val="7"/>
                <w:szCs w:val="7"/>
                <w:color w:val="auto"/>
              </w:rPr>
            </w:pPr>
          </w:p>
        </w:tc>
        <w:tc>
          <w:tcPr>
            <w:tcW w:w="3900" w:type="dxa"/>
            <w:vAlign w:val="bottom"/>
            <w:tcBorders>
              <w:bottom w:val="single" w:sz="8" w:color="FB4E0B"/>
            </w:tcBorders>
          </w:tcPr>
          <w:p>
            <w:pPr>
              <w:spacing w:after="0"/>
              <w:rPr>
                <w:sz w:val="7"/>
                <w:szCs w:val="7"/>
                <w:color w:val="auto"/>
              </w:rPr>
            </w:pPr>
          </w:p>
        </w:tc>
      </w:tr>
      <w:tr>
        <w:trPr>
          <w:trHeight w:val="276"/>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Rohit Kapoor</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150%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300%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Maurizio Nicolelli</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Vikas Bhalla</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annual fxed compensaton</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annual fxed compensaton</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Vivek Jetley</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140"/>
              <w:spacing w:after="0"/>
              <w:rPr>
                <w:sz w:val="20"/>
                <w:szCs w:val="20"/>
                <w:color w:val="auto"/>
              </w:rPr>
            </w:pPr>
            <w:r>
              <w:rPr>
                <w:rFonts w:ascii="Calibri" w:cs="Calibri" w:eastAsia="Calibri" w:hAnsi="Calibri"/>
                <w:sz w:val="17"/>
                <w:szCs w:val="17"/>
                <w:b w:val="1"/>
                <w:bCs w:val="1"/>
                <w:color w:val="auto"/>
              </w:rPr>
              <w:t>Ankor Rai</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150% of base salary</w:t>
            </w:r>
          </w:p>
        </w:tc>
      </w:tr>
      <w:tr>
        <w:trPr>
          <w:trHeight w:val="133"/>
        </w:trPr>
        <w:tc>
          <w:tcPr>
            <w:tcW w:w="2900" w:type="dxa"/>
            <w:vAlign w:val="bottom"/>
            <w:tcBorders>
              <w:bottom w:val="single" w:sz="8" w:color="FB4E0B"/>
              <w:right w:val="single" w:sz="8" w:color="auto"/>
            </w:tcBorders>
          </w:tcPr>
          <w:p>
            <w:pPr>
              <w:spacing w:after="0"/>
              <w:rPr>
                <w:sz w:val="11"/>
                <w:szCs w:val="11"/>
                <w:color w:val="auto"/>
              </w:rPr>
            </w:pPr>
          </w:p>
        </w:tc>
        <w:tc>
          <w:tcPr>
            <w:tcW w:w="3820" w:type="dxa"/>
            <w:vAlign w:val="bottom"/>
            <w:tcBorders>
              <w:bottom w:val="single" w:sz="8" w:color="FB4E0B"/>
              <w:right w:val="single" w:sz="8" w:color="auto"/>
            </w:tcBorders>
          </w:tcPr>
          <w:p>
            <w:pPr>
              <w:spacing w:after="0"/>
              <w:rPr>
                <w:sz w:val="11"/>
                <w:szCs w:val="11"/>
                <w:color w:val="auto"/>
              </w:rPr>
            </w:pPr>
          </w:p>
        </w:tc>
        <w:tc>
          <w:tcPr>
            <w:tcW w:w="3900" w:type="dxa"/>
            <w:vAlign w:val="bottom"/>
            <w:tcBorders>
              <w:bottom w:val="single" w:sz="8" w:color="FB4E0B"/>
            </w:tcBorders>
          </w:tcPr>
          <w:p>
            <w:pPr>
              <w:spacing w:after="0"/>
              <w:rPr>
                <w:sz w:val="11"/>
                <w:szCs w:val="11"/>
                <w:color w:val="auto"/>
              </w:rPr>
            </w:pPr>
          </w:p>
        </w:tc>
      </w:tr>
    </w:tbl>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Performance measures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Our executves were eligible to earn annual incentves with 75% of the award based on their achievement of Company-wide performance metrics and the remaining 25% of the award based on individual performance. The Company-wide porton of 2022 annual incentves was based 50% in part on the Company’s revenue goal, and 50% in part on the Company’s adjusted operatng proft margin (AOPM) for all employees, including our named executve ofcers, whose annual incentves are linked to Company-wide fnancial performance.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2022, the Compensaton and Talent Management Commitee contnued to set the Company-wide performance goals, as well as the individual performance goals described above, for all named executve ofcers to ensure the executves were properly focused on the Company’s revenue and AOPM goals, as well as other areas of performance that are unique to their positons within the organizaton. The Compensaton and Talent Management Commitee believes achievement of these performance metrics will drive our business and, in turn, lead to increased stockholder value.</w:t>
      </w:r>
    </w:p>
    <w:p>
      <w:pPr>
        <w:spacing w:after="0" w:line="296"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77</w:t>
      </w:r>
    </w:p>
    <w:p>
      <w:pPr>
        <w:sectPr>
          <w:pgSz w:w="11900" w:h="16838" w:orient="portrait"/>
          <w:cols w:equalWidth="0" w:num="1">
            <w:col w:w="10940"/>
          </w:cols>
          <w:pgMar w:left="320" w:top="471" w:right="6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fnancial performance achievement</w:t>
      </w:r>
    </w:p>
    <w:p>
      <w:pPr>
        <w:spacing w:after="0" w:line="106" w:lineRule="exact"/>
        <w:rPr>
          <w:sz w:val="20"/>
          <w:szCs w:val="20"/>
          <w:color w:val="auto"/>
        </w:rPr>
      </w:pPr>
    </w:p>
    <w:p>
      <w:pPr>
        <w:ind w:left="320" w:right="280"/>
        <w:spacing w:after="0"/>
        <w:rPr>
          <w:sz w:val="20"/>
          <w:szCs w:val="20"/>
          <w:color w:val="auto"/>
        </w:rPr>
      </w:pPr>
      <w:r>
        <w:rPr>
          <w:rFonts w:ascii="Calibri" w:cs="Calibri" w:eastAsia="Calibri" w:hAnsi="Calibri"/>
          <w:sz w:val="17"/>
          <w:szCs w:val="17"/>
          <w:color w:val="auto"/>
        </w:rPr>
        <w:t>For 2022, our Compensaton and Talent Management Commitee established a revenue target of $1.33 billion (which was 18.8% higher than our actual revenue for the prior year and 23.4% higher than our prior year’s target performance) and an AOPM target of $247.37 million (which was 18.7% higher than our actual for the prior year and 38.3% higher than our prior year’s target). As shown below, the porton of annual incentve award payments that were subject to these fnancial performance measures could have ranged from zero to 200% of the target depending on the achievement of the performance goals.</w:t>
      </w:r>
    </w:p>
    <w:p>
      <w:pPr>
        <w:spacing w:after="0" w:line="35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FB4E0B"/>
        </w:rPr>
        <w:t>Performance targets: revenue ($1.33 billion); and AOPM ($247.37 million)</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46"/>
        </w:trPr>
        <w:tc>
          <w:tcPr>
            <w:tcW w:w="532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performance achieved compared to target goal</w:t>
            </w:r>
          </w:p>
        </w:tc>
        <w:tc>
          <w:tcPr>
            <w:tcW w:w="20" w:type="dxa"/>
            <w:vAlign w:val="bottom"/>
            <w:tcBorders>
              <w:top w:val="single" w:sz="8" w:color="FB4E0B"/>
            </w:tcBorders>
          </w:tcPr>
          <w:p>
            <w:pPr>
              <w:spacing w:after="0"/>
              <w:rPr>
                <w:sz w:val="4"/>
                <w:szCs w:val="4"/>
                <w:color w:val="auto"/>
              </w:rPr>
            </w:pPr>
          </w:p>
        </w:tc>
        <w:tc>
          <w:tcPr>
            <w:tcW w:w="528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target porton funded</w:t>
            </w:r>
          </w:p>
        </w:tc>
        <w:tc>
          <w:tcPr>
            <w:tcW w:w="0" w:type="dxa"/>
            <w:vAlign w:val="bottom"/>
          </w:tcPr>
          <w:p>
            <w:pPr>
              <w:spacing w:after="0"/>
              <w:rPr>
                <w:sz w:val="1"/>
                <w:szCs w:val="1"/>
                <w:color w:val="auto"/>
              </w:rPr>
            </w:pPr>
          </w:p>
        </w:tc>
      </w:tr>
      <w:tr>
        <w:trPr>
          <w:trHeight w:val="282"/>
        </w:trPr>
        <w:tc>
          <w:tcPr>
            <w:tcW w:w="53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Above 110%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200%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100%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Less than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0%</w:t>
            </w:r>
          </w:p>
        </w:tc>
        <w:tc>
          <w:tcPr>
            <w:tcW w:w="0" w:type="dxa"/>
            <w:vAlign w:val="bottom"/>
          </w:tcPr>
          <w:p>
            <w:pPr>
              <w:spacing w:after="0"/>
              <w:rPr>
                <w:sz w:val="1"/>
                <w:szCs w:val="1"/>
                <w:color w:val="auto"/>
              </w:rPr>
            </w:pPr>
          </w:p>
        </w:tc>
      </w:tr>
      <w:tr>
        <w:trPr>
          <w:trHeight w:val="107"/>
        </w:trPr>
        <w:tc>
          <w:tcPr>
            <w:tcW w:w="5320" w:type="dxa"/>
            <w:vAlign w:val="bottom"/>
            <w:tcBorders>
              <w:bottom w:val="single" w:sz="8" w:color="FB4E0B"/>
            </w:tcBorders>
          </w:tcPr>
          <w:p>
            <w:pPr>
              <w:spacing w:after="0"/>
              <w:rPr>
                <w:sz w:val="9"/>
                <w:szCs w:val="9"/>
                <w:color w:val="auto"/>
              </w:rPr>
            </w:pPr>
          </w:p>
        </w:tc>
        <w:tc>
          <w:tcPr>
            <w:tcW w:w="20" w:type="dxa"/>
            <w:vAlign w:val="bottom"/>
            <w:tcBorders>
              <w:bottom w:val="single" w:sz="8" w:color="FB4E0B"/>
            </w:tcBorders>
            <w:shd w:val="clear" w:color="auto" w:fill="000000"/>
          </w:tcPr>
          <w:p>
            <w:pPr>
              <w:spacing w:after="0"/>
              <w:rPr>
                <w:sz w:val="9"/>
                <w:szCs w:val="9"/>
                <w:color w:val="auto"/>
              </w:rPr>
            </w:pPr>
          </w:p>
        </w:tc>
        <w:tc>
          <w:tcPr>
            <w:tcW w:w="528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Linear interpolaton for performance between discrete points</w:t>
      </w:r>
    </w:p>
    <w:p>
      <w:pPr>
        <w:spacing w:after="0" w:line="103"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Based on our performance during the 2022 fscal year, we achieved 107.66% of our revenue target (resultng in funding of 176.63%) and 101.45% of our AOPM target (resultng in funding of 114.51%), which yielded a weighted funding of 145.57%.</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78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individual performance measure achievement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named executve ofcers earn a porton of their annual incentve awards based on the achievement of individual performance measures designed to balance the named executve ofcers’ eforts between the achievement of near-term objectves that improve specifc processes or performance metrics and long-term objectves that increase the Company’s value, economic impact, and sustained stockholder returns. For more informaton on the process for determining individual performance measure achievement, please see “Compensaton process: roles and responsibilites” on page 72. Below is a summary of each named executve ofcer’s individual performance measures, as well as a summary of each named executve ofcer’s achievements in light of the designated performance measures: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Named Executve</w:t>
            </w: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Ofcer</w:t>
            </w:r>
          </w:p>
        </w:tc>
        <w:tc>
          <w:tcPr>
            <w:tcW w:w="3500" w:type="dxa"/>
            <w:vAlign w:val="bottom"/>
            <w:gridSpan w:val="2"/>
          </w:tcPr>
          <w:p>
            <w:pPr>
              <w:ind w:left="440"/>
              <w:spacing w:after="0"/>
              <w:rPr>
                <w:sz w:val="20"/>
                <w:szCs w:val="20"/>
                <w:color w:val="auto"/>
              </w:rPr>
            </w:pPr>
            <w:r>
              <w:rPr>
                <w:rFonts w:ascii="Calibri" w:cs="Calibri" w:eastAsia="Calibri" w:hAnsi="Calibri"/>
                <w:sz w:val="17"/>
                <w:szCs w:val="17"/>
                <w:b w:val="1"/>
                <w:bCs w:val="1"/>
                <w:color w:val="FB4E0B"/>
              </w:rPr>
              <w:t>2022 Individual performance measure</w:t>
            </w:r>
          </w:p>
        </w:tc>
        <w:tc>
          <w:tcPr>
            <w:tcW w:w="580" w:type="dxa"/>
            <w:vAlign w:val="bottom"/>
          </w:tcPr>
          <w:p>
            <w:pPr>
              <w:spacing w:after="0"/>
              <w:rPr>
                <w:sz w:val="18"/>
                <w:szCs w:val="18"/>
                <w:color w:val="auto"/>
              </w:rPr>
            </w:pPr>
          </w:p>
        </w:tc>
        <w:tc>
          <w:tcPr>
            <w:tcW w:w="3620" w:type="dxa"/>
            <w:vAlign w:val="bottom"/>
          </w:tcPr>
          <w:p>
            <w:pPr>
              <w:ind w:left="520"/>
              <w:spacing w:after="0"/>
              <w:rPr>
                <w:sz w:val="20"/>
                <w:szCs w:val="20"/>
                <w:color w:val="auto"/>
              </w:rPr>
            </w:pPr>
            <w:r>
              <w:rPr>
                <w:rFonts w:ascii="Calibri" w:cs="Calibri" w:eastAsia="Calibri" w:hAnsi="Calibri"/>
                <w:sz w:val="17"/>
                <w:szCs w:val="17"/>
                <w:b w:val="1"/>
                <w:bCs w:val="1"/>
                <w:color w:val="FB4E0B"/>
              </w:rPr>
              <w:t>2022 Individual performance achievement</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2"/>
        </w:trPr>
        <w:tc>
          <w:tcPr>
            <w:tcW w:w="2040" w:type="dxa"/>
            <w:vAlign w:val="bottom"/>
            <w:tcBorders>
              <w:bottom w:val="single" w:sz="8" w:color="FB4E0B"/>
            </w:tcBorders>
          </w:tcPr>
          <w:p>
            <w:pPr>
              <w:spacing w:after="0"/>
              <w:rPr>
                <w:sz w:val="3"/>
                <w:szCs w:val="3"/>
                <w:color w:val="auto"/>
              </w:rPr>
            </w:pPr>
          </w:p>
        </w:tc>
        <w:tc>
          <w:tcPr>
            <w:tcW w:w="560" w:type="dxa"/>
            <w:vAlign w:val="bottom"/>
            <w:tcBorders>
              <w:bottom w:val="single" w:sz="8" w:color="FB4E0B"/>
            </w:tcBorders>
          </w:tcPr>
          <w:p>
            <w:pPr>
              <w:spacing w:after="0"/>
              <w:rPr>
                <w:sz w:val="3"/>
                <w:szCs w:val="3"/>
                <w:color w:val="auto"/>
              </w:rPr>
            </w:pPr>
          </w:p>
        </w:tc>
        <w:tc>
          <w:tcPr>
            <w:tcW w:w="2940" w:type="dxa"/>
            <w:vAlign w:val="bottom"/>
            <w:tcBorders>
              <w:bottom w:val="single" w:sz="8" w:color="FB4E0B"/>
            </w:tcBorders>
          </w:tcPr>
          <w:p>
            <w:pPr>
              <w:spacing w:after="0"/>
              <w:rPr>
                <w:sz w:val="3"/>
                <w:szCs w:val="3"/>
                <w:color w:val="auto"/>
              </w:rPr>
            </w:pPr>
          </w:p>
        </w:tc>
        <w:tc>
          <w:tcPr>
            <w:tcW w:w="580" w:type="dxa"/>
            <w:vAlign w:val="bottom"/>
            <w:tcBorders>
              <w:bottom w:val="single" w:sz="8" w:color="FB4E0B"/>
            </w:tcBorders>
          </w:tcPr>
          <w:p>
            <w:pPr>
              <w:spacing w:after="0"/>
              <w:rPr>
                <w:sz w:val="3"/>
                <w:szCs w:val="3"/>
                <w:color w:val="auto"/>
              </w:rPr>
            </w:pPr>
          </w:p>
        </w:tc>
        <w:tc>
          <w:tcPr>
            <w:tcW w:w="4500" w:type="dxa"/>
            <w:vAlign w:val="bottom"/>
            <w:tcBorders>
              <w:bottom w:val="single" w:sz="8" w:color="FB4E0B"/>
            </w:tcBorders>
            <w:gridSpan w:val="3"/>
          </w:tcPr>
          <w:p>
            <w:pPr>
              <w:spacing w:after="0"/>
              <w:rPr>
                <w:sz w:val="3"/>
                <w:szCs w:val="3"/>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Rohit Kapoor</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with sustained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w w:val="97"/>
              </w:rPr>
              <w:t>   Led growth resultng in 2022 revenues of $1,412 million, 25.8% over</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momentum</w:t>
            </w:r>
          </w:p>
        </w:tc>
        <w:tc>
          <w:tcPr>
            <w:tcW w:w="580" w:type="dxa"/>
            <w:vAlign w:val="bottom"/>
          </w:tcPr>
          <w:p>
            <w:pPr>
              <w:spacing w:after="0"/>
              <w:rPr>
                <w:sz w:val="16"/>
                <w:szCs w:val="16"/>
                <w:color w:val="auto"/>
              </w:rPr>
            </w:pPr>
          </w:p>
        </w:tc>
        <w:tc>
          <w:tcPr>
            <w:tcW w:w="4500" w:type="dxa"/>
            <w:vAlign w:val="bottom"/>
            <w:gridSpan w:val="3"/>
          </w:tcPr>
          <w:p>
            <w:pPr>
              <w:ind w:left="140"/>
              <w:spacing w:after="0" w:line="185" w:lineRule="exact"/>
              <w:rPr>
                <w:sz w:val="20"/>
                <w:szCs w:val="20"/>
                <w:color w:val="auto"/>
              </w:rPr>
            </w:pPr>
            <w:r>
              <w:rPr>
                <w:rFonts w:ascii="Calibri" w:cs="Calibri" w:eastAsia="Calibri" w:hAnsi="Calibri"/>
                <w:sz w:val="16"/>
                <w:szCs w:val="16"/>
                <w:color w:val="auto"/>
              </w:rPr>
              <w:t>2021 revenue, sustained proftability and adjusted EPS of $6.02</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on EXL’s digital and analytcs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w w:val="97"/>
              </w:rPr>
              <w:t>   Established company-wide data-led mission as relates to digital and</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strategy</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analytcs solutons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 Strengthen talent acquisiton and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060" w:type="dxa"/>
            <w:vAlign w:val="bottom"/>
            <w:gridSpan w:val="2"/>
          </w:tcPr>
          <w:p>
            <w:pPr>
              <w:ind w:left="60"/>
              <w:spacing w:after="0"/>
              <w:rPr>
                <w:sz w:val="20"/>
                <w:szCs w:val="20"/>
                <w:color w:val="auto"/>
              </w:rPr>
            </w:pPr>
            <w:r>
              <w:rPr>
                <w:rFonts w:ascii="Calibri" w:cs="Calibri" w:eastAsia="Calibri" w:hAnsi="Calibri"/>
                <w:sz w:val="16"/>
                <w:szCs w:val="16"/>
                <w:color w:val="auto"/>
                <w:w w:val="98"/>
              </w:rPr>
              <w:t>   Contnued focus on talent acquisiton and strong progress on</w:t>
            </w: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development and company culture,</w:t>
            </w:r>
          </w:p>
        </w:tc>
        <w:tc>
          <w:tcPr>
            <w:tcW w:w="580" w:type="dxa"/>
            <w:vAlign w:val="bottom"/>
          </w:tcPr>
          <w:p>
            <w:pPr>
              <w:spacing w:after="0"/>
              <w:rPr>
                <w:sz w:val="16"/>
                <w:szCs w:val="16"/>
                <w:color w:val="auto"/>
              </w:rPr>
            </w:pPr>
          </w:p>
        </w:tc>
        <w:tc>
          <w:tcPr>
            <w:tcW w:w="4500" w:type="dxa"/>
            <w:vAlign w:val="bottom"/>
            <w:gridSpan w:val="3"/>
          </w:tcPr>
          <w:p>
            <w:pPr>
              <w:ind w:left="140"/>
              <w:spacing w:after="0"/>
              <w:rPr>
                <w:sz w:val="20"/>
                <w:szCs w:val="20"/>
                <w:color w:val="auto"/>
              </w:rPr>
            </w:pPr>
            <w:r>
              <w:rPr>
                <w:rFonts w:ascii="Calibri" w:cs="Calibri" w:eastAsia="Calibri" w:hAnsi="Calibri"/>
                <w:sz w:val="16"/>
                <w:szCs w:val="16"/>
                <w:color w:val="auto"/>
              </w:rPr>
              <w:t>building diverse and expanded leadership and key digital and data-</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including focus on diversity, equity and</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related capabilites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inclusion strategies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20" w:type="dxa"/>
            <w:vAlign w:val="bottom"/>
          </w:tcPr>
          <w:p>
            <w:pPr>
              <w:ind w:left="60"/>
              <w:spacing w:after="0"/>
              <w:rPr>
                <w:sz w:val="20"/>
                <w:szCs w:val="20"/>
                <w:color w:val="auto"/>
              </w:rPr>
            </w:pPr>
            <w:r>
              <w:rPr>
                <w:rFonts w:ascii="Calibri" w:cs="Calibri" w:eastAsia="Calibri" w:hAnsi="Calibri"/>
                <w:sz w:val="16"/>
                <w:szCs w:val="16"/>
                <w:color w:val="auto"/>
              </w:rPr>
              <w:t>   Contnued to strengthen overall risk culture</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 Ensure agile decisioning and strengthen</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060" w:type="dxa"/>
            <w:vAlign w:val="bottom"/>
            <w:gridSpan w:val="2"/>
          </w:tcPr>
          <w:p>
            <w:pPr>
              <w:ind w:left="60"/>
              <w:spacing w:after="0"/>
              <w:rPr>
                <w:sz w:val="20"/>
                <w:szCs w:val="20"/>
                <w:color w:val="auto"/>
              </w:rPr>
            </w:pPr>
            <w:r>
              <w:rPr>
                <w:rFonts w:ascii="Calibri" w:cs="Calibri" w:eastAsia="Calibri" w:hAnsi="Calibri"/>
                <w:sz w:val="16"/>
                <w:szCs w:val="16"/>
                <w:color w:val="auto"/>
              </w:rPr>
              <w:t>   Progressed on ESG maters as outlined in EXL’s third Annual</w:t>
            </w: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enterprise risk management</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Sustainability Report</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 Contnue to advance ESG program</w:t>
            </w:r>
          </w:p>
        </w:tc>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60" w:type="dxa"/>
            <w:vAlign w:val="bottom"/>
            <w:tcBorders>
              <w:bottom w:val="single" w:sz="8" w:color="auto"/>
            </w:tcBorders>
            <w:gridSpan w:val="2"/>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Maurizio Nicolelli</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 Provide efectve leadership to fnance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060" w:type="dxa"/>
            <w:vAlign w:val="bottom"/>
            <w:gridSpan w:val="2"/>
          </w:tcPr>
          <w:p>
            <w:pPr>
              <w:ind w:left="60"/>
              <w:spacing w:after="0"/>
              <w:rPr>
                <w:sz w:val="20"/>
                <w:szCs w:val="20"/>
                <w:color w:val="auto"/>
              </w:rPr>
            </w:pPr>
            <w:r>
              <w:rPr>
                <w:rFonts w:ascii="Calibri" w:cs="Calibri" w:eastAsia="Calibri" w:hAnsi="Calibri"/>
                <w:sz w:val="16"/>
                <w:szCs w:val="16"/>
                <w:color w:val="auto"/>
              </w:rPr>
              <w:t>   Led the fnance team and the technology and LIFE functons</w:t>
            </w:r>
          </w:p>
        </w:tc>
        <w:tc>
          <w:tcPr>
            <w:tcW w:w="440" w:type="dxa"/>
            <w:vAlign w:val="bottom"/>
          </w:tcPr>
          <w:p>
            <w:pPr>
              <w:spacing w:after="0"/>
              <w:rPr>
                <w:sz w:val="23"/>
                <w:szCs w:val="23"/>
                <w:color w:val="auto"/>
              </w:rPr>
            </w:pP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team</w:t>
            </w:r>
          </w:p>
        </w:tc>
        <w:tc>
          <w:tcPr>
            <w:tcW w:w="580" w:type="dxa"/>
            <w:vAlign w:val="bottom"/>
          </w:tcPr>
          <w:p>
            <w:pPr>
              <w:spacing w:after="0"/>
              <w:rPr>
                <w:sz w:val="16"/>
                <w:szCs w:val="16"/>
                <w:color w:val="auto"/>
              </w:rPr>
            </w:pPr>
          </w:p>
        </w:tc>
        <w:tc>
          <w:tcPr>
            <w:tcW w:w="4500" w:type="dxa"/>
            <w:vAlign w:val="bottom"/>
            <w:gridSpan w:val="3"/>
          </w:tcPr>
          <w:p>
            <w:pPr>
              <w:ind w:left="140"/>
              <w:spacing w:after="0" w:line="185" w:lineRule="exact"/>
              <w:rPr>
                <w:sz w:val="20"/>
                <w:szCs w:val="20"/>
                <w:color w:val="auto"/>
              </w:rPr>
            </w:pPr>
            <w:r>
              <w:rPr>
                <w:rFonts w:ascii="Calibri" w:cs="Calibri" w:eastAsia="Calibri" w:hAnsi="Calibri"/>
                <w:sz w:val="16"/>
                <w:szCs w:val="16"/>
                <w:color w:val="auto"/>
                <w:w w:val="99"/>
              </w:rPr>
              <w:t>efectvely with strong business partnering and by nurturing One EXL</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 Enhance proftability</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mindset</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on long-term tax strategy</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20" w:type="dxa"/>
            <w:vAlign w:val="bottom"/>
          </w:tcPr>
          <w:p>
            <w:pPr>
              <w:ind w:left="60"/>
              <w:spacing w:after="0"/>
              <w:rPr>
                <w:sz w:val="20"/>
                <w:szCs w:val="20"/>
                <w:color w:val="auto"/>
              </w:rPr>
            </w:pPr>
            <w:r>
              <w:rPr>
                <w:rFonts w:ascii="Calibri" w:cs="Calibri" w:eastAsia="Calibri" w:hAnsi="Calibri"/>
                <w:sz w:val="16"/>
                <w:szCs w:val="16"/>
                <w:color w:val="auto"/>
              </w:rPr>
              <w:t>   Drove strong proftability across business units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rPr>
              <w:t>   Drove long-term tax strategy resultng in current benefts and a</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pathway to future benefts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3"/>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Vikas Bhalla</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for Insurance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rPr>
              <w:t>   Drove Insurance revenue (including porton of Analytcs revenue</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w w:val="98"/>
              </w:rPr>
              <w:t>   Create and implement innovatve data and</w:t>
            </w:r>
          </w:p>
        </w:tc>
        <w:tc>
          <w:tcPr>
            <w:tcW w:w="580" w:type="dxa"/>
            <w:vAlign w:val="bottom"/>
          </w:tcPr>
          <w:p>
            <w:pPr>
              <w:spacing w:after="0"/>
              <w:rPr>
                <w:sz w:val="16"/>
                <w:szCs w:val="16"/>
                <w:color w:val="auto"/>
              </w:rPr>
            </w:pPr>
          </w:p>
        </w:tc>
        <w:tc>
          <w:tcPr>
            <w:tcW w:w="4500" w:type="dxa"/>
            <w:vAlign w:val="bottom"/>
            <w:gridSpan w:val="3"/>
          </w:tcPr>
          <w:p>
            <w:pPr>
              <w:ind w:left="140"/>
              <w:spacing w:after="0" w:line="185" w:lineRule="exact"/>
              <w:rPr>
                <w:sz w:val="20"/>
                <w:szCs w:val="20"/>
                <w:color w:val="auto"/>
              </w:rPr>
            </w:pPr>
            <w:r>
              <w:rPr>
                <w:rFonts w:ascii="Calibri" w:cs="Calibri" w:eastAsia="Calibri" w:hAnsi="Calibri"/>
                <w:sz w:val="16"/>
                <w:szCs w:val="16"/>
                <w:color w:val="auto"/>
                <w:w w:val="97"/>
              </w:rPr>
              <w:t>from insurance industry) to $582.8 million with strong gross margins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analytcs solutons for Insurance clients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w w:val="99"/>
              </w:rPr>
              <w:t>   Developed and enhanced existng digital-led solutons for insurance</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 Grow Insurance proftability</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industry</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20" w:type="dxa"/>
            <w:vAlign w:val="bottom"/>
          </w:tcPr>
          <w:p>
            <w:pPr>
              <w:ind w:left="60"/>
              <w:spacing w:after="0"/>
              <w:rPr>
                <w:sz w:val="20"/>
                <w:szCs w:val="20"/>
                <w:color w:val="auto"/>
              </w:rPr>
            </w:pPr>
            <w:r>
              <w:rPr>
                <w:rFonts w:ascii="Calibri" w:cs="Calibri" w:eastAsia="Calibri" w:hAnsi="Calibri"/>
                <w:sz w:val="16"/>
                <w:szCs w:val="16"/>
                <w:color w:val="auto"/>
              </w:rPr>
              <w:t>   Drove strong Insurance business proftability</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3"/>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Vivek Jetley</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and build high growth</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rPr>
              <w:t>   Facilitated high revenue growth of Analytcs business with strong</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business for Analytcs</w:t>
            </w:r>
          </w:p>
        </w:tc>
        <w:tc>
          <w:tcPr>
            <w:tcW w:w="580" w:type="dxa"/>
            <w:vAlign w:val="bottom"/>
          </w:tcPr>
          <w:p>
            <w:pPr>
              <w:spacing w:after="0"/>
              <w:rPr>
                <w:sz w:val="16"/>
                <w:szCs w:val="16"/>
                <w:color w:val="auto"/>
              </w:rPr>
            </w:pPr>
          </w:p>
        </w:tc>
        <w:tc>
          <w:tcPr>
            <w:tcW w:w="3620" w:type="dxa"/>
            <w:vAlign w:val="bottom"/>
          </w:tcPr>
          <w:p>
            <w:pPr>
              <w:ind w:left="140"/>
              <w:spacing w:after="0" w:line="185" w:lineRule="exact"/>
              <w:rPr>
                <w:sz w:val="20"/>
                <w:szCs w:val="20"/>
                <w:color w:val="auto"/>
              </w:rPr>
            </w:pPr>
            <w:r>
              <w:rPr>
                <w:rFonts w:ascii="Calibri" w:cs="Calibri" w:eastAsia="Calibri" w:hAnsi="Calibri"/>
                <w:sz w:val="16"/>
                <w:szCs w:val="16"/>
                <w:color w:val="auto"/>
              </w:rPr>
              <w:t>gross margins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 Build EXL’s data management and cloud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rPr>
              <w:t>   Created signifcant foundatonal capabilites in data management</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w w:val="99"/>
              </w:rPr>
              <w:t>enablement capabilites, and build our data</w:t>
            </w: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and cloud enablement areas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assets</w:t>
            </w:r>
          </w:p>
        </w:tc>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3"/>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Ankor Rai</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digital implementaton</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rPr>
              <w:t>   Executed successful digital implementatons across business units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 Execute on EXL’s digital strategy</w:t>
            </w:r>
          </w:p>
        </w:tc>
        <w:tc>
          <w:tcPr>
            <w:tcW w:w="580" w:type="dxa"/>
            <w:vAlign w:val="bottom"/>
          </w:tcPr>
          <w:p>
            <w:pPr>
              <w:spacing w:after="0"/>
              <w:rPr>
                <w:sz w:val="16"/>
                <w:szCs w:val="16"/>
                <w:color w:val="auto"/>
              </w:rPr>
            </w:pPr>
          </w:p>
        </w:tc>
        <w:tc>
          <w:tcPr>
            <w:tcW w:w="3620" w:type="dxa"/>
            <w:vAlign w:val="bottom"/>
          </w:tcPr>
          <w:p>
            <w:pPr>
              <w:ind w:left="140"/>
              <w:spacing w:after="0" w:line="185" w:lineRule="exact"/>
              <w:rPr>
                <w:sz w:val="20"/>
                <w:szCs w:val="20"/>
                <w:color w:val="auto"/>
              </w:rPr>
            </w:pPr>
            <w:r>
              <w:rPr>
                <w:rFonts w:ascii="Calibri" w:cs="Calibri" w:eastAsia="Calibri" w:hAnsi="Calibri"/>
                <w:sz w:val="16"/>
                <w:szCs w:val="16"/>
                <w:color w:val="auto"/>
              </w:rPr>
              <w:t>and clients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3"/>
          </w:tcPr>
          <w:p>
            <w:pPr>
              <w:ind w:left="60"/>
              <w:spacing w:after="0"/>
              <w:rPr>
                <w:sz w:val="20"/>
                <w:szCs w:val="20"/>
                <w:color w:val="auto"/>
              </w:rPr>
            </w:pPr>
            <w:r>
              <w:rPr>
                <w:rFonts w:ascii="Calibri" w:cs="Calibri" w:eastAsia="Calibri" w:hAnsi="Calibri"/>
                <w:sz w:val="16"/>
                <w:szCs w:val="16"/>
                <w:color w:val="auto"/>
                <w:w w:val="98"/>
              </w:rPr>
              <w:t>   Developed and amplifed EXL’s data led approach to digital strategy</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Calibri" w:cs="Calibri" w:eastAsia="Calibri" w:hAnsi="Calibri"/>
                <w:sz w:val="16"/>
                <w:szCs w:val="16"/>
                <w:color w:val="auto"/>
              </w:rPr>
              <w:t>both internally and externally</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32"/>
        </w:trPr>
        <w:tc>
          <w:tcPr>
            <w:tcW w:w="2040" w:type="dxa"/>
            <w:vAlign w:val="bottom"/>
            <w:tcBorders>
              <w:bottom w:val="single" w:sz="8" w:color="FB4E0B"/>
              <w:right w:val="single" w:sz="8" w:color="auto"/>
            </w:tcBorders>
          </w:tcPr>
          <w:p>
            <w:pPr>
              <w:spacing w:after="0"/>
              <w:rPr>
                <w:sz w:val="24"/>
                <w:szCs w:val="24"/>
                <w:color w:val="auto"/>
              </w:rPr>
            </w:pPr>
          </w:p>
        </w:tc>
        <w:tc>
          <w:tcPr>
            <w:tcW w:w="560" w:type="dxa"/>
            <w:vAlign w:val="bottom"/>
            <w:tcBorders>
              <w:bottom w:val="single" w:sz="8" w:color="FB4E0B"/>
            </w:tcBorders>
          </w:tcPr>
          <w:p>
            <w:pPr>
              <w:spacing w:after="0"/>
              <w:rPr>
                <w:sz w:val="24"/>
                <w:szCs w:val="24"/>
                <w:color w:val="auto"/>
              </w:rPr>
            </w:pPr>
          </w:p>
        </w:tc>
        <w:tc>
          <w:tcPr>
            <w:tcW w:w="2940" w:type="dxa"/>
            <w:vAlign w:val="bottom"/>
            <w:tcBorders>
              <w:bottom w:val="single" w:sz="8" w:color="FB4E0B"/>
              <w:right w:val="single" w:sz="8" w:color="auto"/>
            </w:tcBorders>
          </w:tcPr>
          <w:p>
            <w:pPr>
              <w:spacing w:after="0"/>
              <w:rPr>
                <w:sz w:val="24"/>
                <w:szCs w:val="24"/>
                <w:color w:val="auto"/>
              </w:rPr>
            </w:pPr>
          </w:p>
        </w:tc>
        <w:tc>
          <w:tcPr>
            <w:tcW w:w="580" w:type="dxa"/>
            <w:vAlign w:val="bottom"/>
            <w:tcBorders>
              <w:bottom w:val="single" w:sz="8" w:color="FB4E0B"/>
            </w:tcBorders>
          </w:tcPr>
          <w:p>
            <w:pPr>
              <w:spacing w:after="0"/>
              <w:rPr>
                <w:sz w:val="24"/>
                <w:szCs w:val="24"/>
                <w:color w:val="auto"/>
              </w:rPr>
            </w:pPr>
          </w:p>
        </w:tc>
        <w:tc>
          <w:tcPr>
            <w:tcW w:w="3620" w:type="dxa"/>
            <w:vAlign w:val="bottom"/>
            <w:tcBorders>
              <w:bottom w:val="single" w:sz="8" w:color="FB4E0B"/>
            </w:tcBorders>
          </w:tcPr>
          <w:p>
            <w:pPr>
              <w:spacing w:after="0"/>
              <w:rPr>
                <w:sz w:val="24"/>
                <w:szCs w:val="24"/>
                <w:color w:val="auto"/>
              </w:rPr>
            </w:pPr>
          </w:p>
        </w:tc>
        <w:tc>
          <w:tcPr>
            <w:tcW w:w="440" w:type="dxa"/>
            <w:vAlign w:val="bottom"/>
            <w:tcBorders>
              <w:bottom w:val="single" w:sz="8" w:color="FB4E0B"/>
            </w:tcBorders>
          </w:tcPr>
          <w:p>
            <w:pPr>
              <w:spacing w:after="0"/>
              <w:rPr>
                <w:sz w:val="24"/>
                <w:szCs w:val="24"/>
                <w:color w:val="auto"/>
              </w:rPr>
            </w:pPr>
          </w:p>
        </w:tc>
        <w:tc>
          <w:tcPr>
            <w:tcW w:w="440" w:type="dxa"/>
            <w:vAlign w:val="bottom"/>
            <w:tcBorders>
              <w:bottom w:val="single" w:sz="8" w:color="FB4E0B"/>
            </w:tcBorders>
          </w:tcPr>
          <w:p>
            <w:pPr>
              <w:spacing w:after="0"/>
              <w:rPr>
                <w:sz w:val="24"/>
                <w:szCs w:val="24"/>
                <w:color w:val="auto"/>
              </w:rPr>
            </w:pPr>
          </w:p>
        </w:tc>
      </w:tr>
      <w:tr>
        <w:trPr>
          <w:trHeight w:val="601"/>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ind w:left="1720"/>
              <w:spacing w:after="0"/>
              <w:rPr>
                <w:sz w:val="20"/>
                <w:szCs w:val="20"/>
                <w:color w:val="auto"/>
              </w:rPr>
            </w:pPr>
            <w:r>
              <w:rPr>
                <w:rFonts w:ascii="Calibri" w:cs="Calibri" w:eastAsia="Calibri" w:hAnsi="Calibri"/>
                <w:sz w:val="13"/>
                <w:szCs w:val="13"/>
                <w:color w:val="auto"/>
              </w:rPr>
              <w:t>EXL 2023 Proxy Statement</w:t>
            </w:r>
          </w:p>
        </w:tc>
        <w:tc>
          <w:tcPr>
            <w:tcW w:w="440" w:type="dxa"/>
            <w:vAlign w:val="bottom"/>
          </w:tcPr>
          <w:p>
            <w:pPr>
              <w:jc w:val="right"/>
              <w:ind w:right="61"/>
              <w:spacing w:after="0"/>
              <w:rPr>
                <w:sz w:val="20"/>
                <w:szCs w:val="20"/>
                <w:color w:val="auto"/>
              </w:rPr>
            </w:pPr>
            <w:r>
              <w:rPr>
                <w:rFonts w:ascii="Calibri" w:cs="Calibri" w:eastAsia="Calibri" w:hAnsi="Calibri"/>
                <w:sz w:val="28"/>
                <w:szCs w:val="28"/>
                <w:b w:val="1"/>
                <w:bCs w:val="1"/>
                <w:color w:val="FB4E0B"/>
              </w:rPr>
              <w:t>/</w:t>
            </w:r>
          </w:p>
        </w:tc>
        <w:tc>
          <w:tcPr>
            <w:tcW w:w="440" w:type="dxa"/>
            <w:vAlign w:val="bottom"/>
          </w:tcPr>
          <w:p>
            <w:pPr>
              <w:jc w:val="right"/>
              <w:ind w:right="113"/>
              <w:spacing w:after="0"/>
              <w:rPr>
                <w:sz w:val="20"/>
                <w:szCs w:val="20"/>
                <w:color w:val="auto"/>
              </w:rPr>
            </w:pPr>
            <w:r>
              <w:rPr>
                <w:rFonts w:ascii="Calibri" w:cs="Calibri" w:eastAsia="Calibri" w:hAnsi="Calibri"/>
                <w:sz w:val="17"/>
                <w:szCs w:val="17"/>
                <w:b w:val="1"/>
                <w:bCs w:val="1"/>
                <w:color w:val="auto"/>
              </w:rPr>
              <w:t>79</w:t>
            </w:r>
          </w:p>
        </w:tc>
      </w:tr>
    </w:tbl>
    <w:p>
      <w:pPr>
        <w:sectPr>
          <w:pgSz w:w="11900" w:h="16838" w:orient="portrait"/>
          <w:cols w:equalWidth="0" w:num="1">
            <w:col w:w="10940"/>
          </w:cols>
          <w:pgMar w:left="320" w:top="471"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table below sets out the 2022 annual incentve awards paid to our named executve ofcers (paid in March 2023):</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Calibri" w:cs="Calibri" w:eastAsia="Calibri" w:hAnsi="Calibri"/>
                <w:sz w:val="17"/>
                <w:szCs w:val="17"/>
                <w:b w:val="1"/>
                <w:bCs w:val="1"/>
                <w:color w:val="FB4E0B"/>
              </w:rPr>
              <w:t>2022 Actual annual</w:t>
            </w:r>
          </w:p>
        </w:tc>
      </w:tr>
      <w:tr>
        <w:trPr>
          <w:trHeight w:val="208"/>
        </w:trPr>
        <w:tc>
          <w:tcPr>
            <w:tcW w:w="7440" w:type="dxa"/>
            <w:vAlign w:val="bottom"/>
          </w:tcPr>
          <w:p>
            <w:pPr>
              <w:ind w:left="80"/>
              <w:spacing w:after="0"/>
              <w:rPr>
                <w:sz w:val="20"/>
                <w:szCs w:val="20"/>
                <w:color w:val="auto"/>
              </w:rPr>
            </w:pPr>
            <w:r>
              <w:rPr>
                <w:rFonts w:ascii="Calibri" w:cs="Calibri" w:eastAsia="Calibri" w:hAnsi="Calibri"/>
                <w:sz w:val="17"/>
                <w:szCs w:val="17"/>
                <w:b w:val="1"/>
                <w:bCs w:val="1"/>
                <w:color w:val="FB4E0B"/>
              </w:rPr>
              <w:t>Name</w:t>
            </w:r>
          </w:p>
        </w:tc>
        <w:tc>
          <w:tcPr>
            <w:tcW w:w="3200" w:type="dxa"/>
            <w:vAlign w:val="bottom"/>
          </w:tcPr>
          <w:p>
            <w:pPr>
              <w:ind w:left="80"/>
              <w:spacing w:after="0"/>
              <w:rPr>
                <w:sz w:val="20"/>
                <w:szCs w:val="20"/>
                <w:color w:val="auto"/>
              </w:rPr>
            </w:pPr>
            <w:r>
              <w:rPr>
                <w:rFonts w:ascii="Calibri" w:cs="Calibri" w:eastAsia="Calibri" w:hAnsi="Calibri"/>
                <w:sz w:val="17"/>
                <w:szCs w:val="17"/>
                <w:b w:val="1"/>
                <w:bCs w:val="1"/>
                <w:color w:val="FB4E0B"/>
              </w:rPr>
              <w:t>incentve awarded ($)</w:t>
            </w:r>
            <w:r>
              <w:rPr>
                <w:rFonts w:ascii="Calibri" w:cs="Calibri" w:eastAsia="Calibri" w:hAnsi="Calibri"/>
                <w:sz w:val="13"/>
                <w:szCs w:val="13"/>
                <w:b w:val="1"/>
                <w:bCs w:val="1"/>
                <w:color w:val="FB4E0B"/>
              </w:rPr>
              <w:t>(1)</w:t>
            </w:r>
          </w:p>
        </w:tc>
      </w:tr>
      <w:tr>
        <w:trPr>
          <w:trHeight w:val="133"/>
        </w:trPr>
        <w:tc>
          <w:tcPr>
            <w:tcW w:w="7440" w:type="dxa"/>
            <w:vAlign w:val="bottom"/>
            <w:tcBorders>
              <w:bottom w:val="single" w:sz="8" w:color="FB4E0B"/>
            </w:tcBorders>
          </w:tcPr>
          <w:p>
            <w:pPr>
              <w:spacing w:after="0"/>
              <w:rPr>
                <w:sz w:val="11"/>
                <w:szCs w:val="11"/>
                <w:color w:val="auto"/>
              </w:rPr>
            </w:pPr>
          </w:p>
        </w:tc>
        <w:tc>
          <w:tcPr>
            <w:tcW w:w="3200" w:type="dxa"/>
            <w:vAlign w:val="bottom"/>
            <w:tcBorders>
              <w:bottom w:val="single" w:sz="8" w:color="FB4E0B"/>
            </w:tcBorders>
          </w:tcPr>
          <w:p>
            <w:pPr>
              <w:spacing w:after="0"/>
              <w:rPr>
                <w:sz w:val="11"/>
                <w:szCs w:val="11"/>
                <w:color w:val="auto"/>
              </w:rPr>
            </w:pPr>
          </w:p>
        </w:tc>
      </w:tr>
      <w:tr>
        <w:trPr>
          <w:trHeight w:val="302"/>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Rohit Kapoor</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1,829,887</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Maurizio Nicolelli</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554,929</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357,340</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Vivek Jetley</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525,488</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Ankor Rai</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481,822</w:t>
            </w:r>
          </w:p>
        </w:tc>
      </w:tr>
      <w:tr>
        <w:trPr>
          <w:trHeight w:val="133"/>
        </w:trPr>
        <w:tc>
          <w:tcPr>
            <w:tcW w:w="7440" w:type="dxa"/>
            <w:vAlign w:val="bottom"/>
            <w:tcBorders>
              <w:bottom w:val="single" w:sz="8" w:color="FB4E0B"/>
              <w:right w:val="single" w:sz="8" w:color="auto"/>
            </w:tcBorders>
          </w:tcPr>
          <w:p>
            <w:pPr>
              <w:spacing w:after="0"/>
              <w:rPr>
                <w:sz w:val="11"/>
                <w:szCs w:val="11"/>
                <w:color w:val="auto"/>
              </w:rPr>
            </w:pPr>
          </w:p>
        </w:tc>
        <w:tc>
          <w:tcPr>
            <w:tcW w:w="3200" w:type="dxa"/>
            <w:vAlign w:val="bottom"/>
            <w:tcBorders>
              <w:bottom w:val="single" w:sz="8" w:color="FB4E0B"/>
              <w:right w:val="single" w:sz="8" w:color="auto"/>
            </w:tcBorders>
          </w:tcPr>
          <w:p>
            <w:pPr>
              <w:spacing w:after="0"/>
              <w:rPr>
                <w:sz w:val="11"/>
                <w:szCs w:val="11"/>
                <w:color w:val="auto"/>
              </w:rPr>
            </w:pPr>
          </w:p>
        </w:tc>
      </w:tr>
    </w:tbl>
    <w:p>
      <w:pPr>
        <w:spacing w:after="0" w:line="42" w:lineRule="exact"/>
        <w:rPr>
          <w:sz w:val="20"/>
          <w:szCs w:val="20"/>
          <w:color w:val="auto"/>
        </w:rPr>
      </w:pPr>
    </w:p>
    <w:p>
      <w:pPr>
        <w:ind w:left="1140" w:hanging="407"/>
        <w:spacing w:after="0"/>
        <w:tabs>
          <w:tab w:leader="none" w:pos="1140" w:val="left"/>
        </w:tabs>
        <w:numPr>
          <w:ilvl w:val="0"/>
          <w:numId w:val="22"/>
        </w:numPr>
        <w:rPr>
          <w:rFonts w:ascii="Calibri" w:cs="Calibri" w:eastAsia="Calibri" w:hAnsi="Calibri"/>
          <w:sz w:val="13"/>
          <w:szCs w:val="13"/>
          <w:color w:val="auto"/>
        </w:rPr>
      </w:pPr>
      <w:r>
        <w:rPr>
          <w:rFonts w:ascii="Calibri" w:cs="Calibri" w:eastAsia="Calibri" w:hAnsi="Calibri"/>
          <w:sz w:val="13"/>
          <w:szCs w:val="13"/>
          <w:color w:val="auto"/>
        </w:rPr>
        <w:t>The exchange rate used for the conversion from Indian rupees to U.S. dollars for Mr. Bhalla was 82.72 INR to 1 USD, which was the exchange rate on December 30, 2022.</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Long-term equity incentves</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The Compensaton and Talent Management Commitee believes long-term equity awards provide employees with the incentve to stay with us for longer periods of tme, which in turn provides greater stability as we grow. These incentves foster the long-term perspectve necessary for contnued success in our business because the value of the awards is directly linked to long-term performance of our stock price, and they ensure that our executve ofcers are properly focused on stockholder value.</w:t>
      </w:r>
    </w:p>
    <w:p>
      <w:pPr>
        <w:spacing w:after="0" w:line="211" w:lineRule="exact"/>
        <w:rPr>
          <w:sz w:val="20"/>
          <w:szCs w:val="20"/>
          <w:color w:val="auto"/>
        </w:rPr>
      </w:pPr>
    </w:p>
    <w:p>
      <w:pPr>
        <w:ind w:left="320" w:right="400"/>
        <w:spacing w:after="0"/>
        <w:rPr>
          <w:sz w:val="20"/>
          <w:szCs w:val="20"/>
          <w:color w:val="auto"/>
        </w:rPr>
      </w:pPr>
      <w:r>
        <w:rPr>
          <w:rFonts w:ascii="Calibri" w:cs="Calibri" w:eastAsia="Calibri" w:hAnsi="Calibri"/>
          <w:sz w:val="17"/>
          <w:szCs w:val="17"/>
          <w:color w:val="auto"/>
        </w:rPr>
        <w:t>Moreover, the Compensaton and Talent Management Commitee favors restricted stock unit awards because these awards ofer executves the opportunity to receive shares of our common stock on or shortly following the date that the restrictons lapse. Such awards serve both to reward and retain executves because value is linked to the price of our stock on the date that the restricton lapses, and the executve must generally remain employed by the Company through the date that the restrictons lapse. For these reasons, restricted stock unit awards provide a signifcant degree of alignment between the interests of our executves and stockholders.</w:t>
      </w:r>
    </w:p>
    <w:p>
      <w:pPr>
        <w:spacing w:after="0" w:line="211" w:lineRule="exact"/>
        <w:rPr>
          <w:sz w:val="20"/>
          <w:szCs w:val="20"/>
          <w:color w:val="auto"/>
        </w:rPr>
      </w:pPr>
    </w:p>
    <w:p>
      <w:pPr>
        <w:jc w:val="both"/>
        <w:ind w:left="320" w:right="180"/>
        <w:spacing w:after="0" w:line="239" w:lineRule="auto"/>
        <w:rPr>
          <w:sz w:val="20"/>
          <w:szCs w:val="20"/>
          <w:color w:val="auto"/>
        </w:rPr>
      </w:pPr>
      <w:r>
        <w:rPr>
          <w:rFonts w:ascii="Calibri" w:cs="Calibri" w:eastAsia="Calibri" w:hAnsi="Calibri"/>
          <w:sz w:val="17"/>
          <w:szCs w:val="17"/>
          <w:color w:val="auto"/>
        </w:rPr>
        <w:t>The Compensaton and Talent Management Commitee also believes that the mix between Time-Vested RSUs and Performance-Vested RSUs provides an appropriate balance between incentvizing our executves to contnue their employment with the Company and ensuring they are focused on generatng long-term fnancial performance and sustained stockholder value, which, in turn, results in additonal compensaton.</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80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Fiscal year 2022 awards</w:t>
      </w:r>
    </w:p>
    <w:p>
      <w:pPr>
        <w:spacing w:after="0" w:line="106"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Under our equity compensaton program, our executve ofcers received restricted stock units under the 2018 Omnibus Incentve Plan approved by the Company’s stockholders at the annual meetng of stockholders held in June 2018 (the “2018 Plan”). We awarded restricted stock units to nearly all of our named executve ofcers in the proportons shown below. In 2021, in response to the COVID-19 pandemic, we temporarily revised our long-term equity incentve program for 2021 only to remove the revenue performance metric. Therefore, in 2022, we reinstated the revenue performance metric and returned to our pre-2021 practce of awarding performance-based restricted stock units with a porton subject to revenue-based performance metrics and a separate porton subject to TSR-based performance metrics. In additon, we adjusted the overall weightng of our restricted stock units to change the total percentage of PRSUs from 50% to 60% to further increase the percentage of incentve compensaton ted to performance.</w:t>
      </w:r>
    </w:p>
    <w:p>
      <w:pPr>
        <w:spacing w:after="0" w:line="200" w:lineRule="exact"/>
        <w:rPr>
          <w:sz w:val="20"/>
          <w:szCs w:val="20"/>
          <w:color w:val="auto"/>
        </w:rPr>
      </w:pPr>
    </w:p>
    <w:p>
      <w:pPr>
        <w:spacing w:after="0" w:line="390" w:lineRule="exact"/>
        <w:rPr>
          <w:sz w:val="20"/>
          <w:szCs w:val="20"/>
          <w:color w:val="auto"/>
        </w:rPr>
      </w:pPr>
    </w:p>
    <w:tbl>
      <w:tblPr>
        <w:tblLayout w:type="fixed"/>
        <w:tblInd w:w="1500" w:type="dxa"/>
        <w:tblCellMar>
          <w:top w:w="0" w:type="dxa"/>
          <w:left w:w="0" w:type="dxa"/>
          <w:bottom w:w="0" w:type="dxa"/>
          <w:right w:w="0" w:type="dxa"/>
        </w:tblCellMar>
      </w:tblPr>
      <w:tr>
        <w:trPr>
          <w:trHeight w:val="549"/>
        </w:trPr>
        <w:tc>
          <w:tcPr>
            <w:tcW w:w="1260" w:type="dxa"/>
            <w:vAlign w:val="bottom"/>
          </w:tcPr>
          <w:p>
            <w:pPr>
              <w:jc w:val="center"/>
              <w:ind w:right="313"/>
              <w:spacing w:after="0"/>
              <w:rPr>
                <w:sz w:val="20"/>
                <w:szCs w:val="20"/>
                <w:color w:val="auto"/>
              </w:rPr>
            </w:pPr>
            <w:r>
              <w:rPr>
                <w:rFonts w:ascii="Calibri" w:cs="Calibri" w:eastAsia="Calibri" w:hAnsi="Calibri"/>
                <w:sz w:val="45"/>
                <w:szCs w:val="45"/>
                <w:b w:val="1"/>
                <w:bCs w:val="1"/>
                <w:color w:val="FB4E0B"/>
                <w:w w:val="99"/>
              </w:rPr>
              <w:t>40%</w:t>
            </w:r>
          </w:p>
        </w:tc>
        <w:tc>
          <w:tcPr>
            <w:tcW w:w="1020" w:type="dxa"/>
            <w:vAlign w:val="bottom"/>
          </w:tcPr>
          <w:p>
            <w:pPr>
              <w:jc w:val="right"/>
              <w:ind w:right="95"/>
              <w:spacing w:after="0"/>
              <w:rPr>
                <w:sz w:val="20"/>
                <w:szCs w:val="20"/>
                <w:color w:val="auto"/>
              </w:rPr>
            </w:pPr>
            <w:r>
              <w:rPr>
                <w:rFonts w:ascii="Calibri" w:cs="Calibri" w:eastAsia="Calibri" w:hAnsi="Calibri"/>
                <w:sz w:val="45"/>
                <w:szCs w:val="45"/>
                <w:b w:val="1"/>
                <w:bCs w:val="1"/>
                <w:color w:val="FB4E0B"/>
              </w:rPr>
              <w:t>+</w:t>
            </w:r>
          </w:p>
        </w:tc>
        <w:tc>
          <w:tcPr>
            <w:tcW w:w="2660" w:type="dxa"/>
            <w:vAlign w:val="bottom"/>
          </w:tcPr>
          <w:p>
            <w:pPr>
              <w:jc w:val="right"/>
              <w:ind w:right="253"/>
              <w:spacing w:after="0"/>
              <w:rPr>
                <w:sz w:val="20"/>
                <w:szCs w:val="20"/>
                <w:color w:val="auto"/>
              </w:rPr>
            </w:pPr>
            <w:r>
              <w:rPr>
                <w:rFonts w:ascii="Calibri" w:cs="Calibri" w:eastAsia="Calibri" w:hAnsi="Calibri"/>
                <w:sz w:val="45"/>
                <w:szCs w:val="45"/>
                <w:b w:val="1"/>
                <w:bCs w:val="1"/>
                <w:color w:val="FB4E0B"/>
              </w:rPr>
              <w:t>36%   +</w:t>
            </w:r>
          </w:p>
        </w:tc>
        <w:tc>
          <w:tcPr>
            <w:tcW w:w="168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24%</w:t>
            </w:r>
          </w:p>
        </w:tc>
        <w:tc>
          <w:tcPr>
            <w:tcW w:w="2080" w:type="dxa"/>
            <w:vAlign w:val="bottom"/>
          </w:tcPr>
          <w:p>
            <w:pPr>
              <w:ind w:left="320"/>
              <w:spacing w:after="0"/>
              <w:rPr>
                <w:sz w:val="20"/>
                <w:szCs w:val="20"/>
                <w:color w:val="auto"/>
              </w:rPr>
            </w:pPr>
            <w:r>
              <w:rPr>
                <w:rFonts w:ascii="Calibri" w:cs="Calibri" w:eastAsia="Calibri" w:hAnsi="Calibri"/>
                <w:sz w:val="45"/>
                <w:szCs w:val="45"/>
                <w:b w:val="1"/>
                <w:bCs w:val="1"/>
                <w:color w:val="FB4E0B"/>
              </w:rPr>
              <w:t xml:space="preserve">=   </w:t>
            </w:r>
            <w:r>
              <w:rPr>
                <w:rFonts w:ascii="Calibri" w:cs="Calibri" w:eastAsia="Calibri" w:hAnsi="Calibri"/>
                <w:sz w:val="45"/>
                <w:szCs w:val="45"/>
                <w:b w:val="1"/>
                <w:bCs w:val="1"/>
                <w:color w:val="000000"/>
              </w:rPr>
              <w:t>Total</w:t>
            </w:r>
          </w:p>
        </w:tc>
      </w:tr>
      <w:tr>
        <w:trPr>
          <w:trHeight w:val="277"/>
        </w:trPr>
        <w:tc>
          <w:tcPr>
            <w:tcW w:w="1260" w:type="dxa"/>
            <w:vAlign w:val="bottom"/>
          </w:tcPr>
          <w:p>
            <w:pPr>
              <w:jc w:val="center"/>
              <w:ind w:right="333"/>
              <w:spacing w:after="0"/>
              <w:rPr>
                <w:sz w:val="20"/>
                <w:szCs w:val="20"/>
                <w:color w:val="auto"/>
              </w:rPr>
            </w:pPr>
            <w:r>
              <w:rPr>
                <w:rFonts w:ascii="Calibri" w:cs="Calibri" w:eastAsia="Calibri" w:hAnsi="Calibri"/>
                <w:sz w:val="16"/>
                <w:szCs w:val="16"/>
                <w:b w:val="1"/>
                <w:bCs w:val="1"/>
                <w:color w:val="auto"/>
                <w:w w:val="97"/>
              </w:rPr>
              <w:t>Time-vested</w:t>
            </w:r>
          </w:p>
        </w:tc>
        <w:tc>
          <w:tcPr>
            <w:tcW w:w="1020" w:type="dxa"/>
            <w:vAlign w:val="bottom"/>
          </w:tcPr>
          <w:p>
            <w:pPr>
              <w:spacing w:after="0"/>
              <w:rPr>
                <w:sz w:val="24"/>
                <w:szCs w:val="24"/>
                <w:color w:val="auto"/>
              </w:rPr>
            </w:pPr>
          </w:p>
        </w:tc>
        <w:tc>
          <w:tcPr>
            <w:tcW w:w="2660" w:type="dxa"/>
            <w:vAlign w:val="bottom"/>
          </w:tcPr>
          <w:p>
            <w:pPr>
              <w:jc w:val="center"/>
              <w:ind w:right="653"/>
              <w:spacing w:after="0"/>
              <w:rPr>
                <w:sz w:val="20"/>
                <w:szCs w:val="20"/>
                <w:color w:val="auto"/>
              </w:rPr>
            </w:pPr>
            <w:r>
              <w:rPr>
                <w:rFonts w:ascii="Calibri" w:cs="Calibri" w:eastAsia="Calibri" w:hAnsi="Calibri"/>
                <w:sz w:val="16"/>
                <w:szCs w:val="16"/>
                <w:b w:val="1"/>
                <w:bCs w:val="1"/>
                <w:color w:val="auto"/>
              </w:rPr>
              <w:t>Relatve TSR-linked</w:t>
            </w:r>
          </w:p>
        </w:tc>
        <w:tc>
          <w:tcPr>
            <w:tcW w:w="168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Revenue-linked</w:t>
            </w:r>
          </w:p>
        </w:tc>
        <w:tc>
          <w:tcPr>
            <w:tcW w:w="2080" w:type="dxa"/>
            <w:vAlign w:val="bottom"/>
          </w:tcPr>
          <w:p>
            <w:pPr>
              <w:jc w:val="center"/>
              <w:ind w:left="1013"/>
              <w:spacing w:after="0"/>
              <w:rPr>
                <w:sz w:val="20"/>
                <w:szCs w:val="20"/>
                <w:color w:val="auto"/>
              </w:rPr>
            </w:pPr>
            <w:r>
              <w:rPr>
                <w:rFonts w:ascii="Calibri" w:cs="Calibri" w:eastAsia="Calibri" w:hAnsi="Calibri"/>
                <w:sz w:val="16"/>
                <w:szCs w:val="16"/>
                <w:b w:val="1"/>
                <w:bCs w:val="1"/>
                <w:color w:val="auto"/>
                <w:w w:val="94"/>
              </w:rPr>
              <w:t>LTI</w:t>
            </w:r>
          </w:p>
        </w:tc>
      </w:tr>
      <w:tr>
        <w:trPr>
          <w:trHeight w:val="195"/>
        </w:trPr>
        <w:tc>
          <w:tcPr>
            <w:tcW w:w="1260" w:type="dxa"/>
            <w:vAlign w:val="bottom"/>
          </w:tcPr>
          <w:p>
            <w:pPr>
              <w:jc w:val="center"/>
              <w:ind w:right="333"/>
              <w:spacing w:after="0"/>
              <w:rPr>
                <w:sz w:val="20"/>
                <w:szCs w:val="20"/>
                <w:color w:val="auto"/>
              </w:rPr>
            </w:pPr>
            <w:r>
              <w:rPr>
                <w:rFonts w:ascii="Calibri" w:cs="Calibri" w:eastAsia="Calibri" w:hAnsi="Calibri"/>
                <w:sz w:val="16"/>
                <w:szCs w:val="16"/>
                <w:b w:val="1"/>
                <w:bCs w:val="1"/>
                <w:color w:val="auto"/>
                <w:w w:val="95"/>
              </w:rPr>
              <w:t>RSUs</w:t>
            </w:r>
          </w:p>
        </w:tc>
        <w:tc>
          <w:tcPr>
            <w:tcW w:w="1020" w:type="dxa"/>
            <w:vAlign w:val="bottom"/>
          </w:tcPr>
          <w:p>
            <w:pPr>
              <w:spacing w:after="0"/>
              <w:rPr>
                <w:sz w:val="16"/>
                <w:szCs w:val="16"/>
                <w:color w:val="auto"/>
              </w:rPr>
            </w:pPr>
          </w:p>
        </w:tc>
        <w:tc>
          <w:tcPr>
            <w:tcW w:w="2660" w:type="dxa"/>
            <w:vAlign w:val="bottom"/>
          </w:tcPr>
          <w:p>
            <w:pPr>
              <w:jc w:val="center"/>
              <w:ind w:right="673"/>
              <w:spacing w:after="0"/>
              <w:rPr>
                <w:sz w:val="20"/>
                <w:szCs w:val="20"/>
                <w:color w:val="auto"/>
              </w:rPr>
            </w:pPr>
            <w:r>
              <w:rPr>
                <w:rFonts w:ascii="Calibri" w:cs="Calibri" w:eastAsia="Calibri" w:hAnsi="Calibri"/>
                <w:sz w:val="16"/>
                <w:szCs w:val="16"/>
                <w:b w:val="1"/>
                <w:bCs w:val="1"/>
                <w:color w:val="auto"/>
              </w:rPr>
              <w:t>PRSUs</w:t>
            </w:r>
          </w:p>
        </w:tc>
        <w:tc>
          <w:tcPr>
            <w:tcW w:w="168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2080" w:type="dxa"/>
            <w:vAlign w:val="bottom"/>
          </w:tcPr>
          <w:p>
            <w:pPr>
              <w:jc w:val="center"/>
              <w:ind w:left="1033"/>
              <w:spacing w:after="0"/>
              <w:rPr>
                <w:sz w:val="20"/>
                <w:szCs w:val="20"/>
                <w:color w:val="auto"/>
              </w:rPr>
            </w:pPr>
            <w:r>
              <w:rPr>
                <w:rFonts w:ascii="Calibri" w:cs="Calibri" w:eastAsia="Calibri" w:hAnsi="Calibri"/>
                <w:sz w:val="16"/>
                <w:szCs w:val="16"/>
                <w:b w:val="1"/>
                <w:bCs w:val="1"/>
                <w:color w:val="auto"/>
                <w:w w:val="95"/>
              </w:rPr>
              <w:t>award</w:t>
            </w:r>
          </w:p>
        </w:tc>
      </w:tr>
    </w:tbl>
    <w:p>
      <w:pPr>
        <w:spacing w:after="0" w:line="22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Compensaton and Talent Management Commitee selected revenue as one performance measure because it is a key driver of stockholder value, thus aligning stockholder and executve interests. Our Compensaton and Talent Management Commitee selected relatve TSR because it incorporates a comparatve component that requires our stock to outperform our industry classifcaton peers for awards to vest. In additon, both the revenue and relatve TSR performance measures encourage a focus on our strategic goals of long-term fnancial performance and market share growth.</w:t>
      </w:r>
    </w:p>
    <w:p>
      <w:pPr>
        <w:spacing w:after="0" w:line="211"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table below shows the amount of Time-Vested and Performance-Vested RSUs our Compensaton and Talent Management Commitee awarded our named executve ofcers in 2022. In general, the Compensaton and Talent Management Commitee believes that the size of the award granted to an executve ofcer should increase based on the executve ofcer’s level of responsibility within the Company.</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20" w:type="dxa"/>
            <w:vAlign w:val="bottom"/>
            <w:gridSpan w:val="2"/>
          </w:tcPr>
          <w:p>
            <w:pPr>
              <w:jc w:val="right"/>
              <w:ind w:right="205"/>
              <w:spacing w:after="0"/>
              <w:rPr>
                <w:sz w:val="20"/>
                <w:szCs w:val="20"/>
                <w:color w:val="auto"/>
              </w:rPr>
            </w:pPr>
            <w:r>
              <w:rPr>
                <w:rFonts w:ascii="Calibri" w:cs="Calibri" w:eastAsia="Calibri" w:hAnsi="Calibri"/>
                <w:sz w:val="17"/>
                <w:szCs w:val="17"/>
                <w:b w:val="1"/>
                <w:bCs w:val="1"/>
                <w:color w:val="FB4E0B"/>
              </w:rPr>
              <w:t>Revenue-</w:t>
            </w:r>
          </w:p>
        </w:tc>
        <w:tc>
          <w:tcPr>
            <w:tcW w:w="500" w:type="dxa"/>
            <w:vAlign w:val="bottom"/>
          </w:tcPr>
          <w:p>
            <w:pPr>
              <w:spacing w:after="0"/>
              <w:rPr>
                <w:sz w:val="18"/>
                <w:szCs w:val="18"/>
                <w:color w:val="auto"/>
              </w:rPr>
            </w:pPr>
          </w:p>
        </w:tc>
      </w:tr>
      <w:tr>
        <w:trPr>
          <w:trHeight w:val="208"/>
        </w:trPr>
        <w:tc>
          <w:tcPr>
            <w:tcW w:w="2280" w:type="dxa"/>
            <w:vAlign w:val="bottom"/>
          </w:tcPr>
          <w:p>
            <w:pPr>
              <w:ind w:left="80"/>
              <w:spacing w:after="0"/>
              <w:rPr>
                <w:sz w:val="20"/>
                <w:szCs w:val="20"/>
                <w:color w:val="auto"/>
              </w:rPr>
            </w:pPr>
            <w:r>
              <w:rPr>
                <w:rFonts w:ascii="Calibri" w:cs="Calibri" w:eastAsia="Calibri" w:hAnsi="Calibri"/>
                <w:sz w:val="17"/>
                <w:szCs w:val="17"/>
                <w:b w:val="1"/>
                <w:bCs w:val="1"/>
                <w:color w:val="FB4E0B"/>
              </w:rPr>
              <w:t>Name</w:t>
            </w:r>
          </w:p>
        </w:tc>
        <w:tc>
          <w:tcPr>
            <w:tcW w:w="2980" w:type="dxa"/>
            <w:vAlign w:val="bottom"/>
          </w:tcPr>
          <w:p>
            <w:pPr>
              <w:jc w:val="right"/>
              <w:ind w:right="533"/>
              <w:spacing w:after="0"/>
              <w:rPr>
                <w:sz w:val="20"/>
                <w:szCs w:val="20"/>
                <w:color w:val="auto"/>
              </w:rPr>
            </w:pPr>
            <w:r>
              <w:rPr>
                <w:rFonts w:ascii="Calibri" w:cs="Calibri" w:eastAsia="Calibri" w:hAnsi="Calibri"/>
                <w:sz w:val="17"/>
                <w:szCs w:val="17"/>
                <w:b w:val="1"/>
                <w:bCs w:val="1"/>
                <w:color w:val="FB4E0B"/>
              </w:rPr>
              <w:t>Annual Time-Vested RSUs</w:t>
            </w:r>
          </w:p>
        </w:tc>
        <w:tc>
          <w:tcPr>
            <w:tcW w:w="2520" w:type="dxa"/>
            <w:vAlign w:val="bottom"/>
          </w:tcPr>
          <w:p>
            <w:pPr>
              <w:jc w:val="right"/>
              <w:spacing w:after="0"/>
              <w:rPr>
                <w:sz w:val="20"/>
                <w:szCs w:val="20"/>
                <w:color w:val="auto"/>
              </w:rPr>
            </w:pPr>
            <w:r>
              <w:rPr>
                <w:rFonts w:ascii="Calibri" w:cs="Calibri" w:eastAsia="Calibri" w:hAnsi="Calibri"/>
                <w:sz w:val="17"/>
                <w:szCs w:val="17"/>
                <w:b w:val="1"/>
                <w:bCs w:val="1"/>
                <w:color w:val="FB4E0B"/>
              </w:rPr>
              <w:t>Relatve TSR-Linked PRSUs</w:t>
            </w:r>
          </w:p>
        </w:tc>
        <w:tc>
          <w:tcPr>
            <w:tcW w:w="620" w:type="dxa"/>
            <w:vAlign w:val="bottom"/>
          </w:tcPr>
          <w:p>
            <w:pPr>
              <w:spacing w:after="0"/>
              <w:rPr>
                <w:sz w:val="18"/>
                <w:szCs w:val="18"/>
                <w:color w:val="auto"/>
              </w:rPr>
            </w:pPr>
          </w:p>
        </w:tc>
        <w:tc>
          <w:tcPr>
            <w:tcW w:w="1720" w:type="dxa"/>
            <w:vAlign w:val="bottom"/>
            <w:gridSpan w:val="2"/>
          </w:tcPr>
          <w:p>
            <w:pPr>
              <w:jc w:val="right"/>
              <w:ind w:right="85"/>
              <w:spacing w:after="0"/>
              <w:rPr>
                <w:sz w:val="20"/>
                <w:szCs w:val="20"/>
                <w:color w:val="auto"/>
              </w:rPr>
            </w:pPr>
            <w:r>
              <w:rPr>
                <w:rFonts w:ascii="Calibri" w:cs="Calibri" w:eastAsia="Calibri" w:hAnsi="Calibri"/>
                <w:sz w:val="17"/>
                <w:szCs w:val="17"/>
                <w:b w:val="1"/>
                <w:bCs w:val="1"/>
                <w:color w:val="FB4E0B"/>
              </w:rPr>
              <w:t>Linked PRSUs</w:t>
            </w:r>
          </w:p>
        </w:tc>
        <w:tc>
          <w:tcPr>
            <w:tcW w:w="500" w:type="dxa"/>
            <w:vAlign w:val="bottom"/>
          </w:tcPr>
          <w:p>
            <w:pPr>
              <w:spacing w:after="0"/>
              <w:rPr>
                <w:sz w:val="18"/>
                <w:szCs w:val="18"/>
                <w:color w:val="auto"/>
              </w:rPr>
            </w:pPr>
          </w:p>
        </w:tc>
      </w:tr>
      <w:tr>
        <w:trPr>
          <w:trHeight w:val="55"/>
        </w:trPr>
        <w:tc>
          <w:tcPr>
            <w:tcW w:w="2280" w:type="dxa"/>
            <w:vAlign w:val="bottom"/>
            <w:tcBorders>
              <w:bottom w:val="single" w:sz="8" w:color="FB4E0B"/>
            </w:tcBorders>
          </w:tcPr>
          <w:p>
            <w:pPr>
              <w:spacing w:after="0"/>
              <w:rPr>
                <w:sz w:val="4"/>
                <w:szCs w:val="4"/>
                <w:color w:val="auto"/>
              </w:rPr>
            </w:pPr>
          </w:p>
        </w:tc>
        <w:tc>
          <w:tcPr>
            <w:tcW w:w="2980" w:type="dxa"/>
            <w:vAlign w:val="bottom"/>
            <w:tcBorders>
              <w:bottom w:val="single" w:sz="8" w:color="FB4E0B"/>
            </w:tcBorders>
          </w:tcPr>
          <w:p>
            <w:pPr>
              <w:spacing w:after="0"/>
              <w:rPr>
                <w:sz w:val="4"/>
                <w:szCs w:val="4"/>
                <w:color w:val="auto"/>
              </w:rPr>
            </w:pPr>
          </w:p>
        </w:tc>
        <w:tc>
          <w:tcPr>
            <w:tcW w:w="2520" w:type="dxa"/>
            <w:vAlign w:val="bottom"/>
            <w:tcBorders>
              <w:bottom w:val="single" w:sz="8" w:color="FB4E0B"/>
            </w:tcBorders>
          </w:tcPr>
          <w:p>
            <w:pPr>
              <w:spacing w:after="0"/>
              <w:rPr>
                <w:sz w:val="4"/>
                <w:szCs w:val="4"/>
                <w:color w:val="auto"/>
              </w:rPr>
            </w:pPr>
          </w:p>
        </w:tc>
        <w:tc>
          <w:tcPr>
            <w:tcW w:w="620" w:type="dxa"/>
            <w:vAlign w:val="bottom"/>
            <w:tcBorders>
              <w:bottom w:val="single" w:sz="8" w:color="FB4E0B"/>
            </w:tcBorders>
          </w:tcPr>
          <w:p>
            <w:pPr>
              <w:spacing w:after="0"/>
              <w:rPr>
                <w:sz w:val="4"/>
                <w:szCs w:val="4"/>
                <w:color w:val="auto"/>
              </w:rPr>
            </w:pPr>
          </w:p>
        </w:tc>
        <w:tc>
          <w:tcPr>
            <w:tcW w:w="940" w:type="dxa"/>
            <w:vAlign w:val="bottom"/>
            <w:tcBorders>
              <w:bottom w:val="single" w:sz="8" w:color="FB4E0B"/>
            </w:tcBorders>
          </w:tcPr>
          <w:p>
            <w:pPr>
              <w:spacing w:after="0"/>
              <w:rPr>
                <w:sz w:val="4"/>
                <w:szCs w:val="4"/>
                <w:color w:val="auto"/>
              </w:rPr>
            </w:pPr>
          </w:p>
        </w:tc>
        <w:tc>
          <w:tcPr>
            <w:tcW w:w="780" w:type="dxa"/>
            <w:vAlign w:val="bottom"/>
            <w:tcBorders>
              <w:bottom w:val="single" w:sz="8" w:color="FB4E0B"/>
            </w:tcBorders>
          </w:tcPr>
          <w:p>
            <w:pPr>
              <w:spacing w:after="0"/>
              <w:rPr>
                <w:sz w:val="4"/>
                <w:szCs w:val="4"/>
                <w:color w:val="auto"/>
              </w:rPr>
            </w:pPr>
          </w:p>
        </w:tc>
        <w:tc>
          <w:tcPr>
            <w:tcW w:w="500" w:type="dxa"/>
            <w:vAlign w:val="bottom"/>
            <w:tcBorders>
              <w:bottom w:val="single" w:sz="8" w:color="FB4E0B"/>
            </w:tcBorders>
          </w:tcPr>
          <w:p>
            <w:pPr>
              <w:spacing w:after="0"/>
              <w:rPr>
                <w:sz w:val="4"/>
                <w:szCs w:val="4"/>
                <w:color w:val="auto"/>
              </w:rPr>
            </w:pPr>
          </w:p>
        </w:tc>
      </w:tr>
      <w:tr>
        <w:trPr>
          <w:trHeight w:val="302"/>
        </w:trPr>
        <w:tc>
          <w:tcPr>
            <w:tcW w:w="22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Rohit Kapoor</w:t>
            </w:r>
          </w:p>
        </w:tc>
        <w:tc>
          <w:tcPr>
            <w:tcW w:w="2980" w:type="dxa"/>
            <w:vAlign w:val="bottom"/>
            <w:tcBorders>
              <w:right w:val="single" w:sz="8" w:color="auto"/>
            </w:tcBorders>
          </w:tcPr>
          <w:p>
            <w:pPr>
              <w:jc w:val="right"/>
              <w:ind w:right="533"/>
              <w:spacing w:after="0"/>
              <w:rPr>
                <w:sz w:val="20"/>
                <w:szCs w:val="20"/>
                <w:color w:val="auto"/>
              </w:rPr>
            </w:pPr>
            <w:r>
              <w:rPr>
                <w:rFonts w:ascii="Calibri" w:cs="Calibri" w:eastAsia="Calibri" w:hAnsi="Calibri"/>
                <w:sz w:val="17"/>
                <w:szCs w:val="17"/>
                <w:color w:val="auto"/>
              </w:rPr>
              <w:t>25,164</w:t>
            </w:r>
          </w:p>
        </w:tc>
        <w:tc>
          <w:tcPr>
            <w:tcW w:w="2520" w:type="dxa"/>
            <w:vAlign w:val="bottom"/>
          </w:tcPr>
          <w:p>
            <w:pPr>
              <w:jc w:val="right"/>
              <w:spacing w:after="0"/>
              <w:rPr>
                <w:sz w:val="20"/>
                <w:szCs w:val="20"/>
                <w:color w:val="auto"/>
              </w:rPr>
            </w:pPr>
            <w:r>
              <w:rPr>
                <w:rFonts w:ascii="Calibri" w:cs="Calibri" w:eastAsia="Calibri" w:hAnsi="Calibri"/>
                <w:sz w:val="17"/>
                <w:szCs w:val="17"/>
                <w:color w:val="auto"/>
              </w:rPr>
              <w:t>22,647</w:t>
            </w:r>
          </w:p>
        </w:tc>
        <w:tc>
          <w:tcPr>
            <w:tcW w:w="62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jc w:val="right"/>
              <w:ind w:right="65"/>
              <w:spacing w:after="0"/>
              <w:rPr>
                <w:sz w:val="20"/>
                <w:szCs w:val="20"/>
                <w:color w:val="auto"/>
              </w:rPr>
            </w:pPr>
            <w:r>
              <w:rPr>
                <w:rFonts w:ascii="Calibri" w:cs="Calibri" w:eastAsia="Calibri" w:hAnsi="Calibri"/>
                <w:sz w:val="17"/>
                <w:szCs w:val="17"/>
                <w:color w:val="auto"/>
              </w:rPr>
              <w:t>15,099</w:t>
            </w:r>
          </w:p>
        </w:tc>
        <w:tc>
          <w:tcPr>
            <w:tcW w:w="500" w:type="dxa"/>
            <w:vAlign w:val="bottom"/>
          </w:tcPr>
          <w:p>
            <w:pPr>
              <w:spacing w:after="0"/>
              <w:rPr>
                <w:sz w:val="24"/>
                <w:szCs w:val="24"/>
                <w:color w:val="auto"/>
              </w:rPr>
            </w:pPr>
          </w:p>
        </w:tc>
      </w:tr>
      <w:tr>
        <w:trPr>
          <w:trHeight w:val="127"/>
        </w:trPr>
        <w:tc>
          <w:tcPr>
            <w:tcW w:w="228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269"/>
        </w:trPr>
        <w:tc>
          <w:tcPr>
            <w:tcW w:w="22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Maurizio Nicolelli</w:t>
            </w:r>
          </w:p>
        </w:tc>
        <w:tc>
          <w:tcPr>
            <w:tcW w:w="2980" w:type="dxa"/>
            <w:vAlign w:val="bottom"/>
            <w:tcBorders>
              <w:right w:val="single" w:sz="8" w:color="auto"/>
            </w:tcBorders>
          </w:tcPr>
          <w:p>
            <w:pPr>
              <w:jc w:val="right"/>
              <w:ind w:right="533"/>
              <w:spacing w:after="0"/>
              <w:rPr>
                <w:sz w:val="20"/>
                <w:szCs w:val="20"/>
                <w:color w:val="auto"/>
              </w:rPr>
            </w:pPr>
            <w:r>
              <w:rPr>
                <w:rFonts w:ascii="Calibri" w:cs="Calibri" w:eastAsia="Calibri" w:hAnsi="Calibri"/>
                <w:sz w:val="17"/>
                <w:szCs w:val="17"/>
                <w:color w:val="auto"/>
              </w:rPr>
              <w:t>3,884</w:t>
            </w:r>
          </w:p>
        </w:tc>
        <w:tc>
          <w:tcPr>
            <w:tcW w:w="2520" w:type="dxa"/>
            <w:vAlign w:val="bottom"/>
          </w:tcPr>
          <w:p>
            <w:pPr>
              <w:jc w:val="right"/>
              <w:spacing w:after="0"/>
              <w:rPr>
                <w:sz w:val="20"/>
                <w:szCs w:val="20"/>
                <w:color w:val="auto"/>
              </w:rPr>
            </w:pPr>
            <w:r>
              <w:rPr>
                <w:rFonts w:ascii="Calibri" w:cs="Calibri" w:eastAsia="Calibri" w:hAnsi="Calibri"/>
                <w:sz w:val="17"/>
                <w:szCs w:val="17"/>
                <w:color w:val="auto"/>
              </w:rPr>
              <w:t>3,495</w:t>
            </w:r>
          </w:p>
        </w:tc>
        <w:tc>
          <w:tcPr>
            <w:tcW w:w="62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Calibri" w:cs="Calibri" w:eastAsia="Calibri" w:hAnsi="Calibri"/>
                <w:sz w:val="17"/>
                <w:szCs w:val="17"/>
                <w:color w:val="auto"/>
              </w:rPr>
              <w:t>2,331</w:t>
            </w:r>
          </w:p>
        </w:tc>
        <w:tc>
          <w:tcPr>
            <w:tcW w:w="500" w:type="dxa"/>
            <w:vAlign w:val="bottom"/>
          </w:tcPr>
          <w:p>
            <w:pPr>
              <w:spacing w:after="0"/>
              <w:rPr>
                <w:sz w:val="23"/>
                <w:szCs w:val="23"/>
                <w:color w:val="auto"/>
              </w:rPr>
            </w:pPr>
          </w:p>
        </w:tc>
      </w:tr>
      <w:tr>
        <w:trPr>
          <w:trHeight w:val="127"/>
        </w:trPr>
        <w:tc>
          <w:tcPr>
            <w:tcW w:w="228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269"/>
        </w:trPr>
        <w:tc>
          <w:tcPr>
            <w:tcW w:w="22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2980" w:type="dxa"/>
            <w:vAlign w:val="bottom"/>
            <w:tcBorders>
              <w:right w:val="single" w:sz="8" w:color="auto"/>
            </w:tcBorders>
          </w:tcPr>
          <w:p>
            <w:pPr>
              <w:jc w:val="right"/>
              <w:ind w:right="533"/>
              <w:spacing w:after="0"/>
              <w:rPr>
                <w:sz w:val="20"/>
                <w:szCs w:val="20"/>
                <w:color w:val="auto"/>
              </w:rPr>
            </w:pPr>
            <w:r>
              <w:rPr>
                <w:rFonts w:ascii="Calibri" w:cs="Calibri" w:eastAsia="Calibri" w:hAnsi="Calibri"/>
                <w:sz w:val="17"/>
                <w:szCs w:val="17"/>
                <w:color w:val="auto"/>
              </w:rPr>
              <w:t>4,348</w:t>
            </w:r>
          </w:p>
        </w:tc>
        <w:tc>
          <w:tcPr>
            <w:tcW w:w="2520" w:type="dxa"/>
            <w:vAlign w:val="bottom"/>
          </w:tcPr>
          <w:p>
            <w:pPr>
              <w:jc w:val="right"/>
              <w:spacing w:after="0"/>
              <w:rPr>
                <w:sz w:val="20"/>
                <w:szCs w:val="20"/>
                <w:color w:val="auto"/>
              </w:rPr>
            </w:pPr>
            <w:r>
              <w:rPr>
                <w:rFonts w:ascii="Calibri" w:cs="Calibri" w:eastAsia="Calibri" w:hAnsi="Calibri"/>
                <w:sz w:val="17"/>
                <w:szCs w:val="17"/>
                <w:color w:val="auto"/>
              </w:rPr>
              <w:t>3,913</w:t>
            </w:r>
          </w:p>
        </w:tc>
        <w:tc>
          <w:tcPr>
            <w:tcW w:w="62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Calibri" w:cs="Calibri" w:eastAsia="Calibri" w:hAnsi="Calibri"/>
                <w:sz w:val="17"/>
                <w:szCs w:val="17"/>
                <w:color w:val="auto"/>
              </w:rPr>
              <w:t>2,609</w:t>
            </w:r>
          </w:p>
        </w:tc>
        <w:tc>
          <w:tcPr>
            <w:tcW w:w="500" w:type="dxa"/>
            <w:vAlign w:val="bottom"/>
          </w:tcPr>
          <w:p>
            <w:pPr>
              <w:spacing w:after="0"/>
              <w:rPr>
                <w:sz w:val="23"/>
                <w:szCs w:val="23"/>
                <w:color w:val="auto"/>
              </w:rPr>
            </w:pPr>
          </w:p>
        </w:tc>
      </w:tr>
      <w:tr>
        <w:trPr>
          <w:trHeight w:val="127"/>
        </w:trPr>
        <w:tc>
          <w:tcPr>
            <w:tcW w:w="228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269"/>
        </w:trPr>
        <w:tc>
          <w:tcPr>
            <w:tcW w:w="22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Vivek Jetley</w:t>
            </w:r>
          </w:p>
        </w:tc>
        <w:tc>
          <w:tcPr>
            <w:tcW w:w="2980" w:type="dxa"/>
            <w:vAlign w:val="bottom"/>
            <w:tcBorders>
              <w:right w:val="single" w:sz="8" w:color="auto"/>
            </w:tcBorders>
          </w:tcPr>
          <w:p>
            <w:pPr>
              <w:jc w:val="right"/>
              <w:ind w:right="533"/>
              <w:spacing w:after="0"/>
              <w:rPr>
                <w:sz w:val="20"/>
                <w:szCs w:val="20"/>
                <w:color w:val="auto"/>
              </w:rPr>
            </w:pPr>
            <w:r>
              <w:rPr>
                <w:rFonts w:ascii="Calibri" w:cs="Calibri" w:eastAsia="Calibri" w:hAnsi="Calibri"/>
                <w:sz w:val="17"/>
                <w:szCs w:val="17"/>
                <w:color w:val="auto"/>
              </w:rPr>
              <w:t>4,040</w:t>
            </w:r>
          </w:p>
        </w:tc>
        <w:tc>
          <w:tcPr>
            <w:tcW w:w="2520" w:type="dxa"/>
            <w:vAlign w:val="bottom"/>
          </w:tcPr>
          <w:p>
            <w:pPr>
              <w:jc w:val="right"/>
              <w:spacing w:after="0"/>
              <w:rPr>
                <w:sz w:val="20"/>
                <w:szCs w:val="20"/>
                <w:color w:val="auto"/>
              </w:rPr>
            </w:pPr>
            <w:r>
              <w:rPr>
                <w:rFonts w:ascii="Calibri" w:cs="Calibri" w:eastAsia="Calibri" w:hAnsi="Calibri"/>
                <w:sz w:val="17"/>
                <w:szCs w:val="17"/>
                <w:color w:val="auto"/>
              </w:rPr>
              <w:t>3,636</w:t>
            </w:r>
          </w:p>
        </w:tc>
        <w:tc>
          <w:tcPr>
            <w:tcW w:w="62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Calibri" w:cs="Calibri" w:eastAsia="Calibri" w:hAnsi="Calibri"/>
                <w:sz w:val="17"/>
                <w:szCs w:val="17"/>
                <w:color w:val="auto"/>
              </w:rPr>
              <w:t>2,424</w:t>
            </w:r>
          </w:p>
        </w:tc>
        <w:tc>
          <w:tcPr>
            <w:tcW w:w="500" w:type="dxa"/>
            <w:vAlign w:val="bottom"/>
          </w:tcPr>
          <w:p>
            <w:pPr>
              <w:spacing w:after="0"/>
              <w:rPr>
                <w:sz w:val="23"/>
                <w:szCs w:val="23"/>
                <w:color w:val="auto"/>
              </w:rPr>
            </w:pPr>
          </w:p>
        </w:tc>
      </w:tr>
      <w:tr>
        <w:trPr>
          <w:trHeight w:val="127"/>
        </w:trPr>
        <w:tc>
          <w:tcPr>
            <w:tcW w:w="2280" w:type="dxa"/>
            <w:vAlign w:val="bottom"/>
            <w:tcBorders>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r>
        <w:trPr>
          <w:trHeight w:val="269"/>
        </w:trPr>
        <w:tc>
          <w:tcPr>
            <w:tcW w:w="22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Ankor Rai</w:t>
            </w:r>
          </w:p>
        </w:tc>
        <w:tc>
          <w:tcPr>
            <w:tcW w:w="2980" w:type="dxa"/>
            <w:vAlign w:val="bottom"/>
            <w:tcBorders>
              <w:right w:val="single" w:sz="8" w:color="auto"/>
            </w:tcBorders>
          </w:tcPr>
          <w:p>
            <w:pPr>
              <w:jc w:val="right"/>
              <w:ind w:right="533"/>
              <w:spacing w:after="0"/>
              <w:rPr>
                <w:sz w:val="20"/>
                <w:szCs w:val="20"/>
                <w:color w:val="auto"/>
              </w:rPr>
            </w:pPr>
            <w:r>
              <w:rPr>
                <w:rFonts w:ascii="Calibri" w:cs="Calibri" w:eastAsia="Calibri" w:hAnsi="Calibri"/>
                <w:sz w:val="17"/>
                <w:szCs w:val="17"/>
                <w:color w:val="auto"/>
              </w:rPr>
              <w:t>3,108</w:t>
            </w:r>
          </w:p>
        </w:tc>
        <w:tc>
          <w:tcPr>
            <w:tcW w:w="2520" w:type="dxa"/>
            <w:vAlign w:val="bottom"/>
          </w:tcPr>
          <w:p>
            <w:pPr>
              <w:jc w:val="right"/>
              <w:spacing w:after="0"/>
              <w:rPr>
                <w:sz w:val="20"/>
                <w:szCs w:val="20"/>
                <w:color w:val="auto"/>
              </w:rPr>
            </w:pPr>
            <w:r>
              <w:rPr>
                <w:rFonts w:ascii="Calibri" w:cs="Calibri" w:eastAsia="Calibri" w:hAnsi="Calibri"/>
                <w:sz w:val="17"/>
                <w:szCs w:val="17"/>
                <w:color w:val="auto"/>
              </w:rPr>
              <w:t>2,797</w:t>
            </w:r>
          </w:p>
        </w:tc>
        <w:tc>
          <w:tcPr>
            <w:tcW w:w="620" w:type="dxa"/>
            <w:vAlign w:val="bottom"/>
            <w:tcBorders>
              <w:righ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Calibri" w:cs="Calibri" w:eastAsia="Calibri" w:hAnsi="Calibri"/>
                <w:sz w:val="17"/>
                <w:szCs w:val="17"/>
                <w:color w:val="auto"/>
              </w:rPr>
              <w:t>1,865</w:t>
            </w:r>
          </w:p>
        </w:tc>
        <w:tc>
          <w:tcPr>
            <w:tcW w:w="500" w:type="dxa"/>
            <w:vAlign w:val="bottom"/>
          </w:tcPr>
          <w:p>
            <w:pPr>
              <w:spacing w:after="0"/>
              <w:rPr>
                <w:sz w:val="23"/>
                <w:szCs w:val="23"/>
                <w:color w:val="auto"/>
              </w:rPr>
            </w:pPr>
          </w:p>
        </w:tc>
      </w:tr>
      <w:tr>
        <w:trPr>
          <w:trHeight w:val="133"/>
        </w:trPr>
        <w:tc>
          <w:tcPr>
            <w:tcW w:w="2280" w:type="dxa"/>
            <w:vAlign w:val="bottom"/>
            <w:tcBorders>
              <w:bottom w:val="single" w:sz="8" w:color="FB4E0B"/>
              <w:right w:val="single" w:sz="8" w:color="auto"/>
            </w:tcBorders>
          </w:tcPr>
          <w:p>
            <w:pPr>
              <w:spacing w:after="0"/>
              <w:rPr>
                <w:sz w:val="11"/>
                <w:szCs w:val="11"/>
                <w:color w:val="auto"/>
              </w:rPr>
            </w:pPr>
          </w:p>
        </w:tc>
        <w:tc>
          <w:tcPr>
            <w:tcW w:w="2980" w:type="dxa"/>
            <w:vAlign w:val="bottom"/>
            <w:tcBorders>
              <w:bottom w:val="single" w:sz="8" w:color="FB4E0B"/>
              <w:right w:val="single" w:sz="8" w:color="auto"/>
            </w:tcBorders>
          </w:tcPr>
          <w:p>
            <w:pPr>
              <w:spacing w:after="0"/>
              <w:rPr>
                <w:sz w:val="11"/>
                <w:szCs w:val="11"/>
                <w:color w:val="auto"/>
              </w:rPr>
            </w:pPr>
          </w:p>
        </w:tc>
        <w:tc>
          <w:tcPr>
            <w:tcW w:w="2520" w:type="dxa"/>
            <w:vAlign w:val="bottom"/>
            <w:tcBorders>
              <w:bottom w:val="single" w:sz="8" w:color="FB4E0B"/>
            </w:tcBorders>
          </w:tcPr>
          <w:p>
            <w:pPr>
              <w:spacing w:after="0"/>
              <w:rPr>
                <w:sz w:val="11"/>
                <w:szCs w:val="11"/>
                <w:color w:val="auto"/>
              </w:rPr>
            </w:pPr>
          </w:p>
        </w:tc>
        <w:tc>
          <w:tcPr>
            <w:tcW w:w="620" w:type="dxa"/>
            <w:vAlign w:val="bottom"/>
            <w:tcBorders>
              <w:bottom w:val="single" w:sz="8" w:color="FB4E0B"/>
              <w:right w:val="single" w:sz="8" w:color="auto"/>
            </w:tcBorders>
          </w:tcPr>
          <w:p>
            <w:pPr>
              <w:spacing w:after="0"/>
              <w:rPr>
                <w:sz w:val="11"/>
                <w:szCs w:val="11"/>
                <w:color w:val="auto"/>
              </w:rPr>
            </w:pPr>
          </w:p>
        </w:tc>
        <w:tc>
          <w:tcPr>
            <w:tcW w:w="940" w:type="dxa"/>
            <w:vAlign w:val="bottom"/>
            <w:tcBorders>
              <w:bottom w:val="single" w:sz="8" w:color="FB4E0B"/>
            </w:tcBorders>
          </w:tcPr>
          <w:p>
            <w:pPr>
              <w:spacing w:after="0"/>
              <w:rPr>
                <w:sz w:val="11"/>
                <w:szCs w:val="11"/>
                <w:color w:val="auto"/>
              </w:rPr>
            </w:pPr>
          </w:p>
        </w:tc>
        <w:tc>
          <w:tcPr>
            <w:tcW w:w="780" w:type="dxa"/>
            <w:vAlign w:val="bottom"/>
            <w:tcBorders>
              <w:bottom w:val="single" w:sz="8" w:color="FB4E0B"/>
            </w:tcBorders>
          </w:tcPr>
          <w:p>
            <w:pPr>
              <w:spacing w:after="0"/>
              <w:rPr>
                <w:sz w:val="11"/>
                <w:szCs w:val="11"/>
                <w:color w:val="auto"/>
              </w:rPr>
            </w:pPr>
          </w:p>
        </w:tc>
        <w:tc>
          <w:tcPr>
            <w:tcW w:w="500" w:type="dxa"/>
            <w:vAlign w:val="bottom"/>
            <w:tcBorders>
              <w:bottom w:val="single" w:sz="8" w:color="FB4E0B"/>
            </w:tcBorders>
          </w:tcPr>
          <w:p>
            <w:pPr>
              <w:spacing w:after="0"/>
              <w:rPr>
                <w:sz w:val="11"/>
                <w:szCs w:val="11"/>
                <w:color w:val="auto"/>
              </w:rPr>
            </w:pPr>
          </w:p>
        </w:tc>
      </w:tr>
      <w:tr>
        <w:trPr>
          <w:trHeight w:val="601"/>
        </w:trPr>
        <w:tc>
          <w:tcPr>
            <w:tcW w:w="2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Calibri" w:cs="Calibri" w:eastAsia="Calibri" w:hAnsi="Calibri"/>
                <w:sz w:val="13"/>
                <w:szCs w:val="13"/>
                <w:color w:val="auto"/>
              </w:rPr>
              <w:t>EXL 2023 Proxy Statement</w:t>
            </w:r>
          </w:p>
        </w:tc>
        <w:tc>
          <w:tcPr>
            <w:tcW w:w="780" w:type="dxa"/>
            <w:vAlign w:val="bottom"/>
          </w:tcPr>
          <w:p>
            <w:pPr>
              <w:jc w:val="right"/>
              <w:ind w:right="45"/>
              <w:spacing w:after="0"/>
              <w:rPr>
                <w:sz w:val="20"/>
                <w:szCs w:val="20"/>
                <w:color w:val="auto"/>
              </w:rPr>
            </w:pPr>
            <w:r>
              <w:rPr>
                <w:rFonts w:ascii="Calibri" w:cs="Calibri" w:eastAsia="Calibri" w:hAnsi="Calibri"/>
                <w:sz w:val="28"/>
                <w:szCs w:val="28"/>
                <w:b w:val="1"/>
                <w:bCs w:val="1"/>
                <w:color w:val="FB4E0B"/>
              </w:rPr>
              <w:t>/</w:t>
            </w:r>
          </w:p>
        </w:tc>
        <w:tc>
          <w:tcPr>
            <w:tcW w:w="500" w:type="dxa"/>
            <w:vAlign w:val="bottom"/>
          </w:tcPr>
          <w:p>
            <w:pPr>
              <w:jc w:val="right"/>
              <w:ind w:right="113"/>
              <w:spacing w:after="0"/>
              <w:rPr>
                <w:sz w:val="20"/>
                <w:szCs w:val="20"/>
                <w:color w:val="auto"/>
              </w:rPr>
            </w:pPr>
            <w:r>
              <w:rPr>
                <w:rFonts w:ascii="Calibri" w:cs="Calibri" w:eastAsia="Calibri" w:hAnsi="Calibri"/>
                <w:sz w:val="17"/>
                <w:szCs w:val="17"/>
                <w:b w:val="1"/>
                <w:bCs w:val="1"/>
                <w:color w:val="auto"/>
              </w:rPr>
              <w:t>81</w:t>
            </w:r>
          </w:p>
        </w:tc>
      </w:tr>
    </w:tbl>
    <w:p>
      <w:pPr>
        <w:sectPr>
          <w:pgSz w:w="11900" w:h="16838" w:orient="portrait"/>
          <w:cols w:equalWidth="0" w:num="1">
            <w:col w:w="10940"/>
          </w:cols>
          <w:pgMar w:left="320" w:top="471"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1140" w:right="160" w:hanging="407"/>
        <w:spacing w:after="0" w:line="239" w:lineRule="auto"/>
        <w:tabs>
          <w:tab w:leader="none" w:pos="114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The “Time-Vested RSUs” will vest in increments of 25% on each of the frst four anniversaries of the grant date,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5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and Talent Management Commitee believes these Time-Vested RSUs provide an important role in promotng retenton of our executve ofcers.</w:t>
      </w:r>
    </w:p>
    <w:p>
      <w:pPr>
        <w:spacing w:after="0" w:line="120" w:lineRule="exact"/>
        <w:rPr>
          <w:rFonts w:ascii="Calibri" w:cs="Calibri" w:eastAsia="Calibri" w:hAnsi="Calibri"/>
          <w:sz w:val="17"/>
          <w:szCs w:val="17"/>
          <w:color w:val="auto"/>
        </w:rPr>
      </w:pPr>
    </w:p>
    <w:p>
      <w:pPr>
        <w:ind w:left="1140" w:right="660" w:hanging="407"/>
        <w:spacing w:after="0" w:line="239" w:lineRule="auto"/>
        <w:tabs>
          <w:tab w:leader="none" w:pos="1140" w:val="left"/>
        </w:tabs>
        <w:numPr>
          <w:ilvl w:val="0"/>
          <w:numId w:val="23"/>
        </w:numPr>
        <w:rPr>
          <w:rFonts w:ascii="Calibri" w:cs="Calibri" w:eastAsia="Calibri" w:hAnsi="Calibri"/>
          <w:sz w:val="17"/>
          <w:szCs w:val="17"/>
          <w:color w:val="auto"/>
        </w:rPr>
      </w:pPr>
      <w:r>
        <w:rPr>
          <w:rFonts w:ascii="Calibri" w:cs="Calibri" w:eastAsia="Calibri" w:hAnsi="Calibri"/>
          <w:sz w:val="17"/>
          <w:szCs w:val="17"/>
          <w:color w:val="auto"/>
        </w:rPr>
        <w:t>The “Performance-Vested” porton of the 2022 RSUs (“PRSUs”) are split into two types that each vest based on separate performance measures as follows:</w:t>
      </w:r>
    </w:p>
    <w:p>
      <w:pPr>
        <w:spacing w:after="0" w:line="120" w:lineRule="exact"/>
        <w:rPr>
          <w:rFonts w:ascii="Calibri" w:cs="Calibri" w:eastAsia="Calibri" w:hAnsi="Calibri"/>
          <w:sz w:val="17"/>
          <w:szCs w:val="17"/>
          <w:color w:val="auto"/>
        </w:rPr>
      </w:pPr>
    </w:p>
    <w:p>
      <w:pPr>
        <w:ind w:left="1580" w:right="10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Revenue-Linked PRSUs: </w:t>
      </w:r>
      <w:r>
        <w:rPr>
          <w:rFonts w:ascii="Calibri" w:cs="Calibri" w:eastAsia="Calibri" w:hAnsi="Calibri"/>
          <w:sz w:val="17"/>
          <w:szCs w:val="17"/>
          <w:color w:val="auto"/>
        </w:rPr>
        <w:t>40% of these performance-based restricted stock unit awards will clif-vest on December 31 of the third fscal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year in the performance period, subject to achievement of threshold Company revenues against an aggregate revenue target over the grant’s three-year performance period of January 1, 2022, to December 31, 2024, and contnuous employment through December 31, 2024 — we call these awards “Revenue-Linked PRSUs.” The ultmate amount of Revenue-Linked PRSUs that a recipient earns may be up to 200% of the target award of Revenue-Linked RSUs. To the extent the Company’s revenue falls in between the outlined target achievements, the percentage of Revenue-Based RSUs earned will be determined based on straight line interpolaton. The chart below sets forth the revenue target achievement thresholds and corresponding funding percentage:</w:t>
      </w:r>
    </w:p>
    <w:p>
      <w:pPr>
        <w:spacing w:after="0" w:line="237"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5040" w:type="dxa"/>
            <w:vAlign w:val="bottom"/>
          </w:tcPr>
          <w:p>
            <w:pPr>
              <w:spacing w:after="0"/>
              <w:rPr>
                <w:sz w:val="18"/>
                <w:szCs w:val="18"/>
                <w:color w:val="auto"/>
              </w:rPr>
            </w:pPr>
          </w:p>
        </w:tc>
        <w:tc>
          <w:tcPr>
            <w:tcW w:w="4300" w:type="dxa"/>
            <w:vAlign w:val="bottom"/>
          </w:tcPr>
          <w:p>
            <w:pPr>
              <w:jc w:val="center"/>
              <w:ind w:left="1833"/>
              <w:spacing w:after="0"/>
              <w:rPr>
                <w:sz w:val="20"/>
                <w:szCs w:val="20"/>
                <w:color w:val="auto"/>
              </w:rPr>
            </w:pPr>
            <w:r>
              <w:rPr>
                <w:rFonts w:ascii="Calibri" w:cs="Calibri" w:eastAsia="Calibri" w:hAnsi="Calibri"/>
                <w:sz w:val="17"/>
                <w:szCs w:val="17"/>
                <w:b w:val="1"/>
                <w:bCs w:val="1"/>
                <w:color w:val="FB4E0B"/>
                <w:w w:val="98"/>
              </w:rPr>
              <w:t>Percentage of Revenue-</w:t>
            </w:r>
          </w:p>
        </w:tc>
      </w:tr>
      <w:tr>
        <w:trPr>
          <w:trHeight w:val="208"/>
        </w:trPr>
        <w:tc>
          <w:tcPr>
            <w:tcW w:w="50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Revenue target achievement</w:t>
            </w:r>
          </w:p>
        </w:tc>
        <w:tc>
          <w:tcPr>
            <w:tcW w:w="4300" w:type="dxa"/>
            <w:vAlign w:val="bottom"/>
          </w:tcPr>
          <w:p>
            <w:pPr>
              <w:jc w:val="center"/>
              <w:ind w:left="1853"/>
              <w:spacing w:after="0"/>
              <w:rPr>
                <w:sz w:val="20"/>
                <w:szCs w:val="20"/>
                <w:color w:val="auto"/>
              </w:rPr>
            </w:pPr>
            <w:r>
              <w:rPr>
                <w:rFonts w:ascii="Calibri" w:cs="Calibri" w:eastAsia="Calibri" w:hAnsi="Calibri"/>
                <w:sz w:val="17"/>
                <w:szCs w:val="17"/>
                <w:b w:val="1"/>
                <w:bCs w:val="1"/>
                <w:color w:val="FB4E0B"/>
                <w:w w:val="99"/>
              </w:rPr>
              <w:t>Linked PRSUs earned</w:t>
            </w:r>
          </w:p>
        </w:tc>
      </w:tr>
      <w:tr>
        <w:trPr>
          <w:trHeight w:val="55"/>
        </w:trPr>
        <w:tc>
          <w:tcPr>
            <w:tcW w:w="5040" w:type="dxa"/>
            <w:vAlign w:val="bottom"/>
            <w:tcBorders>
              <w:bottom w:val="single" w:sz="8" w:color="FB4E0B"/>
            </w:tcBorders>
          </w:tcPr>
          <w:p>
            <w:pPr>
              <w:spacing w:after="0"/>
              <w:rPr>
                <w:sz w:val="4"/>
                <w:szCs w:val="4"/>
                <w:color w:val="auto"/>
              </w:rPr>
            </w:pPr>
          </w:p>
        </w:tc>
        <w:tc>
          <w:tcPr>
            <w:tcW w:w="4300" w:type="dxa"/>
            <w:vAlign w:val="bottom"/>
            <w:tcBorders>
              <w:bottom w:val="single" w:sz="8" w:color="FB4E0B"/>
            </w:tcBorders>
          </w:tcPr>
          <w:p>
            <w:pPr>
              <w:spacing w:after="0"/>
              <w:rPr>
                <w:sz w:val="4"/>
                <w:szCs w:val="4"/>
                <w:color w:val="auto"/>
              </w:rPr>
            </w:pPr>
          </w:p>
        </w:tc>
      </w:tr>
      <w:tr>
        <w:trPr>
          <w:trHeight w:val="302"/>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110% or more</w:t>
            </w:r>
          </w:p>
        </w:tc>
        <w:tc>
          <w:tcPr>
            <w:tcW w:w="4300" w:type="dxa"/>
            <w:vAlign w:val="bottom"/>
          </w:tcPr>
          <w:p>
            <w:pPr>
              <w:jc w:val="center"/>
              <w:ind w:left="1833"/>
              <w:spacing w:after="0"/>
              <w:rPr>
                <w:sz w:val="20"/>
                <w:szCs w:val="20"/>
                <w:color w:val="auto"/>
              </w:rPr>
            </w:pPr>
            <w:r>
              <w:rPr>
                <w:rFonts w:ascii="Calibri" w:cs="Calibri" w:eastAsia="Calibri" w:hAnsi="Calibri"/>
                <w:sz w:val="17"/>
                <w:szCs w:val="17"/>
                <w:color w:val="auto"/>
                <w:w w:val="99"/>
              </w:rPr>
              <w:t>200%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At 100%</w:t>
            </w:r>
          </w:p>
        </w:tc>
        <w:tc>
          <w:tcPr>
            <w:tcW w:w="4300" w:type="dxa"/>
            <w:vAlign w:val="bottom"/>
          </w:tcPr>
          <w:p>
            <w:pPr>
              <w:jc w:val="center"/>
              <w:ind w:left="1833"/>
              <w:spacing w:after="0"/>
              <w:rPr>
                <w:sz w:val="20"/>
                <w:szCs w:val="20"/>
                <w:color w:val="auto"/>
              </w:rPr>
            </w:pPr>
            <w:r>
              <w:rPr>
                <w:rFonts w:ascii="Calibri" w:cs="Calibri" w:eastAsia="Calibri" w:hAnsi="Calibri"/>
                <w:sz w:val="17"/>
                <w:szCs w:val="17"/>
                <w:color w:val="auto"/>
                <w:w w:val="99"/>
              </w:rPr>
              <w:t>100%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90%</w:t>
            </w:r>
          </w:p>
        </w:tc>
        <w:tc>
          <w:tcPr>
            <w:tcW w:w="4300" w:type="dxa"/>
            <w:vAlign w:val="bottom"/>
          </w:tcPr>
          <w:p>
            <w:pPr>
              <w:jc w:val="center"/>
              <w:ind w:left="1833"/>
              <w:spacing w:after="0"/>
              <w:rPr>
                <w:sz w:val="20"/>
                <w:szCs w:val="20"/>
                <w:color w:val="auto"/>
              </w:rPr>
            </w:pPr>
            <w:r>
              <w:rPr>
                <w:rFonts w:ascii="Calibri" w:cs="Calibri" w:eastAsia="Calibri" w:hAnsi="Calibri"/>
                <w:sz w:val="17"/>
                <w:szCs w:val="17"/>
                <w:color w:val="auto"/>
              </w:rPr>
              <w:t>25%</w:t>
            </w:r>
          </w:p>
        </w:tc>
      </w:tr>
      <w:tr>
        <w:trPr>
          <w:trHeight w:val="133"/>
        </w:trPr>
        <w:tc>
          <w:tcPr>
            <w:tcW w:w="5040" w:type="dxa"/>
            <w:vAlign w:val="bottom"/>
            <w:tcBorders>
              <w:bottom w:val="single" w:sz="8" w:color="FB4E0B"/>
              <w:right w:val="single" w:sz="8" w:color="auto"/>
            </w:tcBorders>
          </w:tcPr>
          <w:p>
            <w:pPr>
              <w:spacing w:after="0"/>
              <w:rPr>
                <w:sz w:val="11"/>
                <w:szCs w:val="11"/>
                <w:color w:val="auto"/>
              </w:rPr>
            </w:pPr>
          </w:p>
        </w:tc>
        <w:tc>
          <w:tcPr>
            <w:tcW w:w="4300" w:type="dxa"/>
            <w:vAlign w:val="bottom"/>
            <w:tcBorders>
              <w:bottom w:val="single" w:sz="8" w:color="FB4E0B"/>
            </w:tcBorders>
          </w:tcPr>
          <w:p>
            <w:pPr>
              <w:spacing w:after="0"/>
              <w:rPr>
                <w:sz w:val="11"/>
                <w:szCs w:val="11"/>
                <w:color w:val="auto"/>
              </w:rPr>
            </w:pPr>
          </w:p>
        </w:tc>
      </w:tr>
    </w:tbl>
    <w:p>
      <w:pPr>
        <w:spacing w:after="0" w:line="109" w:lineRule="exact"/>
        <w:rPr>
          <w:sz w:val="20"/>
          <w:szCs w:val="20"/>
          <w:color w:val="auto"/>
        </w:rPr>
      </w:pPr>
    </w:p>
    <w:p>
      <w:pPr>
        <w:ind w:left="1580" w:right="40" w:hanging="416"/>
        <w:spacing w:after="0"/>
        <w:rPr>
          <w:sz w:val="20"/>
          <w:szCs w:val="20"/>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The remaining 60% of the performance-based restricted stock unit awards clif-vests on December 31 of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third fscal year in the performance period, based on the achievement of relatve total stockholder return performance of the Company against a performance peer group over the grant’s three-year performance period of January 1, 2022, to December 31, 2024, and contnuous employment through December 31, 2024 — we call these awards “Relatve TSR-Linked PRSUs.” The Company’s TSR for the TSR performance period will be computed and then compared to the TSR of the companies in the “performance peer group,” which is comprised of the public companies traded on either the NYSE or NASDAQ stock markets in our 8-digit Global Industry Classifcaton Standard sub-industry group. This comparator set is more appropriate than the compensaton peer group for this purpose as it provides a more robust comparison of our performance to the marketplace by the inclusion of more companies and eliminatng size as a selecton criterion, which is more relevant for compensaton than performance comparison. For the Relatve TSR-Linked PRSUs granted in 2022, the Company included a negatve TSR cap. Under the negatve TSR cap, if the total stockholder return is negatve over the course of the three-year performance period, no named executve ofcer may receive greater than 100% funding of the TSR-Linked PRSUs.</w:t>
      </w:r>
    </w:p>
    <w:p>
      <w:pPr>
        <w:spacing w:after="0" w:line="132"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82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1580"/>
        <w:spacing w:after="0"/>
        <w:rPr>
          <w:sz w:val="20"/>
          <w:szCs w:val="20"/>
          <w:color w:val="auto"/>
        </w:rPr>
      </w:pPr>
      <w:r>
        <w:rPr>
          <w:rFonts w:ascii="Calibri" w:cs="Calibri" w:eastAsia="Calibri" w:hAnsi="Calibri"/>
          <w:sz w:val="17"/>
          <w:szCs w:val="17"/>
          <w:color w:val="auto"/>
        </w:rPr>
        <w:t>The percentage of Relatve TSR-Linked PRSUs earned will be determined based on straight-line interpolaton to the extent the</w:t>
      </w:r>
    </w:p>
    <w:p>
      <w:pPr>
        <w:spacing w:after="0" w:line="1" w:lineRule="exact"/>
        <w:rPr>
          <w:sz w:val="20"/>
          <w:szCs w:val="20"/>
          <w:color w:val="auto"/>
        </w:rPr>
      </w:pPr>
    </w:p>
    <w:p>
      <w:pPr>
        <w:ind w:left="1580"/>
        <w:spacing w:after="0"/>
        <w:rPr>
          <w:sz w:val="20"/>
          <w:szCs w:val="20"/>
          <w:color w:val="auto"/>
        </w:rPr>
      </w:pPr>
      <w:r>
        <w:rPr>
          <w:rFonts w:ascii="Calibri" w:cs="Calibri" w:eastAsia="Calibri" w:hAnsi="Calibri"/>
          <w:sz w:val="17"/>
          <w:szCs w:val="17"/>
          <w:color w:val="auto"/>
        </w:rPr>
        <w:t>Company’s TSR falls in between the 20th and 80th percentles, as per the chart below:</w:t>
      </w:r>
    </w:p>
    <w:p>
      <w:pPr>
        <w:spacing w:after="0" w:line="235"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4320" w:type="dxa"/>
            <w:vAlign w:val="bottom"/>
          </w:tcPr>
          <w:p>
            <w:pPr>
              <w:jc w:val="center"/>
              <w:spacing w:after="0"/>
              <w:rPr>
                <w:sz w:val="20"/>
                <w:szCs w:val="20"/>
                <w:color w:val="auto"/>
              </w:rPr>
            </w:pPr>
            <w:r>
              <w:rPr>
                <w:rFonts w:ascii="Calibri" w:cs="Calibri" w:eastAsia="Calibri" w:hAnsi="Calibri"/>
                <w:sz w:val="17"/>
                <w:szCs w:val="17"/>
                <w:b w:val="1"/>
                <w:bCs w:val="1"/>
                <w:color w:val="FB4E0B"/>
              </w:rPr>
              <w:t>TSR peer group percentle</w:t>
            </w:r>
          </w:p>
        </w:tc>
        <w:tc>
          <w:tcPr>
            <w:tcW w:w="5020" w:type="dxa"/>
            <w:vAlign w:val="bottom"/>
          </w:tcPr>
          <w:p>
            <w:pPr>
              <w:ind w:left="1640"/>
              <w:spacing w:after="0"/>
              <w:rPr>
                <w:sz w:val="20"/>
                <w:szCs w:val="20"/>
                <w:color w:val="auto"/>
              </w:rPr>
            </w:pPr>
            <w:r>
              <w:rPr>
                <w:rFonts w:ascii="Calibri" w:cs="Calibri" w:eastAsia="Calibri" w:hAnsi="Calibri"/>
                <w:sz w:val="17"/>
                <w:szCs w:val="17"/>
                <w:b w:val="1"/>
                <w:bCs w:val="1"/>
                <w:color w:val="FB4E0B"/>
                <w:w w:val="99"/>
              </w:rPr>
              <w:t>Percentage of Relatve TSR-Linked PRSUs earned</w:t>
            </w:r>
          </w:p>
        </w:tc>
      </w:tr>
      <w:tr>
        <w:trPr>
          <w:trHeight w:val="55"/>
        </w:trPr>
        <w:tc>
          <w:tcPr>
            <w:tcW w:w="4320" w:type="dxa"/>
            <w:vAlign w:val="bottom"/>
            <w:tcBorders>
              <w:bottom w:val="single" w:sz="8" w:color="FB4E0B"/>
            </w:tcBorders>
          </w:tcPr>
          <w:p>
            <w:pPr>
              <w:spacing w:after="0"/>
              <w:rPr>
                <w:sz w:val="4"/>
                <w:szCs w:val="4"/>
                <w:color w:val="auto"/>
              </w:rPr>
            </w:pPr>
          </w:p>
        </w:tc>
        <w:tc>
          <w:tcPr>
            <w:tcW w:w="5020" w:type="dxa"/>
            <w:vAlign w:val="bottom"/>
            <w:tcBorders>
              <w:bottom w:val="single" w:sz="8" w:color="FB4E0B"/>
            </w:tcBorders>
          </w:tcPr>
          <w:p>
            <w:pPr>
              <w:spacing w:after="0"/>
              <w:rPr>
                <w:sz w:val="4"/>
                <w:szCs w:val="4"/>
                <w:color w:val="auto"/>
              </w:rPr>
            </w:pPr>
          </w:p>
        </w:tc>
      </w:tr>
      <w:tr>
        <w:trPr>
          <w:trHeight w:val="302"/>
        </w:trPr>
        <w:tc>
          <w:tcPr>
            <w:tcW w:w="43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80.0 or more</w:t>
            </w:r>
          </w:p>
        </w:tc>
        <w:tc>
          <w:tcPr>
            <w:tcW w:w="5020" w:type="dxa"/>
            <w:vAlign w:val="bottom"/>
          </w:tcPr>
          <w:p>
            <w:pPr>
              <w:jc w:val="center"/>
              <w:ind w:left="1553"/>
              <w:spacing w:after="0"/>
              <w:rPr>
                <w:sz w:val="20"/>
                <w:szCs w:val="20"/>
                <w:color w:val="auto"/>
              </w:rPr>
            </w:pPr>
            <w:r>
              <w:rPr>
                <w:rFonts w:ascii="Calibri" w:cs="Calibri" w:eastAsia="Calibri" w:hAnsi="Calibri"/>
                <w:sz w:val="17"/>
                <w:szCs w:val="17"/>
                <w:color w:val="auto"/>
                <w:w w:val="99"/>
              </w:rPr>
              <w:t>200%</w:t>
            </w:r>
          </w:p>
        </w:tc>
      </w:tr>
      <w:tr>
        <w:trPr>
          <w:trHeight w:val="127"/>
        </w:trPr>
        <w:tc>
          <w:tcPr>
            <w:tcW w:w="4320" w:type="dxa"/>
            <w:vAlign w:val="bottom"/>
            <w:tcBorders>
              <w:bottom w:val="single" w:sz="8" w:color="auto"/>
              <w:right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r>
      <w:tr>
        <w:trPr>
          <w:trHeight w:val="269"/>
        </w:trPr>
        <w:tc>
          <w:tcPr>
            <w:tcW w:w="43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65.0</w:t>
            </w:r>
          </w:p>
        </w:tc>
        <w:tc>
          <w:tcPr>
            <w:tcW w:w="5020" w:type="dxa"/>
            <w:vAlign w:val="bottom"/>
          </w:tcPr>
          <w:p>
            <w:pPr>
              <w:jc w:val="center"/>
              <w:ind w:left="1553"/>
              <w:spacing w:after="0"/>
              <w:rPr>
                <w:sz w:val="20"/>
                <w:szCs w:val="20"/>
                <w:color w:val="auto"/>
              </w:rPr>
            </w:pPr>
            <w:r>
              <w:rPr>
                <w:rFonts w:ascii="Calibri" w:cs="Calibri" w:eastAsia="Calibri" w:hAnsi="Calibri"/>
                <w:sz w:val="17"/>
                <w:szCs w:val="17"/>
                <w:color w:val="auto"/>
                <w:w w:val="99"/>
              </w:rPr>
              <w:t>150%</w:t>
            </w:r>
          </w:p>
        </w:tc>
      </w:tr>
      <w:tr>
        <w:trPr>
          <w:trHeight w:val="127"/>
        </w:trPr>
        <w:tc>
          <w:tcPr>
            <w:tcW w:w="4320" w:type="dxa"/>
            <w:vAlign w:val="bottom"/>
            <w:tcBorders>
              <w:bottom w:val="single" w:sz="8" w:color="auto"/>
              <w:right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r>
      <w:tr>
        <w:trPr>
          <w:trHeight w:val="269"/>
        </w:trPr>
        <w:tc>
          <w:tcPr>
            <w:tcW w:w="43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50.0</w:t>
            </w:r>
          </w:p>
        </w:tc>
        <w:tc>
          <w:tcPr>
            <w:tcW w:w="5020" w:type="dxa"/>
            <w:vAlign w:val="bottom"/>
          </w:tcPr>
          <w:p>
            <w:pPr>
              <w:jc w:val="center"/>
              <w:ind w:left="1553"/>
              <w:spacing w:after="0"/>
              <w:rPr>
                <w:sz w:val="20"/>
                <w:szCs w:val="20"/>
                <w:color w:val="auto"/>
              </w:rPr>
            </w:pPr>
            <w:r>
              <w:rPr>
                <w:rFonts w:ascii="Calibri" w:cs="Calibri" w:eastAsia="Calibri" w:hAnsi="Calibri"/>
                <w:sz w:val="17"/>
                <w:szCs w:val="17"/>
                <w:color w:val="auto"/>
                <w:w w:val="99"/>
              </w:rPr>
              <w:t>100%</w:t>
            </w:r>
          </w:p>
        </w:tc>
      </w:tr>
      <w:tr>
        <w:trPr>
          <w:trHeight w:val="127"/>
        </w:trPr>
        <w:tc>
          <w:tcPr>
            <w:tcW w:w="4320" w:type="dxa"/>
            <w:vAlign w:val="bottom"/>
            <w:tcBorders>
              <w:bottom w:val="single" w:sz="8" w:color="auto"/>
              <w:right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r>
      <w:tr>
        <w:trPr>
          <w:trHeight w:val="269"/>
        </w:trPr>
        <w:tc>
          <w:tcPr>
            <w:tcW w:w="43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35.0</w:t>
            </w:r>
          </w:p>
        </w:tc>
        <w:tc>
          <w:tcPr>
            <w:tcW w:w="5020" w:type="dxa"/>
            <w:vAlign w:val="bottom"/>
          </w:tcPr>
          <w:p>
            <w:pPr>
              <w:jc w:val="center"/>
              <w:ind w:left="1533"/>
              <w:spacing w:after="0"/>
              <w:rPr>
                <w:sz w:val="20"/>
                <w:szCs w:val="20"/>
                <w:color w:val="auto"/>
              </w:rPr>
            </w:pPr>
            <w:r>
              <w:rPr>
                <w:rFonts w:ascii="Calibri" w:cs="Calibri" w:eastAsia="Calibri" w:hAnsi="Calibri"/>
                <w:sz w:val="17"/>
                <w:szCs w:val="17"/>
                <w:color w:val="auto"/>
                <w:w w:val="95"/>
              </w:rPr>
              <w:t>50%</w:t>
            </w:r>
          </w:p>
        </w:tc>
      </w:tr>
      <w:tr>
        <w:trPr>
          <w:trHeight w:val="127"/>
        </w:trPr>
        <w:tc>
          <w:tcPr>
            <w:tcW w:w="4320" w:type="dxa"/>
            <w:vAlign w:val="bottom"/>
            <w:tcBorders>
              <w:bottom w:val="single" w:sz="8" w:color="auto"/>
              <w:right w:val="single" w:sz="8" w:color="auto"/>
            </w:tcBorders>
          </w:tcPr>
          <w:p>
            <w:pPr>
              <w:spacing w:after="0"/>
              <w:rPr>
                <w:sz w:val="11"/>
                <w:szCs w:val="11"/>
                <w:color w:val="auto"/>
              </w:rPr>
            </w:pPr>
          </w:p>
        </w:tc>
        <w:tc>
          <w:tcPr>
            <w:tcW w:w="5020" w:type="dxa"/>
            <w:vAlign w:val="bottom"/>
            <w:tcBorders>
              <w:bottom w:val="single" w:sz="8" w:color="auto"/>
            </w:tcBorders>
          </w:tcPr>
          <w:p>
            <w:pPr>
              <w:spacing w:after="0"/>
              <w:rPr>
                <w:sz w:val="11"/>
                <w:szCs w:val="11"/>
                <w:color w:val="auto"/>
              </w:rPr>
            </w:pPr>
          </w:p>
        </w:tc>
      </w:tr>
      <w:tr>
        <w:trPr>
          <w:trHeight w:val="269"/>
        </w:trPr>
        <w:tc>
          <w:tcPr>
            <w:tcW w:w="432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20.0 or less</w:t>
            </w:r>
          </w:p>
        </w:tc>
        <w:tc>
          <w:tcPr>
            <w:tcW w:w="5020" w:type="dxa"/>
            <w:vAlign w:val="bottom"/>
          </w:tcPr>
          <w:p>
            <w:pPr>
              <w:jc w:val="center"/>
              <w:ind w:left="1533"/>
              <w:spacing w:after="0"/>
              <w:rPr>
                <w:sz w:val="20"/>
                <w:szCs w:val="20"/>
                <w:color w:val="auto"/>
              </w:rPr>
            </w:pPr>
            <w:r>
              <w:rPr>
                <w:rFonts w:ascii="Calibri" w:cs="Calibri" w:eastAsia="Calibri" w:hAnsi="Calibri"/>
                <w:sz w:val="17"/>
                <w:szCs w:val="17"/>
                <w:color w:val="auto"/>
                <w:w w:val="96"/>
              </w:rPr>
              <w:t>0%</w:t>
            </w:r>
          </w:p>
        </w:tc>
      </w:tr>
      <w:tr>
        <w:trPr>
          <w:trHeight w:val="133"/>
        </w:trPr>
        <w:tc>
          <w:tcPr>
            <w:tcW w:w="4320" w:type="dxa"/>
            <w:vAlign w:val="bottom"/>
            <w:tcBorders>
              <w:bottom w:val="single" w:sz="8" w:color="FB4E0B"/>
              <w:right w:val="single" w:sz="8" w:color="auto"/>
            </w:tcBorders>
          </w:tcPr>
          <w:p>
            <w:pPr>
              <w:spacing w:after="0"/>
              <w:rPr>
                <w:sz w:val="11"/>
                <w:szCs w:val="11"/>
                <w:color w:val="auto"/>
              </w:rPr>
            </w:pPr>
          </w:p>
        </w:tc>
        <w:tc>
          <w:tcPr>
            <w:tcW w:w="5020" w:type="dxa"/>
            <w:vAlign w:val="bottom"/>
            <w:tcBorders>
              <w:bottom w:val="single" w:sz="8" w:color="FB4E0B"/>
            </w:tcBorders>
          </w:tcPr>
          <w:p>
            <w:pPr>
              <w:spacing w:after="0"/>
              <w:rPr>
                <w:sz w:val="11"/>
                <w:szCs w:val="11"/>
                <w:color w:val="auto"/>
              </w:rPr>
            </w:pPr>
          </w:p>
        </w:tc>
      </w:tr>
    </w:tbl>
    <w:p>
      <w:pPr>
        <w:spacing w:after="0" w:line="343" w:lineRule="exact"/>
        <w:rPr>
          <w:sz w:val="20"/>
          <w:szCs w:val="20"/>
          <w:color w:val="auto"/>
        </w:rPr>
      </w:pPr>
    </w:p>
    <w:p>
      <w:pPr>
        <w:ind w:left="1580" w:right="560" w:hanging="416"/>
        <w:spacing w:after="0" w:line="239" w:lineRule="auto"/>
        <w:rPr>
          <w:sz w:val="20"/>
          <w:szCs w:val="20"/>
          <w:color w:val="auto"/>
        </w:rPr>
      </w:pPr>
      <w:r>
        <w:rPr>
          <w:rFonts w:ascii="Calibri" w:cs="Calibri" w:eastAsia="Calibri" w:hAnsi="Calibri"/>
          <w:sz w:val="17"/>
          <w:szCs w:val="17"/>
          <w:color w:val="auto"/>
        </w:rPr>
        <w:t>–The Compensaton and Talent Management Commitee believes the PRSUs focus our executves on key drivers of our Company’s business that will ultmately lead to creaton of additonal stockholder value.</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In 2022, we also adopted a Share Matching Program (“SMP”) under the 2018 Plan to promote long-term ownership and alignment of executve and stockholder interest. The SMP generally enttles a partcipant to one restricted stock unit for every share of Company common stock newly acquired and held by the partcipant during a specifed acquisiton period, up to a pre-established maximum of $500,000. For purposes of the match, “newly acquired shares” includes the employee’s frst quarter 2022 open market purchases of our common stock, and/or, to the extent elected by the employee, the afer-tax value of equity vestng in the frst quarter 2022, in an amount between $100,000 to $500,000 per such employee. In general, as long as a partcipant contnues to hold his or her newly acquired shares and remains employed with the Company, the associated restricted stock units received will clif vest in two installments with one-third vestng on the second anniversary of the grant date and the remaining two-thirds vestng on the third anniversary of the grant date. In additon, each award agreement requires the executve to hold any shares of Company stock acquired under the SMP for a period of two years following the applicable setlement date. Accordingly, partcipaton in the SMP tes the executve’s compensaton to the Company’s stock performance for a total of fve years. The SMP is designed to encourage key executves to acquire a larger equity ownership interest (up to an additonal $1 million of stock value that efectvely must be held for fve years) in the Company, thereby further aligning the interests of these key executves with the interest of stockholders.</w:t>
      </w:r>
    </w:p>
    <w:p>
      <w:pPr>
        <w:spacing w:after="0" w:line="216"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Each of the NEOs, other than Mr. Kapoor, received a share matching award of 4,177 restricted stock units in 2022 as a result of his acquisiton of shares that qualifed under the SMP as newly acquired. Those NEOs took full advantage of this program and partcipated near the maximum limit, which shows our NEOs’ long-term commitment to the Company.</w:t>
      </w:r>
    </w:p>
    <w:p>
      <w:pPr>
        <w:spacing w:after="0" w:line="213"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Finally, our modifed executve stock ownership policy, which went into efect in 2022, doubles the amount of Company equity that each executve ofcer other than the CEO is expected to maintain (see “Maintain a robust stock ownership policy” on page 70), which serves to further align executve and stockholder interests.</w:t>
      </w:r>
    </w:p>
    <w:p>
      <w:pPr>
        <w:spacing w:after="0" w:line="298"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83</w:t>
      </w:r>
    </w:p>
    <w:p>
      <w:pPr>
        <w:sectPr>
          <w:pgSz w:w="11900" w:h="16838" w:orient="portrait"/>
          <w:cols w:equalWidth="0" w:num="1">
            <w:col w:w="10940"/>
          </w:cols>
          <w:pgMar w:left="320" w:top="471"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Payout of awards granted in prior fscal years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This was the third and fnal performance year for the 2020 performance-based restricted stock units. We achieved 101.6% of the revenue target for the revenue-linked restricted stock units resultng in 100% of target funding of those grants. The Company’s TSR performance was at the 97.6 percentle among its peer group, resultng in the executves earning 200% of the 2020 relatve TSR-linked restricted stock units pursuant to the terms of the original grant. No adjustments were made to the 2020 performance-based restricted stock units or the associated performance targets to account for the impact of the COVID-19 pandemic in the 2020, 2021 and 2022 fscal years.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 and perquisites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ofer employee benefts coverage in order to:</w:t>
      </w:r>
    </w:p>
    <w:p>
      <w:pPr>
        <w:spacing w:after="0" w:line="118" w:lineRule="exact"/>
        <w:rPr>
          <w:sz w:val="20"/>
          <w:szCs w:val="20"/>
          <w:color w:val="auto"/>
        </w:rPr>
      </w:pPr>
    </w:p>
    <w:p>
      <w:pPr>
        <w:ind w:left="1140" w:hanging="407"/>
        <w:spacing w:after="0"/>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provide our global workforce with a reasonable level of fnancial support in the event of illness or injury;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provide market-compettve benefts that enhance productvity and job satsfacton through programs that focus on work/life balance.</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benefts available for all U.S. employees include customary medical and dental coverage, disability insurance and life insurance. In additon, our 401(k) plan provides a reasonable level of retrement income refectng employees’ careers with us. A number of our U.S. employees, including our U.S.-based named executve ofcers, partcipate in these plans. The cost of employee benefts is partally borne by our employees, including our named executve ofcers. Our named executve ofcers in India, Mr. Bhalla, is eligible to partcipate in the Company’s pension beneft, health and welfare and fringe beneft plans otherwise available to executve employees in India.</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generally do not provide signifcant perquisites or personal benefts to executve ofcers other than our Vice Chairman and CEO and our executve ofcers in India. Our Vice Chairman and CEO is provided a limited number of perquisites which we believe are reasonable and consistent with market trends, which are intended to be part of a compettve overall compensaton program. A discussion of the benefts provided to our Vice Chairman and CEO is provided under “Employment agreements” beginning on page 90.</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Risk and compensaton policies</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Compensaton and Talent Management Commitee has taken into account its discussions with management and Farient regarding our compensaton practces and has concluded that any risks arising from our compensaton policies and practces are not reasonably likely to have a material adverse efect on the Company. This conclusion was based on the features of our compensaton programs, practces and policies set forth under “Executve compensaton program, practces and policies” on page 69.</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Severance and change-in-control benefts</w:t>
      </w:r>
    </w:p>
    <w:p>
      <w:pPr>
        <w:spacing w:after="0" w:line="115"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Each named executve ofcer, including Mr. Bhalla and Mr. Jetley as of April 2022, is party to an employment agreement that sets forth the terms of his or her employment, including compensaton, which was negotated through arms’-length contract negotatons. Under these employment agreements or leters, we are obligated to pay severance or other enhanced benefts upon</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84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80"/>
          </w:cols>
          <w:pgMar w:left="320" w:top="471" w:right="6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terminaton of their employment. A discussion of the severance and other enhanced benefts provided to our named executve ofcers is provided under “Potental payments upon terminaton or change in control at fscal 2022 year-end” beginning on page 95.</w:t>
      </w:r>
    </w:p>
    <w:p>
      <w:pPr>
        <w:spacing w:after="0" w:line="3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We have provided change-in-control severance protecton for some of our executve ofcers, including our named executve ofcers. Our Compensaton and Talent Management Commitee believes that such protecton is intended to preserve employee morale and productvity and encourage retenton in the face of the disruptve impact of an actual or rumored change in control. In additon, for executve ofcers, the program is intended to align executve ofcers’ and stockholders’ interests by enabling executve ofcers to consider corporate transactons that are in the best interests of our stockholders and other consttuents without undue concern over whether the transactons may jeopardize the executve ofcers’ own employment.</w:t>
      </w:r>
    </w:p>
    <w:p>
      <w:pPr>
        <w:spacing w:after="0" w:line="211"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Senior executve ofcers, including our named executve ofcers, have enhanced levels of benefts based on their job level, seniority and probable loss of employment afer a change in control. We also consider it likely that it will take more tme for senior executve ofcers to fnd new employment.</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Deductbility cap on executve compensaton</w:t>
      </w:r>
    </w:p>
    <w:p>
      <w:pPr>
        <w:spacing w:after="0" w:line="114"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As in the past, our Compensaton and Talent Management Commitee expects to contnue to take into consideraton the tax deductbility of compensaton, but reserves the right to authorize payments that may not be deductble if it believes that the payments are appropriate and consistent with our compensaton philosophy.</w:t>
      </w:r>
    </w:p>
    <w:p>
      <w:pPr>
        <w:spacing w:after="0" w:line="213"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Despite the limited availability of Code Secton 162(m) performance-based compensaton exceptons following the Tax Cuts and Jobs Act of 2017, our Compensaton and Talent Management Commitee does not antcipate a shif away from variable or performance-based compensaton payable to our named executve ofcers. Similarly, we do not expect to apply less rigor in the process by which we establish performance goals or evaluate performance against pre-established goals with respect to compensaton paid to our named executve ofcers.</w:t>
      </w:r>
    </w:p>
    <w:p>
      <w:pPr>
        <w:spacing w:after="0" w:line="296"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85</w:t>
      </w:r>
    </w:p>
    <w:p>
      <w:pPr>
        <w:sectPr>
          <w:pgSz w:w="11900" w:h="16838" w:orient="portrait"/>
          <w:cols w:equalWidth="0" w:num="1">
            <w:col w:w="10940"/>
          </w:cols>
          <w:pgMar w:left="320" w:top="471"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and Talent Management Commitee Report</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and Talent Management Commitee of the board of directors of ExlService Holdings, Inc. has reviewed and discussed the Compensaton Discussion and Analysis with our management and, based on such review and discussion, has recommended to the board of directors of ExlService Holdings, Inc. that the Compensaton Discussion and Analysis be included in our Annual Report on Form 10-K for the fscal year ended December 31, 2022, and our Proxy Statement relatng to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Compensaton and Talent Management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M. Studenmund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Anne Minto</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Som Mital</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Clyde W. Ostler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Vikram Pandit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86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compensaton table for fscal year 2022</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years 2020, 2021 and 2022 by our named executve ofcers: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30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7"/>
              </w:rPr>
              <w:t>Change in</w:t>
            </w:r>
          </w:p>
        </w:tc>
        <w:tc>
          <w:tcPr>
            <w:tcW w:w="10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pension value</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0"/>
              </w:rPr>
              <w:t>and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Non-equity</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nonqualifed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incentve</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deferred</w:t>
            </w: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4"/>
              </w:rPr>
              <w:t>plan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All other</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Name and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Salary</w:t>
            </w:r>
          </w:p>
        </w:tc>
        <w:tc>
          <w:tcPr>
            <w:tcW w:w="380" w:type="dxa"/>
            <w:vAlign w:val="bottom"/>
          </w:tcPr>
          <w:p>
            <w:pPr>
              <w:spacing w:after="0"/>
              <w:rPr>
                <w:sz w:val="14"/>
                <w:szCs w:val="14"/>
                <w:color w:val="auto"/>
              </w:rPr>
            </w:pPr>
          </w:p>
        </w:tc>
        <w:tc>
          <w:tcPr>
            <w:tcW w:w="740" w:type="dxa"/>
            <w:vAlign w:val="bottom"/>
          </w:tcPr>
          <w:p>
            <w:pPr>
              <w:jc w:val="right"/>
              <w:ind w:right="151"/>
              <w:spacing w:after="0" w:line="169" w:lineRule="exact"/>
              <w:rPr>
                <w:sz w:val="20"/>
                <w:szCs w:val="20"/>
                <w:color w:val="auto"/>
              </w:rPr>
            </w:pPr>
            <w:r>
              <w:rPr>
                <w:rFonts w:ascii="Calibri" w:cs="Calibri" w:eastAsia="Calibri" w:hAnsi="Calibri"/>
                <w:sz w:val="14"/>
                <w:szCs w:val="14"/>
                <w:b w:val="1"/>
                <w:bCs w:val="1"/>
                <w:color w:val="auto"/>
              </w:rPr>
              <w:t>Bonus</w:t>
            </w:r>
          </w:p>
        </w:tc>
        <w:tc>
          <w:tcPr>
            <w:tcW w:w="8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earnings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340" w:type="dxa"/>
            <w:vAlign w:val="bottom"/>
          </w:tcPr>
          <w:p>
            <w:pPr>
              <w:spacing w:after="0"/>
              <w:rPr>
                <w:sz w:val="14"/>
                <w:szCs w:val="14"/>
                <w:color w:val="auto"/>
              </w:rPr>
            </w:pPr>
          </w:p>
        </w:tc>
        <w:tc>
          <w:tcPr>
            <w:tcW w:w="860" w:type="dxa"/>
            <w:vAlign w:val="bottom"/>
          </w:tcPr>
          <w:p>
            <w:pPr>
              <w:jc w:val="right"/>
              <w:ind w:right="211"/>
              <w:spacing w:after="0" w:line="169"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252"/>
        </w:trPr>
        <w:tc>
          <w:tcPr>
            <w:tcW w:w="3020" w:type="dxa"/>
            <w:vAlign w:val="bottom"/>
            <w:tcBorders>
              <w:bottom w:val="single" w:sz="8" w:color="auto"/>
            </w:tcBorders>
          </w:tcPr>
          <w:p>
            <w:pPr>
              <w:ind w:left="60"/>
              <w:spacing w:after="0" w:line="169" w:lineRule="exact"/>
              <w:rPr>
                <w:sz w:val="20"/>
                <w:szCs w:val="20"/>
                <w:color w:val="auto"/>
              </w:rPr>
            </w:pPr>
            <w:r>
              <w:rPr>
                <w:rFonts w:ascii="Calibri" w:cs="Calibri" w:eastAsia="Calibri" w:hAnsi="Calibri"/>
                <w:sz w:val="14"/>
                <w:szCs w:val="14"/>
                <w:b w:val="1"/>
                <w:bCs w:val="1"/>
                <w:color w:val="FB4E0B"/>
              </w:rPr>
              <w:t>principal positon</w:t>
            </w: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40"/>
              <w:spacing w:after="0"/>
              <w:rPr>
                <w:sz w:val="20"/>
                <w:szCs w:val="20"/>
                <w:color w:val="auto"/>
              </w:rPr>
            </w:pPr>
            <w:r>
              <w:rPr>
                <w:rFonts w:ascii="Calibri" w:cs="Calibri" w:eastAsia="Calibri" w:hAnsi="Calibri"/>
                <w:sz w:val="14"/>
                <w:szCs w:val="14"/>
                <w:b w:val="1"/>
                <w:bCs w:val="1"/>
                <w:color w:val="auto"/>
              </w:rPr>
              <w:t>Year</w:t>
            </w:r>
          </w:p>
        </w:tc>
        <w:tc>
          <w:tcPr>
            <w:tcW w:w="820" w:type="dxa"/>
            <w:vAlign w:val="bottom"/>
            <w:tcBorders>
              <w:bottom w:val="single" w:sz="8" w:color="auto"/>
            </w:tcBorders>
          </w:tcPr>
          <w:p>
            <w:pPr>
              <w:jc w:val="right"/>
              <w:ind w:right="231"/>
              <w:spacing w:after="0" w:line="169" w:lineRule="exact"/>
              <w:rPr>
                <w:sz w:val="20"/>
                <w:szCs w:val="20"/>
                <w:color w:val="auto"/>
              </w:rPr>
            </w:pPr>
            <w:r>
              <w:rPr>
                <w:rFonts w:ascii="Calibri" w:cs="Calibri" w:eastAsia="Calibri" w:hAnsi="Calibri"/>
                <w:sz w:val="14"/>
                <w:szCs w:val="14"/>
                <w:b w:val="1"/>
                <w:bCs w:val="1"/>
                <w:color w:val="auto"/>
              </w:rPr>
              <w:t>($)</w:t>
            </w:r>
          </w:p>
        </w:tc>
        <w:tc>
          <w:tcPr>
            <w:tcW w:w="3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1"/>
              <w:spacing w:after="0" w:line="169" w:lineRule="exact"/>
              <w:rPr>
                <w:sz w:val="20"/>
                <w:szCs w:val="20"/>
                <w:color w:val="auto"/>
              </w:rPr>
            </w:pPr>
            <w:r>
              <w:rPr>
                <w:rFonts w:ascii="Calibri" w:cs="Calibri" w:eastAsia="Calibri" w:hAnsi="Calibri"/>
                <w:sz w:val="14"/>
                <w:szCs w:val="14"/>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(2)</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(3)</w:t>
            </w:r>
          </w:p>
        </w:tc>
        <w:tc>
          <w:tcPr>
            <w:tcW w:w="10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(4)</w:t>
            </w:r>
          </w:p>
        </w:tc>
        <w:tc>
          <w:tcPr>
            <w:tcW w:w="1040" w:type="dxa"/>
            <w:vAlign w:val="bottom"/>
            <w:tcBorders>
              <w:bottom w:val="single" w:sz="8" w:color="auto"/>
            </w:tcBorders>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1"/>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159"/>
        </w:trPr>
        <w:tc>
          <w:tcPr>
            <w:tcW w:w="3020" w:type="dxa"/>
            <w:vAlign w:val="bottom"/>
          </w:tcPr>
          <w:p>
            <w:pPr>
              <w:ind w:left="60"/>
              <w:spacing w:after="0" w:line="159" w:lineRule="exact"/>
              <w:rPr>
                <w:sz w:val="20"/>
                <w:szCs w:val="20"/>
                <w:color w:val="auto"/>
              </w:rPr>
            </w:pPr>
            <w:r>
              <w:rPr>
                <w:rFonts w:ascii="Calibri" w:cs="Calibri" w:eastAsia="Calibri" w:hAnsi="Calibri"/>
                <w:sz w:val="14"/>
                <w:szCs w:val="14"/>
                <w:b w:val="1"/>
                <w:bCs w:val="1"/>
                <w:color w:val="auto"/>
              </w:rPr>
              <w:t>Rohit Kapoor</w:t>
            </w:r>
          </w:p>
        </w:tc>
        <w:tc>
          <w:tcPr>
            <w:tcW w:w="540" w:type="dxa"/>
            <w:vAlign w:val="bottom"/>
            <w:gridSpan w:val="2"/>
          </w:tcPr>
          <w:p>
            <w:pPr>
              <w:ind w:left="220"/>
              <w:spacing w:after="0" w:line="159" w:lineRule="exact"/>
              <w:rPr>
                <w:sz w:val="20"/>
                <w:szCs w:val="20"/>
                <w:color w:val="auto"/>
              </w:rPr>
            </w:pPr>
            <w:r>
              <w:rPr>
                <w:rFonts w:ascii="Calibri" w:cs="Calibri" w:eastAsia="Calibri" w:hAnsi="Calibri"/>
                <w:sz w:val="14"/>
                <w:szCs w:val="14"/>
                <w:color w:val="auto"/>
              </w:rPr>
              <w:t>2022</w:t>
            </w:r>
          </w:p>
        </w:tc>
        <w:tc>
          <w:tcPr>
            <w:tcW w:w="82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766,384</w:t>
            </w:r>
          </w:p>
        </w:tc>
        <w:tc>
          <w:tcPr>
            <w:tcW w:w="380" w:type="dxa"/>
            <w:vAlign w:val="bottom"/>
          </w:tcPr>
          <w:p>
            <w:pPr>
              <w:spacing w:after="0"/>
              <w:rPr>
                <w:sz w:val="13"/>
                <w:szCs w:val="13"/>
                <w:color w:val="auto"/>
              </w:rPr>
            </w:pPr>
          </w:p>
        </w:tc>
        <w:tc>
          <w:tcPr>
            <w:tcW w:w="74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8,356,213</w:t>
            </w:r>
          </w:p>
        </w:tc>
        <w:tc>
          <w:tcPr>
            <w:tcW w:w="104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1,829,887</w:t>
            </w:r>
          </w:p>
        </w:tc>
        <w:tc>
          <w:tcPr>
            <w:tcW w:w="10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58,423</w:t>
            </w:r>
          </w:p>
        </w:tc>
        <w:tc>
          <w:tcPr>
            <w:tcW w:w="340" w:type="dxa"/>
            <w:vAlign w:val="bottom"/>
          </w:tcPr>
          <w:p>
            <w:pPr>
              <w:jc w:val="right"/>
              <w:ind w:right="68"/>
              <w:spacing w:after="0"/>
              <w:rPr>
                <w:sz w:val="20"/>
                <w:szCs w:val="20"/>
                <w:color w:val="auto"/>
              </w:rPr>
            </w:pPr>
            <w:r>
              <w:rPr>
                <w:rFonts w:ascii="Calibri" w:cs="Calibri" w:eastAsia="Calibri" w:hAnsi="Calibri"/>
                <w:sz w:val="10"/>
                <w:szCs w:val="10"/>
                <w:color w:val="auto"/>
              </w:rPr>
              <w:t>(5)</w:t>
            </w:r>
          </w:p>
        </w:tc>
        <w:tc>
          <w:tcPr>
            <w:tcW w:w="86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11,010,906</w:t>
            </w:r>
          </w:p>
        </w:tc>
        <w:tc>
          <w:tcPr>
            <w:tcW w:w="0" w:type="dxa"/>
            <w:vAlign w:val="bottom"/>
          </w:tcPr>
          <w:p>
            <w:pPr>
              <w:spacing w:after="0"/>
              <w:rPr>
                <w:sz w:val="1"/>
                <w:szCs w:val="1"/>
                <w:color w:val="auto"/>
              </w:rPr>
            </w:pPr>
          </w:p>
        </w:tc>
      </w:tr>
      <w:tr>
        <w:trPr>
          <w:trHeight w:val="284"/>
        </w:trPr>
        <w:tc>
          <w:tcPr>
            <w:tcW w:w="3020" w:type="dxa"/>
            <w:vAlign w:val="bottom"/>
          </w:tcPr>
          <w:p>
            <w:pPr>
              <w:ind w:left="60"/>
              <w:spacing w:after="0"/>
              <w:rPr>
                <w:sz w:val="20"/>
                <w:szCs w:val="20"/>
                <w:color w:val="auto"/>
              </w:rPr>
            </w:pPr>
            <w:r>
              <w:rPr>
                <w:rFonts w:ascii="Calibri" w:cs="Calibri" w:eastAsia="Calibri" w:hAnsi="Calibri"/>
                <w:sz w:val="14"/>
                <w:szCs w:val="14"/>
                <w:color w:val="auto"/>
              </w:rPr>
              <w:t>Vice Chairman &amp; CEO</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2021</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742,603</w:t>
            </w:r>
          </w:p>
        </w:tc>
        <w:tc>
          <w:tcPr>
            <w:tcW w:w="38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7,209,918</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2,050,000</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31,068</w:t>
            </w:r>
          </w:p>
        </w:tc>
        <w:tc>
          <w:tcPr>
            <w:tcW w:w="34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10,033,589</w:t>
            </w:r>
          </w:p>
        </w:tc>
        <w:tc>
          <w:tcPr>
            <w:tcW w:w="0" w:type="dxa"/>
            <w:vAlign w:val="bottom"/>
          </w:tcPr>
          <w:p>
            <w:pPr>
              <w:spacing w:after="0"/>
              <w:rPr>
                <w:sz w:val="1"/>
                <w:szCs w:val="1"/>
                <w:color w:val="auto"/>
              </w:rPr>
            </w:pPr>
          </w:p>
        </w:tc>
      </w:tr>
      <w:tr>
        <w:trPr>
          <w:trHeight w:val="204"/>
        </w:trPr>
        <w:tc>
          <w:tcPr>
            <w:tcW w:w="3020" w:type="dxa"/>
            <w:vAlign w:val="bottom"/>
          </w:tcPr>
          <w:p>
            <w:pPr>
              <w:spacing w:after="0"/>
              <w:rPr>
                <w:sz w:val="17"/>
                <w:szCs w:val="17"/>
                <w:color w:val="auto"/>
              </w:rPr>
            </w:pP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2020</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599,016</w:t>
            </w:r>
          </w:p>
        </w:tc>
        <w:tc>
          <w:tcPr>
            <w:tcW w:w="380" w:type="dxa"/>
            <w:vAlign w:val="bottom"/>
          </w:tcPr>
          <w:p>
            <w:pPr>
              <w:spacing w:after="0"/>
              <w:rPr>
                <w:sz w:val="17"/>
                <w:szCs w:val="17"/>
                <w:color w:val="auto"/>
              </w:rPr>
            </w:pP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5,701,209</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810,000</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31,041</w:t>
            </w:r>
          </w:p>
        </w:tc>
        <w:tc>
          <w:tcPr>
            <w:tcW w:w="340" w:type="dxa"/>
            <w:vAlign w:val="bottom"/>
          </w:tcPr>
          <w:p>
            <w:pPr>
              <w:spacing w:after="0"/>
              <w:rPr>
                <w:sz w:val="17"/>
                <w:szCs w:val="17"/>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7,141,267</w:t>
            </w:r>
          </w:p>
        </w:tc>
        <w:tc>
          <w:tcPr>
            <w:tcW w:w="0" w:type="dxa"/>
            <w:vAlign w:val="bottom"/>
          </w:tcPr>
          <w:p>
            <w:pPr>
              <w:spacing w:after="0"/>
              <w:rPr>
                <w:sz w:val="1"/>
                <w:szCs w:val="1"/>
                <w:color w:val="auto"/>
              </w:rPr>
            </w:pPr>
          </w:p>
        </w:tc>
      </w:tr>
      <w:tr>
        <w:trPr>
          <w:trHeight w:val="186"/>
        </w:trPr>
        <w:tc>
          <w:tcPr>
            <w:tcW w:w="302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Maurizio Nicolelli</w:t>
            </w:r>
          </w:p>
        </w:tc>
        <w:tc>
          <w:tcPr>
            <w:tcW w:w="540" w:type="dxa"/>
            <w:vAlign w:val="bottom"/>
            <w:gridSpan w:val="2"/>
            <w:shd w:val="clear" w:color="auto" w:fill="D8D8D8"/>
          </w:tcPr>
          <w:p>
            <w:pPr>
              <w:ind w:left="220"/>
              <w:spacing w:after="0"/>
              <w:rPr>
                <w:sz w:val="20"/>
                <w:szCs w:val="20"/>
                <w:color w:val="auto"/>
              </w:rPr>
            </w:pPr>
            <w:r>
              <w:rPr>
                <w:rFonts w:ascii="Calibri" w:cs="Calibri" w:eastAsia="Calibri" w:hAnsi="Calibri"/>
                <w:sz w:val="14"/>
                <w:szCs w:val="14"/>
                <w:color w:val="auto"/>
              </w:rPr>
              <w:t>2022</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483,822</w:t>
            </w:r>
          </w:p>
        </w:tc>
        <w:tc>
          <w:tcPr>
            <w:tcW w:w="380" w:type="dxa"/>
            <w:vAlign w:val="bottom"/>
            <w:shd w:val="clear" w:color="auto" w:fill="D8D8D8"/>
          </w:tcPr>
          <w:p>
            <w:pPr>
              <w:spacing w:after="0"/>
              <w:rPr>
                <w:sz w:val="16"/>
                <w:szCs w:val="16"/>
                <w:color w:val="auto"/>
              </w:rPr>
            </w:pPr>
          </w:p>
        </w:tc>
        <w:tc>
          <w:tcPr>
            <w:tcW w:w="7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1,810,865</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554.929</w:t>
            </w:r>
          </w:p>
        </w:tc>
        <w:tc>
          <w:tcPr>
            <w:tcW w:w="1040" w:type="dxa"/>
            <w:vAlign w:val="bottom"/>
            <w:shd w:val="clear" w:color="auto" w:fill="D8D8D8"/>
          </w:tcPr>
          <w:p>
            <w:pPr>
              <w:spacing w:after="0"/>
              <w:rPr>
                <w:sz w:val="16"/>
                <w:szCs w:val="16"/>
                <w:color w:val="auto"/>
              </w:rPr>
            </w:pP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9,654</w:t>
            </w:r>
          </w:p>
        </w:tc>
        <w:tc>
          <w:tcPr>
            <w:tcW w:w="340" w:type="dxa"/>
            <w:vAlign w:val="bottom"/>
            <w:shd w:val="clear" w:color="auto" w:fill="D8D8D8"/>
          </w:tcPr>
          <w:p>
            <w:pPr>
              <w:jc w:val="right"/>
              <w:ind w:right="68"/>
              <w:spacing w:after="0"/>
              <w:rPr>
                <w:sz w:val="20"/>
                <w:szCs w:val="20"/>
                <w:color w:val="auto"/>
              </w:rPr>
            </w:pPr>
            <w:r>
              <w:rPr>
                <w:rFonts w:ascii="Calibri" w:cs="Calibri" w:eastAsia="Calibri" w:hAnsi="Calibri"/>
                <w:sz w:val="10"/>
                <w:szCs w:val="10"/>
                <w:color w:val="auto"/>
              </w:rPr>
              <w:t>(6)</w:t>
            </w: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2,859,270</w:t>
            </w:r>
          </w:p>
        </w:tc>
        <w:tc>
          <w:tcPr>
            <w:tcW w:w="0" w:type="dxa"/>
            <w:vAlign w:val="bottom"/>
          </w:tcPr>
          <w:p>
            <w:pPr>
              <w:spacing w:after="0"/>
              <w:rPr>
                <w:sz w:val="1"/>
                <w:szCs w:val="1"/>
                <w:color w:val="auto"/>
              </w:rPr>
            </w:pPr>
          </w:p>
        </w:tc>
      </w:tr>
      <w:tr>
        <w:trPr>
          <w:trHeight w:val="299"/>
        </w:trPr>
        <w:tc>
          <w:tcPr>
            <w:tcW w:w="302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Executve Vice</w:t>
            </w:r>
          </w:p>
        </w:tc>
        <w:tc>
          <w:tcPr>
            <w:tcW w:w="180" w:type="dxa"/>
            <w:vAlign w:val="bottom"/>
            <w:shd w:val="clear" w:color="auto" w:fill="D8D8D8"/>
          </w:tcPr>
          <w:p>
            <w:pPr>
              <w:spacing w:after="0"/>
              <w:rPr>
                <w:sz w:val="24"/>
                <w:szCs w:val="24"/>
                <w:color w:val="auto"/>
              </w:rPr>
            </w:pPr>
          </w:p>
        </w:tc>
        <w:tc>
          <w:tcPr>
            <w:tcW w:w="360" w:type="dxa"/>
            <w:vAlign w:val="bottom"/>
            <w:shd w:val="clear" w:color="auto" w:fill="D8D8D8"/>
          </w:tcPr>
          <w:p>
            <w:pPr>
              <w:ind w:left="40"/>
              <w:spacing w:after="0"/>
              <w:rPr>
                <w:sz w:val="20"/>
                <w:szCs w:val="20"/>
                <w:color w:val="auto"/>
              </w:rPr>
            </w:pPr>
            <w:r>
              <w:rPr>
                <w:rFonts w:ascii="Calibri" w:cs="Calibri" w:eastAsia="Calibri" w:hAnsi="Calibri"/>
                <w:sz w:val="14"/>
                <w:szCs w:val="14"/>
                <w:color w:val="auto"/>
              </w:rPr>
              <w:t>2021</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475,000</w:t>
            </w:r>
          </w:p>
        </w:tc>
        <w:tc>
          <w:tcPr>
            <w:tcW w:w="380" w:type="dxa"/>
            <w:vAlign w:val="bottom"/>
            <w:shd w:val="clear" w:color="auto" w:fill="D8D8D8"/>
          </w:tcPr>
          <w:p>
            <w:pPr>
              <w:spacing w:after="0"/>
              <w:rPr>
                <w:sz w:val="24"/>
                <w:szCs w:val="24"/>
                <w:color w:val="auto"/>
              </w:rPr>
            </w:pPr>
          </w:p>
        </w:tc>
        <w:tc>
          <w:tcPr>
            <w:tcW w:w="7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100,000</w:t>
            </w:r>
          </w:p>
        </w:tc>
        <w:tc>
          <w:tcPr>
            <w:tcW w:w="8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2,220,441</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640,498</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9,204</w:t>
            </w:r>
          </w:p>
        </w:tc>
        <w:tc>
          <w:tcPr>
            <w:tcW w:w="34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3,445,143</w:t>
            </w:r>
          </w:p>
        </w:tc>
        <w:tc>
          <w:tcPr>
            <w:tcW w:w="0" w:type="dxa"/>
            <w:vAlign w:val="bottom"/>
          </w:tcPr>
          <w:p>
            <w:pPr>
              <w:spacing w:after="0"/>
              <w:rPr>
                <w:sz w:val="1"/>
                <w:szCs w:val="1"/>
                <w:color w:val="auto"/>
              </w:rPr>
            </w:pPr>
          </w:p>
        </w:tc>
      </w:tr>
      <w:tr>
        <w:trPr>
          <w:trHeight w:val="193"/>
        </w:trPr>
        <w:tc>
          <w:tcPr>
            <w:tcW w:w="3020" w:type="dxa"/>
            <w:vAlign w:val="bottom"/>
            <w:tcBorders>
              <w:bottom w:val="single" w:sz="8" w:color="D8D8D8"/>
            </w:tcBorders>
            <w:shd w:val="clear" w:color="auto" w:fill="D8D8D8"/>
          </w:tcPr>
          <w:p>
            <w:pPr>
              <w:ind w:left="60"/>
              <w:spacing w:after="0"/>
              <w:rPr>
                <w:sz w:val="20"/>
                <w:szCs w:val="20"/>
                <w:color w:val="auto"/>
              </w:rPr>
            </w:pPr>
            <w:r>
              <w:rPr>
                <w:rFonts w:ascii="Calibri" w:cs="Calibri" w:eastAsia="Calibri" w:hAnsi="Calibri"/>
                <w:sz w:val="14"/>
                <w:szCs w:val="14"/>
                <w:color w:val="auto"/>
              </w:rPr>
              <w:t>President and CFO</w:t>
            </w:r>
          </w:p>
        </w:tc>
        <w:tc>
          <w:tcPr>
            <w:tcW w:w="180" w:type="dxa"/>
            <w:vAlign w:val="bottom"/>
            <w:tcBorders>
              <w:bottom w:val="single" w:sz="8" w:color="D8D8D8"/>
            </w:tcBorders>
            <w:shd w:val="clear" w:color="auto" w:fill="D8D8D8"/>
          </w:tcPr>
          <w:p>
            <w:pPr>
              <w:spacing w:after="0"/>
              <w:rPr>
                <w:sz w:val="16"/>
                <w:szCs w:val="16"/>
                <w:color w:val="auto"/>
              </w:rPr>
            </w:pPr>
          </w:p>
        </w:tc>
        <w:tc>
          <w:tcPr>
            <w:tcW w:w="360" w:type="dxa"/>
            <w:vAlign w:val="bottom"/>
            <w:tcBorders>
              <w:bottom w:val="single" w:sz="8" w:color="D8D8D8"/>
            </w:tcBorders>
            <w:shd w:val="clear" w:color="auto" w:fill="D8D8D8"/>
          </w:tcPr>
          <w:p>
            <w:pPr>
              <w:ind w:left="40"/>
              <w:spacing w:after="0"/>
              <w:rPr>
                <w:sz w:val="20"/>
                <w:szCs w:val="20"/>
                <w:color w:val="auto"/>
              </w:rPr>
            </w:pPr>
            <w:r>
              <w:rPr>
                <w:rFonts w:ascii="Calibri" w:cs="Calibri" w:eastAsia="Calibri" w:hAnsi="Calibri"/>
                <w:sz w:val="14"/>
                <w:szCs w:val="14"/>
                <w:color w:val="auto"/>
              </w:rPr>
              <w:t>2020</w:t>
            </w:r>
          </w:p>
        </w:tc>
        <w:tc>
          <w:tcPr>
            <w:tcW w:w="82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384,283</w:t>
            </w:r>
          </w:p>
        </w:tc>
        <w:tc>
          <w:tcPr>
            <w:tcW w:w="380" w:type="dxa"/>
            <w:vAlign w:val="bottom"/>
            <w:tcBorders>
              <w:bottom w:val="single" w:sz="8" w:color="D8D8D8"/>
            </w:tcBorders>
            <w:shd w:val="clear" w:color="auto" w:fill="D8D8D8"/>
          </w:tcPr>
          <w:p>
            <w:pPr>
              <w:spacing w:after="0"/>
              <w:rPr>
                <w:sz w:val="16"/>
                <w:szCs w:val="16"/>
                <w:color w:val="auto"/>
              </w:rPr>
            </w:pPr>
          </w:p>
        </w:tc>
        <w:tc>
          <w:tcPr>
            <w:tcW w:w="740" w:type="dxa"/>
            <w:vAlign w:val="bottom"/>
            <w:tcBorders>
              <w:bottom w:val="single" w:sz="8" w:color="D8D8D8"/>
            </w:tcBorders>
            <w:shd w:val="clear" w:color="auto" w:fill="D8D8D8"/>
          </w:tcPr>
          <w:p>
            <w:pPr>
              <w:jc w:val="right"/>
              <w:ind w:right="71"/>
              <w:spacing w:after="0"/>
              <w:rPr>
                <w:sz w:val="20"/>
                <w:szCs w:val="20"/>
                <w:color w:val="auto"/>
              </w:rPr>
            </w:pPr>
            <w:r>
              <w:rPr>
                <w:rFonts w:ascii="Calibri" w:cs="Calibri" w:eastAsia="Calibri" w:hAnsi="Calibri"/>
                <w:sz w:val="14"/>
                <w:szCs w:val="14"/>
                <w:color w:val="auto"/>
              </w:rPr>
              <w:t>125,000</w:t>
            </w:r>
          </w:p>
        </w:tc>
        <w:tc>
          <w:tcPr>
            <w:tcW w:w="80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1,166,955</w:t>
            </w:r>
          </w:p>
        </w:tc>
        <w:tc>
          <w:tcPr>
            <w:tcW w:w="104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243,097</w:t>
            </w:r>
          </w:p>
        </w:tc>
        <w:tc>
          <w:tcPr>
            <w:tcW w:w="1040" w:type="dxa"/>
            <w:vAlign w:val="bottom"/>
            <w:tcBorders>
              <w:bottom w:val="single" w:sz="8" w:color="D8D8D8"/>
            </w:tcBorders>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8D8D8"/>
            </w:tcBorders>
            <w:shd w:val="clear" w:color="auto" w:fill="D8D8D8"/>
          </w:tcPr>
          <w:p>
            <w:pPr>
              <w:jc w:val="right"/>
              <w:ind w:right="31"/>
              <w:spacing w:after="0"/>
              <w:rPr>
                <w:sz w:val="20"/>
                <w:szCs w:val="20"/>
                <w:color w:val="auto"/>
              </w:rPr>
            </w:pPr>
            <w:r>
              <w:rPr>
                <w:rFonts w:ascii="Calibri" w:cs="Calibri" w:eastAsia="Calibri" w:hAnsi="Calibri"/>
                <w:sz w:val="14"/>
                <w:szCs w:val="14"/>
                <w:color w:val="auto"/>
              </w:rPr>
              <w:t>8,970</w:t>
            </w:r>
          </w:p>
        </w:tc>
        <w:tc>
          <w:tcPr>
            <w:tcW w:w="340" w:type="dxa"/>
            <w:vAlign w:val="bottom"/>
            <w:tcBorders>
              <w:bottom w:val="single" w:sz="8" w:color="D8D8D8"/>
            </w:tcBorders>
            <w:shd w:val="clear" w:color="auto" w:fill="D8D8D8"/>
          </w:tcPr>
          <w:p>
            <w:pPr>
              <w:spacing w:after="0"/>
              <w:rPr>
                <w:sz w:val="16"/>
                <w:szCs w:val="16"/>
                <w:color w:val="auto"/>
              </w:rPr>
            </w:pPr>
          </w:p>
        </w:tc>
        <w:tc>
          <w:tcPr>
            <w:tcW w:w="860" w:type="dxa"/>
            <w:vAlign w:val="bottom"/>
            <w:tcBorders>
              <w:bottom w:val="single" w:sz="8" w:color="D8D8D8"/>
            </w:tcBorders>
            <w:shd w:val="clear" w:color="auto" w:fill="D8D8D8"/>
          </w:tcPr>
          <w:p>
            <w:pPr>
              <w:jc w:val="right"/>
              <w:ind w:right="31"/>
              <w:spacing w:after="0"/>
              <w:rPr>
                <w:sz w:val="20"/>
                <w:szCs w:val="20"/>
                <w:color w:val="auto"/>
              </w:rPr>
            </w:pPr>
            <w:r>
              <w:rPr>
                <w:rFonts w:ascii="Calibri" w:cs="Calibri" w:eastAsia="Calibri" w:hAnsi="Calibri"/>
                <w:sz w:val="14"/>
                <w:szCs w:val="14"/>
                <w:color w:val="auto"/>
              </w:rPr>
              <w:t>1,928,305</w:t>
            </w:r>
          </w:p>
        </w:tc>
        <w:tc>
          <w:tcPr>
            <w:tcW w:w="0" w:type="dxa"/>
            <w:vAlign w:val="bottom"/>
          </w:tcPr>
          <w:p>
            <w:pPr>
              <w:spacing w:after="0"/>
              <w:rPr>
                <w:sz w:val="1"/>
                <w:szCs w:val="1"/>
                <w:color w:val="auto"/>
              </w:rPr>
            </w:pPr>
          </w:p>
        </w:tc>
      </w:tr>
      <w:tr>
        <w:trPr>
          <w:trHeight w:val="177"/>
        </w:trPr>
        <w:tc>
          <w:tcPr>
            <w:tcW w:w="3020" w:type="dxa"/>
            <w:vAlign w:val="bottom"/>
          </w:tcPr>
          <w:p>
            <w:pPr>
              <w:ind w:left="60"/>
              <w:spacing w:after="0"/>
              <w:rPr>
                <w:sz w:val="20"/>
                <w:szCs w:val="20"/>
                <w:color w:val="auto"/>
              </w:rPr>
            </w:pPr>
            <w:r>
              <w:rPr>
                <w:rFonts w:ascii="Calibri" w:cs="Calibri" w:eastAsia="Calibri" w:hAnsi="Calibri"/>
                <w:sz w:val="14"/>
                <w:szCs w:val="14"/>
                <w:b w:val="1"/>
                <w:bCs w:val="1"/>
                <w:color w:val="auto"/>
              </w:rPr>
              <w:t>Vikas Bhalla</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2022</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265,432</w:t>
            </w:r>
          </w:p>
        </w:tc>
        <w:tc>
          <w:tcPr>
            <w:tcW w:w="380" w:type="dxa"/>
            <w:vAlign w:val="bottom"/>
          </w:tcPr>
          <w:p>
            <w:pPr>
              <w:jc w:val="right"/>
              <w:ind w:right="88"/>
              <w:spacing w:after="0"/>
              <w:rPr>
                <w:sz w:val="20"/>
                <w:szCs w:val="20"/>
                <w:color w:val="auto"/>
              </w:rPr>
            </w:pPr>
            <w:r>
              <w:rPr>
                <w:rFonts w:ascii="Calibri" w:cs="Calibri" w:eastAsia="Calibri" w:hAnsi="Calibri"/>
                <w:sz w:val="10"/>
                <w:szCs w:val="10"/>
                <w:color w:val="auto"/>
              </w:rPr>
              <w:t>(1)</w:t>
            </w: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1,964,960</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357,340</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20,200</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18,233</w:t>
            </w:r>
          </w:p>
        </w:tc>
        <w:tc>
          <w:tcPr>
            <w:tcW w:w="340" w:type="dxa"/>
            <w:vAlign w:val="bottom"/>
          </w:tcPr>
          <w:p>
            <w:pPr>
              <w:jc w:val="right"/>
              <w:ind w:right="68"/>
              <w:spacing w:after="0"/>
              <w:rPr>
                <w:sz w:val="20"/>
                <w:szCs w:val="20"/>
                <w:color w:val="auto"/>
              </w:rPr>
            </w:pPr>
            <w:r>
              <w:rPr>
                <w:rFonts w:ascii="Calibri" w:cs="Calibri" w:eastAsia="Calibri" w:hAnsi="Calibri"/>
                <w:sz w:val="10"/>
                <w:szCs w:val="10"/>
                <w:color w:val="auto"/>
              </w:rPr>
              <w:t>(7)</w:t>
            </w: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2,626,165</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Calibri" w:cs="Calibri" w:eastAsia="Calibri" w:hAnsi="Calibri"/>
                <w:sz w:val="14"/>
                <w:szCs w:val="14"/>
                <w:color w:val="auto"/>
              </w:rPr>
              <w:t>Executve Vice</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2021</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276,716</w:t>
            </w:r>
          </w:p>
        </w:tc>
        <w:tc>
          <w:tcPr>
            <w:tcW w:w="38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2,711,454</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444,718</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16,865</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19,034</w:t>
            </w:r>
          </w:p>
        </w:tc>
        <w:tc>
          <w:tcPr>
            <w:tcW w:w="34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3,468,787</w:t>
            </w:r>
          </w:p>
        </w:tc>
        <w:tc>
          <w:tcPr>
            <w:tcW w:w="0" w:type="dxa"/>
            <w:vAlign w:val="bottom"/>
          </w:tcPr>
          <w:p>
            <w:pPr>
              <w:spacing w:after="0"/>
              <w:rPr>
                <w:sz w:val="1"/>
                <w:szCs w:val="1"/>
                <w:color w:val="auto"/>
              </w:rPr>
            </w:pPr>
          </w:p>
        </w:tc>
      </w:tr>
      <w:tr>
        <w:trPr>
          <w:trHeight w:val="182"/>
        </w:trPr>
        <w:tc>
          <w:tcPr>
            <w:tcW w:w="3020" w:type="dxa"/>
            <w:vAlign w:val="bottom"/>
          </w:tcPr>
          <w:p>
            <w:pPr>
              <w:ind w:left="60"/>
              <w:spacing w:after="0"/>
              <w:rPr>
                <w:sz w:val="20"/>
                <w:szCs w:val="20"/>
                <w:color w:val="auto"/>
              </w:rPr>
            </w:pPr>
            <w:r>
              <w:rPr>
                <w:rFonts w:ascii="Calibri" w:cs="Calibri" w:eastAsia="Calibri" w:hAnsi="Calibri"/>
                <w:sz w:val="14"/>
                <w:szCs w:val="14"/>
                <w:color w:val="auto"/>
              </w:rPr>
              <w:t>President and Business</w:t>
            </w:r>
          </w:p>
        </w:tc>
        <w:tc>
          <w:tcPr>
            <w:tcW w:w="540" w:type="dxa"/>
            <w:vAlign w:val="bottom"/>
            <w:gridSpan w:val="2"/>
            <w:vMerge w:val="restart"/>
          </w:tcPr>
          <w:p>
            <w:pPr>
              <w:ind w:left="220"/>
              <w:spacing w:after="0"/>
              <w:rPr>
                <w:sz w:val="20"/>
                <w:szCs w:val="20"/>
                <w:color w:val="auto"/>
              </w:rPr>
            </w:pPr>
            <w:r>
              <w:rPr>
                <w:rFonts w:ascii="Calibri" w:cs="Calibri" w:eastAsia="Calibri" w:hAnsi="Calibri"/>
                <w:sz w:val="14"/>
                <w:szCs w:val="14"/>
                <w:color w:val="auto"/>
              </w:rPr>
              <w:t>2020</w:t>
            </w:r>
          </w:p>
        </w:tc>
        <w:tc>
          <w:tcPr>
            <w:tcW w:w="8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229,016</w:t>
            </w:r>
          </w:p>
        </w:tc>
        <w:tc>
          <w:tcPr>
            <w:tcW w:w="380" w:type="dxa"/>
            <w:vAlign w:val="bottom"/>
          </w:tcPr>
          <w:p>
            <w:pPr>
              <w:spacing w:after="0"/>
              <w:rPr>
                <w:sz w:val="15"/>
                <w:szCs w:val="15"/>
                <w:color w:val="auto"/>
              </w:rPr>
            </w:pPr>
          </w:p>
        </w:tc>
        <w:tc>
          <w:tcPr>
            <w:tcW w:w="74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1,399,048</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169,370</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5,067</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37,962</w:t>
            </w:r>
          </w:p>
        </w:tc>
        <w:tc>
          <w:tcPr>
            <w:tcW w:w="34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1,840,463</w:t>
            </w:r>
          </w:p>
        </w:tc>
        <w:tc>
          <w:tcPr>
            <w:tcW w:w="0" w:type="dxa"/>
            <w:vAlign w:val="bottom"/>
          </w:tcPr>
          <w:p>
            <w:pPr>
              <w:spacing w:after="0"/>
              <w:rPr>
                <w:sz w:val="1"/>
                <w:szCs w:val="1"/>
                <w:color w:val="auto"/>
              </w:rPr>
            </w:pPr>
          </w:p>
        </w:tc>
      </w:tr>
      <w:tr>
        <w:trPr>
          <w:trHeight w:val="78"/>
        </w:trPr>
        <w:tc>
          <w:tcPr>
            <w:tcW w:w="3020" w:type="dxa"/>
            <w:vAlign w:val="bottom"/>
            <w:vMerge w:val="restart"/>
          </w:tcPr>
          <w:p>
            <w:pPr>
              <w:ind w:left="60"/>
              <w:spacing w:after="0" w:line="169" w:lineRule="exact"/>
              <w:rPr>
                <w:sz w:val="20"/>
                <w:szCs w:val="20"/>
                <w:color w:val="auto"/>
              </w:rPr>
            </w:pPr>
            <w:r>
              <w:rPr>
                <w:rFonts w:ascii="Calibri" w:cs="Calibri" w:eastAsia="Calibri" w:hAnsi="Calibri"/>
                <w:sz w:val="14"/>
                <w:szCs w:val="14"/>
                <w:color w:val="auto"/>
              </w:rPr>
              <w:t>Head, Insurance</w:t>
            </w:r>
          </w:p>
        </w:tc>
        <w:tc>
          <w:tcPr>
            <w:tcW w:w="5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30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02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Vivek Jetley</w:t>
            </w:r>
          </w:p>
        </w:tc>
        <w:tc>
          <w:tcPr>
            <w:tcW w:w="540" w:type="dxa"/>
            <w:vAlign w:val="bottom"/>
            <w:gridSpan w:val="2"/>
            <w:shd w:val="clear" w:color="auto" w:fill="D8D8D8"/>
          </w:tcPr>
          <w:p>
            <w:pPr>
              <w:ind w:left="220"/>
              <w:spacing w:after="0"/>
              <w:rPr>
                <w:sz w:val="20"/>
                <w:szCs w:val="20"/>
                <w:color w:val="auto"/>
              </w:rPr>
            </w:pPr>
            <w:r>
              <w:rPr>
                <w:rFonts w:ascii="Calibri" w:cs="Calibri" w:eastAsia="Calibri" w:hAnsi="Calibri"/>
                <w:sz w:val="14"/>
                <w:szCs w:val="14"/>
                <w:color w:val="auto"/>
              </w:rPr>
              <w:t>2022</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440,164</w:t>
            </w:r>
          </w:p>
        </w:tc>
        <w:tc>
          <w:tcPr>
            <w:tcW w:w="380" w:type="dxa"/>
            <w:vAlign w:val="bottom"/>
            <w:shd w:val="clear" w:color="auto" w:fill="D8D8D8"/>
          </w:tcPr>
          <w:p>
            <w:pPr>
              <w:spacing w:after="0"/>
              <w:rPr>
                <w:sz w:val="15"/>
                <w:szCs w:val="15"/>
                <w:color w:val="auto"/>
              </w:rPr>
            </w:pPr>
          </w:p>
        </w:tc>
        <w:tc>
          <w:tcPr>
            <w:tcW w:w="7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1,862,689</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525,488</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9,654</w:t>
            </w:r>
          </w:p>
        </w:tc>
        <w:tc>
          <w:tcPr>
            <w:tcW w:w="340" w:type="dxa"/>
            <w:vAlign w:val="bottom"/>
            <w:shd w:val="clear" w:color="auto" w:fill="D8D8D8"/>
          </w:tcPr>
          <w:p>
            <w:pPr>
              <w:jc w:val="right"/>
              <w:ind w:right="68"/>
              <w:spacing w:after="0"/>
              <w:rPr>
                <w:sz w:val="20"/>
                <w:szCs w:val="20"/>
                <w:color w:val="auto"/>
              </w:rPr>
            </w:pPr>
            <w:r>
              <w:rPr>
                <w:rFonts w:ascii="Calibri" w:cs="Calibri" w:eastAsia="Calibri" w:hAnsi="Calibri"/>
                <w:sz w:val="10"/>
                <w:szCs w:val="10"/>
                <w:color w:val="auto"/>
              </w:rPr>
              <w:t>(8)</w:t>
            </w: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2,837,996</w:t>
            </w:r>
          </w:p>
        </w:tc>
        <w:tc>
          <w:tcPr>
            <w:tcW w:w="0" w:type="dxa"/>
            <w:vAlign w:val="bottom"/>
          </w:tcPr>
          <w:p>
            <w:pPr>
              <w:spacing w:after="0"/>
              <w:rPr>
                <w:sz w:val="1"/>
                <w:szCs w:val="1"/>
                <w:color w:val="auto"/>
              </w:rPr>
            </w:pPr>
          </w:p>
        </w:tc>
      </w:tr>
      <w:tr>
        <w:trPr>
          <w:trHeight w:val="299"/>
        </w:trPr>
        <w:tc>
          <w:tcPr>
            <w:tcW w:w="302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Executve Vice</w:t>
            </w:r>
          </w:p>
        </w:tc>
        <w:tc>
          <w:tcPr>
            <w:tcW w:w="180" w:type="dxa"/>
            <w:vAlign w:val="bottom"/>
            <w:shd w:val="clear" w:color="auto" w:fill="D8D8D8"/>
          </w:tcPr>
          <w:p>
            <w:pPr>
              <w:spacing w:after="0"/>
              <w:rPr>
                <w:sz w:val="24"/>
                <w:szCs w:val="24"/>
                <w:color w:val="auto"/>
              </w:rPr>
            </w:pPr>
          </w:p>
        </w:tc>
        <w:tc>
          <w:tcPr>
            <w:tcW w:w="360" w:type="dxa"/>
            <w:vAlign w:val="bottom"/>
            <w:shd w:val="clear" w:color="auto" w:fill="D8D8D8"/>
          </w:tcPr>
          <w:p>
            <w:pPr>
              <w:ind w:left="40"/>
              <w:spacing w:after="0"/>
              <w:rPr>
                <w:sz w:val="20"/>
                <w:szCs w:val="20"/>
                <w:color w:val="auto"/>
              </w:rPr>
            </w:pPr>
            <w:r>
              <w:rPr>
                <w:rFonts w:ascii="Calibri" w:cs="Calibri" w:eastAsia="Calibri" w:hAnsi="Calibri"/>
                <w:sz w:val="14"/>
                <w:szCs w:val="14"/>
                <w:color w:val="auto"/>
              </w:rPr>
              <w:t>2021</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415,068</w:t>
            </w:r>
          </w:p>
        </w:tc>
        <w:tc>
          <w:tcPr>
            <w:tcW w:w="380" w:type="dxa"/>
            <w:vAlign w:val="bottom"/>
            <w:shd w:val="clear" w:color="auto" w:fill="D8D8D8"/>
          </w:tcPr>
          <w:p>
            <w:pPr>
              <w:spacing w:after="0"/>
              <w:rPr>
                <w:sz w:val="24"/>
                <w:szCs w:val="24"/>
                <w:color w:val="auto"/>
              </w:rPr>
            </w:pPr>
          </w:p>
        </w:tc>
        <w:tc>
          <w:tcPr>
            <w:tcW w:w="7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2,429,371</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586,146</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9,204</w:t>
            </w:r>
          </w:p>
        </w:tc>
        <w:tc>
          <w:tcPr>
            <w:tcW w:w="34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3,439,789</w:t>
            </w:r>
          </w:p>
        </w:tc>
        <w:tc>
          <w:tcPr>
            <w:tcW w:w="0" w:type="dxa"/>
            <w:vAlign w:val="bottom"/>
          </w:tcPr>
          <w:p>
            <w:pPr>
              <w:spacing w:after="0"/>
              <w:rPr>
                <w:sz w:val="1"/>
                <w:szCs w:val="1"/>
                <w:color w:val="auto"/>
              </w:rPr>
            </w:pPr>
          </w:p>
        </w:tc>
      </w:tr>
      <w:tr>
        <w:trPr>
          <w:trHeight w:val="182"/>
        </w:trPr>
        <w:tc>
          <w:tcPr>
            <w:tcW w:w="302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President and Business</w:t>
            </w:r>
          </w:p>
        </w:tc>
        <w:tc>
          <w:tcPr>
            <w:tcW w:w="180" w:type="dxa"/>
            <w:vAlign w:val="bottom"/>
            <w:shd w:val="clear" w:color="auto" w:fill="D8D8D8"/>
          </w:tcPr>
          <w:p>
            <w:pPr>
              <w:spacing w:after="0"/>
              <w:rPr>
                <w:sz w:val="15"/>
                <w:szCs w:val="15"/>
                <w:color w:val="auto"/>
              </w:rPr>
            </w:pPr>
          </w:p>
        </w:tc>
        <w:tc>
          <w:tcPr>
            <w:tcW w:w="360" w:type="dxa"/>
            <w:vAlign w:val="bottom"/>
            <w:vMerge w:val="restart"/>
            <w:shd w:val="clear" w:color="auto" w:fill="D8D8D8"/>
          </w:tcPr>
          <w:p>
            <w:pPr>
              <w:ind w:left="40"/>
              <w:spacing w:after="0"/>
              <w:rPr>
                <w:sz w:val="20"/>
                <w:szCs w:val="20"/>
                <w:color w:val="auto"/>
              </w:rPr>
            </w:pPr>
            <w:r>
              <w:rPr>
                <w:rFonts w:ascii="Calibri" w:cs="Calibri" w:eastAsia="Calibri" w:hAnsi="Calibri"/>
                <w:sz w:val="14"/>
                <w:szCs w:val="14"/>
                <w:color w:val="auto"/>
              </w:rPr>
              <w:t>2020</w:t>
            </w:r>
          </w:p>
        </w:tc>
        <w:tc>
          <w:tcPr>
            <w:tcW w:w="82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380" w:type="dxa"/>
            <w:vAlign w:val="bottom"/>
            <w:shd w:val="clear" w:color="auto" w:fill="D8D8D8"/>
          </w:tcPr>
          <w:p>
            <w:pPr>
              <w:spacing w:after="0"/>
              <w:rPr>
                <w:sz w:val="15"/>
                <w:szCs w:val="15"/>
                <w:color w:val="auto"/>
              </w:rPr>
            </w:pPr>
          </w:p>
        </w:tc>
        <w:tc>
          <w:tcPr>
            <w:tcW w:w="740" w:type="dxa"/>
            <w:vAlign w:val="bottom"/>
            <w:vMerge w:val="restart"/>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340" w:type="dxa"/>
            <w:vAlign w:val="bottom"/>
            <w:shd w:val="clear" w:color="auto" w:fill="D8D8D8"/>
          </w:tcPr>
          <w:p>
            <w:pPr>
              <w:spacing w:after="0"/>
              <w:rPr>
                <w:sz w:val="15"/>
                <w:szCs w:val="15"/>
                <w:color w:val="auto"/>
              </w:rPr>
            </w:pPr>
          </w:p>
        </w:tc>
        <w:tc>
          <w:tcPr>
            <w:tcW w:w="860" w:type="dxa"/>
            <w:vAlign w:val="bottom"/>
            <w:vMerge w:val="restart"/>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8"/>
        </w:trPr>
        <w:tc>
          <w:tcPr>
            <w:tcW w:w="3020" w:type="dxa"/>
            <w:vAlign w:val="bottom"/>
            <w:vMerge w:val="restart"/>
            <w:shd w:val="clear" w:color="auto" w:fill="D8D8D8"/>
          </w:tcPr>
          <w:p>
            <w:pPr>
              <w:ind w:left="60"/>
              <w:spacing w:after="0" w:line="169" w:lineRule="exact"/>
              <w:rPr>
                <w:sz w:val="20"/>
                <w:szCs w:val="20"/>
                <w:color w:val="auto"/>
              </w:rPr>
            </w:pPr>
            <w:r>
              <w:rPr>
                <w:rFonts w:ascii="Calibri" w:cs="Calibri" w:eastAsia="Calibri" w:hAnsi="Calibri"/>
                <w:sz w:val="14"/>
                <w:szCs w:val="14"/>
                <w:color w:val="auto"/>
              </w:rPr>
              <w:t>Head, Analytcs</w:t>
            </w:r>
          </w:p>
        </w:tc>
        <w:tc>
          <w:tcPr>
            <w:tcW w:w="180" w:type="dxa"/>
            <w:vAlign w:val="bottom"/>
            <w:shd w:val="clear" w:color="auto" w:fill="D8D8D8"/>
          </w:tcPr>
          <w:p>
            <w:pPr>
              <w:spacing w:after="0"/>
              <w:rPr>
                <w:sz w:val="6"/>
                <w:szCs w:val="6"/>
                <w:color w:val="auto"/>
              </w:rPr>
            </w:pPr>
          </w:p>
        </w:tc>
        <w:tc>
          <w:tcPr>
            <w:tcW w:w="360" w:type="dxa"/>
            <w:vAlign w:val="bottom"/>
            <w:vMerge w:val="continue"/>
            <w:shd w:val="clear" w:color="auto" w:fill="D8D8D8"/>
          </w:tcPr>
          <w:p>
            <w:pPr>
              <w:spacing w:after="0"/>
              <w:rPr>
                <w:sz w:val="6"/>
                <w:szCs w:val="6"/>
                <w:color w:val="auto"/>
              </w:rPr>
            </w:pPr>
          </w:p>
        </w:tc>
        <w:tc>
          <w:tcPr>
            <w:tcW w:w="820" w:type="dxa"/>
            <w:vAlign w:val="bottom"/>
            <w:vMerge w:val="continue"/>
            <w:shd w:val="clear" w:color="auto" w:fill="D8D8D8"/>
          </w:tcPr>
          <w:p>
            <w:pPr>
              <w:spacing w:after="0"/>
              <w:rPr>
                <w:sz w:val="6"/>
                <w:szCs w:val="6"/>
                <w:color w:val="auto"/>
              </w:rPr>
            </w:pPr>
          </w:p>
        </w:tc>
        <w:tc>
          <w:tcPr>
            <w:tcW w:w="380" w:type="dxa"/>
            <w:vAlign w:val="bottom"/>
            <w:shd w:val="clear" w:color="auto" w:fill="D8D8D8"/>
          </w:tcPr>
          <w:p>
            <w:pPr>
              <w:spacing w:after="0"/>
              <w:rPr>
                <w:sz w:val="6"/>
                <w:szCs w:val="6"/>
                <w:color w:val="auto"/>
              </w:rPr>
            </w:pPr>
          </w:p>
        </w:tc>
        <w:tc>
          <w:tcPr>
            <w:tcW w:w="740" w:type="dxa"/>
            <w:vAlign w:val="bottom"/>
            <w:vMerge w:val="continue"/>
            <w:shd w:val="clear" w:color="auto" w:fill="D8D8D8"/>
          </w:tcPr>
          <w:p>
            <w:pPr>
              <w:spacing w:after="0"/>
              <w:rPr>
                <w:sz w:val="6"/>
                <w:szCs w:val="6"/>
                <w:color w:val="auto"/>
              </w:rPr>
            </w:pPr>
          </w:p>
        </w:tc>
        <w:tc>
          <w:tcPr>
            <w:tcW w:w="80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340" w:type="dxa"/>
            <w:vAlign w:val="bottom"/>
            <w:shd w:val="clear" w:color="auto" w:fill="D8D8D8"/>
          </w:tcPr>
          <w:p>
            <w:pPr>
              <w:spacing w:after="0"/>
              <w:rPr>
                <w:sz w:val="6"/>
                <w:szCs w:val="6"/>
                <w:color w:val="auto"/>
              </w:rPr>
            </w:pPr>
          </w:p>
        </w:tc>
        <w:tc>
          <w:tcPr>
            <w:tcW w:w="8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020" w:type="dxa"/>
            <w:vAlign w:val="bottom"/>
            <w:tcBorders>
              <w:bottom w:val="single" w:sz="8" w:color="D8D8D8"/>
            </w:tcBorders>
            <w:vMerge w:val="continue"/>
            <w:shd w:val="clear" w:color="auto" w:fill="D8D8D8"/>
          </w:tcPr>
          <w:p>
            <w:pPr>
              <w:spacing w:after="0"/>
              <w:rPr>
                <w:sz w:val="8"/>
                <w:szCs w:val="8"/>
                <w:color w:val="auto"/>
              </w:rPr>
            </w:pPr>
          </w:p>
        </w:tc>
        <w:tc>
          <w:tcPr>
            <w:tcW w:w="180" w:type="dxa"/>
            <w:vAlign w:val="bottom"/>
            <w:tcBorders>
              <w:bottom w:val="single" w:sz="8" w:color="D8D8D8"/>
            </w:tcBorders>
            <w:shd w:val="clear" w:color="auto" w:fill="D8D8D8"/>
          </w:tcPr>
          <w:p>
            <w:pPr>
              <w:spacing w:after="0"/>
              <w:rPr>
                <w:sz w:val="8"/>
                <w:szCs w:val="8"/>
                <w:color w:val="auto"/>
              </w:rPr>
            </w:pPr>
          </w:p>
        </w:tc>
        <w:tc>
          <w:tcPr>
            <w:tcW w:w="360" w:type="dxa"/>
            <w:vAlign w:val="bottom"/>
            <w:tcBorders>
              <w:bottom w:val="single" w:sz="8" w:color="D8D8D8"/>
            </w:tcBorders>
            <w:shd w:val="clear" w:color="auto" w:fill="D8D8D8"/>
          </w:tcPr>
          <w:p>
            <w:pPr>
              <w:spacing w:after="0"/>
              <w:rPr>
                <w:sz w:val="8"/>
                <w:szCs w:val="8"/>
                <w:color w:val="auto"/>
              </w:rPr>
            </w:pPr>
          </w:p>
        </w:tc>
        <w:tc>
          <w:tcPr>
            <w:tcW w:w="820" w:type="dxa"/>
            <w:vAlign w:val="bottom"/>
            <w:tcBorders>
              <w:bottom w:val="single" w:sz="8" w:color="D8D8D8"/>
            </w:tcBorders>
            <w:shd w:val="clear" w:color="auto" w:fill="D8D8D8"/>
          </w:tcPr>
          <w:p>
            <w:pPr>
              <w:spacing w:after="0"/>
              <w:rPr>
                <w:sz w:val="8"/>
                <w:szCs w:val="8"/>
                <w:color w:val="auto"/>
              </w:rPr>
            </w:pPr>
          </w:p>
        </w:tc>
        <w:tc>
          <w:tcPr>
            <w:tcW w:w="380" w:type="dxa"/>
            <w:vAlign w:val="bottom"/>
            <w:tcBorders>
              <w:bottom w:val="single" w:sz="8" w:color="D8D8D8"/>
            </w:tcBorders>
            <w:shd w:val="clear" w:color="auto" w:fill="D8D8D8"/>
          </w:tcPr>
          <w:p>
            <w:pPr>
              <w:spacing w:after="0"/>
              <w:rPr>
                <w:sz w:val="8"/>
                <w:szCs w:val="8"/>
                <w:color w:val="auto"/>
              </w:rPr>
            </w:pPr>
          </w:p>
        </w:tc>
        <w:tc>
          <w:tcPr>
            <w:tcW w:w="740" w:type="dxa"/>
            <w:vAlign w:val="bottom"/>
            <w:tcBorders>
              <w:bottom w:val="single" w:sz="8" w:color="D8D8D8"/>
            </w:tcBorders>
            <w:shd w:val="clear" w:color="auto" w:fill="D8D8D8"/>
          </w:tcPr>
          <w:p>
            <w:pPr>
              <w:spacing w:after="0"/>
              <w:rPr>
                <w:sz w:val="8"/>
                <w:szCs w:val="8"/>
                <w:color w:val="auto"/>
              </w:rPr>
            </w:pPr>
          </w:p>
        </w:tc>
        <w:tc>
          <w:tcPr>
            <w:tcW w:w="80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340" w:type="dxa"/>
            <w:vAlign w:val="bottom"/>
            <w:tcBorders>
              <w:bottom w:val="single" w:sz="8" w:color="D8D8D8"/>
            </w:tcBorders>
            <w:shd w:val="clear" w:color="auto" w:fill="D8D8D8"/>
          </w:tcPr>
          <w:p>
            <w:pPr>
              <w:spacing w:after="0"/>
              <w:rPr>
                <w:sz w:val="8"/>
                <w:szCs w:val="8"/>
                <w:color w:val="auto"/>
              </w:rPr>
            </w:pPr>
          </w:p>
        </w:tc>
        <w:tc>
          <w:tcPr>
            <w:tcW w:w="860" w:type="dxa"/>
            <w:vAlign w:val="bottom"/>
            <w:tcBorders>
              <w:bottom w:val="single" w:sz="8" w:color="D8D8D8"/>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020" w:type="dxa"/>
            <w:vAlign w:val="bottom"/>
          </w:tcPr>
          <w:p>
            <w:pPr>
              <w:ind w:left="60"/>
              <w:spacing w:after="0"/>
              <w:rPr>
                <w:sz w:val="20"/>
                <w:szCs w:val="20"/>
                <w:color w:val="auto"/>
              </w:rPr>
            </w:pPr>
            <w:r>
              <w:rPr>
                <w:rFonts w:ascii="Calibri" w:cs="Calibri" w:eastAsia="Calibri" w:hAnsi="Calibri"/>
                <w:sz w:val="14"/>
                <w:szCs w:val="14"/>
                <w:b w:val="1"/>
                <w:bCs w:val="1"/>
                <w:color w:val="auto"/>
              </w:rPr>
              <w:t>Ankor Rai</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2022</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420,082</w:t>
            </w:r>
          </w:p>
        </w:tc>
        <w:tc>
          <w:tcPr>
            <w:tcW w:w="380" w:type="dxa"/>
            <w:vAlign w:val="bottom"/>
          </w:tcPr>
          <w:p>
            <w:pPr>
              <w:spacing w:after="0"/>
              <w:rPr>
                <w:sz w:val="15"/>
                <w:szCs w:val="15"/>
                <w:color w:val="auto"/>
              </w:rPr>
            </w:pP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1,553,192</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481,822</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9,654</w:t>
            </w:r>
          </w:p>
        </w:tc>
        <w:tc>
          <w:tcPr>
            <w:tcW w:w="340" w:type="dxa"/>
            <w:vAlign w:val="bottom"/>
          </w:tcPr>
          <w:p>
            <w:pPr>
              <w:jc w:val="right"/>
              <w:ind w:right="68"/>
              <w:spacing w:after="0"/>
              <w:rPr>
                <w:sz w:val="20"/>
                <w:szCs w:val="20"/>
                <w:color w:val="auto"/>
              </w:rPr>
            </w:pPr>
            <w:r>
              <w:rPr>
                <w:rFonts w:ascii="Calibri" w:cs="Calibri" w:eastAsia="Calibri" w:hAnsi="Calibri"/>
                <w:sz w:val="10"/>
                <w:szCs w:val="10"/>
                <w:color w:val="auto"/>
              </w:rPr>
              <w:t>(9)</w:t>
            </w: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2,464,750</w:t>
            </w:r>
          </w:p>
        </w:tc>
        <w:tc>
          <w:tcPr>
            <w:tcW w:w="0" w:type="dxa"/>
            <w:vAlign w:val="bottom"/>
          </w:tcPr>
          <w:p>
            <w:pPr>
              <w:spacing w:after="0"/>
              <w:rPr>
                <w:sz w:val="1"/>
                <w:szCs w:val="1"/>
                <w:color w:val="auto"/>
              </w:rPr>
            </w:pPr>
          </w:p>
        </w:tc>
      </w:tr>
      <w:tr>
        <w:trPr>
          <w:trHeight w:val="299"/>
        </w:trPr>
        <w:tc>
          <w:tcPr>
            <w:tcW w:w="3020" w:type="dxa"/>
            <w:vAlign w:val="bottom"/>
          </w:tcPr>
          <w:p>
            <w:pPr>
              <w:ind w:left="60"/>
              <w:spacing w:after="0"/>
              <w:rPr>
                <w:sz w:val="20"/>
                <w:szCs w:val="20"/>
                <w:color w:val="auto"/>
              </w:rPr>
            </w:pPr>
            <w:r>
              <w:rPr>
                <w:rFonts w:ascii="Calibri" w:cs="Calibri" w:eastAsia="Calibri" w:hAnsi="Calibri"/>
                <w:sz w:val="14"/>
                <w:szCs w:val="14"/>
                <w:color w:val="auto"/>
              </w:rPr>
              <w:t>Executve Vice</w:t>
            </w:r>
          </w:p>
        </w:tc>
        <w:tc>
          <w:tcPr>
            <w:tcW w:w="540" w:type="dxa"/>
            <w:vAlign w:val="bottom"/>
            <w:gridSpan w:val="2"/>
          </w:tcPr>
          <w:p>
            <w:pPr>
              <w:ind w:left="220"/>
              <w:spacing w:after="0"/>
              <w:rPr>
                <w:sz w:val="20"/>
                <w:szCs w:val="20"/>
                <w:color w:val="auto"/>
              </w:rPr>
            </w:pPr>
            <w:r>
              <w:rPr>
                <w:rFonts w:ascii="Calibri" w:cs="Calibri" w:eastAsia="Calibri" w:hAnsi="Calibri"/>
                <w:sz w:val="14"/>
                <w:szCs w:val="14"/>
                <w:color w:val="auto"/>
              </w:rPr>
              <w:t>2021</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2"/>
        </w:trPr>
        <w:tc>
          <w:tcPr>
            <w:tcW w:w="3020" w:type="dxa"/>
            <w:vAlign w:val="bottom"/>
          </w:tcPr>
          <w:p>
            <w:pPr>
              <w:ind w:left="60"/>
              <w:spacing w:after="0"/>
              <w:rPr>
                <w:sz w:val="20"/>
                <w:szCs w:val="20"/>
                <w:color w:val="auto"/>
              </w:rPr>
            </w:pPr>
            <w:r>
              <w:rPr>
                <w:rFonts w:ascii="Calibri" w:cs="Calibri" w:eastAsia="Calibri" w:hAnsi="Calibri"/>
                <w:sz w:val="14"/>
                <w:szCs w:val="14"/>
                <w:color w:val="auto"/>
              </w:rPr>
              <w:t>President and Chief</w:t>
            </w:r>
          </w:p>
        </w:tc>
        <w:tc>
          <w:tcPr>
            <w:tcW w:w="540" w:type="dxa"/>
            <w:vAlign w:val="bottom"/>
            <w:gridSpan w:val="2"/>
            <w:vMerge w:val="restart"/>
          </w:tcPr>
          <w:p>
            <w:pPr>
              <w:ind w:left="220"/>
              <w:spacing w:after="0"/>
              <w:rPr>
                <w:sz w:val="20"/>
                <w:szCs w:val="20"/>
                <w:color w:val="auto"/>
              </w:rPr>
            </w:pPr>
            <w:r>
              <w:rPr>
                <w:rFonts w:ascii="Calibri" w:cs="Calibri" w:eastAsia="Calibri" w:hAnsi="Calibri"/>
                <w:sz w:val="14"/>
                <w:szCs w:val="14"/>
                <w:color w:val="auto"/>
              </w:rPr>
              <w:t>2020</w:t>
            </w:r>
          </w:p>
        </w:tc>
        <w:tc>
          <w:tcPr>
            <w:tcW w:w="8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380" w:type="dxa"/>
            <w:vAlign w:val="bottom"/>
          </w:tcPr>
          <w:p>
            <w:pPr>
              <w:spacing w:after="0"/>
              <w:rPr>
                <w:sz w:val="15"/>
                <w:szCs w:val="15"/>
                <w:color w:val="auto"/>
              </w:rPr>
            </w:pPr>
          </w:p>
        </w:tc>
        <w:tc>
          <w:tcPr>
            <w:tcW w:w="74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34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8"/>
        </w:trPr>
        <w:tc>
          <w:tcPr>
            <w:tcW w:w="3020" w:type="dxa"/>
            <w:vAlign w:val="bottom"/>
            <w:vMerge w:val="restart"/>
          </w:tcPr>
          <w:p>
            <w:pPr>
              <w:ind w:left="60"/>
              <w:spacing w:after="0" w:line="169" w:lineRule="exact"/>
              <w:rPr>
                <w:sz w:val="20"/>
                <w:szCs w:val="20"/>
                <w:color w:val="auto"/>
              </w:rPr>
            </w:pPr>
            <w:r>
              <w:rPr>
                <w:rFonts w:ascii="Calibri" w:cs="Calibri" w:eastAsia="Calibri" w:hAnsi="Calibri"/>
                <w:sz w:val="14"/>
                <w:szCs w:val="14"/>
                <w:color w:val="auto"/>
              </w:rPr>
              <w:t>Digital Ofcer</w:t>
            </w:r>
          </w:p>
        </w:tc>
        <w:tc>
          <w:tcPr>
            <w:tcW w:w="5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0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right="140" w:hanging="4"/>
        <w:spacing w:after="0" w:line="277" w:lineRule="auto"/>
        <w:tabs>
          <w:tab w:leader="none" w:pos="494" w:val="left"/>
        </w:tabs>
        <w:numPr>
          <w:ilvl w:val="0"/>
          <w:numId w:val="27"/>
        </w:numPr>
        <w:rPr>
          <w:rFonts w:ascii="Calibri" w:cs="Calibri" w:eastAsia="Calibri" w:hAnsi="Calibri"/>
          <w:sz w:val="12"/>
          <w:szCs w:val="12"/>
          <w:color w:val="auto"/>
        </w:rPr>
      </w:pPr>
      <w:r>
        <w:rPr>
          <w:rFonts w:ascii="Calibri" w:cs="Calibri" w:eastAsia="Calibri" w:hAnsi="Calibri"/>
          <w:sz w:val="12"/>
          <w:szCs w:val="12"/>
          <w:color w:val="auto"/>
        </w:rPr>
        <w:t>The amount set forth in the “Salary” column for Mr. Bhalla includes $107,259 of base salary, $95,608 of a cash supplementary allowance, $35,496 of housing allowance (which Mr. Bhalla elected to receive instead in cash), $8,935 of travel allowance (which Mr. Bhalla elected to receive instead in cash), and $18,134 of a special car allowance (which Mr. Bhalla elected to receive instead in cash).</w:t>
      </w:r>
    </w:p>
    <w:p>
      <w:pPr>
        <w:ind w:left="320" w:right="20" w:hanging="4"/>
        <w:spacing w:after="0" w:line="255" w:lineRule="auto"/>
        <w:tabs>
          <w:tab w:leader="none" w:pos="494" w:val="left"/>
        </w:tabs>
        <w:numPr>
          <w:ilvl w:val="0"/>
          <w:numId w:val="27"/>
        </w:numPr>
        <w:rPr>
          <w:rFonts w:ascii="Calibri" w:cs="Calibri" w:eastAsia="Calibri" w:hAnsi="Calibri"/>
          <w:sz w:val="13"/>
          <w:szCs w:val="13"/>
          <w:color w:val="auto"/>
        </w:rPr>
      </w:pPr>
      <w:r>
        <w:rPr>
          <w:rFonts w:ascii="Calibri" w:cs="Calibri" w:eastAsia="Calibri" w:hAnsi="Calibri"/>
          <w:sz w:val="13"/>
          <w:szCs w:val="13"/>
          <w:color w:val="auto"/>
        </w:rPr>
        <w:t>Amounts refect the grant date fair value of awards in accordance with FASB ASC Topic 718, recognized for fnancial statement reportng purposes for the fscal years ended December 31, 2020, 2021 and 2022). Assumptons used in the calculaton of these amounts are included (i) for 2022, in footnotes 2 and 23 to the audited fnancial statements for the fscal year ended December 31, 2022, included in our Annual Report on Form 10-K fled with the Securites and Exchange Commission on February 23, 2023; (ii) for 2021, in footnotes 2 and 22 to the audited fnancial statements for the fscal year ended December 31, 2021, included in our Annual Report on Form 10-K fled with the Securites and Exchange Commission on February 24, 2022; and (iii) for 2020, in footnotes 2 and 23 to the audited fnancial statements for the fscal year ended December 31, 2020, included in our Annual Report on Form 10-K fled with the Securites and Exchange Commission on February 25, 2021. With respect to stock awards granted in 2022, the table below sets forth the value atributable to performance restricted stock units valued at target achievement. Performance restricted stock units granted in 2022 may pay out up to 200% of the target award, which would have amounted to the grant date fair values listed as the maximum total grant date fair value for each named executve ofcer in the table below.</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3880" w:type="dxa"/>
            <w:vAlign w:val="bottom"/>
            <w:tcBorders>
              <w:bottom w:val="single" w:sz="8" w:color="FB4E0B"/>
            </w:tcBorders>
          </w:tcPr>
          <w:p>
            <w:pPr>
              <w:ind w:left="60"/>
              <w:spacing w:after="0"/>
              <w:rPr>
                <w:sz w:val="20"/>
                <w:szCs w:val="20"/>
                <w:color w:val="auto"/>
              </w:rPr>
            </w:pPr>
            <w:r>
              <w:rPr>
                <w:rFonts w:ascii="Calibri" w:cs="Calibri" w:eastAsia="Calibri" w:hAnsi="Calibri"/>
                <w:sz w:val="14"/>
                <w:szCs w:val="14"/>
                <w:b w:val="1"/>
                <w:bCs w:val="1"/>
                <w:color w:val="FB4E0B"/>
              </w:rPr>
              <w:t>Name</w:t>
            </w:r>
          </w:p>
        </w:tc>
        <w:tc>
          <w:tcPr>
            <w:tcW w:w="2780" w:type="dxa"/>
            <w:vAlign w:val="bottom"/>
            <w:tcBorders>
              <w:bottom w:val="single" w:sz="8" w:color="FB4E0B"/>
            </w:tcBorders>
          </w:tcPr>
          <w:p>
            <w:pPr>
              <w:ind w:left="720"/>
              <w:spacing w:after="0"/>
              <w:rPr>
                <w:sz w:val="20"/>
                <w:szCs w:val="20"/>
                <w:color w:val="auto"/>
              </w:rPr>
            </w:pPr>
            <w:r>
              <w:rPr>
                <w:rFonts w:ascii="Calibri" w:cs="Calibri" w:eastAsia="Calibri" w:hAnsi="Calibri"/>
                <w:sz w:val="14"/>
                <w:szCs w:val="14"/>
                <w:b w:val="1"/>
                <w:bCs w:val="1"/>
                <w:color w:val="FB4E0B"/>
              </w:rPr>
              <w:t>Total grant date fair value ($)</w:t>
            </w:r>
          </w:p>
        </w:tc>
        <w:tc>
          <w:tcPr>
            <w:tcW w:w="2900" w:type="dxa"/>
            <w:vAlign w:val="bottom"/>
            <w:tcBorders>
              <w:bottom w:val="single" w:sz="8" w:color="FB4E0B"/>
            </w:tcBorders>
            <w:gridSpan w:val="3"/>
          </w:tcPr>
          <w:p>
            <w:pPr>
              <w:jc w:val="right"/>
              <w:ind w:right="53"/>
              <w:spacing w:after="0"/>
              <w:rPr>
                <w:sz w:val="20"/>
                <w:szCs w:val="20"/>
                <w:color w:val="auto"/>
              </w:rPr>
            </w:pPr>
            <w:r>
              <w:rPr>
                <w:rFonts w:ascii="Calibri" w:cs="Calibri" w:eastAsia="Calibri" w:hAnsi="Calibri"/>
                <w:sz w:val="14"/>
                <w:szCs w:val="14"/>
                <w:b w:val="1"/>
                <w:bCs w:val="1"/>
                <w:color w:val="FB4E0B"/>
              </w:rPr>
              <w:t>Maximum total grant date fair value ($)</w:t>
            </w:r>
          </w:p>
        </w:tc>
      </w:tr>
      <w:tr>
        <w:trPr>
          <w:trHeight w:val="203"/>
        </w:trPr>
        <w:tc>
          <w:tcPr>
            <w:tcW w:w="388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Rohit Kapoor</w:t>
            </w:r>
          </w:p>
        </w:tc>
        <w:tc>
          <w:tcPr>
            <w:tcW w:w="2780" w:type="dxa"/>
            <w:vAlign w:val="bottom"/>
            <w:tcBorders>
              <w:right w:val="single" w:sz="8" w:color="auto"/>
            </w:tcBorders>
          </w:tcPr>
          <w:p>
            <w:pPr>
              <w:jc w:val="center"/>
              <w:ind w:left="231"/>
              <w:spacing w:after="0"/>
              <w:rPr>
                <w:sz w:val="20"/>
                <w:szCs w:val="20"/>
                <w:color w:val="auto"/>
              </w:rPr>
            </w:pPr>
            <w:r>
              <w:rPr>
                <w:rFonts w:ascii="Calibri" w:cs="Calibri" w:eastAsia="Calibri" w:hAnsi="Calibri"/>
                <w:sz w:val="14"/>
                <w:szCs w:val="14"/>
                <w:color w:val="auto"/>
                <w:w w:val="98"/>
              </w:rPr>
              <w:t>5,337,037</w:t>
            </w:r>
          </w:p>
        </w:tc>
        <w:tc>
          <w:tcPr>
            <w:tcW w:w="2040" w:type="dxa"/>
            <w:vAlign w:val="bottom"/>
          </w:tcPr>
          <w:p>
            <w:pPr>
              <w:jc w:val="center"/>
              <w:ind w:left="1151"/>
              <w:spacing w:after="0"/>
              <w:rPr>
                <w:sz w:val="20"/>
                <w:szCs w:val="20"/>
                <w:color w:val="auto"/>
              </w:rPr>
            </w:pPr>
            <w:r>
              <w:rPr>
                <w:rFonts w:ascii="Calibri" w:cs="Calibri" w:eastAsia="Calibri" w:hAnsi="Calibri"/>
                <w:sz w:val="14"/>
                <w:szCs w:val="14"/>
                <w:color w:val="auto"/>
                <w:w w:val="97"/>
              </w:rPr>
              <w:t>10,674,073</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22"/>
        </w:trPr>
        <w:tc>
          <w:tcPr>
            <w:tcW w:w="3880" w:type="dxa"/>
            <w:vAlign w:val="bottom"/>
            <w:tcBorders>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196"/>
        </w:trPr>
        <w:tc>
          <w:tcPr>
            <w:tcW w:w="388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Maurizio Nicolelli</w:t>
            </w:r>
          </w:p>
        </w:tc>
        <w:tc>
          <w:tcPr>
            <w:tcW w:w="2780" w:type="dxa"/>
            <w:vAlign w:val="bottom"/>
            <w:tcBorders>
              <w:right w:val="single" w:sz="8" w:color="auto"/>
            </w:tcBorders>
          </w:tcPr>
          <w:p>
            <w:pPr>
              <w:jc w:val="center"/>
              <w:ind w:left="251"/>
              <w:spacing w:after="0"/>
              <w:rPr>
                <w:sz w:val="20"/>
                <w:szCs w:val="20"/>
                <w:color w:val="auto"/>
              </w:rPr>
            </w:pPr>
            <w:r>
              <w:rPr>
                <w:rFonts w:ascii="Calibri" w:cs="Calibri" w:eastAsia="Calibri" w:hAnsi="Calibri"/>
                <w:sz w:val="14"/>
                <w:szCs w:val="14"/>
                <w:color w:val="auto"/>
                <w:w w:val="99"/>
              </w:rPr>
              <w:t>823,740</w:t>
            </w:r>
          </w:p>
        </w:tc>
        <w:tc>
          <w:tcPr>
            <w:tcW w:w="2040" w:type="dxa"/>
            <w:vAlign w:val="bottom"/>
          </w:tcPr>
          <w:p>
            <w:pPr>
              <w:jc w:val="center"/>
              <w:ind w:left="1151"/>
              <w:spacing w:after="0"/>
              <w:rPr>
                <w:sz w:val="20"/>
                <w:szCs w:val="20"/>
                <w:color w:val="auto"/>
              </w:rPr>
            </w:pPr>
            <w:r>
              <w:rPr>
                <w:rFonts w:ascii="Calibri" w:cs="Calibri" w:eastAsia="Calibri" w:hAnsi="Calibri"/>
                <w:sz w:val="14"/>
                <w:szCs w:val="14"/>
                <w:color w:val="auto"/>
              </w:rPr>
              <w:t>1,647,480</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22"/>
        </w:trPr>
        <w:tc>
          <w:tcPr>
            <w:tcW w:w="3880" w:type="dxa"/>
            <w:vAlign w:val="bottom"/>
            <w:tcBorders>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196"/>
        </w:trPr>
        <w:tc>
          <w:tcPr>
            <w:tcW w:w="388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Vikas Bhalla</w:t>
            </w:r>
          </w:p>
        </w:tc>
        <w:tc>
          <w:tcPr>
            <w:tcW w:w="2780" w:type="dxa"/>
            <w:vAlign w:val="bottom"/>
            <w:tcBorders>
              <w:right w:val="single" w:sz="8" w:color="auto"/>
            </w:tcBorders>
          </w:tcPr>
          <w:p>
            <w:pPr>
              <w:jc w:val="center"/>
              <w:ind w:left="251"/>
              <w:spacing w:after="0"/>
              <w:rPr>
                <w:sz w:val="20"/>
                <w:szCs w:val="20"/>
                <w:color w:val="auto"/>
              </w:rPr>
            </w:pPr>
            <w:r>
              <w:rPr>
                <w:rFonts w:ascii="Calibri" w:cs="Calibri" w:eastAsia="Calibri" w:hAnsi="Calibri"/>
                <w:sz w:val="14"/>
                <w:szCs w:val="14"/>
                <w:color w:val="auto"/>
                <w:w w:val="99"/>
              </w:rPr>
              <w:t>922,165</w:t>
            </w:r>
          </w:p>
        </w:tc>
        <w:tc>
          <w:tcPr>
            <w:tcW w:w="2040" w:type="dxa"/>
            <w:vAlign w:val="bottom"/>
          </w:tcPr>
          <w:p>
            <w:pPr>
              <w:jc w:val="center"/>
              <w:ind w:left="1151"/>
              <w:spacing w:after="0"/>
              <w:rPr>
                <w:sz w:val="20"/>
                <w:szCs w:val="20"/>
                <w:color w:val="auto"/>
              </w:rPr>
            </w:pPr>
            <w:r>
              <w:rPr>
                <w:rFonts w:ascii="Calibri" w:cs="Calibri" w:eastAsia="Calibri" w:hAnsi="Calibri"/>
                <w:sz w:val="14"/>
                <w:szCs w:val="14"/>
                <w:color w:val="auto"/>
              </w:rPr>
              <w:t>1,844,329</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22"/>
        </w:trPr>
        <w:tc>
          <w:tcPr>
            <w:tcW w:w="3880" w:type="dxa"/>
            <w:vAlign w:val="bottom"/>
            <w:tcBorders>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196"/>
        </w:trPr>
        <w:tc>
          <w:tcPr>
            <w:tcW w:w="388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Vivek Jetley</w:t>
            </w:r>
          </w:p>
        </w:tc>
        <w:tc>
          <w:tcPr>
            <w:tcW w:w="2780" w:type="dxa"/>
            <w:vAlign w:val="bottom"/>
            <w:tcBorders>
              <w:right w:val="single" w:sz="8" w:color="auto"/>
            </w:tcBorders>
          </w:tcPr>
          <w:p>
            <w:pPr>
              <w:jc w:val="center"/>
              <w:ind w:left="251"/>
              <w:spacing w:after="0"/>
              <w:rPr>
                <w:sz w:val="20"/>
                <w:szCs w:val="20"/>
                <w:color w:val="auto"/>
              </w:rPr>
            </w:pPr>
            <w:r>
              <w:rPr>
                <w:rFonts w:ascii="Calibri" w:cs="Calibri" w:eastAsia="Calibri" w:hAnsi="Calibri"/>
                <w:sz w:val="14"/>
                <w:szCs w:val="14"/>
                <w:color w:val="auto"/>
                <w:w w:val="99"/>
              </w:rPr>
              <w:t>856,848</w:t>
            </w:r>
          </w:p>
        </w:tc>
        <w:tc>
          <w:tcPr>
            <w:tcW w:w="2040" w:type="dxa"/>
            <w:vAlign w:val="bottom"/>
          </w:tcPr>
          <w:p>
            <w:pPr>
              <w:jc w:val="center"/>
              <w:ind w:left="1151"/>
              <w:spacing w:after="0"/>
              <w:rPr>
                <w:sz w:val="20"/>
                <w:szCs w:val="20"/>
                <w:color w:val="auto"/>
              </w:rPr>
            </w:pPr>
            <w:r>
              <w:rPr>
                <w:rFonts w:ascii="Calibri" w:cs="Calibri" w:eastAsia="Calibri" w:hAnsi="Calibri"/>
                <w:sz w:val="14"/>
                <w:szCs w:val="14"/>
                <w:color w:val="auto"/>
              </w:rPr>
              <w:t>1,713,695</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22"/>
        </w:trPr>
        <w:tc>
          <w:tcPr>
            <w:tcW w:w="3880" w:type="dxa"/>
            <w:vAlign w:val="bottom"/>
            <w:tcBorders>
              <w:bottom w:val="single" w:sz="8" w:color="auto"/>
              <w:right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r>
        <w:trPr>
          <w:trHeight w:val="196"/>
        </w:trPr>
        <w:tc>
          <w:tcPr>
            <w:tcW w:w="388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Ankor Rai</w:t>
            </w:r>
          </w:p>
        </w:tc>
        <w:tc>
          <w:tcPr>
            <w:tcW w:w="2780" w:type="dxa"/>
            <w:vAlign w:val="bottom"/>
            <w:tcBorders>
              <w:right w:val="single" w:sz="8" w:color="auto"/>
            </w:tcBorders>
          </w:tcPr>
          <w:p>
            <w:pPr>
              <w:jc w:val="center"/>
              <w:ind w:left="251"/>
              <w:spacing w:after="0"/>
              <w:rPr>
                <w:sz w:val="20"/>
                <w:szCs w:val="20"/>
                <w:color w:val="auto"/>
              </w:rPr>
            </w:pPr>
            <w:r>
              <w:rPr>
                <w:rFonts w:ascii="Calibri" w:cs="Calibri" w:eastAsia="Calibri" w:hAnsi="Calibri"/>
                <w:sz w:val="14"/>
                <w:szCs w:val="14"/>
                <w:color w:val="auto"/>
                <w:w w:val="99"/>
              </w:rPr>
              <w:t>659,172</w:t>
            </w:r>
          </w:p>
        </w:tc>
        <w:tc>
          <w:tcPr>
            <w:tcW w:w="2040" w:type="dxa"/>
            <w:vAlign w:val="bottom"/>
          </w:tcPr>
          <w:p>
            <w:pPr>
              <w:jc w:val="center"/>
              <w:ind w:left="1151"/>
              <w:spacing w:after="0"/>
              <w:rPr>
                <w:sz w:val="20"/>
                <w:szCs w:val="20"/>
                <w:color w:val="auto"/>
              </w:rPr>
            </w:pPr>
            <w:r>
              <w:rPr>
                <w:rFonts w:ascii="Calibri" w:cs="Calibri" w:eastAsia="Calibri" w:hAnsi="Calibri"/>
                <w:sz w:val="14"/>
                <w:szCs w:val="14"/>
                <w:color w:val="auto"/>
              </w:rPr>
              <w:t>1,318,343</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28"/>
        </w:trPr>
        <w:tc>
          <w:tcPr>
            <w:tcW w:w="3880" w:type="dxa"/>
            <w:vAlign w:val="bottom"/>
            <w:tcBorders>
              <w:bottom w:val="single" w:sz="8" w:color="FB4E0B"/>
              <w:right w:val="single" w:sz="8" w:color="auto"/>
            </w:tcBorders>
          </w:tcPr>
          <w:p>
            <w:pPr>
              <w:spacing w:after="0"/>
              <w:rPr>
                <w:sz w:val="11"/>
                <w:szCs w:val="11"/>
                <w:color w:val="auto"/>
              </w:rPr>
            </w:pPr>
          </w:p>
        </w:tc>
        <w:tc>
          <w:tcPr>
            <w:tcW w:w="2780" w:type="dxa"/>
            <w:vAlign w:val="bottom"/>
            <w:tcBorders>
              <w:bottom w:val="single" w:sz="8" w:color="FB4E0B"/>
              <w:right w:val="single" w:sz="8" w:color="auto"/>
            </w:tcBorders>
          </w:tcPr>
          <w:p>
            <w:pPr>
              <w:spacing w:after="0"/>
              <w:rPr>
                <w:sz w:val="11"/>
                <w:szCs w:val="11"/>
                <w:color w:val="auto"/>
              </w:rPr>
            </w:pPr>
          </w:p>
        </w:tc>
        <w:tc>
          <w:tcPr>
            <w:tcW w:w="2040" w:type="dxa"/>
            <w:vAlign w:val="bottom"/>
            <w:tcBorders>
              <w:bottom w:val="single" w:sz="8" w:color="FB4E0B"/>
            </w:tcBorders>
          </w:tcPr>
          <w:p>
            <w:pPr>
              <w:spacing w:after="0"/>
              <w:rPr>
                <w:sz w:val="11"/>
                <w:szCs w:val="11"/>
                <w:color w:val="auto"/>
              </w:rPr>
            </w:pPr>
          </w:p>
        </w:tc>
        <w:tc>
          <w:tcPr>
            <w:tcW w:w="360" w:type="dxa"/>
            <w:vAlign w:val="bottom"/>
            <w:tcBorders>
              <w:bottom w:val="single" w:sz="8" w:color="FB4E0B"/>
            </w:tcBorders>
          </w:tcPr>
          <w:p>
            <w:pPr>
              <w:spacing w:after="0"/>
              <w:rPr>
                <w:sz w:val="11"/>
                <w:szCs w:val="11"/>
                <w:color w:val="auto"/>
              </w:rPr>
            </w:pPr>
          </w:p>
        </w:tc>
        <w:tc>
          <w:tcPr>
            <w:tcW w:w="500" w:type="dxa"/>
            <w:vAlign w:val="bottom"/>
            <w:tcBorders>
              <w:bottom w:val="single" w:sz="8" w:color="FB4E0B"/>
            </w:tcBorders>
          </w:tcPr>
          <w:p>
            <w:pPr>
              <w:spacing w:after="0"/>
              <w:rPr>
                <w:sz w:val="11"/>
                <w:szCs w:val="11"/>
                <w:color w:val="auto"/>
              </w:rPr>
            </w:pPr>
          </w:p>
        </w:tc>
      </w:tr>
      <w:tr>
        <w:trPr>
          <w:trHeight w:val="614"/>
        </w:trPr>
        <w:tc>
          <w:tcPr>
            <w:tcW w:w="38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40" w:type="dxa"/>
            <w:vAlign w:val="bottom"/>
          </w:tcPr>
          <w:p>
            <w:pPr>
              <w:ind w:left="120"/>
              <w:spacing w:after="0"/>
              <w:rPr>
                <w:sz w:val="20"/>
                <w:szCs w:val="20"/>
                <w:color w:val="auto"/>
              </w:rPr>
            </w:pPr>
            <w:r>
              <w:rPr>
                <w:rFonts w:ascii="Calibri" w:cs="Calibri" w:eastAsia="Calibri" w:hAnsi="Calibri"/>
                <w:sz w:val="13"/>
                <w:szCs w:val="13"/>
                <w:color w:val="auto"/>
              </w:rPr>
              <w:t>EXL 2023 Proxy Statement</w:t>
            </w:r>
          </w:p>
        </w:tc>
        <w:tc>
          <w:tcPr>
            <w:tcW w:w="360" w:type="dxa"/>
            <w:vAlign w:val="bottom"/>
          </w:tcPr>
          <w:p>
            <w:pPr>
              <w:jc w:val="right"/>
              <w:ind w:right="1"/>
              <w:spacing w:after="0"/>
              <w:rPr>
                <w:sz w:val="20"/>
                <w:szCs w:val="20"/>
                <w:color w:val="auto"/>
              </w:rPr>
            </w:pPr>
            <w:r>
              <w:rPr>
                <w:rFonts w:ascii="Calibri" w:cs="Calibri" w:eastAsia="Calibri" w:hAnsi="Calibri"/>
                <w:sz w:val="28"/>
                <w:szCs w:val="28"/>
                <w:b w:val="1"/>
                <w:bCs w:val="1"/>
                <w:color w:val="FB4E0B"/>
              </w:rPr>
              <w:t>/</w:t>
            </w:r>
          </w:p>
        </w:tc>
        <w:tc>
          <w:tcPr>
            <w:tcW w:w="500" w:type="dxa"/>
            <w:vAlign w:val="bottom"/>
          </w:tcPr>
          <w:p>
            <w:pPr>
              <w:jc w:val="right"/>
              <w:ind w:right="113"/>
              <w:spacing w:after="0"/>
              <w:rPr>
                <w:sz w:val="20"/>
                <w:szCs w:val="20"/>
                <w:color w:val="auto"/>
              </w:rPr>
            </w:pPr>
            <w:r>
              <w:rPr>
                <w:rFonts w:ascii="Calibri" w:cs="Calibri" w:eastAsia="Calibri" w:hAnsi="Calibri"/>
                <w:sz w:val="17"/>
                <w:szCs w:val="17"/>
                <w:b w:val="1"/>
                <w:bCs w:val="1"/>
                <w:color w:val="auto"/>
              </w:rPr>
              <w:t>87</w:t>
            </w:r>
          </w:p>
        </w:tc>
      </w:tr>
    </w:tbl>
    <w:p>
      <w:pPr>
        <w:sectPr>
          <w:pgSz w:w="11900" w:h="16838" w:orient="portrait"/>
          <w:cols w:equalWidth="0" w:num="1">
            <w:col w:w="10940"/>
          </w:cols>
          <w:pgMar w:left="320" w:top="471"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54" w:lineRule="exact"/>
        <w:rPr>
          <w:sz w:val="20"/>
          <w:szCs w:val="20"/>
          <w:color w:val="auto"/>
        </w:rPr>
      </w:pPr>
    </w:p>
    <w:p>
      <w:pPr>
        <w:ind w:left="320" w:right="40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Refects the annual incentve awards earned in respect of 2022 and paid in 2023. For details on our annual incentve program, see “Compensaton Discussion and Analysis—Annual incentves” beginning on page 76.</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Refects the present value of accruals under the Gratuity Plan for Indian employees. Informaton regarding our Gratuity Plan (including the assumptons used to calculate these amounts) may be found under “Pension benefts for fscal year 2022” beginning on page 95.</w:t>
      </w:r>
    </w:p>
    <w:p>
      <w:pPr>
        <w:spacing w:after="0" w:line="3" w:lineRule="exact"/>
        <w:rPr>
          <w:rFonts w:ascii="Calibri" w:cs="Calibri" w:eastAsia="Calibri" w:hAnsi="Calibri"/>
          <w:sz w:val="14"/>
          <w:szCs w:val="14"/>
          <w:color w:val="auto"/>
        </w:rPr>
      </w:pPr>
    </w:p>
    <w:p>
      <w:pPr>
        <w:ind w:left="320" w:right="20" w:hanging="4"/>
        <w:spacing w:after="0" w:line="255" w:lineRule="auto"/>
        <w:tabs>
          <w:tab w:leader="none" w:pos="506"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Amount for Mr. Kapoor includes the travel allowance ($43,336) provided for under his employment agreement, to be used for once-a-year business class airfare for himself and his family between the United States and India, costs associated with use of an automobile and driver ($2,021), car lease rental ($3,412), contributon to our 401(k) plan ($9,150), and Company-paid life insurance premiums ($504). In additon, certain travel expenses for Mr. Kapoor’s spouse to accompany him on business trips were provided at no incremental cost to the Company.</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Nicolelli includes contributon to our 401(k) plan ($9,150) and Company-paid Life Insurance premiums ($504).</w:t>
      </w:r>
    </w:p>
    <w:p>
      <w:pPr>
        <w:spacing w:after="0" w:line="3" w:lineRule="exact"/>
        <w:rPr>
          <w:rFonts w:ascii="Calibri" w:cs="Calibri" w:eastAsia="Calibri" w:hAnsi="Calibri"/>
          <w:sz w:val="14"/>
          <w:szCs w:val="14"/>
          <w:color w:val="auto"/>
        </w:rPr>
      </w:pPr>
    </w:p>
    <w:p>
      <w:pPr>
        <w:ind w:left="320" w:right="380" w:hanging="4"/>
        <w:spacing w:after="0" w:line="235" w:lineRule="auto"/>
        <w:tabs>
          <w:tab w:leader="none" w:pos="506"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Bhalla includes contributons to the Employees’ Provident Fund Scheme (a statutorily required defned contributon program for Indian employees) ($12,871), costs associated with use of an automobile and driver in India ($4,860), and home internet and telephone charges ($502).</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Jetley includes contributons to 401(k) plan ($9,150) and Company-paid Life Insurance premiums ($504).</w:t>
      </w:r>
    </w:p>
    <w:p>
      <w:pPr>
        <w:ind w:left="500" w:hanging="184"/>
        <w:spacing w:after="0" w:line="237" w:lineRule="auto"/>
        <w:tabs>
          <w:tab w:leader="none" w:pos="500" w:val="left"/>
        </w:tabs>
        <w:numPr>
          <w:ilvl w:val="0"/>
          <w:numId w:val="28"/>
        </w:numPr>
        <w:rPr>
          <w:rFonts w:ascii="Calibri" w:cs="Calibri" w:eastAsia="Calibri" w:hAnsi="Calibri"/>
          <w:sz w:val="14"/>
          <w:szCs w:val="14"/>
          <w:color w:val="auto"/>
        </w:rPr>
      </w:pPr>
      <w:r>
        <w:rPr>
          <w:rFonts w:ascii="Calibri" w:cs="Calibri" w:eastAsia="Calibri" w:hAnsi="Calibri"/>
          <w:sz w:val="14"/>
          <w:szCs w:val="14"/>
          <w:color w:val="auto"/>
        </w:rPr>
        <w:t>Amount for Mr. Rai includes contributons to 401(k) plan ($9,150) and Company-paid Life Insurance premiums ($504).</w:t>
      </w:r>
    </w:p>
    <w:p>
      <w:pPr>
        <w:spacing w:after="0" w:line="200" w:lineRule="exact"/>
        <w:rPr>
          <w:sz w:val="20"/>
          <w:szCs w:val="20"/>
          <w:color w:val="auto"/>
        </w:rPr>
      </w:pPr>
    </w:p>
    <w:p>
      <w:pPr>
        <w:spacing w:after="0" w:line="214"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Unless otherwise specifed, U.S. dollar fgures in this Proxy Statement have been converted from Indian rupees at a rate of 82.72 Indian rupees to $1.00, the Indian rupee to U.S. dollar exchange rate in efect as of December 30, 2022. Some of the informaton in the Summary Compensaton Tables for fscal years 2021 and 2020 was converted using the exchange rates in efect as set forth below:</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40" w:type="dxa"/>
            <w:vAlign w:val="bottom"/>
          </w:tcPr>
          <w:p>
            <w:pPr>
              <w:spacing w:after="0"/>
              <w:rPr>
                <w:sz w:val="18"/>
                <w:szCs w:val="18"/>
                <w:color w:val="auto"/>
              </w:rPr>
            </w:pPr>
          </w:p>
        </w:tc>
        <w:tc>
          <w:tcPr>
            <w:tcW w:w="2560" w:type="dxa"/>
            <w:vAlign w:val="bottom"/>
            <w:gridSpan w:val="2"/>
          </w:tcPr>
          <w:p>
            <w:pPr>
              <w:jc w:val="center"/>
              <w:ind w:right="1520"/>
              <w:spacing w:after="0"/>
              <w:rPr>
                <w:sz w:val="20"/>
                <w:szCs w:val="20"/>
                <w:color w:val="auto"/>
              </w:rPr>
            </w:pPr>
            <w:r>
              <w:rPr>
                <w:rFonts w:ascii="Calibri" w:cs="Calibri" w:eastAsia="Calibri" w:hAnsi="Calibri"/>
                <w:sz w:val="17"/>
                <w:szCs w:val="17"/>
                <w:b w:val="1"/>
                <w:bCs w:val="1"/>
                <w:color w:val="FB4E0B"/>
                <w:w w:val="98"/>
              </w:rPr>
              <w:t>Fiscal year</w:t>
            </w:r>
          </w:p>
        </w:tc>
        <w:tc>
          <w:tcPr>
            <w:tcW w:w="2960" w:type="dxa"/>
            <w:vAlign w:val="bottom"/>
          </w:tcPr>
          <w:p>
            <w:pPr>
              <w:ind w:left="780"/>
              <w:spacing w:after="0"/>
              <w:rPr>
                <w:sz w:val="20"/>
                <w:szCs w:val="20"/>
                <w:color w:val="auto"/>
              </w:rPr>
            </w:pPr>
            <w:r>
              <w:rPr>
                <w:rFonts w:ascii="Calibri" w:cs="Calibri" w:eastAsia="Calibri" w:hAnsi="Calibri"/>
                <w:sz w:val="17"/>
                <w:szCs w:val="17"/>
                <w:b w:val="1"/>
                <w:bCs w:val="1"/>
                <w:color w:val="FB4E0B"/>
              </w:rPr>
              <w:t>Rate</w:t>
            </w:r>
          </w:p>
        </w:tc>
        <w:tc>
          <w:tcPr>
            <w:tcW w:w="4660" w:type="dxa"/>
            <w:vAlign w:val="bottom"/>
          </w:tcPr>
          <w:p>
            <w:pPr>
              <w:jc w:val="right"/>
              <w:ind w:right="693"/>
              <w:spacing w:after="0"/>
              <w:rPr>
                <w:sz w:val="20"/>
                <w:szCs w:val="20"/>
                <w:color w:val="auto"/>
              </w:rPr>
            </w:pPr>
            <w:r>
              <w:rPr>
                <w:rFonts w:ascii="Calibri" w:cs="Calibri" w:eastAsia="Calibri" w:hAnsi="Calibri"/>
                <w:sz w:val="17"/>
                <w:szCs w:val="17"/>
                <w:b w:val="1"/>
                <w:bCs w:val="1"/>
                <w:color w:val="FB4E0B"/>
              </w:rPr>
              <w:t>Exchange rate of INR per US$1</w:t>
            </w:r>
          </w:p>
        </w:tc>
      </w:tr>
      <w:tr>
        <w:trPr>
          <w:trHeight w:val="29"/>
        </w:trPr>
        <w:tc>
          <w:tcPr>
            <w:tcW w:w="440" w:type="dxa"/>
            <w:vAlign w:val="bottom"/>
            <w:tcBorders>
              <w:bottom w:val="single" w:sz="8" w:color="FB4E0B"/>
            </w:tcBorders>
          </w:tcPr>
          <w:p>
            <w:pPr>
              <w:spacing w:after="0"/>
              <w:rPr>
                <w:sz w:val="2"/>
                <w:szCs w:val="2"/>
                <w:color w:val="auto"/>
              </w:rPr>
            </w:pPr>
          </w:p>
        </w:tc>
        <w:tc>
          <w:tcPr>
            <w:tcW w:w="1500" w:type="dxa"/>
            <w:vAlign w:val="bottom"/>
            <w:tcBorders>
              <w:bottom w:val="single" w:sz="8" w:color="FB4E0B"/>
            </w:tcBorders>
          </w:tcPr>
          <w:p>
            <w:pPr>
              <w:spacing w:after="0"/>
              <w:rPr>
                <w:sz w:val="2"/>
                <w:szCs w:val="2"/>
                <w:color w:val="auto"/>
              </w:rPr>
            </w:pPr>
          </w:p>
        </w:tc>
        <w:tc>
          <w:tcPr>
            <w:tcW w:w="1060" w:type="dxa"/>
            <w:vAlign w:val="bottom"/>
            <w:tcBorders>
              <w:bottom w:val="single" w:sz="8" w:color="FB4E0B"/>
            </w:tcBorders>
          </w:tcPr>
          <w:p>
            <w:pPr>
              <w:spacing w:after="0"/>
              <w:rPr>
                <w:sz w:val="2"/>
                <w:szCs w:val="2"/>
                <w:color w:val="auto"/>
              </w:rPr>
            </w:pPr>
          </w:p>
        </w:tc>
        <w:tc>
          <w:tcPr>
            <w:tcW w:w="2960" w:type="dxa"/>
            <w:vAlign w:val="bottom"/>
            <w:tcBorders>
              <w:bottom w:val="single" w:sz="8" w:color="FB4E0B"/>
            </w:tcBorders>
          </w:tcPr>
          <w:p>
            <w:pPr>
              <w:spacing w:after="0"/>
              <w:rPr>
                <w:sz w:val="2"/>
                <w:szCs w:val="2"/>
                <w:color w:val="auto"/>
              </w:rPr>
            </w:pPr>
          </w:p>
        </w:tc>
        <w:tc>
          <w:tcPr>
            <w:tcW w:w="4660" w:type="dxa"/>
            <w:vAlign w:val="bottom"/>
            <w:tcBorders>
              <w:bottom w:val="single" w:sz="8" w:color="FB4E0B"/>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500" w:type="dxa"/>
            <w:vAlign w:val="bottom"/>
            <w:tcBorders>
              <w:right w:val="single" w:sz="8" w:color="auto"/>
            </w:tcBorders>
          </w:tcPr>
          <w:p>
            <w:pPr>
              <w:jc w:val="center"/>
              <w:ind w:right="360"/>
              <w:spacing w:after="0"/>
              <w:rPr>
                <w:sz w:val="20"/>
                <w:szCs w:val="20"/>
                <w:color w:val="auto"/>
              </w:rPr>
            </w:pPr>
            <w:r>
              <w:rPr>
                <w:rFonts w:ascii="Calibri" w:cs="Calibri" w:eastAsia="Calibri" w:hAnsi="Calibri"/>
                <w:sz w:val="17"/>
                <w:szCs w:val="17"/>
                <w:color w:val="auto"/>
              </w:rPr>
              <w:t>2021</w:t>
            </w:r>
          </w:p>
        </w:tc>
        <w:tc>
          <w:tcPr>
            <w:tcW w:w="1060" w:type="dxa"/>
            <w:vAlign w:val="bottom"/>
          </w:tcPr>
          <w:p>
            <w:pPr>
              <w:spacing w:after="0"/>
              <w:rPr>
                <w:sz w:val="20"/>
                <w:szCs w:val="20"/>
                <w:color w:val="auto"/>
              </w:rPr>
            </w:pPr>
          </w:p>
        </w:tc>
        <w:tc>
          <w:tcPr>
            <w:tcW w:w="296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December 31, 2021</w:t>
            </w:r>
          </w:p>
        </w:tc>
        <w:tc>
          <w:tcPr>
            <w:tcW w:w="4660" w:type="dxa"/>
            <w:vAlign w:val="bottom"/>
          </w:tcPr>
          <w:p>
            <w:pPr>
              <w:jc w:val="right"/>
              <w:ind w:right="1513"/>
              <w:spacing w:after="0"/>
              <w:rPr>
                <w:sz w:val="20"/>
                <w:szCs w:val="20"/>
                <w:color w:val="auto"/>
              </w:rPr>
            </w:pPr>
            <w:r>
              <w:rPr>
                <w:rFonts w:ascii="Calibri" w:cs="Calibri" w:eastAsia="Calibri" w:hAnsi="Calibri"/>
                <w:sz w:val="17"/>
                <w:szCs w:val="17"/>
                <w:color w:val="auto"/>
              </w:rPr>
              <w:t>74.33</w:t>
            </w:r>
          </w:p>
        </w:tc>
      </w:tr>
      <w:tr>
        <w:trPr>
          <w:trHeight w:val="127"/>
        </w:trPr>
        <w:tc>
          <w:tcPr>
            <w:tcW w:w="440" w:type="dxa"/>
            <w:vAlign w:val="bottom"/>
            <w:tcBorders>
              <w:bottom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4660" w:type="dxa"/>
            <w:vAlign w:val="bottom"/>
            <w:tcBorders>
              <w:bottom w:val="single" w:sz="8" w:color="auto"/>
            </w:tcBorders>
          </w:tcPr>
          <w:p>
            <w:pPr>
              <w:spacing w:after="0"/>
              <w:rPr>
                <w:sz w:val="11"/>
                <w:szCs w:val="11"/>
                <w:color w:val="auto"/>
              </w:rPr>
            </w:pPr>
          </w:p>
        </w:tc>
      </w:tr>
      <w:tr>
        <w:trPr>
          <w:trHeight w:val="230"/>
        </w:trPr>
        <w:tc>
          <w:tcPr>
            <w:tcW w:w="440" w:type="dxa"/>
            <w:vAlign w:val="bottom"/>
          </w:tcPr>
          <w:p>
            <w:pPr>
              <w:spacing w:after="0"/>
              <w:rPr>
                <w:sz w:val="20"/>
                <w:szCs w:val="20"/>
                <w:color w:val="auto"/>
              </w:rPr>
            </w:pPr>
          </w:p>
        </w:tc>
        <w:tc>
          <w:tcPr>
            <w:tcW w:w="1500" w:type="dxa"/>
            <w:vAlign w:val="bottom"/>
            <w:tcBorders>
              <w:right w:val="single" w:sz="8" w:color="auto"/>
            </w:tcBorders>
          </w:tcPr>
          <w:p>
            <w:pPr>
              <w:jc w:val="center"/>
              <w:ind w:right="360"/>
              <w:spacing w:after="0"/>
              <w:rPr>
                <w:sz w:val="20"/>
                <w:szCs w:val="20"/>
                <w:color w:val="auto"/>
              </w:rPr>
            </w:pPr>
            <w:r>
              <w:rPr>
                <w:rFonts w:ascii="Calibri" w:cs="Calibri" w:eastAsia="Calibri" w:hAnsi="Calibri"/>
                <w:sz w:val="17"/>
                <w:szCs w:val="17"/>
                <w:color w:val="auto"/>
              </w:rPr>
              <w:t>2020</w:t>
            </w:r>
          </w:p>
        </w:tc>
        <w:tc>
          <w:tcPr>
            <w:tcW w:w="1060" w:type="dxa"/>
            <w:vAlign w:val="bottom"/>
          </w:tcPr>
          <w:p>
            <w:pPr>
              <w:spacing w:after="0"/>
              <w:rPr>
                <w:sz w:val="20"/>
                <w:szCs w:val="20"/>
                <w:color w:val="auto"/>
              </w:rPr>
            </w:pPr>
          </w:p>
        </w:tc>
        <w:tc>
          <w:tcPr>
            <w:tcW w:w="2960" w:type="dxa"/>
            <w:vAlign w:val="bottom"/>
            <w:tcBorders>
              <w:right w:val="single" w:sz="8" w:color="auto"/>
            </w:tcBorders>
          </w:tcPr>
          <w:p>
            <w:pPr>
              <w:ind w:left="680"/>
              <w:spacing w:after="0"/>
              <w:rPr>
                <w:sz w:val="20"/>
                <w:szCs w:val="20"/>
                <w:color w:val="auto"/>
              </w:rPr>
            </w:pPr>
            <w:r>
              <w:rPr>
                <w:rFonts w:ascii="Calibri" w:cs="Calibri" w:eastAsia="Calibri" w:hAnsi="Calibri"/>
                <w:sz w:val="17"/>
                <w:szCs w:val="17"/>
                <w:color w:val="auto"/>
              </w:rPr>
              <w:t>December 31, 2020</w:t>
            </w:r>
          </w:p>
        </w:tc>
        <w:tc>
          <w:tcPr>
            <w:tcW w:w="4660" w:type="dxa"/>
            <w:vAlign w:val="bottom"/>
          </w:tcPr>
          <w:p>
            <w:pPr>
              <w:jc w:val="right"/>
              <w:ind w:right="1513"/>
              <w:spacing w:after="0"/>
              <w:rPr>
                <w:sz w:val="20"/>
                <w:szCs w:val="20"/>
                <w:color w:val="auto"/>
              </w:rPr>
            </w:pPr>
            <w:r>
              <w:rPr>
                <w:rFonts w:ascii="Calibri" w:cs="Calibri" w:eastAsia="Calibri" w:hAnsi="Calibri"/>
                <w:sz w:val="17"/>
                <w:szCs w:val="17"/>
                <w:color w:val="auto"/>
              </w:rPr>
              <w:t>73.065</w:t>
            </w:r>
          </w:p>
        </w:tc>
      </w:tr>
      <w:tr>
        <w:trPr>
          <w:trHeight w:val="133"/>
        </w:trPr>
        <w:tc>
          <w:tcPr>
            <w:tcW w:w="440" w:type="dxa"/>
            <w:vAlign w:val="bottom"/>
            <w:tcBorders>
              <w:bottom w:val="single" w:sz="8" w:color="FB4E0B"/>
            </w:tcBorders>
          </w:tcPr>
          <w:p>
            <w:pPr>
              <w:spacing w:after="0"/>
              <w:rPr>
                <w:sz w:val="11"/>
                <w:szCs w:val="11"/>
                <w:color w:val="auto"/>
              </w:rPr>
            </w:pPr>
          </w:p>
        </w:tc>
        <w:tc>
          <w:tcPr>
            <w:tcW w:w="1500" w:type="dxa"/>
            <w:vAlign w:val="bottom"/>
            <w:tcBorders>
              <w:bottom w:val="single" w:sz="8" w:color="FB4E0B"/>
              <w:right w:val="single" w:sz="8" w:color="auto"/>
            </w:tcBorders>
          </w:tcPr>
          <w:p>
            <w:pPr>
              <w:spacing w:after="0"/>
              <w:rPr>
                <w:sz w:val="11"/>
                <w:szCs w:val="11"/>
                <w:color w:val="auto"/>
              </w:rPr>
            </w:pPr>
          </w:p>
        </w:tc>
        <w:tc>
          <w:tcPr>
            <w:tcW w:w="1060" w:type="dxa"/>
            <w:vAlign w:val="bottom"/>
            <w:tcBorders>
              <w:bottom w:val="single" w:sz="8" w:color="FB4E0B"/>
            </w:tcBorders>
          </w:tcPr>
          <w:p>
            <w:pPr>
              <w:spacing w:after="0"/>
              <w:rPr>
                <w:sz w:val="11"/>
                <w:szCs w:val="11"/>
                <w:color w:val="auto"/>
              </w:rPr>
            </w:pPr>
          </w:p>
        </w:tc>
        <w:tc>
          <w:tcPr>
            <w:tcW w:w="2960" w:type="dxa"/>
            <w:vAlign w:val="bottom"/>
            <w:tcBorders>
              <w:bottom w:val="single" w:sz="8" w:color="FB4E0B"/>
              <w:right w:val="single" w:sz="8" w:color="auto"/>
            </w:tcBorders>
          </w:tcPr>
          <w:p>
            <w:pPr>
              <w:spacing w:after="0"/>
              <w:rPr>
                <w:sz w:val="11"/>
                <w:szCs w:val="11"/>
                <w:color w:val="auto"/>
              </w:rPr>
            </w:pPr>
          </w:p>
        </w:tc>
        <w:tc>
          <w:tcPr>
            <w:tcW w:w="4660" w:type="dxa"/>
            <w:vAlign w:val="bottom"/>
            <w:tcBorders>
              <w:bottom w:val="single" w:sz="8" w:color="FB4E0B"/>
            </w:tcBorders>
          </w:tcPr>
          <w:p>
            <w:pPr>
              <w:spacing w:after="0"/>
              <w:rPr>
                <w:sz w:val="11"/>
                <w:szCs w:val="11"/>
                <w:color w:val="auto"/>
              </w:rPr>
            </w:pPr>
          </w:p>
        </w:tc>
      </w:tr>
      <w:tr>
        <w:trPr>
          <w:trHeight w:val="445"/>
        </w:trPr>
        <w:tc>
          <w:tcPr>
            <w:tcW w:w="440" w:type="dxa"/>
            <w:vAlign w:val="bottom"/>
          </w:tcPr>
          <w:p>
            <w:pPr>
              <w:jc w:val="right"/>
              <w:ind w:right="73"/>
              <w:spacing w:after="0"/>
              <w:rPr>
                <w:sz w:val="20"/>
                <w:szCs w:val="20"/>
                <w:color w:val="auto"/>
              </w:rPr>
            </w:pPr>
            <w:r>
              <w:rPr>
                <w:rFonts w:ascii="Calibri" w:cs="Calibri" w:eastAsia="Calibri" w:hAnsi="Calibri"/>
                <w:sz w:val="17"/>
                <w:szCs w:val="17"/>
                <w:b w:val="1"/>
                <w:bCs w:val="1"/>
                <w:color w:val="auto"/>
              </w:rPr>
              <w:t>88</w:t>
            </w:r>
          </w:p>
        </w:tc>
        <w:tc>
          <w:tcPr>
            <w:tcW w:w="2560" w:type="dxa"/>
            <w:vAlign w:val="bottom"/>
            <w:gridSpan w:val="2"/>
          </w:tcPr>
          <w:p>
            <w:pPr>
              <w:ind w:left="1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29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0940"/>
          </w:cols>
          <w:pgMar w:left="320" w:top="471"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Grants of plan-based awards table for fscal year 2022</w:t>
      </w:r>
    </w:p>
    <w:p>
      <w:pPr>
        <w:spacing w:after="0" w:line="11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The following table sets forth informaton concerning grants of stock and opton awards and non-equity incentve plan awards granted to our named executve ofcers during fscal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124"/>
        </w:trPr>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20" w:type="dxa"/>
            <w:vAlign w:val="bottom"/>
            <w:gridSpan w:val="2"/>
          </w:tcPr>
          <w:p>
            <w:pPr>
              <w:jc w:val="right"/>
              <w:ind w:right="576"/>
              <w:spacing w:after="0"/>
              <w:rPr>
                <w:sz w:val="20"/>
                <w:szCs w:val="20"/>
                <w:color w:val="auto"/>
              </w:rPr>
            </w:pPr>
            <w:r>
              <w:rPr>
                <w:rFonts w:ascii="Calibri" w:cs="Calibri" w:eastAsia="Calibri" w:hAnsi="Calibri"/>
                <w:sz w:val="10"/>
                <w:szCs w:val="10"/>
                <w:color w:val="auto"/>
              </w:rPr>
              <w:t>Estmated future payouts under</w:t>
            </w:r>
          </w:p>
        </w:tc>
        <w:tc>
          <w:tcPr>
            <w:tcW w:w="580" w:type="dxa"/>
            <w:vAlign w:val="bottom"/>
          </w:tcPr>
          <w:p>
            <w:pPr>
              <w:spacing w:after="0"/>
              <w:rPr>
                <w:sz w:val="10"/>
                <w:szCs w:val="10"/>
                <w:color w:val="auto"/>
              </w:rPr>
            </w:pPr>
          </w:p>
        </w:tc>
        <w:tc>
          <w:tcPr>
            <w:tcW w:w="1600" w:type="dxa"/>
            <w:vAlign w:val="bottom"/>
            <w:gridSpan w:val="2"/>
          </w:tcPr>
          <w:p>
            <w:pPr>
              <w:jc w:val="center"/>
              <w:ind w:right="474"/>
              <w:spacing w:after="0"/>
              <w:rPr>
                <w:sz w:val="20"/>
                <w:szCs w:val="20"/>
                <w:color w:val="auto"/>
              </w:rPr>
            </w:pPr>
            <w:r>
              <w:rPr>
                <w:rFonts w:ascii="Calibri" w:cs="Calibri" w:eastAsia="Calibri" w:hAnsi="Calibri"/>
                <w:sz w:val="10"/>
                <w:szCs w:val="10"/>
                <w:color w:val="auto"/>
              </w:rPr>
              <w:t>Estmated future payouts</w:t>
            </w:r>
          </w:p>
        </w:tc>
        <w:tc>
          <w:tcPr>
            <w:tcW w:w="9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960" w:type="dxa"/>
            <w:vAlign w:val="bottom"/>
            <w:vMerge w:val="restart"/>
          </w:tcPr>
          <w:p>
            <w:pPr>
              <w:ind w:left="60"/>
              <w:spacing w:after="0"/>
              <w:rPr>
                <w:sz w:val="20"/>
                <w:szCs w:val="20"/>
                <w:color w:val="auto"/>
              </w:rPr>
            </w:pPr>
            <w:r>
              <w:rPr>
                <w:rFonts w:ascii="Calibri" w:cs="Calibri" w:eastAsia="Calibri" w:hAnsi="Calibri"/>
                <w:sz w:val="14"/>
                <w:szCs w:val="14"/>
                <w:b w:val="1"/>
                <w:bCs w:val="1"/>
                <w:color w:val="FB4E0B"/>
              </w:rPr>
              <w:t>Name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3"/>
          </w:tcPr>
          <w:p>
            <w:pPr>
              <w:jc w:val="right"/>
              <w:ind w:right="516"/>
              <w:spacing w:after="0" w:line="156" w:lineRule="exact"/>
              <w:rPr>
                <w:sz w:val="20"/>
                <w:szCs w:val="20"/>
                <w:color w:val="auto"/>
              </w:rPr>
            </w:pPr>
            <w:r>
              <w:rPr>
                <w:rFonts w:ascii="Calibri" w:cs="Calibri" w:eastAsia="Calibri" w:hAnsi="Calibri"/>
                <w:sz w:val="10"/>
                <w:szCs w:val="10"/>
                <w:color w:val="auto"/>
              </w:rPr>
              <w:t>non-equity incentve plan awards</w:t>
            </w:r>
            <w:r>
              <w:rPr>
                <w:rFonts w:ascii="Calibri" w:cs="Calibri" w:eastAsia="Calibri" w:hAnsi="Calibri"/>
                <w:sz w:val="15"/>
                <w:szCs w:val="15"/>
                <w:color w:val="auto"/>
                <w:vertAlign w:val="superscript"/>
              </w:rPr>
              <w:t>(1)</w:t>
            </w:r>
          </w:p>
        </w:tc>
        <w:tc>
          <w:tcPr>
            <w:tcW w:w="2180" w:type="dxa"/>
            <w:vAlign w:val="bottom"/>
            <w:gridSpan w:val="3"/>
          </w:tcPr>
          <w:p>
            <w:pPr>
              <w:jc w:val="center"/>
              <w:ind w:left="8"/>
              <w:spacing w:after="0"/>
              <w:rPr>
                <w:sz w:val="20"/>
                <w:szCs w:val="20"/>
                <w:color w:val="auto"/>
              </w:rPr>
            </w:pPr>
            <w:r>
              <w:rPr>
                <w:rFonts w:ascii="Calibri" w:cs="Calibri" w:eastAsia="Calibri" w:hAnsi="Calibri"/>
                <w:sz w:val="10"/>
                <w:szCs w:val="10"/>
                <w:color w:val="auto"/>
              </w:rPr>
              <w:t>under equity incentve plan awards</w:t>
            </w:r>
          </w:p>
        </w:tc>
        <w:tc>
          <w:tcPr>
            <w:tcW w:w="940" w:type="dxa"/>
            <w:vAlign w:val="bottom"/>
            <w:vMerge w:val="restart"/>
          </w:tcPr>
          <w:p>
            <w:pPr>
              <w:jc w:val="center"/>
              <w:ind w:right="98"/>
              <w:spacing w:after="0"/>
              <w:rPr>
                <w:sz w:val="20"/>
                <w:szCs w:val="20"/>
                <w:color w:val="auto"/>
              </w:rPr>
            </w:pPr>
            <w:r>
              <w:rPr>
                <w:rFonts w:ascii="Calibri" w:cs="Calibri" w:eastAsia="Calibri" w:hAnsi="Calibri"/>
                <w:sz w:val="10"/>
                <w:szCs w:val="10"/>
                <w:color w:val="auto"/>
              </w:rPr>
              <w:t>All other</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2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vMerge w:val="restart"/>
          </w:tcPr>
          <w:p>
            <w:pPr>
              <w:jc w:val="center"/>
              <w:ind w:right="98"/>
              <w:spacing w:after="0"/>
              <w:rPr>
                <w:sz w:val="20"/>
                <w:szCs w:val="20"/>
                <w:color w:val="auto"/>
              </w:rPr>
            </w:pPr>
            <w:r>
              <w:rPr>
                <w:rFonts w:ascii="Calibri" w:cs="Calibri" w:eastAsia="Calibri" w:hAnsi="Calibri"/>
                <w:sz w:val="10"/>
                <w:szCs w:val="10"/>
                <w:color w:val="auto"/>
              </w:rPr>
              <w:t>stock awards:</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ind w:right="98"/>
              <w:spacing w:after="0"/>
              <w:rPr>
                <w:sz w:val="20"/>
                <w:szCs w:val="20"/>
                <w:color w:val="auto"/>
              </w:rPr>
            </w:pPr>
            <w:r>
              <w:rPr>
                <w:rFonts w:ascii="Calibri" w:cs="Calibri" w:eastAsia="Calibri" w:hAnsi="Calibri"/>
                <w:sz w:val="10"/>
                <w:szCs w:val="10"/>
                <w:color w:val="auto"/>
              </w:rPr>
              <w:t>number of</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Grant Date Fair</w:t>
            </w: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ind w:right="98"/>
              <w:spacing w:after="0"/>
              <w:rPr>
                <w:sz w:val="20"/>
                <w:szCs w:val="20"/>
                <w:color w:val="auto"/>
              </w:rPr>
            </w:pPr>
            <w:r>
              <w:rPr>
                <w:rFonts w:ascii="Calibri" w:cs="Calibri" w:eastAsia="Calibri" w:hAnsi="Calibri"/>
                <w:sz w:val="10"/>
                <w:szCs w:val="10"/>
                <w:color w:val="auto"/>
              </w:rPr>
              <w:t>shares of</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Value of Stock</w:t>
            </w: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Calibri" w:cs="Calibri" w:eastAsia="Calibri" w:hAnsi="Calibri"/>
                <w:sz w:val="10"/>
                <w:szCs w:val="10"/>
                <w:color w:val="auto"/>
              </w:rPr>
              <w:t>Grant</w:t>
            </w:r>
          </w:p>
        </w:tc>
        <w:tc>
          <w:tcPr>
            <w:tcW w:w="660" w:type="dxa"/>
            <w:vAlign w:val="bottom"/>
          </w:tcPr>
          <w:p>
            <w:pPr>
              <w:jc w:val="center"/>
              <w:ind w:left="108"/>
              <w:spacing w:after="0"/>
              <w:rPr>
                <w:sz w:val="20"/>
                <w:szCs w:val="20"/>
                <w:color w:val="auto"/>
              </w:rPr>
            </w:pPr>
            <w:r>
              <w:rPr>
                <w:rFonts w:ascii="Calibri" w:cs="Calibri" w:eastAsia="Calibri" w:hAnsi="Calibri"/>
                <w:sz w:val="10"/>
                <w:szCs w:val="10"/>
                <w:color w:val="auto"/>
              </w:rPr>
              <w:t>Threshold</w:t>
            </w:r>
          </w:p>
        </w:tc>
        <w:tc>
          <w:tcPr>
            <w:tcW w:w="1100" w:type="dxa"/>
            <w:vAlign w:val="bottom"/>
          </w:tcPr>
          <w:p>
            <w:pPr>
              <w:jc w:val="right"/>
              <w:ind w:right="317"/>
              <w:spacing w:after="0"/>
              <w:rPr>
                <w:sz w:val="20"/>
                <w:szCs w:val="20"/>
                <w:color w:val="auto"/>
              </w:rPr>
            </w:pPr>
            <w:r>
              <w:rPr>
                <w:rFonts w:ascii="Calibri" w:cs="Calibri" w:eastAsia="Calibri" w:hAnsi="Calibri"/>
                <w:sz w:val="10"/>
                <w:szCs w:val="10"/>
                <w:color w:val="auto"/>
              </w:rPr>
              <w:t>Target</w:t>
            </w:r>
          </w:p>
        </w:tc>
        <w:tc>
          <w:tcPr>
            <w:tcW w:w="920" w:type="dxa"/>
            <w:vAlign w:val="bottom"/>
          </w:tcPr>
          <w:p>
            <w:pPr>
              <w:jc w:val="right"/>
              <w:ind w:right="196"/>
              <w:spacing w:after="0"/>
              <w:rPr>
                <w:sz w:val="20"/>
                <w:szCs w:val="20"/>
                <w:color w:val="auto"/>
              </w:rPr>
            </w:pPr>
            <w:r>
              <w:rPr>
                <w:rFonts w:ascii="Calibri" w:cs="Calibri" w:eastAsia="Calibri" w:hAnsi="Calibri"/>
                <w:sz w:val="10"/>
                <w:szCs w:val="10"/>
                <w:color w:val="auto"/>
              </w:rPr>
              <w:t>Maximum</w:t>
            </w:r>
          </w:p>
        </w:tc>
        <w:tc>
          <w:tcPr>
            <w:tcW w:w="580" w:type="dxa"/>
            <w:vAlign w:val="bottom"/>
          </w:tcPr>
          <w:p>
            <w:pPr>
              <w:jc w:val="center"/>
              <w:ind w:left="108"/>
              <w:spacing w:after="0"/>
              <w:rPr>
                <w:sz w:val="20"/>
                <w:szCs w:val="20"/>
                <w:color w:val="auto"/>
              </w:rPr>
            </w:pPr>
            <w:r>
              <w:rPr>
                <w:rFonts w:ascii="Calibri" w:cs="Calibri" w:eastAsia="Calibri" w:hAnsi="Calibri"/>
                <w:sz w:val="10"/>
                <w:szCs w:val="10"/>
                <w:color w:val="auto"/>
              </w:rPr>
              <w:t>Threshold</w:t>
            </w:r>
          </w:p>
        </w:tc>
        <w:tc>
          <w:tcPr>
            <w:tcW w:w="960" w:type="dxa"/>
            <w:vAlign w:val="bottom"/>
          </w:tcPr>
          <w:p>
            <w:pPr>
              <w:jc w:val="center"/>
              <w:ind w:left="35"/>
              <w:spacing w:after="0"/>
              <w:rPr>
                <w:sz w:val="20"/>
                <w:szCs w:val="20"/>
                <w:color w:val="auto"/>
              </w:rPr>
            </w:pPr>
            <w:r>
              <w:rPr>
                <w:rFonts w:ascii="Calibri" w:cs="Calibri" w:eastAsia="Calibri" w:hAnsi="Calibri"/>
                <w:sz w:val="10"/>
                <w:szCs w:val="10"/>
                <w:color w:val="auto"/>
                <w:w w:val="99"/>
              </w:rPr>
              <w:t>Target</w:t>
            </w:r>
          </w:p>
        </w:tc>
        <w:tc>
          <w:tcPr>
            <w:tcW w:w="640" w:type="dxa"/>
            <w:vAlign w:val="bottom"/>
          </w:tcPr>
          <w:p>
            <w:pPr>
              <w:jc w:val="right"/>
              <w:ind w:right="54"/>
              <w:spacing w:after="0"/>
              <w:rPr>
                <w:sz w:val="20"/>
                <w:szCs w:val="20"/>
                <w:color w:val="auto"/>
              </w:rPr>
            </w:pPr>
            <w:r>
              <w:rPr>
                <w:rFonts w:ascii="Calibri" w:cs="Calibri" w:eastAsia="Calibri" w:hAnsi="Calibri"/>
                <w:sz w:val="10"/>
                <w:szCs w:val="10"/>
                <w:color w:val="auto"/>
              </w:rPr>
              <w:t>Maximum</w:t>
            </w:r>
          </w:p>
        </w:tc>
        <w:tc>
          <w:tcPr>
            <w:tcW w:w="940" w:type="dxa"/>
            <w:vAlign w:val="bottom"/>
          </w:tcPr>
          <w:p>
            <w:pPr>
              <w:jc w:val="center"/>
              <w:ind w:right="98"/>
              <w:spacing w:after="0"/>
              <w:rPr>
                <w:sz w:val="20"/>
                <w:szCs w:val="20"/>
                <w:color w:val="auto"/>
              </w:rPr>
            </w:pPr>
            <w:r>
              <w:rPr>
                <w:rFonts w:ascii="Calibri" w:cs="Calibri" w:eastAsia="Calibri" w:hAnsi="Calibri"/>
                <w:sz w:val="10"/>
                <w:szCs w:val="10"/>
                <w:color w:val="auto"/>
              </w:rPr>
              <w:t>stock or units</w:t>
            </w:r>
          </w:p>
        </w:tc>
        <w:tc>
          <w:tcPr>
            <w:tcW w:w="1000" w:type="dxa"/>
            <w:vAlign w:val="bottom"/>
          </w:tcPr>
          <w:p>
            <w:pPr>
              <w:jc w:val="center"/>
              <w:spacing w:after="0"/>
              <w:rPr>
                <w:sz w:val="20"/>
                <w:szCs w:val="20"/>
                <w:color w:val="auto"/>
              </w:rPr>
            </w:pPr>
            <w:r>
              <w:rPr>
                <w:rFonts w:ascii="Calibri" w:cs="Calibri" w:eastAsia="Calibri" w:hAnsi="Calibri"/>
                <w:sz w:val="10"/>
                <w:szCs w:val="10"/>
                <w:color w:val="auto"/>
              </w:rPr>
              <w:t>and Opton</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Calibri" w:cs="Calibri" w:eastAsia="Calibri" w:hAnsi="Calibri"/>
                <w:sz w:val="10"/>
                <w:szCs w:val="10"/>
                <w:color w:val="auto"/>
                <w:w w:val="97"/>
              </w:rPr>
              <w:t>date</w:t>
            </w:r>
          </w:p>
        </w:tc>
        <w:tc>
          <w:tcPr>
            <w:tcW w:w="660" w:type="dxa"/>
            <w:vAlign w:val="bottom"/>
          </w:tcPr>
          <w:p>
            <w:pPr>
              <w:jc w:val="right"/>
              <w:ind w:right="128"/>
              <w:spacing w:after="0"/>
              <w:rPr>
                <w:sz w:val="20"/>
                <w:szCs w:val="20"/>
                <w:color w:val="auto"/>
              </w:rPr>
            </w:pPr>
            <w:r>
              <w:rPr>
                <w:rFonts w:ascii="Calibri" w:cs="Calibri" w:eastAsia="Calibri" w:hAnsi="Calibri"/>
                <w:sz w:val="10"/>
                <w:szCs w:val="10"/>
                <w:color w:val="auto"/>
              </w:rPr>
              <w:t>($)</w:t>
            </w:r>
          </w:p>
        </w:tc>
        <w:tc>
          <w:tcPr>
            <w:tcW w:w="1100" w:type="dxa"/>
            <w:vAlign w:val="bottom"/>
          </w:tcPr>
          <w:p>
            <w:pPr>
              <w:jc w:val="right"/>
              <w:ind w:right="397"/>
              <w:spacing w:after="0"/>
              <w:rPr>
                <w:sz w:val="20"/>
                <w:szCs w:val="20"/>
                <w:color w:val="auto"/>
              </w:rPr>
            </w:pPr>
            <w:r>
              <w:rPr>
                <w:rFonts w:ascii="Calibri" w:cs="Calibri" w:eastAsia="Calibri" w:hAnsi="Calibri"/>
                <w:sz w:val="10"/>
                <w:szCs w:val="10"/>
                <w:color w:val="auto"/>
              </w:rPr>
              <w:t>($)</w:t>
            </w:r>
          </w:p>
        </w:tc>
        <w:tc>
          <w:tcPr>
            <w:tcW w:w="920" w:type="dxa"/>
            <w:vAlign w:val="bottom"/>
          </w:tcPr>
          <w:p>
            <w:pPr>
              <w:jc w:val="right"/>
              <w:ind w:right="356"/>
              <w:spacing w:after="0"/>
              <w:rPr>
                <w:sz w:val="20"/>
                <w:szCs w:val="20"/>
                <w:color w:val="auto"/>
              </w:rPr>
            </w:pPr>
            <w:r>
              <w:rPr>
                <w:rFonts w:ascii="Calibri" w:cs="Calibri" w:eastAsia="Calibri" w:hAnsi="Calibri"/>
                <w:sz w:val="10"/>
                <w:szCs w:val="10"/>
                <w:color w:val="auto"/>
              </w:rPr>
              <w:t>($)</w:t>
            </w:r>
          </w:p>
        </w:tc>
        <w:tc>
          <w:tcPr>
            <w:tcW w:w="580" w:type="dxa"/>
            <w:vAlign w:val="bottom"/>
          </w:tcPr>
          <w:p>
            <w:pPr>
              <w:jc w:val="right"/>
              <w:ind w:right="108"/>
              <w:spacing w:after="0"/>
              <w:rPr>
                <w:sz w:val="20"/>
                <w:szCs w:val="20"/>
                <w:color w:val="auto"/>
              </w:rPr>
            </w:pPr>
            <w:r>
              <w:rPr>
                <w:rFonts w:ascii="Calibri" w:cs="Calibri" w:eastAsia="Calibri" w:hAnsi="Calibri"/>
                <w:sz w:val="10"/>
                <w:szCs w:val="10"/>
                <w:color w:val="auto"/>
              </w:rPr>
              <w:t>(#)</w:t>
            </w:r>
          </w:p>
        </w:tc>
        <w:tc>
          <w:tcPr>
            <w:tcW w:w="960" w:type="dxa"/>
            <w:vAlign w:val="bottom"/>
          </w:tcPr>
          <w:p>
            <w:pPr>
              <w:jc w:val="center"/>
              <w:ind w:left="55"/>
              <w:spacing w:after="0"/>
              <w:rPr>
                <w:sz w:val="20"/>
                <w:szCs w:val="20"/>
                <w:color w:val="auto"/>
              </w:rPr>
            </w:pPr>
            <w:r>
              <w:rPr>
                <w:rFonts w:ascii="Calibri" w:cs="Calibri" w:eastAsia="Calibri" w:hAnsi="Calibri"/>
                <w:sz w:val="10"/>
                <w:szCs w:val="10"/>
                <w:color w:val="auto"/>
              </w:rPr>
              <w:t>(#)</w:t>
            </w:r>
          </w:p>
        </w:tc>
        <w:tc>
          <w:tcPr>
            <w:tcW w:w="640" w:type="dxa"/>
            <w:vAlign w:val="bottom"/>
          </w:tcPr>
          <w:p>
            <w:pPr>
              <w:jc w:val="right"/>
              <w:ind w:right="194"/>
              <w:spacing w:after="0"/>
              <w:rPr>
                <w:sz w:val="20"/>
                <w:szCs w:val="20"/>
                <w:color w:val="auto"/>
              </w:rPr>
            </w:pPr>
            <w:r>
              <w:rPr>
                <w:rFonts w:ascii="Calibri" w:cs="Calibri" w:eastAsia="Calibri" w:hAnsi="Calibri"/>
                <w:sz w:val="10"/>
                <w:szCs w:val="10"/>
                <w:color w:val="auto"/>
              </w:rPr>
              <w:t>(#)</w:t>
            </w:r>
          </w:p>
        </w:tc>
        <w:tc>
          <w:tcPr>
            <w:tcW w:w="940" w:type="dxa"/>
            <w:vAlign w:val="bottom"/>
          </w:tcPr>
          <w:p>
            <w:pPr>
              <w:jc w:val="center"/>
              <w:ind w:right="98"/>
              <w:spacing w:after="0"/>
              <w:rPr>
                <w:sz w:val="20"/>
                <w:szCs w:val="20"/>
                <w:color w:val="auto"/>
              </w:rPr>
            </w:pPr>
            <w:r>
              <w:rPr>
                <w:rFonts w:ascii="Calibri" w:cs="Calibri" w:eastAsia="Calibri" w:hAnsi="Calibri"/>
                <w:sz w:val="10"/>
                <w:szCs w:val="10"/>
                <w:color w:val="auto"/>
                <w:w w:val="90"/>
              </w:rPr>
              <w:t>(#)</w:t>
            </w:r>
          </w:p>
        </w:tc>
        <w:tc>
          <w:tcPr>
            <w:tcW w:w="1000" w:type="dxa"/>
            <w:vAlign w:val="bottom"/>
          </w:tcPr>
          <w:p>
            <w:pPr>
              <w:jc w:val="center"/>
              <w:spacing w:after="0"/>
              <w:rPr>
                <w:sz w:val="20"/>
                <w:szCs w:val="20"/>
                <w:color w:val="auto"/>
              </w:rPr>
            </w:pPr>
            <w:r>
              <w:rPr>
                <w:rFonts w:ascii="Calibri" w:cs="Calibri" w:eastAsia="Calibri" w:hAnsi="Calibri"/>
                <w:sz w:val="10"/>
                <w:szCs w:val="10"/>
                <w:color w:val="auto"/>
                <w:w w:val="98"/>
              </w:rPr>
              <w:t>Awards</w:t>
            </w:r>
            <w:r>
              <w:rPr>
                <w:rFonts w:ascii="Calibri" w:cs="Calibri" w:eastAsia="Calibri" w:hAnsi="Calibri"/>
                <w:sz w:val="15"/>
                <w:szCs w:val="15"/>
                <w:color w:val="auto"/>
                <w:w w:val="98"/>
                <w:vertAlign w:val="superscript"/>
              </w:rPr>
              <w:t>(6)</w:t>
            </w:r>
            <w:r>
              <w:rPr>
                <w:rFonts w:ascii="Calibri" w:cs="Calibri" w:eastAsia="Calibri" w:hAnsi="Calibri"/>
                <w:sz w:val="10"/>
                <w:szCs w:val="10"/>
                <w:color w:val="auto"/>
                <w:w w:val="98"/>
              </w:rPr>
              <w:t xml:space="preserve"> ($)</w:t>
            </w:r>
          </w:p>
        </w:tc>
        <w:tc>
          <w:tcPr>
            <w:tcW w:w="0" w:type="dxa"/>
            <w:vAlign w:val="bottom"/>
          </w:tcPr>
          <w:p>
            <w:pPr>
              <w:spacing w:after="0"/>
              <w:rPr>
                <w:sz w:val="1"/>
                <w:szCs w:val="1"/>
                <w:color w:val="auto"/>
              </w:rPr>
            </w:pPr>
          </w:p>
        </w:tc>
      </w:tr>
      <w:tr>
        <w:trPr>
          <w:trHeight w:val="24"/>
        </w:trPr>
        <w:tc>
          <w:tcPr>
            <w:tcW w:w="2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137"/>
              <w:spacing w:after="0" w:line="159" w:lineRule="exact"/>
              <w:rPr>
                <w:sz w:val="20"/>
                <w:szCs w:val="20"/>
                <w:color w:val="auto"/>
              </w:rPr>
            </w:pPr>
            <w:r>
              <w:rPr>
                <w:rFonts w:ascii="Calibri" w:cs="Calibri" w:eastAsia="Calibri" w:hAnsi="Calibri"/>
                <w:sz w:val="14"/>
                <w:szCs w:val="14"/>
                <w:color w:val="auto"/>
              </w:rPr>
              <w:t>1,149,575</w:t>
            </w:r>
          </w:p>
        </w:tc>
        <w:tc>
          <w:tcPr>
            <w:tcW w:w="920" w:type="dxa"/>
            <w:vAlign w:val="bottom"/>
          </w:tcPr>
          <w:p>
            <w:pPr>
              <w:jc w:val="right"/>
              <w:ind w:right="96"/>
              <w:spacing w:after="0" w:line="159" w:lineRule="exact"/>
              <w:rPr>
                <w:sz w:val="20"/>
                <w:szCs w:val="20"/>
                <w:color w:val="auto"/>
              </w:rPr>
            </w:pPr>
            <w:r>
              <w:rPr>
                <w:rFonts w:ascii="Calibri" w:cs="Calibri" w:eastAsia="Calibri" w:hAnsi="Calibri"/>
                <w:sz w:val="14"/>
                <w:szCs w:val="14"/>
                <w:color w:val="auto"/>
              </w:rPr>
              <w:t>3,448,726</w:t>
            </w: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60" w:type="dxa"/>
            <w:vAlign w:val="bottom"/>
          </w:tcPr>
          <w:p>
            <w:pPr>
              <w:ind w:left="60"/>
              <w:spacing w:after="0"/>
              <w:rPr>
                <w:sz w:val="20"/>
                <w:szCs w:val="20"/>
                <w:color w:val="auto"/>
              </w:rPr>
            </w:pPr>
            <w:r>
              <w:rPr>
                <w:rFonts w:ascii="Calibri" w:cs="Calibri" w:eastAsia="Calibri" w:hAnsi="Calibri"/>
                <w:sz w:val="14"/>
                <w:szCs w:val="14"/>
                <w:b w:val="1"/>
                <w:bCs w:val="1"/>
                <w:color w:val="auto"/>
              </w:rPr>
              <w:t>Rohit</w:t>
            </w:r>
          </w:p>
        </w:tc>
        <w:tc>
          <w:tcPr>
            <w:tcW w:w="8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ind w:right="78"/>
              <w:spacing w:after="0" w:line="197" w:lineRule="exact"/>
              <w:rPr>
                <w:sz w:val="20"/>
                <w:szCs w:val="20"/>
                <w:color w:val="auto"/>
              </w:rPr>
            </w:pPr>
            <w:r>
              <w:rPr>
                <w:rFonts w:ascii="Calibri" w:cs="Calibri" w:eastAsia="Calibri" w:hAnsi="Calibri"/>
                <w:sz w:val="14"/>
                <w:szCs w:val="14"/>
                <w:color w:val="auto"/>
              </w:rPr>
              <w:t>25,164</w:t>
            </w:r>
            <w:r>
              <w:rPr>
                <w:rFonts w:ascii="Calibri" w:cs="Calibri" w:eastAsia="Calibri" w:hAnsi="Calibri"/>
                <w:sz w:val="20"/>
                <w:szCs w:val="20"/>
                <w:color w:val="auto"/>
                <w:vertAlign w:val="superscript"/>
              </w:rPr>
              <w:t>(4)</w:t>
            </w:r>
          </w:p>
        </w:tc>
        <w:tc>
          <w:tcPr>
            <w:tcW w:w="1000" w:type="dxa"/>
            <w:vAlign w:val="bottom"/>
          </w:tcPr>
          <w:p>
            <w:pPr>
              <w:jc w:val="right"/>
              <w:ind w:right="54"/>
              <w:spacing w:after="0"/>
              <w:rPr>
                <w:sz w:val="20"/>
                <w:szCs w:val="20"/>
                <w:color w:val="auto"/>
              </w:rPr>
            </w:pPr>
            <w:r>
              <w:rPr>
                <w:rFonts w:ascii="Calibri" w:cs="Calibri" w:eastAsia="Calibri" w:hAnsi="Calibri"/>
                <w:sz w:val="14"/>
                <w:szCs w:val="14"/>
                <w:color w:val="auto"/>
              </w:rPr>
              <w:t>3,019,177</w:t>
            </w:r>
          </w:p>
        </w:tc>
        <w:tc>
          <w:tcPr>
            <w:tcW w:w="0" w:type="dxa"/>
            <w:vAlign w:val="bottom"/>
          </w:tcPr>
          <w:p>
            <w:pPr>
              <w:spacing w:after="0"/>
              <w:rPr>
                <w:sz w:val="1"/>
                <w:szCs w:val="1"/>
                <w:color w:val="auto"/>
              </w:rPr>
            </w:pPr>
          </w:p>
        </w:tc>
      </w:tr>
      <w:tr>
        <w:trPr>
          <w:trHeight w:val="221"/>
        </w:trPr>
        <w:tc>
          <w:tcPr>
            <w:tcW w:w="29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auto"/>
              </w:rPr>
              <w:t>Kapoor</w:t>
            </w:r>
          </w:p>
        </w:tc>
        <w:tc>
          <w:tcPr>
            <w:tcW w:w="8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ind w:right="35"/>
              <w:spacing w:after="0" w:line="221" w:lineRule="exact"/>
              <w:rPr>
                <w:sz w:val="20"/>
                <w:szCs w:val="20"/>
                <w:color w:val="auto"/>
              </w:rPr>
            </w:pPr>
            <w:r>
              <w:rPr>
                <w:rFonts w:ascii="Calibri" w:cs="Calibri" w:eastAsia="Calibri" w:hAnsi="Calibri"/>
                <w:sz w:val="14"/>
                <w:szCs w:val="14"/>
                <w:color w:val="auto"/>
              </w:rPr>
              <w:t>15,099</w:t>
            </w:r>
            <w:r>
              <w:rPr>
                <w:rFonts w:ascii="Calibri" w:cs="Calibri" w:eastAsia="Calibri" w:hAnsi="Calibri"/>
                <w:sz w:val="20"/>
                <w:szCs w:val="20"/>
                <w:color w:val="auto"/>
                <w:vertAlign w:val="superscript"/>
              </w:rPr>
              <w:t>(2)</w:t>
            </w:r>
          </w:p>
        </w:tc>
        <w:tc>
          <w:tcPr>
            <w:tcW w:w="640" w:type="dxa"/>
            <w:vAlign w:val="bottom"/>
          </w:tcPr>
          <w:p>
            <w:pPr>
              <w:jc w:val="right"/>
              <w:ind w:right="54"/>
              <w:spacing w:after="0"/>
              <w:rPr>
                <w:sz w:val="20"/>
                <w:szCs w:val="20"/>
                <w:color w:val="auto"/>
              </w:rPr>
            </w:pPr>
            <w:r>
              <w:rPr>
                <w:rFonts w:ascii="Calibri" w:cs="Calibri" w:eastAsia="Calibri" w:hAnsi="Calibri"/>
                <w:sz w:val="14"/>
                <w:szCs w:val="14"/>
                <w:color w:val="auto"/>
              </w:rPr>
              <w:t>30,198</w:t>
            </w:r>
          </w:p>
        </w:tc>
        <w:tc>
          <w:tcPr>
            <w:tcW w:w="94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Calibri" w:cs="Calibri" w:eastAsia="Calibri" w:hAnsi="Calibri"/>
                <w:sz w:val="14"/>
                <w:szCs w:val="14"/>
                <w:color w:val="auto"/>
              </w:rPr>
              <w:t>1,811,578</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86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ind w:right="35"/>
              <w:spacing w:after="0" w:line="210" w:lineRule="exact"/>
              <w:rPr>
                <w:sz w:val="20"/>
                <w:szCs w:val="20"/>
                <w:color w:val="auto"/>
              </w:rPr>
            </w:pPr>
            <w:r>
              <w:rPr>
                <w:rFonts w:ascii="Calibri" w:cs="Calibri" w:eastAsia="Calibri" w:hAnsi="Calibri"/>
                <w:sz w:val="14"/>
                <w:szCs w:val="14"/>
                <w:color w:val="auto"/>
              </w:rPr>
              <w:t>22,647</w:t>
            </w:r>
            <w:r>
              <w:rPr>
                <w:rFonts w:ascii="Calibri" w:cs="Calibri" w:eastAsia="Calibri" w:hAnsi="Calibri"/>
                <w:sz w:val="20"/>
                <w:szCs w:val="20"/>
                <w:color w:val="auto"/>
                <w:vertAlign w:val="superscript"/>
              </w:rPr>
              <w:t>(3)</w:t>
            </w:r>
          </w:p>
        </w:tc>
        <w:tc>
          <w:tcPr>
            <w:tcW w:w="64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45,294</w:t>
            </w:r>
          </w:p>
        </w:tc>
        <w:tc>
          <w:tcPr>
            <w:tcW w:w="940" w:type="dxa"/>
            <w:vAlign w:val="bottom"/>
          </w:tcPr>
          <w:p>
            <w:pPr>
              <w:spacing w:after="0"/>
              <w:rPr>
                <w:sz w:val="18"/>
                <w:szCs w:val="18"/>
                <w:color w:val="auto"/>
              </w:rPr>
            </w:pPr>
          </w:p>
        </w:tc>
        <w:tc>
          <w:tcPr>
            <w:tcW w:w="100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3,525,458</w:t>
            </w:r>
          </w:p>
        </w:tc>
        <w:tc>
          <w:tcPr>
            <w:tcW w:w="0" w:type="dxa"/>
            <w:vAlign w:val="bottom"/>
          </w:tcPr>
          <w:p>
            <w:pPr>
              <w:spacing w:after="0"/>
              <w:rPr>
                <w:sz w:val="1"/>
                <w:szCs w:val="1"/>
                <w:color w:val="auto"/>
              </w:rPr>
            </w:pPr>
          </w:p>
        </w:tc>
      </w:tr>
      <w:tr>
        <w:trPr>
          <w:trHeight w:val="177"/>
        </w:trPr>
        <w:tc>
          <w:tcPr>
            <w:tcW w:w="29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660" w:type="dxa"/>
            <w:vAlign w:val="bottom"/>
            <w:shd w:val="clear" w:color="auto" w:fill="D8D8D8"/>
          </w:tcPr>
          <w:p>
            <w:pPr>
              <w:spacing w:after="0"/>
              <w:rPr>
                <w:sz w:val="15"/>
                <w:szCs w:val="15"/>
                <w:color w:val="auto"/>
              </w:rPr>
            </w:pPr>
          </w:p>
        </w:tc>
        <w:tc>
          <w:tcPr>
            <w:tcW w:w="1100" w:type="dxa"/>
            <w:vAlign w:val="bottom"/>
            <w:shd w:val="clear" w:color="auto" w:fill="D8D8D8"/>
          </w:tcPr>
          <w:p>
            <w:pPr>
              <w:jc w:val="right"/>
              <w:ind w:right="137"/>
              <w:spacing w:after="0"/>
              <w:rPr>
                <w:sz w:val="20"/>
                <w:szCs w:val="20"/>
                <w:color w:val="auto"/>
              </w:rPr>
            </w:pPr>
            <w:r>
              <w:rPr>
                <w:rFonts w:ascii="Calibri" w:cs="Calibri" w:eastAsia="Calibri" w:hAnsi="Calibri"/>
                <w:sz w:val="14"/>
                <w:szCs w:val="14"/>
                <w:color w:val="auto"/>
              </w:rPr>
              <w:t>362,866</w:t>
            </w:r>
          </w:p>
        </w:tc>
        <w:tc>
          <w:tcPr>
            <w:tcW w:w="920" w:type="dxa"/>
            <w:vAlign w:val="bottom"/>
            <w:shd w:val="clear" w:color="auto" w:fill="D8D8D8"/>
          </w:tcPr>
          <w:p>
            <w:pPr>
              <w:jc w:val="right"/>
              <w:ind w:right="96"/>
              <w:spacing w:after="0"/>
              <w:rPr>
                <w:sz w:val="20"/>
                <w:szCs w:val="20"/>
                <w:color w:val="auto"/>
              </w:rPr>
            </w:pPr>
            <w:r>
              <w:rPr>
                <w:rFonts w:ascii="Calibri" w:cs="Calibri" w:eastAsia="Calibri" w:hAnsi="Calibri"/>
                <w:sz w:val="14"/>
                <w:szCs w:val="14"/>
                <w:color w:val="auto"/>
              </w:rPr>
              <w:t>544,300</w:t>
            </w:r>
          </w:p>
        </w:tc>
        <w:tc>
          <w:tcPr>
            <w:tcW w:w="5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60" w:type="dxa"/>
            <w:vAlign w:val="bottom"/>
            <w:vMerge w:val="restart"/>
            <w:shd w:val="clear" w:color="auto" w:fill="D8D8D8"/>
          </w:tcPr>
          <w:p>
            <w:pPr>
              <w:ind w:left="60"/>
              <w:spacing w:after="0"/>
              <w:rPr>
                <w:sz w:val="20"/>
                <w:szCs w:val="20"/>
                <w:color w:val="auto"/>
              </w:rPr>
            </w:pPr>
            <w:r>
              <w:rPr>
                <w:rFonts w:ascii="Calibri" w:cs="Calibri" w:eastAsia="Calibri" w:hAnsi="Calibri"/>
                <w:sz w:val="14"/>
                <w:szCs w:val="14"/>
                <w:b w:val="1"/>
                <w:bCs w:val="1"/>
                <w:color w:val="auto"/>
              </w:rPr>
              <w:t>Maurizio</w:t>
            </w:r>
          </w:p>
        </w:tc>
        <w:tc>
          <w:tcPr>
            <w:tcW w:w="140" w:type="dxa"/>
            <w:vAlign w:val="bottom"/>
            <w:shd w:val="clear" w:color="auto" w:fill="D8D8D8"/>
          </w:tcPr>
          <w:p>
            <w:pPr>
              <w:spacing w:after="0"/>
              <w:rPr>
                <w:sz w:val="20"/>
                <w:szCs w:val="20"/>
                <w:color w:val="auto"/>
              </w:rPr>
            </w:pPr>
          </w:p>
        </w:tc>
        <w:tc>
          <w:tcPr>
            <w:tcW w:w="720" w:type="dxa"/>
            <w:vAlign w:val="bottom"/>
            <w:gridSpan w:val="2"/>
            <w:shd w:val="clear" w:color="auto" w:fill="D8D8D8"/>
          </w:tcPr>
          <w:p>
            <w:pPr>
              <w:jc w:val="right"/>
              <w:ind w:right="100"/>
              <w:spacing w:after="0"/>
              <w:rPr>
                <w:sz w:val="20"/>
                <w:szCs w:val="20"/>
                <w:color w:val="auto"/>
              </w:rPr>
            </w:pPr>
            <w:r>
              <w:rPr>
                <w:rFonts w:ascii="Calibri" w:cs="Calibri" w:eastAsia="Calibri" w:hAnsi="Calibri"/>
                <w:sz w:val="14"/>
                <w:szCs w:val="14"/>
                <w:color w:val="auto"/>
                <w:w w:val="99"/>
              </w:rPr>
              <w:t>2/16/2022</w:t>
            </w:r>
          </w:p>
        </w:tc>
        <w:tc>
          <w:tcPr>
            <w:tcW w:w="66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640" w:type="dxa"/>
            <w:vAlign w:val="bottom"/>
            <w:shd w:val="clear" w:color="auto" w:fill="D8D8D8"/>
          </w:tcPr>
          <w:p>
            <w:pPr>
              <w:spacing w:after="0"/>
              <w:rPr>
                <w:sz w:val="20"/>
                <w:szCs w:val="20"/>
                <w:color w:val="auto"/>
              </w:rPr>
            </w:pPr>
          </w:p>
        </w:tc>
        <w:tc>
          <w:tcPr>
            <w:tcW w:w="940" w:type="dxa"/>
            <w:vAlign w:val="bottom"/>
            <w:shd w:val="clear" w:color="auto" w:fill="D8D8D8"/>
          </w:tcPr>
          <w:p>
            <w:pPr>
              <w:jc w:val="right"/>
              <w:ind w:right="78"/>
              <w:spacing w:after="0" w:line="240" w:lineRule="exact"/>
              <w:rPr>
                <w:sz w:val="20"/>
                <w:szCs w:val="20"/>
                <w:color w:val="auto"/>
              </w:rPr>
            </w:pPr>
            <w:r>
              <w:rPr>
                <w:rFonts w:ascii="Calibri" w:cs="Calibri" w:eastAsia="Calibri" w:hAnsi="Calibri"/>
                <w:sz w:val="14"/>
                <w:szCs w:val="14"/>
                <w:color w:val="auto"/>
              </w:rPr>
              <w:t>3,884</w:t>
            </w:r>
            <w:r>
              <w:rPr>
                <w:rFonts w:ascii="Calibri" w:cs="Calibri" w:eastAsia="Calibri" w:hAnsi="Calibri"/>
                <w:sz w:val="20"/>
                <w:szCs w:val="20"/>
                <w:color w:val="auto"/>
                <w:vertAlign w:val="superscript"/>
              </w:rPr>
              <w:t>(4)</w:t>
            </w:r>
          </w:p>
        </w:tc>
        <w:tc>
          <w:tcPr>
            <w:tcW w:w="1000" w:type="dxa"/>
            <w:vAlign w:val="bottom"/>
            <w:shd w:val="clear" w:color="auto" w:fill="D8D8D8"/>
          </w:tcPr>
          <w:p>
            <w:pPr>
              <w:jc w:val="right"/>
              <w:ind w:right="54"/>
              <w:spacing w:after="0"/>
              <w:rPr>
                <w:sz w:val="20"/>
                <w:szCs w:val="20"/>
                <w:color w:val="auto"/>
              </w:rPr>
            </w:pPr>
            <w:r>
              <w:rPr>
                <w:rFonts w:ascii="Calibri" w:cs="Calibri" w:eastAsia="Calibri" w:hAnsi="Calibri"/>
                <w:sz w:val="14"/>
                <w:szCs w:val="14"/>
                <w:color w:val="auto"/>
              </w:rPr>
              <w:t>466,002</w:t>
            </w:r>
          </w:p>
        </w:tc>
        <w:tc>
          <w:tcPr>
            <w:tcW w:w="0" w:type="dxa"/>
            <w:vAlign w:val="bottom"/>
          </w:tcPr>
          <w:p>
            <w:pPr>
              <w:spacing w:after="0"/>
              <w:rPr>
                <w:sz w:val="1"/>
                <w:szCs w:val="1"/>
                <w:color w:val="auto"/>
              </w:rPr>
            </w:pPr>
          </w:p>
        </w:tc>
      </w:tr>
      <w:tr>
        <w:trPr>
          <w:trHeight w:val="60"/>
        </w:trPr>
        <w:tc>
          <w:tcPr>
            <w:tcW w:w="2960" w:type="dxa"/>
            <w:vAlign w:val="bottom"/>
            <w:vMerge w:val="continue"/>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620" w:type="dxa"/>
            <w:vAlign w:val="bottom"/>
            <w:vMerge w:val="restart"/>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3/31/2022</w:t>
            </w:r>
          </w:p>
        </w:tc>
        <w:tc>
          <w:tcPr>
            <w:tcW w:w="100" w:type="dxa"/>
            <w:vAlign w:val="bottom"/>
            <w:shd w:val="clear" w:color="auto" w:fill="D8D8D8"/>
          </w:tcPr>
          <w:p>
            <w:pPr>
              <w:spacing w:after="0"/>
              <w:rPr>
                <w:sz w:val="5"/>
                <w:szCs w:val="5"/>
                <w:color w:val="auto"/>
              </w:rPr>
            </w:pPr>
          </w:p>
        </w:tc>
        <w:tc>
          <w:tcPr>
            <w:tcW w:w="66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920" w:type="dxa"/>
            <w:vAlign w:val="bottom"/>
            <w:shd w:val="clear" w:color="auto" w:fill="D8D8D8"/>
          </w:tcPr>
          <w:p>
            <w:pPr>
              <w:spacing w:after="0"/>
              <w:rPr>
                <w:sz w:val="5"/>
                <w:szCs w:val="5"/>
                <w:color w:val="auto"/>
              </w:rPr>
            </w:pPr>
          </w:p>
        </w:tc>
        <w:tc>
          <w:tcPr>
            <w:tcW w:w="580" w:type="dxa"/>
            <w:vAlign w:val="bottom"/>
            <w:shd w:val="clear" w:color="auto" w:fill="D8D8D8"/>
          </w:tcPr>
          <w:p>
            <w:pPr>
              <w:spacing w:after="0"/>
              <w:rPr>
                <w:sz w:val="5"/>
                <w:szCs w:val="5"/>
                <w:color w:val="auto"/>
              </w:rPr>
            </w:pPr>
          </w:p>
        </w:tc>
        <w:tc>
          <w:tcPr>
            <w:tcW w:w="960" w:type="dxa"/>
            <w:vAlign w:val="bottom"/>
            <w:shd w:val="clear" w:color="auto" w:fill="D8D8D8"/>
          </w:tcPr>
          <w:p>
            <w:pPr>
              <w:spacing w:after="0"/>
              <w:rPr>
                <w:sz w:val="5"/>
                <w:szCs w:val="5"/>
                <w:color w:val="auto"/>
              </w:rPr>
            </w:pPr>
          </w:p>
        </w:tc>
        <w:tc>
          <w:tcPr>
            <w:tcW w:w="640" w:type="dxa"/>
            <w:vAlign w:val="bottom"/>
            <w:shd w:val="clear" w:color="auto" w:fill="D8D8D8"/>
          </w:tcPr>
          <w:p>
            <w:pPr>
              <w:spacing w:after="0"/>
              <w:rPr>
                <w:sz w:val="5"/>
                <w:szCs w:val="5"/>
                <w:color w:val="auto"/>
              </w:rPr>
            </w:pPr>
          </w:p>
        </w:tc>
        <w:tc>
          <w:tcPr>
            <w:tcW w:w="940" w:type="dxa"/>
            <w:vAlign w:val="bottom"/>
            <w:vMerge w:val="restart"/>
            <w:shd w:val="clear" w:color="auto" w:fill="D8D8D8"/>
          </w:tcPr>
          <w:p>
            <w:pPr>
              <w:jc w:val="right"/>
              <w:ind w:right="78"/>
              <w:spacing w:after="0" w:line="195"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(5)</w:t>
            </w:r>
          </w:p>
        </w:tc>
        <w:tc>
          <w:tcPr>
            <w:tcW w:w="100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521,123</w:t>
            </w:r>
          </w:p>
        </w:tc>
        <w:tc>
          <w:tcPr>
            <w:tcW w:w="0" w:type="dxa"/>
            <w:vAlign w:val="bottom"/>
          </w:tcPr>
          <w:p>
            <w:pPr>
              <w:spacing w:after="0"/>
              <w:rPr>
                <w:sz w:val="1"/>
                <w:szCs w:val="1"/>
                <w:color w:val="auto"/>
              </w:rPr>
            </w:pPr>
          </w:p>
        </w:tc>
      </w:tr>
      <w:tr>
        <w:trPr>
          <w:trHeight w:val="135"/>
        </w:trPr>
        <w:tc>
          <w:tcPr>
            <w:tcW w:w="2960" w:type="dxa"/>
            <w:vAlign w:val="bottom"/>
            <w:vMerge w:val="restart"/>
            <w:shd w:val="clear" w:color="auto" w:fill="D8D8D8"/>
          </w:tcPr>
          <w:p>
            <w:pPr>
              <w:ind w:left="60"/>
              <w:spacing w:after="0" w:line="169" w:lineRule="exact"/>
              <w:rPr>
                <w:sz w:val="20"/>
                <w:szCs w:val="20"/>
                <w:color w:val="auto"/>
              </w:rPr>
            </w:pPr>
            <w:r>
              <w:rPr>
                <w:rFonts w:ascii="Calibri" w:cs="Calibri" w:eastAsia="Calibri" w:hAnsi="Calibri"/>
                <w:sz w:val="14"/>
                <w:szCs w:val="14"/>
                <w:b w:val="1"/>
                <w:bCs w:val="1"/>
                <w:color w:val="auto"/>
              </w:rPr>
              <w:t>Nicolelli</w:t>
            </w:r>
          </w:p>
        </w:tc>
        <w:tc>
          <w:tcPr>
            <w:tcW w:w="140" w:type="dxa"/>
            <w:vAlign w:val="bottom"/>
            <w:shd w:val="clear" w:color="auto" w:fill="D8D8D8"/>
          </w:tcPr>
          <w:p>
            <w:pPr>
              <w:spacing w:after="0"/>
              <w:rPr>
                <w:sz w:val="11"/>
                <w:szCs w:val="11"/>
                <w:color w:val="auto"/>
              </w:rPr>
            </w:pPr>
          </w:p>
        </w:tc>
        <w:tc>
          <w:tcPr>
            <w:tcW w:w="6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660" w:type="dxa"/>
            <w:vAlign w:val="bottom"/>
            <w:shd w:val="clear" w:color="auto" w:fill="D8D8D8"/>
          </w:tcPr>
          <w:p>
            <w:pPr>
              <w:spacing w:after="0"/>
              <w:rPr>
                <w:sz w:val="11"/>
                <w:szCs w:val="11"/>
                <w:color w:val="auto"/>
              </w:rPr>
            </w:pPr>
          </w:p>
        </w:tc>
        <w:tc>
          <w:tcPr>
            <w:tcW w:w="1100" w:type="dxa"/>
            <w:vAlign w:val="bottom"/>
            <w:shd w:val="clear" w:color="auto" w:fill="D8D8D8"/>
          </w:tcPr>
          <w:p>
            <w:pPr>
              <w:spacing w:after="0"/>
              <w:rPr>
                <w:sz w:val="11"/>
                <w:szCs w:val="11"/>
                <w:color w:val="auto"/>
              </w:rPr>
            </w:pPr>
          </w:p>
        </w:tc>
        <w:tc>
          <w:tcPr>
            <w:tcW w:w="920" w:type="dxa"/>
            <w:vAlign w:val="bottom"/>
            <w:shd w:val="clear" w:color="auto" w:fill="D8D8D8"/>
          </w:tcPr>
          <w:p>
            <w:pPr>
              <w:spacing w:after="0"/>
              <w:rPr>
                <w:sz w:val="11"/>
                <w:szCs w:val="11"/>
                <w:color w:val="auto"/>
              </w:rPr>
            </w:pPr>
          </w:p>
        </w:tc>
        <w:tc>
          <w:tcPr>
            <w:tcW w:w="580" w:type="dxa"/>
            <w:vAlign w:val="bottom"/>
            <w:shd w:val="clear" w:color="auto" w:fill="D8D8D8"/>
          </w:tcPr>
          <w:p>
            <w:pPr>
              <w:spacing w:after="0"/>
              <w:rPr>
                <w:sz w:val="11"/>
                <w:szCs w:val="11"/>
                <w:color w:val="auto"/>
              </w:rPr>
            </w:pPr>
          </w:p>
        </w:tc>
        <w:tc>
          <w:tcPr>
            <w:tcW w:w="96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940" w:type="dxa"/>
            <w:vAlign w:val="bottom"/>
            <w:vMerge w:val="continue"/>
            <w:shd w:val="clear" w:color="auto" w:fill="D8D8D8"/>
          </w:tcPr>
          <w:p>
            <w:pPr>
              <w:spacing w:after="0"/>
              <w:rPr>
                <w:sz w:val="11"/>
                <w:szCs w:val="11"/>
                <w:color w:val="auto"/>
              </w:rPr>
            </w:pPr>
          </w:p>
        </w:tc>
        <w:tc>
          <w:tcPr>
            <w:tcW w:w="10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960" w:type="dxa"/>
            <w:vAlign w:val="bottom"/>
            <w:vMerge w:val="continue"/>
            <w:shd w:val="clear" w:color="auto" w:fill="D8D8D8"/>
          </w:tcPr>
          <w:p>
            <w:pPr>
              <w:spacing w:after="0"/>
              <w:rPr>
                <w:sz w:val="2"/>
                <w:szCs w:val="2"/>
                <w:color w:val="auto"/>
              </w:rPr>
            </w:pPr>
          </w:p>
        </w:tc>
        <w:tc>
          <w:tcPr>
            <w:tcW w:w="140" w:type="dxa"/>
            <w:vAlign w:val="bottom"/>
            <w:shd w:val="clear" w:color="auto" w:fill="D8D8D8"/>
          </w:tcPr>
          <w:p>
            <w:pPr>
              <w:spacing w:after="0"/>
              <w:rPr>
                <w:sz w:val="2"/>
                <w:szCs w:val="2"/>
                <w:color w:val="auto"/>
              </w:rPr>
            </w:pPr>
          </w:p>
        </w:tc>
        <w:tc>
          <w:tcPr>
            <w:tcW w:w="620" w:type="dxa"/>
            <w:vAlign w:val="bottom"/>
            <w:vMerge w:val="restart"/>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2/16/2022</w:t>
            </w:r>
          </w:p>
        </w:tc>
        <w:tc>
          <w:tcPr>
            <w:tcW w:w="100" w:type="dxa"/>
            <w:vAlign w:val="bottom"/>
            <w:shd w:val="clear" w:color="auto" w:fill="D8D8D8"/>
          </w:tcPr>
          <w:p>
            <w:pPr>
              <w:spacing w:after="0"/>
              <w:rPr>
                <w:sz w:val="2"/>
                <w:szCs w:val="2"/>
                <w:color w:val="auto"/>
              </w:rPr>
            </w:pPr>
          </w:p>
        </w:tc>
        <w:tc>
          <w:tcPr>
            <w:tcW w:w="660" w:type="dxa"/>
            <w:vAlign w:val="bottom"/>
            <w:shd w:val="clear" w:color="auto" w:fill="D8D8D8"/>
          </w:tcPr>
          <w:p>
            <w:pPr>
              <w:spacing w:after="0"/>
              <w:rPr>
                <w:sz w:val="2"/>
                <w:szCs w:val="2"/>
                <w:color w:val="auto"/>
              </w:rPr>
            </w:pPr>
          </w:p>
        </w:tc>
        <w:tc>
          <w:tcPr>
            <w:tcW w:w="1100" w:type="dxa"/>
            <w:vAlign w:val="bottom"/>
            <w:shd w:val="clear" w:color="auto" w:fill="D8D8D8"/>
          </w:tcPr>
          <w:p>
            <w:pPr>
              <w:spacing w:after="0"/>
              <w:rPr>
                <w:sz w:val="2"/>
                <w:szCs w:val="2"/>
                <w:color w:val="auto"/>
              </w:rPr>
            </w:pPr>
          </w:p>
        </w:tc>
        <w:tc>
          <w:tcPr>
            <w:tcW w:w="920" w:type="dxa"/>
            <w:vAlign w:val="bottom"/>
            <w:shd w:val="clear" w:color="auto" w:fill="D8D8D8"/>
          </w:tcPr>
          <w:p>
            <w:pPr>
              <w:spacing w:after="0"/>
              <w:rPr>
                <w:sz w:val="2"/>
                <w:szCs w:val="2"/>
                <w:color w:val="auto"/>
              </w:rPr>
            </w:pPr>
          </w:p>
        </w:tc>
        <w:tc>
          <w:tcPr>
            <w:tcW w:w="580" w:type="dxa"/>
            <w:vAlign w:val="bottom"/>
            <w:shd w:val="clear" w:color="auto" w:fill="D8D8D8"/>
          </w:tcPr>
          <w:p>
            <w:pPr>
              <w:spacing w:after="0"/>
              <w:rPr>
                <w:sz w:val="2"/>
                <w:szCs w:val="2"/>
                <w:color w:val="auto"/>
              </w:rPr>
            </w:pPr>
          </w:p>
        </w:tc>
        <w:tc>
          <w:tcPr>
            <w:tcW w:w="960" w:type="dxa"/>
            <w:vAlign w:val="bottom"/>
            <w:vMerge w:val="restart"/>
            <w:shd w:val="clear" w:color="auto" w:fill="D8D8D8"/>
          </w:tcPr>
          <w:p>
            <w:pPr>
              <w:jc w:val="right"/>
              <w:ind w:right="35"/>
              <w:spacing w:after="0" w:line="195" w:lineRule="exact"/>
              <w:rPr>
                <w:sz w:val="20"/>
                <w:szCs w:val="20"/>
                <w:color w:val="auto"/>
              </w:rPr>
            </w:pPr>
            <w:r>
              <w:rPr>
                <w:rFonts w:ascii="Calibri" w:cs="Calibri" w:eastAsia="Calibri" w:hAnsi="Calibri"/>
                <w:sz w:val="14"/>
                <w:szCs w:val="14"/>
                <w:color w:val="auto"/>
              </w:rPr>
              <w:t>2,331</w:t>
            </w:r>
            <w:r>
              <w:rPr>
                <w:rFonts w:ascii="Calibri" w:cs="Calibri" w:eastAsia="Calibri" w:hAnsi="Calibri"/>
                <w:sz w:val="20"/>
                <w:szCs w:val="20"/>
                <w:color w:val="auto"/>
                <w:vertAlign w:val="superscript"/>
              </w:rPr>
              <w:t>(2)</w:t>
            </w:r>
          </w:p>
        </w:tc>
        <w:tc>
          <w:tcPr>
            <w:tcW w:w="64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4,662</w:t>
            </w:r>
          </w:p>
        </w:tc>
        <w:tc>
          <w:tcPr>
            <w:tcW w:w="940" w:type="dxa"/>
            <w:vAlign w:val="bottom"/>
            <w:shd w:val="clear" w:color="auto" w:fill="D8D8D8"/>
          </w:tcPr>
          <w:p>
            <w:pPr>
              <w:spacing w:after="0"/>
              <w:rPr>
                <w:sz w:val="2"/>
                <w:szCs w:val="2"/>
                <w:color w:val="auto"/>
              </w:rPr>
            </w:pPr>
          </w:p>
        </w:tc>
        <w:tc>
          <w:tcPr>
            <w:tcW w:w="100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279,673</w:t>
            </w:r>
          </w:p>
        </w:tc>
        <w:tc>
          <w:tcPr>
            <w:tcW w:w="0" w:type="dxa"/>
            <w:vAlign w:val="bottom"/>
          </w:tcPr>
          <w:p>
            <w:pPr>
              <w:spacing w:after="0" w:line="20" w:lineRule="exact"/>
              <w:rPr>
                <w:sz w:val="1"/>
                <w:szCs w:val="1"/>
                <w:color w:val="auto"/>
              </w:rPr>
            </w:pPr>
          </w:p>
        </w:tc>
      </w:tr>
      <w:tr>
        <w:trPr>
          <w:trHeight w:val="161"/>
        </w:trPr>
        <w:tc>
          <w:tcPr>
            <w:tcW w:w="296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62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960" w:type="dxa"/>
            <w:vAlign w:val="bottom"/>
            <w:vMerge w:val="continue"/>
            <w:shd w:val="clear" w:color="auto" w:fill="D8D8D8"/>
          </w:tcPr>
          <w:p>
            <w:pPr>
              <w:spacing w:after="0"/>
              <w:rPr>
                <w:sz w:val="14"/>
                <w:szCs w:val="14"/>
                <w:color w:val="auto"/>
              </w:rPr>
            </w:pPr>
          </w:p>
        </w:tc>
        <w:tc>
          <w:tcPr>
            <w:tcW w:w="640" w:type="dxa"/>
            <w:vAlign w:val="bottom"/>
            <w:vMerge w:val="continue"/>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100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6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620" w:type="dxa"/>
            <w:vAlign w:val="bottom"/>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2/16/2022</w:t>
            </w:r>
          </w:p>
        </w:tc>
        <w:tc>
          <w:tcPr>
            <w:tcW w:w="100" w:type="dxa"/>
            <w:vAlign w:val="bottom"/>
            <w:shd w:val="clear" w:color="auto" w:fill="D8D8D8"/>
          </w:tcPr>
          <w:p>
            <w:pPr>
              <w:spacing w:after="0"/>
              <w:rPr>
                <w:sz w:val="16"/>
                <w:szCs w:val="16"/>
                <w:color w:val="auto"/>
              </w:rPr>
            </w:pPr>
          </w:p>
        </w:tc>
        <w:tc>
          <w:tcPr>
            <w:tcW w:w="6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92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960" w:type="dxa"/>
            <w:vAlign w:val="bottom"/>
            <w:shd w:val="clear" w:color="auto" w:fill="D8D8D8"/>
          </w:tcPr>
          <w:p>
            <w:pPr>
              <w:jc w:val="right"/>
              <w:ind w:right="35"/>
              <w:spacing w:after="0" w:line="195" w:lineRule="exact"/>
              <w:rPr>
                <w:sz w:val="20"/>
                <w:szCs w:val="20"/>
                <w:color w:val="auto"/>
              </w:rPr>
            </w:pPr>
            <w:r>
              <w:rPr>
                <w:rFonts w:ascii="Calibri" w:cs="Calibri" w:eastAsia="Calibri" w:hAnsi="Calibri"/>
                <w:sz w:val="14"/>
                <w:szCs w:val="14"/>
                <w:color w:val="auto"/>
              </w:rPr>
              <w:t>3,495</w:t>
            </w:r>
            <w:r>
              <w:rPr>
                <w:rFonts w:ascii="Calibri" w:cs="Calibri" w:eastAsia="Calibri" w:hAnsi="Calibri"/>
                <w:sz w:val="20"/>
                <w:szCs w:val="20"/>
                <w:color w:val="auto"/>
                <w:vertAlign w:val="superscript"/>
              </w:rPr>
              <w:t>(3)</w:t>
            </w:r>
          </w:p>
        </w:tc>
        <w:tc>
          <w:tcPr>
            <w:tcW w:w="640" w:type="dxa"/>
            <w:vAlign w:val="bottom"/>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6,990</w:t>
            </w:r>
          </w:p>
        </w:tc>
        <w:tc>
          <w:tcPr>
            <w:tcW w:w="940" w:type="dxa"/>
            <w:vAlign w:val="bottom"/>
            <w:shd w:val="clear" w:color="auto" w:fill="D8D8D8"/>
          </w:tcPr>
          <w:p>
            <w:pPr>
              <w:spacing w:after="0"/>
              <w:rPr>
                <w:sz w:val="16"/>
                <w:szCs w:val="16"/>
                <w:color w:val="auto"/>
              </w:rPr>
            </w:pPr>
          </w:p>
        </w:tc>
        <w:tc>
          <w:tcPr>
            <w:tcW w:w="1000" w:type="dxa"/>
            <w:vAlign w:val="bottom"/>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544,067</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ind w:right="137"/>
              <w:spacing w:after="0"/>
              <w:rPr>
                <w:sz w:val="20"/>
                <w:szCs w:val="20"/>
                <w:color w:val="auto"/>
              </w:rPr>
            </w:pPr>
            <w:r>
              <w:rPr>
                <w:rFonts w:ascii="Calibri" w:cs="Calibri" w:eastAsia="Calibri" w:hAnsi="Calibri"/>
                <w:sz w:val="14"/>
                <w:szCs w:val="14"/>
                <w:color w:val="auto"/>
              </w:rPr>
              <w:t>229,905</w:t>
            </w:r>
          </w:p>
        </w:tc>
        <w:tc>
          <w:tcPr>
            <w:tcW w:w="920" w:type="dxa"/>
            <w:vAlign w:val="bottom"/>
          </w:tcPr>
          <w:p>
            <w:pPr>
              <w:jc w:val="right"/>
              <w:ind w:right="96"/>
              <w:spacing w:after="0"/>
              <w:rPr>
                <w:sz w:val="20"/>
                <w:szCs w:val="20"/>
                <w:color w:val="auto"/>
              </w:rPr>
            </w:pPr>
            <w:r>
              <w:rPr>
                <w:rFonts w:ascii="Calibri" w:cs="Calibri" w:eastAsia="Calibri" w:hAnsi="Calibri"/>
                <w:sz w:val="14"/>
                <w:szCs w:val="14"/>
                <w:color w:val="auto"/>
              </w:rPr>
              <w:t>344,857</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96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Vikas</w:t>
            </w:r>
          </w:p>
        </w:tc>
        <w:tc>
          <w:tcPr>
            <w:tcW w:w="8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ind w:right="78"/>
              <w:spacing w:after="0" w:line="224" w:lineRule="exact"/>
              <w:rPr>
                <w:sz w:val="20"/>
                <w:szCs w:val="20"/>
                <w:color w:val="auto"/>
              </w:rPr>
            </w:pPr>
            <w:r>
              <w:rPr>
                <w:rFonts w:ascii="Calibri" w:cs="Calibri" w:eastAsia="Calibri" w:hAnsi="Calibri"/>
                <w:sz w:val="14"/>
                <w:szCs w:val="14"/>
                <w:color w:val="auto"/>
              </w:rPr>
              <w:t>4,348</w:t>
            </w:r>
            <w:r>
              <w:rPr>
                <w:rFonts w:ascii="Calibri" w:cs="Calibri" w:eastAsia="Calibri" w:hAnsi="Calibri"/>
                <w:sz w:val="20"/>
                <w:szCs w:val="20"/>
                <w:color w:val="auto"/>
                <w:vertAlign w:val="superscript"/>
              </w:rPr>
              <w:t>(4)</w:t>
            </w:r>
          </w:p>
        </w:tc>
        <w:tc>
          <w:tcPr>
            <w:tcW w:w="1000" w:type="dxa"/>
            <w:vAlign w:val="bottom"/>
          </w:tcPr>
          <w:p>
            <w:pPr>
              <w:jc w:val="right"/>
              <w:ind w:right="54"/>
              <w:spacing w:after="0"/>
              <w:rPr>
                <w:sz w:val="20"/>
                <w:szCs w:val="20"/>
                <w:color w:val="auto"/>
              </w:rPr>
            </w:pPr>
            <w:r>
              <w:rPr>
                <w:rFonts w:ascii="Calibri" w:cs="Calibri" w:eastAsia="Calibri" w:hAnsi="Calibri"/>
                <w:sz w:val="14"/>
                <w:szCs w:val="14"/>
                <w:color w:val="auto"/>
              </w:rPr>
              <w:t>521,673</w:t>
            </w:r>
          </w:p>
        </w:tc>
        <w:tc>
          <w:tcPr>
            <w:tcW w:w="0" w:type="dxa"/>
            <w:vAlign w:val="bottom"/>
          </w:tcPr>
          <w:p>
            <w:pPr>
              <w:spacing w:after="0"/>
              <w:rPr>
                <w:sz w:val="1"/>
                <w:szCs w:val="1"/>
                <w:color w:val="auto"/>
              </w:rPr>
            </w:pPr>
          </w:p>
        </w:tc>
      </w:tr>
      <w:tr>
        <w:trPr>
          <w:trHeight w:val="75"/>
        </w:trPr>
        <w:tc>
          <w:tcPr>
            <w:tcW w:w="2960" w:type="dxa"/>
            <w:vAlign w:val="bottom"/>
            <w:vMerge w:val="continue"/>
          </w:tcPr>
          <w:p>
            <w:pPr>
              <w:spacing w:after="0"/>
              <w:rPr>
                <w:sz w:val="6"/>
                <w:szCs w:val="6"/>
                <w:color w:val="auto"/>
              </w:rPr>
            </w:pPr>
          </w:p>
        </w:tc>
        <w:tc>
          <w:tcPr>
            <w:tcW w:w="860" w:type="dxa"/>
            <w:vAlign w:val="bottom"/>
            <w:gridSpan w:val="3"/>
            <w:vMerge w:val="restart"/>
          </w:tcPr>
          <w:p>
            <w:pPr>
              <w:jc w:val="right"/>
              <w:ind w:right="100"/>
              <w:spacing w:after="0" w:line="166" w:lineRule="exact"/>
              <w:rPr>
                <w:sz w:val="20"/>
                <w:szCs w:val="20"/>
                <w:color w:val="auto"/>
              </w:rPr>
            </w:pPr>
            <w:r>
              <w:rPr>
                <w:rFonts w:ascii="Calibri" w:cs="Calibri" w:eastAsia="Calibri" w:hAnsi="Calibri"/>
                <w:sz w:val="14"/>
                <w:szCs w:val="14"/>
                <w:color w:val="auto"/>
              </w:rPr>
              <w:t>3/31/2022</w:t>
            </w: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vMerge w:val="restart"/>
          </w:tcPr>
          <w:p>
            <w:pPr>
              <w:jc w:val="right"/>
              <w:ind w:right="78"/>
              <w:spacing w:after="0" w:line="210"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(5)</w:t>
            </w:r>
          </w:p>
        </w:tc>
        <w:tc>
          <w:tcPr>
            <w:tcW w:w="1000" w:type="dxa"/>
            <w:vAlign w:val="bottom"/>
            <w:vMerge w:val="restart"/>
          </w:tcPr>
          <w:p>
            <w:pPr>
              <w:jc w:val="right"/>
              <w:ind w:right="54"/>
              <w:spacing w:after="0" w:line="166" w:lineRule="exact"/>
              <w:rPr>
                <w:sz w:val="20"/>
                <w:szCs w:val="20"/>
                <w:color w:val="auto"/>
              </w:rPr>
            </w:pPr>
            <w:r>
              <w:rPr>
                <w:rFonts w:ascii="Calibri" w:cs="Calibri" w:eastAsia="Calibri" w:hAnsi="Calibri"/>
                <w:sz w:val="14"/>
                <w:szCs w:val="14"/>
                <w:color w:val="auto"/>
              </w:rPr>
              <w:t>521,123</w:t>
            </w:r>
          </w:p>
        </w:tc>
        <w:tc>
          <w:tcPr>
            <w:tcW w:w="0" w:type="dxa"/>
            <w:vAlign w:val="bottom"/>
          </w:tcPr>
          <w:p>
            <w:pPr>
              <w:spacing w:after="0"/>
              <w:rPr>
                <w:sz w:val="1"/>
                <w:szCs w:val="1"/>
                <w:color w:val="auto"/>
              </w:rPr>
            </w:pPr>
          </w:p>
        </w:tc>
      </w:tr>
      <w:tr>
        <w:trPr>
          <w:trHeight w:val="135"/>
        </w:trPr>
        <w:tc>
          <w:tcPr>
            <w:tcW w:w="2960" w:type="dxa"/>
            <w:vAlign w:val="bottom"/>
            <w:vMerge w:val="restart"/>
          </w:tcPr>
          <w:p>
            <w:pPr>
              <w:ind w:left="60"/>
              <w:spacing w:after="0" w:line="169" w:lineRule="exact"/>
              <w:rPr>
                <w:sz w:val="20"/>
                <w:szCs w:val="20"/>
                <w:color w:val="auto"/>
              </w:rPr>
            </w:pPr>
            <w:r>
              <w:rPr>
                <w:rFonts w:ascii="Calibri" w:cs="Calibri" w:eastAsia="Calibri" w:hAnsi="Calibri"/>
                <w:sz w:val="14"/>
                <w:szCs w:val="14"/>
                <w:b w:val="1"/>
                <w:bCs w:val="1"/>
                <w:color w:val="auto"/>
              </w:rPr>
              <w:t>Bhalla</w:t>
            </w:r>
          </w:p>
        </w:tc>
        <w:tc>
          <w:tcPr>
            <w:tcW w:w="8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960" w:type="dxa"/>
            <w:vAlign w:val="bottom"/>
            <w:vMerge w:val="continue"/>
          </w:tcPr>
          <w:p>
            <w:pPr>
              <w:spacing w:after="0"/>
              <w:rPr>
                <w:sz w:val="2"/>
                <w:szCs w:val="2"/>
                <w:color w:val="auto"/>
              </w:rPr>
            </w:pPr>
          </w:p>
        </w:tc>
        <w:tc>
          <w:tcPr>
            <w:tcW w:w="860" w:type="dxa"/>
            <w:vAlign w:val="bottom"/>
            <w:gridSpan w:val="3"/>
            <w:vMerge w:val="restart"/>
          </w:tcPr>
          <w:p>
            <w:pPr>
              <w:jc w:val="right"/>
              <w:ind w:right="100"/>
              <w:spacing w:after="0" w:line="166" w:lineRule="exact"/>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vMerge w:val="restart"/>
          </w:tcPr>
          <w:p>
            <w:pPr>
              <w:jc w:val="right"/>
              <w:ind w:right="35"/>
              <w:spacing w:after="0" w:line="180" w:lineRule="exact"/>
              <w:rPr>
                <w:sz w:val="20"/>
                <w:szCs w:val="20"/>
                <w:color w:val="auto"/>
              </w:rPr>
            </w:pPr>
            <w:r>
              <w:rPr>
                <w:rFonts w:ascii="Calibri" w:cs="Calibri" w:eastAsia="Calibri" w:hAnsi="Calibri"/>
                <w:sz w:val="13"/>
                <w:szCs w:val="13"/>
                <w:color w:val="auto"/>
              </w:rPr>
              <w:t>2,609</w:t>
            </w:r>
            <w:r>
              <w:rPr>
                <w:rFonts w:ascii="Calibri" w:cs="Calibri" w:eastAsia="Calibri" w:hAnsi="Calibri"/>
                <w:sz w:val="19"/>
                <w:szCs w:val="19"/>
                <w:color w:val="auto"/>
                <w:vertAlign w:val="superscript"/>
              </w:rPr>
              <w:t>(2)</w:t>
            </w:r>
          </w:p>
        </w:tc>
        <w:tc>
          <w:tcPr>
            <w:tcW w:w="640" w:type="dxa"/>
            <w:vAlign w:val="bottom"/>
            <w:vMerge w:val="restart"/>
          </w:tcPr>
          <w:p>
            <w:pPr>
              <w:jc w:val="right"/>
              <w:ind w:right="54"/>
              <w:spacing w:after="0" w:line="166" w:lineRule="exact"/>
              <w:rPr>
                <w:sz w:val="20"/>
                <w:szCs w:val="20"/>
                <w:color w:val="auto"/>
              </w:rPr>
            </w:pPr>
            <w:r>
              <w:rPr>
                <w:rFonts w:ascii="Calibri" w:cs="Calibri" w:eastAsia="Calibri" w:hAnsi="Calibri"/>
                <w:sz w:val="14"/>
                <w:szCs w:val="14"/>
                <w:color w:val="auto"/>
              </w:rPr>
              <w:t>5,218</w:t>
            </w:r>
          </w:p>
        </w:tc>
        <w:tc>
          <w:tcPr>
            <w:tcW w:w="940" w:type="dxa"/>
            <w:vAlign w:val="bottom"/>
          </w:tcPr>
          <w:p>
            <w:pPr>
              <w:spacing w:after="0"/>
              <w:rPr>
                <w:sz w:val="2"/>
                <w:szCs w:val="2"/>
                <w:color w:val="auto"/>
              </w:rPr>
            </w:pPr>
          </w:p>
        </w:tc>
        <w:tc>
          <w:tcPr>
            <w:tcW w:w="1000" w:type="dxa"/>
            <w:vAlign w:val="bottom"/>
            <w:vMerge w:val="restart"/>
          </w:tcPr>
          <w:p>
            <w:pPr>
              <w:jc w:val="right"/>
              <w:ind w:right="54"/>
              <w:spacing w:after="0" w:line="166" w:lineRule="exact"/>
              <w:rPr>
                <w:sz w:val="20"/>
                <w:szCs w:val="20"/>
                <w:color w:val="auto"/>
              </w:rPr>
            </w:pPr>
            <w:r>
              <w:rPr>
                <w:rFonts w:ascii="Calibri" w:cs="Calibri" w:eastAsia="Calibri" w:hAnsi="Calibri"/>
                <w:sz w:val="14"/>
                <w:szCs w:val="14"/>
                <w:color w:val="auto"/>
              </w:rPr>
              <w:t>313,028</w:t>
            </w:r>
          </w:p>
        </w:tc>
        <w:tc>
          <w:tcPr>
            <w:tcW w:w="0" w:type="dxa"/>
            <w:vAlign w:val="bottom"/>
          </w:tcPr>
          <w:p>
            <w:pPr>
              <w:spacing w:after="0" w:line="20" w:lineRule="exact"/>
              <w:rPr>
                <w:sz w:val="1"/>
                <w:szCs w:val="1"/>
                <w:color w:val="auto"/>
              </w:rPr>
            </w:pPr>
          </w:p>
        </w:tc>
      </w:tr>
      <w:tr>
        <w:trPr>
          <w:trHeight w:val="146"/>
        </w:trPr>
        <w:tc>
          <w:tcPr>
            <w:tcW w:w="29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86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ind w:right="35"/>
              <w:spacing w:after="0" w:line="210" w:lineRule="exact"/>
              <w:rPr>
                <w:sz w:val="20"/>
                <w:szCs w:val="20"/>
                <w:color w:val="auto"/>
              </w:rPr>
            </w:pPr>
            <w:r>
              <w:rPr>
                <w:rFonts w:ascii="Calibri" w:cs="Calibri" w:eastAsia="Calibri" w:hAnsi="Calibri"/>
                <w:sz w:val="14"/>
                <w:szCs w:val="14"/>
                <w:color w:val="auto"/>
              </w:rPr>
              <w:t>3,913</w:t>
            </w:r>
            <w:r>
              <w:rPr>
                <w:rFonts w:ascii="Calibri" w:cs="Calibri" w:eastAsia="Calibri" w:hAnsi="Calibri"/>
                <w:sz w:val="20"/>
                <w:szCs w:val="20"/>
                <w:color w:val="auto"/>
                <w:vertAlign w:val="superscript"/>
              </w:rPr>
              <w:t>(3)</w:t>
            </w:r>
          </w:p>
        </w:tc>
        <w:tc>
          <w:tcPr>
            <w:tcW w:w="64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7,826</w:t>
            </w:r>
          </w:p>
        </w:tc>
        <w:tc>
          <w:tcPr>
            <w:tcW w:w="940" w:type="dxa"/>
            <w:vAlign w:val="bottom"/>
          </w:tcPr>
          <w:p>
            <w:pPr>
              <w:spacing w:after="0"/>
              <w:rPr>
                <w:sz w:val="18"/>
                <w:szCs w:val="18"/>
                <w:color w:val="auto"/>
              </w:rPr>
            </w:pPr>
          </w:p>
        </w:tc>
        <w:tc>
          <w:tcPr>
            <w:tcW w:w="100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609,137</w:t>
            </w:r>
          </w:p>
        </w:tc>
        <w:tc>
          <w:tcPr>
            <w:tcW w:w="0" w:type="dxa"/>
            <w:vAlign w:val="bottom"/>
          </w:tcPr>
          <w:p>
            <w:pPr>
              <w:spacing w:after="0"/>
              <w:rPr>
                <w:sz w:val="1"/>
                <w:szCs w:val="1"/>
                <w:color w:val="auto"/>
              </w:rPr>
            </w:pPr>
          </w:p>
        </w:tc>
      </w:tr>
      <w:tr>
        <w:trPr>
          <w:trHeight w:val="177"/>
        </w:trPr>
        <w:tc>
          <w:tcPr>
            <w:tcW w:w="2960" w:type="dxa"/>
            <w:vAlign w:val="bottom"/>
            <w:shd w:val="clear" w:color="auto" w:fill="D8D8D8"/>
          </w:tcPr>
          <w:p>
            <w:pPr>
              <w:spacing w:after="0"/>
              <w:rPr>
                <w:sz w:val="15"/>
                <w:szCs w:val="15"/>
                <w:color w:val="auto"/>
              </w:rPr>
            </w:pPr>
          </w:p>
        </w:tc>
        <w:tc>
          <w:tcPr>
            <w:tcW w:w="140" w:type="dxa"/>
            <w:vAlign w:val="bottom"/>
            <w:shd w:val="clear" w:color="auto" w:fill="D8D8D8"/>
          </w:tcPr>
          <w:p>
            <w:pPr>
              <w:spacing w:after="0"/>
              <w:rPr>
                <w:sz w:val="15"/>
                <w:szCs w:val="15"/>
                <w:color w:val="auto"/>
              </w:rPr>
            </w:pPr>
          </w:p>
        </w:tc>
        <w:tc>
          <w:tcPr>
            <w:tcW w:w="62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660" w:type="dxa"/>
            <w:vAlign w:val="bottom"/>
            <w:shd w:val="clear" w:color="auto" w:fill="D8D8D8"/>
          </w:tcPr>
          <w:p>
            <w:pPr>
              <w:spacing w:after="0"/>
              <w:rPr>
                <w:sz w:val="15"/>
                <w:szCs w:val="15"/>
                <w:color w:val="auto"/>
              </w:rPr>
            </w:pPr>
          </w:p>
        </w:tc>
        <w:tc>
          <w:tcPr>
            <w:tcW w:w="1100" w:type="dxa"/>
            <w:vAlign w:val="bottom"/>
            <w:shd w:val="clear" w:color="auto" w:fill="D8D8D8"/>
          </w:tcPr>
          <w:p>
            <w:pPr>
              <w:jc w:val="right"/>
              <w:ind w:right="137"/>
              <w:spacing w:after="0"/>
              <w:rPr>
                <w:sz w:val="20"/>
                <w:szCs w:val="20"/>
                <w:color w:val="auto"/>
              </w:rPr>
            </w:pPr>
            <w:r>
              <w:rPr>
                <w:rFonts w:ascii="Calibri" w:cs="Calibri" w:eastAsia="Calibri" w:hAnsi="Calibri"/>
                <w:sz w:val="14"/>
                <w:szCs w:val="14"/>
                <w:color w:val="auto"/>
              </w:rPr>
              <w:t>330,123</w:t>
            </w:r>
          </w:p>
        </w:tc>
        <w:tc>
          <w:tcPr>
            <w:tcW w:w="920" w:type="dxa"/>
            <w:vAlign w:val="bottom"/>
            <w:shd w:val="clear" w:color="auto" w:fill="D8D8D8"/>
          </w:tcPr>
          <w:p>
            <w:pPr>
              <w:jc w:val="right"/>
              <w:ind w:right="96"/>
              <w:spacing w:after="0"/>
              <w:rPr>
                <w:sz w:val="20"/>
                <w:szCs w:val="20"/>
                <w:color w:val="auto"/>
              </w:rPr>
            </w:pPr>
            <w:r>
              <w:rPr>
                <w:rFonts w:ascii="Calibri" w:cs="Calibri" w:eastAsia="Calibri" w:hAnsi="Calibri"/>
                <w:sz w:val="14"/>
                <w:szCs w:val="14"/>
                <w:color w:val="auto"/>
              </w:rPr>
              <w:t>495,185</w:t>
            </w:r>
          </w:p>
        </w:tc>
        <w:tc>
          <w:tcPr>
            <w:tcW w:w="580" w:type="dxa"/>
            <w:vAlign w:val="bottom"/>
            <w:shd w:val="clear" w:color="auto" w:fill="D8D8D8"/>
          </w:tcPr>
          <w:p>
            <w:pPr>
              <w:spacing w:after="0"/>
              <w:rPr>
                <w:sz w:val="15"/>
                <w:szCs w:val="15"/>
                <w:color w:val="auto"/>
              </w:rPr>
            </w:pPr>
          </w:p>
        </w:tc>
        <w:tc>
          <w:tcPr>
            <w:tcW w:w="960" w:type="dxa"/>
            <w:vAlign w:val="bottom"/>
            <w:shd w:val="clear" w:color="auto" w:fill="D8D8D8"/>
          </w:tcPr>
          <w:p>
            <w:pPr>
              <w:spacing w:after="0"/>
              <w:rPr>
                <w:sz w:val="15"/>
                <w:szCs w:val="15"/>
                <w:color w:val="auto"/>
              </w:rPr>
            </w:pPr>
          </w:p>
        </w:tc>
        <w:tc>
          <w:tcPr>
            <w:tcW w:w="64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10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60" w:type="dxa"/>
            <w:vAlign w:val="bottom"/>
            <w:vMerge w:val="restart"/>
            <w:shd w:val="clear" w:color="auto" w:fill="D8D8D8"/>
          </w:tcPr>
          <w:p>
            <w:pPr>
              <w:ind w:left="60"/>
              <w:spacing w:after="0"/>
              <w:rPr>
                <w:sz w:val="20"/>
                <w:szCs w:val="20"/>
                <w:color w:val="auto"/>
              </w:rPr>
            </w:pPr>
            <w:r>
              <w:rPr>
                <w:rFonts w:ascii="Calibri" w:cs="Calibri" w:eastAsia="Calibri" w:hAnsi="Calibri"/>
                <w:sz w:val="14"/>
                <w:szCs w:val="14"/>
                <w:b w:val="1"/>
                <w:bCs w:val="1"/>
                <w:color w:val="auto"/>
              </w:rPr>
              <w:t>Vivek</w:t>
            </w:r>
          </w:p>
        </w:tc>
        <w:tc>
          <w:tcPr>
            <w:tcW w:w="140" w:type="dxa"/>
            <w:vAlign w:val="bottom"/>
            <w:shd w:val="clear" w:color="auto" w:fill="D8D8D8"/>
          </w:tcPr>
          <w:p>
            <w:pPr>
              <w:spacing w:after="0"/>
              <w:rPr>
                <w:sz w:val="20"/>
                <w:szCs w:val="20"/>
                <w:color w:val="auto"/>
              </w:rPr>
            </w:pPr>
          </w:p>
        </w:tc>
        <w:tc>
          <w:tcPr>
            <w:tcW w:w="720" w:type="dxa"/>
            <w:vAlign w:val="bottom"/>
            <w:gridSpan w:val="2"/>
            <w:shd w:val="clear" w:color="auto" w:fill="D8D8D8"/>
          </w:tcPr>
          <w:p>
            <w:pPr>
              <w:jc w:val="right"/>
              <w:ind w:right="100"/>
              <w:spacing w:after="0"/>
              <w:rPr>
                <w:sz w:val="20"/>
                <w:szCs w:val="20"/>
                <w:color w:val="auto"/>
              </w:rPr>
            </w:pPr>
            <w:r>
              <w:rPr>
                <w:rFonts w:ascii="Calibri" w:cs="Calibri" w:eastAsia="Calibri" w:hAnsi="Calibri"/>
                <w:sz w:val="14"/>
                <w:szCs w:val="14"/>
                <w:color w:val="auto"/>
                <w:w w:val="99"/>
              </w:rPr>
              <w:t>2/16/2022</w:t>
            </w:r>
          </w:p>
        </w:tc>
        <w:tc>
          <w:tcPr>
            <w:tcW w:w="66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640" w:type="dxa"/>
            <w:vAlign w:val="bottom"/>
            <w:shd w:val="clear" w:color="auto" w:fill="D8D8D8"/>
          </w:tcPr>
          <w:p>
            <w:pPr>
              <w:spacing w:after="0"/>
              <w:rPr>
                <w:sz w:val="20"/>
                <w:szCs w:val="20"/>
                <w:color w:val="auto"/>
              </w:rPr>
            </w:pPr>
          </w:p>
        </w:tc>
        <w:tc>
          <w:tcPr>
            <w:tcW w:w="940" w:type="dxa"/>
            <w:vAlign w:val="bottom"/>
            <w:shd w:val="clear" w:color="auto" w:fill="D8D8D8"/>
          </w:tcPr>
          <w:p>
            <w:pPr>
              <w:jc w:val="right"/>
              <w:ind w:right="78"/>
              <w:spacing w:after="0" w:line="240" w:lineRule="exact"/>
              <w:rPr>
                <w:sz w:val="20"/>
                <w:szCs w:val="20"/>
                <w:color w:val="auto"/>
              </w:rPr>
            </w:pPr>
            <w:r>
              <w:rPr>
                <w:rFonts w:ascii="Calibri" w:cs="Calibri" w:eastAsia="Calibri" w:hAnsi="Calibri"/>
                <w:sz w:val="14"/>
                <w:szCs w:val="14"/>
                <w:color w:val="auto"/>
              </w:rPr>
              <w:t>4,040</w:t>
            </w:r>
            <w:r>
              <w:rPr>
                <w:rFonts w:ascii="Calibri" w:cs="Calibri" w:eastAsia="Calibri" w:hAnsi="Calibri"/>
                <w:sz w:val="20"/>
                <w:szCs w:val="20"/>
                <w:color w:val="auto"/>
                <w:vertAlign w:val="superscript"/>
              </w:rPr>
              <w:t>(4)</w:t>
            </w:r>
          </w:p>
        </w:tc>
        <w:tc>
          <w:tcPr>
            <w:tcW w:w="1000" w:type="dxa"/>
            <w:vAlign w:val="bottom"/>
            <w:shd w:val="clear" w:color="auto" w:fill="D8D8D8"/>
          </w:tcPr>
          <w:p>
            <w:pPr>
              <w:jc w:val="right"/>
              <w:ind w:right="54"/>
              <w:spacing w:after="0"/>
              <w:rPr>
                <w:sz w:val="20"/>
                <w:szCs w:val="20"/>
                <w:color w:val="auto"/>
              </w:rPr>
            </w:pPr>
            <w:r>
              <w:rPr>
                <w:rFonts w:ascii="Calibri" w:cs="Calibri" w:eastAsia="Calibri" w:hAnsi="Calibri"/>
                <w:sz w:val="14"/>
                <w:szCs w:val="14"/>
                <w:color w:val="auto"/>
              </w:rPr>
              <w:t>484,719</w:t>
            </w:r>
          </w:p>
        </w:tc>
        <w:tc>
          <w:tcPr>
            <w:tcW w:w="0" w:type="dxa"/>
            <w:vAlign w:val="bottom"/>
          </w:tcPr>
          <w:p>
            <w:pPr>
              <w:spacing w:after="0"/>
              <w:rPr>
                <w:sz w:val="1"/>
                <w:szCs w:val="1"/>
                <w:color w:val="auto"/>
              </w:rPr>
            </w:pPr>
          </w:p>
        </w:tc>
      </w:tr>
      <w:tr>
        <w:trPr>
          <w:trHeight w:val="60"/>
        </w:trPr>
        <w:tc>
          <w:tcPr>
            <w:tcW w:w="2960" w:type="dxa"/>
            <w:vAlign w:val="bottom"/>
            <w:vMerge w:val="continue"/>
            <w:shd w:val="clear" w:color="auto" w:fill="D8D8D8"/>
          </w:tcPr>
          <w:p>
            <w:pPr>
              <w:spacing w:after="0"/>
              <w:rPr>
                <w:sz w:val="5"/>
                <w:szCs w:val="5"/>
                <w:color w:val="auto"/>
              </w:rPr>
            </w:pPr>
          </w:p>
        </w:tc>
        <w:tc>
          <w:tcPr>
            <w:tcW w:w="140" w:type="dxa"/>
            <w:vAlign w:val="bottom"/>
            <w:shd w:val="clear" w:color="auto" w:fill="D8D8D8"/>
          </w:tcPr>
          <w:p>
            <w:pPr>
              <w:spacing w:after="0"/>
              <w:rPr>
                <w:sz w:val="5"/>
                <w:szCs w:val="5"/>
                <w:color w:val="auto"/>
              </w:rPr>
            </w:pPr>
          </w:p>
        </w:tc>
        <w:tc>
          <w:tcPr>
            <w:tcW w:w="620" w:type="dxa"/>
            <w:vAlign w:val="bottom"/>
            <w:vMerge w:val="restart"/>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3/31/2022</w:t>
            </w:r>
          </w:p>
        </w:tc>
        <w:tc>
          <w:tcPr>
            <w:tcW w:w="100" w:type="dxa"/>
            <w:vAlign w:val="bottom"/>
            <w:shd w:val="clear" w:color="auto" w:fill="D8D8D8"/>
          </w:tcPr>
          <w:p>
            <w:pPr>
              <w:spacing w:after="0"/>
              <w:rPr>
                <w:sz w:val="5"/>
                <w:szCs w:val="5"/>
                <w:color w:val="auto"/>
              </w:rPr>
            </w:pPr>
          </w:p>
        </w:tc>
        <w:tc>
          <w:tcPr>
            <w:tcW w:w="66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920" w:type="dxa"/>
            <w:vAlign w:val="bottom"/>
            <w:shd w:val="clear" w:color="auto" w:fill="D8D8D8"/>
          </w:tcPr>
          <w:p>
            <w:pPr>
              <w:spacing w:after="0"/>
              <w:rPr>
                <w:sz w:val="5"/>
                <w:szCs w:val="5"/>
                <w:color w:val="auto"/>
              </w:rPr>
            </w:pPr>
          </w:p>
        </w:tc>
        <w:tc>
          <w:tcPr>
            <w:tcW w:w="580" w:type="dxa"/>
            <w:vAlign w:val="bottom"/>
            <w:shd w:val="clear" w:color="auto" w:fill="D8D8D8"/>
          </w:tcPr>
          <w:p>
            <w:pPr>
              <w:spacing w:after="0"/>
              <w:rPr>
                <w:sz w:val="5"/>
                <w:szCs w:val="5"/>
                <w:color w:val="auto"/>
              </w:rPr>
            </w:pPr>
          </w:p>
        </w:tc>
        <w:tc>
          <w:tcPr>
            <w:tcW w:w="960" w:type="dxa"/>
            <w:vAlign w:val="bottom"/>
            <w:shd w:val="clear" w:color="auto" w:fill="D8D8D8"/>
          </w:tcPr>
          <w:p>
            <w:pPr>
              <w:spacing w:after="0"/>
              <w:rPr>
                <w:sz w:val="5"/>
                <w:szCs w:val="5"/>
                <w:color w:val="auto"/>
              </w:rPr>
            </w:pPr>
          </w:p>
        </w:tc>
        <w:tc>
          <w:tcPr>
            <w:tcW w:w="640" w:type="dxa"/>
            <w:vAlign w:val="bottom"/>
            <w:shd w:val="clear" w:color="auto" w:fill="D8D8D8"/>
          </w:tcPr>
          <w:p>
            <w:pPr>
              <w:spacing w:after="0"/>
              <w:rPr>
                <w:sz w:val="5"/>
                <w:szCs w:val="5"/>
                <w:color w:val="auto"/>
              </w:rPr>
            </w:pPr>
          </w:p>
        </w:tc>
        <w:tc>
          <w:tcPr>
            <w:tcW w:w="940" w:type="dxa"/>
            <w:vAlign w:val="bottom"/>
            <w:vMerge w:val="restart"/>
            <w:shd w:val="clear" w:color="auto" w:fill="D8D8D8"/>
          </w:tcPr>
          <w:p>
            <w:pPr>
              <w:jc w:val="right"/>
              <w:ind w:right="78"/>
              <w:spacing w:after="0" w:line="195"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(5)</w:t>
            </w:r>
          </w:p>
        </w:tc>
        <w:tc>
          <w:tcPr>
            <w:tcW w:w="100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521,123</w:t>
            </w:r>
          </w:p>
        </w:tc>
        <w:tc>
          <w:tcPr>
            <w:tcW w:w="0" w:type="dxa"/>
            <w:vAlign w:val="bottom"/>
          </w:tcPr>
          <w:p>
            <w:pPr>
              <w:spacing w:after="0"/>
              <w:rPr>
                <w:sz w:val="1"/>
                <w:szCs w:val="1"/>
                <w:color w:val="auto"/>
              </w:rPr>
            </w:pPr>
          </w:p>
        </w:tc>
      </w:tr>
      <w:tr>
        <w:trPr>
          <w:trHeight w:val="135"/>
        </w:trPr>
        <w:tc>
          <w:tcPr>
            <w:tcW w:w="2960" w:type="dxa"/>
            <w:vAlign w:val="bottom"/>
            <w:vMerge w:val="restart"/>
            <w:shd w:val="clear" w:color="auto" w:fill="D8D8D8"/>
          </w:tcPr>
          <w:p>
            <w:pPr>
              <w:ind w:left="60"/>
              <w:spacing w:after="0" w:line="169" w:lineRule="exact"/>
              <w:rPr>
                <w:sz w:val="20"/>
                <w:szCs w:val="20"/>
                <w:color w:val="auto"/>
              </w:rPr>
            </w:pPr>
            <w:r>
              <w:rPr>
                <w:rFonts w:ascii="Calibri" w:cs="Calibri" w:eastAsia="Calibri" w:hAnsi="Calibri"/>
                <w:sz w:val="14"/>
                <w:szCs w:val="14"/>
                <w:b w:val="1"/>
                <w:bCs w:val="1"/>
                <w:color w:val="auto"/>
              </w:rPr>
              <w:t>Jetley</w:t>
            </w:r>
          </w:p>
        </w:tc>
        <w:tc>
          <w:tcPr>
            <w:tcW w:w="140" w:type="dxa"/>
            <w:vAlign w:val="bottom"/>
            <w:shd w:val="clear" w:color="auto" w:fill="D8D8D8"/>
          </w:tcPr>
          <w:p>
            <w:pPr>
              <w:spacing w:after="0"/>
              <w:rPr>
                <w:sz w:val="11"/>
                <w:szCs w:val="11"/>
                <w:color w:val="auto"/>
              </w:rPr>
            </w:pPr>
          </w:p>
        </w:tc>
        <w:tc>
          <w:tcPr>
            <w:tcW w:w="6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660" w:type="dxa"/>
            <w:vAlign w:val="bottom"/>
            <w:shd w:val="clear" w:color="auto" w:fill="D8D8D8"/>
          </w:tcPr>
          <w:p>
            <w:pPr>
              <w:spacing w:after="0"/>
              <w:rPr>
                <w:sz w:val="11"/>
                <w:szCs w:val="11"/>
                <w:color w:val="auto"/>
              </w:rPr>
            </w:pPr>
          </w:p>
        </w:tc>
        <w:tc>
          <w:tcPr>
            <w:tcW w:w="1100" w:type="dxa"/>
            <w:vAlign w:val="bottom"/>
            <w:shd w:val="clear" w:color="auto" w:fill="D8D8D8"/>
          </w:tcPr>
          <w:p>
            <w:pPr>
              <w:spacing w:after="0"/>
              <w:rPr>
                <w:sz w:val="11"/>
                <w:szCs w:val="11"/>
                <w:color w:val="auto"/>
              </w:rPr>
            </w:pPr>
          </w:p>
        </w:tc>
        <w:tc>
          <w:tcPr>
            <w:tcW w:w="920" w:type="dxa"/>
            <w:vAlign w:val="bottom"/>
            <w:shd w:val="clear" w:color="auto" w:fill="D8D8D8"/>
          </w:tcPr>
          <w:p>
            <w:pPr>
              <w:spacing w:after="0"/>
              <w:rPr>
                <w:sz w:val="11"/>
                <w:szCs w:val="11"/>
                <w:color w:val="auto"/>
              </w:rPr>
            </w:pPr>
          </w:p>
        </w:tc>
        <w:tc>
          <w:tcPr>
            <w:tcW w:w="580" w:type="dxa"/>
            <w:vAlign w:val="bottom"/>
            <w:shd w:val="clear" w:color="auto" w:fill="D8D8D8"/>
          </w:tcPr>
          <w:p>
            <w:pPr>
              <w:spacing w:after="0"/>
              <w:rPr>
                <w:sz w:val="11"/>
                <w:szCs w:val="11"/>
                <w:color w:val="auto"/>
              </w:rPr>
            </w:pPr>
          </w:p>
        </w:tc>
        <w:tc>
          <w:tcPr>
            <w:tcW w:w="960" w:type="dxa"/>
            <w:vAlign w:val="bottom"/>
            <w:shd w:val="clear" w:color="auto" w:fill="D8D8D8"/>
          </w:tcPr>
          <w:p>
            <w:pPr>
              <w:spacing w:after="0"/>
              <w:rPr>
                <w:sz w:val="11"/>
                <w:szCs w:val="11"/>
                <w:color w:val="auto"/>
              </w:rPr>
            </w:pPr>
          </w:p>
        </w:tc>
        <w:tc>
          <w:tcPr>
            <w:tcW w:w="640" w:type="dxa"/>
            <w:vAlign w:val="bottom"/>
            <w:shd w:val="clear" w:color="auto" w:fill="D8D8D8"/>
          </w:tcPr>
          <w:p>
            <w:pPr>
              <w:spacing w:after="0"/>
              <w:rPr>
                <w:sz w:val="11"/>
                <w:szCs w:val="11"/>
                <w:color w:val="auto"/>
              </w:rPr>
            </w:pPr>
          </w:p>
        </w:tc>
        <w:tc>
          <w:tcPr>
            <w:tcW w:w="940" w:type="dxa"/>
            <w:vAlign w:val="bottom"/>
            <w:vMerge w:val="continue"/>
            <w:shd w:val="clear" w:color="auto" w:fill="D8D8D8"/>
          </w:tcPr>
          <w:p>
            <w:pPr>
              <w:spacing w:after="0"/>
              <w:rPr>
                <w:sz w:val="11"/>
                <w:szCs w:val="11"/>
                <w:color w:val="auto"/>
              </w:rPr>
            </w:pPr>
          </w:p>
        </w:tc>
        <w:tc>
          <w:tcPr>
            <w:tcW w:w="10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960" w:type="dxa"/>
            <w:vAlign w:val="bottom"/>
            <w:vMerge w:val="continue"/>
            <w:shd w:val="clear" w:color="auto" w:fill="D8D8D8"/>
          </w:tcPr>
          <w:p>
            <w:pPr>
              <w:spacing w:after="0"/>
              <w:rPr>
                <w:sz w:val="2"/>
                <w:szCs w:val="2"/>
                <w:color w:val="auto"/>
              </w:rPr>
            </w:pPr>
          </w:p>
        </w:tc>
        <w:tc>
          <w:tcPr>
            <w:tcW w:w="140" w:type="dxa"/>
            <w:vAlign w:val="bottom"/>
            <w:shd w:val="clear" w:color="auto" w:fill="D8D8D8"/>
          </w:tcPr>
          <w:p>
            <w:pPr>
              <w:spacing w:after="0"/>
              <w:rPr>
                <w:sz w:val="2"/>
                <w:szCs w:val="2"/>
                <w:color w:val="auto"/>
              </w:rPr>
            </w:pPr>
          </w:p>
        </w:tc>
        <w:tc>
          <w:tcPr>
            <w:tcW w:w="620" w:type="dxa"/>
            <w:vAlign w:val="bottom"/>
            <w:vMerge w:val="restart"/>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2/16/2022</w:t>
            </w:r>
          </w:p>
        </w:tc>
        <w:tc>
          <w:tcPr>
            <w:tcW w:w="100" w:type="dxa"/>
            <w:vAlign w:val="bottom"/>
            <w:shd w:val="clear" w:color="auto" w:fill="D8D8D8"/>
          </w:tcPr>
          <w:p>
            <w:pPr>
              <w:spacing w:after="0"/>
              <w:rPr>
                <w:sz w:val="2"/>
                <w:szCs w:val="2"/>
                <w:color w:val="auto"/>
              </w:rPr>
            </w:pPr>
          </w:p>
        </w:tc>
        <w:tc>
          <w:tcPr>
            <w:tcW w:w="660" w:type="dxa"/>
            <w:vAlign w:val="bottom"/>
            <w:shd w:val="clear" w:color="auto" w:fill="D8D8D8"/>
          </w:tcPr>
          <w:p>
            <w:pPr>
              <w:spacing w:after="0"/>
              <w:rPr>
                <w:sz w:val="2"/>
                <w:szCs w:val="2"/>
                <w:color w:val="auto"/>
              </w:rPr>
            </w:pPr>
          </w:p>
        </w:tc>
        <w:tc>
          <w:tcPr>
            <w:tcW w:w="1100" w:type="dxa"/>
            <w:vAlign w:val="bottom"/>
            <w:shd w:val="clear" w:color="auto" w:fill="D8D8D8"/>
          </w:tcPr>
          <w:p>
            <w:pPr>
              <w:spacing w:after="0"/>
              <w:rPr>
                <w:sz w:val="2"/>
                <w:szCs w:val="2"/>
                <w:color w:val="auto"/>
              </w:rPr>
            </w:pPr>
          </w:p>
        </w:tc>
        <w:tc>
          <w:tcPr>
            <w:tcW w:w="920" w:type="dxa"/>
            <w:vAlign w:val="bottom"/>
            <w:shd w:val="clear" w:color="auto" w:fill="D8D8D8"/>
          </w:tcPr>
          <w:p>
            <w:pPr>
              <w:spacing w:after="0"/>
              <w:rPr>
                <w:sz w:val="2"/>
                <w:szCs w:val="2"/>
                <w:color w:val="auto"/>
              </w:rPr>
            </w:pPr>
          </w:p>
        </w:tc>
        <w:tc>
          <w:tcPr>
            <w:tcW w:w="580" w:type="dxa"/>
            <w:vAlign w:val="bottom"/>
            <w:shd w:val="clear" w:color="auto" w:fill="D8D8D8"/>
          </w:tcPr>
          <w:p>
            <w:pPr>
              <w:spacing w:after="0"/>
              <w:rPr>
                <w:sz w:val="2"/>
                <w:szCs w:val="2"/>
                <w:color w:val="auto"/>
              </w:rPr>
            </w:pPr>
          </w:p>
        </w:tc>
        <w:tc>
          <w:tcPr>
            <w:tcW w:w="960" w:type="dxa"/>
            <w:vAlign w:val="bottom"/>
            <w:vMerge w:val="restart"/>
            <w:shd w:val="clear" w:color="auto" w:fill="D8D8D8"/>
          </w:tcPr>
          <w:p>
            <w:pPr>
              <w:jc w:val="right"/>
              <w:ind w:right="35"/>
              <w:spacing w:after="0" w:line="195" w:lineRule="exact"/>
              <w:rPr>
                <w:sz w:val="20"/>
                <w:szCs w:val="20"/>
                <w:color w:val="auto"/>
              </w:rPr>
            </w:pPr>
            <w:r>
              <w:rPr>
                <w:rFonts w:ascii="Calibri" w:cs="Calibri" w:eastAsia="Calibri" w:hAnsi="Calibri"/>
                <w:sz w:val="14"/>
                <w:szCs w:val="14"/>
                <w:color w:val="auto"/>
              </w:rPr>
              <w:t>2,424</w:t>
            </w:r>
            <w:r>
              <w:rPr>
                <w:rFonts w:ascii="Calibri" w:cs="Calibri" w:eastAsia="Calibri" w:hAnsi="Calibri"/>
                <w:sz w:val="20"/>
                <w:szCs w:val="20"/>
                <w:color w:val="auto"/>
                <w:vertAlign w:val="superscript"/>
              </w:rPr>
              <w:t>(2)</w:t>
            </w:r>
          </w:p>
        </w:tc>
        <w:tc>
          <w:tcPr>
            <w:tcW w:w="64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4,848</w:t>
            </w:r>
          </w:p>
        </w:tc>
        <w:tc>
          <w:tcPr>
            <w:tcW w:w="940" w:type="dxa"/>
            <w:vAlign w:val="bottom"/>
            <w:shd w:val="clear" w:color="auto" w:fill="D8D8D8"/>
          </w:tcPr>
          <w:p>
            <w:pPr>
              <w:spacing w:after="0"/>
              <w:rPr>
                <w:sz w:val="2"/>
                <w:szCs w:val="2"/>
                <w:color w:val="auto"/>
              </w:rPr>
            </w:pPr>
          </w:p>
        </w:tc>
        <w:tc>
          <w:tcPr>
            <w:tcW w:w="1000" w:type="dxa"/>
            <w:vAlign w:val="bottom"/>
            <w:vMerge w:val="restart"/>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290,832</w:t>
            </w:r>
          </w:p>
        </w:tc>
        <w:tc>
          <w:tcPr>
            <w:tcW w:w="0" w:type="dxa"/>
            <w:vAlign w:val="bottom"/>
          </w:tcPr>
          <w:p>
            <w:pPr>
              <w:spacing w:after="0" w:line="20" w:lineRule="exact"/>
              <w:rPr>
                <w:sz w:val="1"/>
                <w:szCs w:val="1"/>
                <w:color w:val="auto"/>
              </w:rPr>
            </w:pPr>
          </w:p>
        </w:tc>
      </w:tr>
      <w:tr>
        <w:trPr>
          <w:trHeight w:val="161"/>
        </w:trPr>
        <w:tc>
          <w:tcPr>
            <w:tcW w:w="296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62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66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920" w:type="dxa"/>
            <w:vAlign w:val="bottom"/>
            <w:shd w:val="clear" w:color="auto" w:fill="D8D8D8"/>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960" w:type="dxa"/>
            <w:vAlign w:val="bottom"/>
            <w:vMerge w:val="continue"/>
            <w:shd w:val="clear" w:color="auto" w:fill="D8D8D8"/>
          </w:tcPr>
          <w:p>
            <w:pPr>
              <w:spacing w:after="0"/>
              <w:rPr>
                <w:sz w:val="14"/>
                <w:szCs w:val="14"/>
                <w:color w:val="auto"/>
              </w:rPr>
            </w:pPr>
          </w:p>
        </w:tc>
        <w:tc>
          <w:tcPr>
            <w:tcW w:w="640" w:type="dxa"/>
            <w:vAlign w:val="bottom"/>
            <w:vMerge w:val="continue"/>
            <w:shd w:val="clear" w:color="auto" w:fill="D8D8D8"/>
          </w:tcPr>
          <w:p>
            <w:pPr>
              <w:spacing w:after="0"/>
              <w:rPr>
                <w:sz w:val="14"/>
                <w:szCs w:val="14"/>
                <w:color w:val="auto"/>
              </w:rPr>
            </w:pPr>
          </w:p>
        </w:tc>
        <w:tc>
          <w:tcPr>
            <w:tcW w:w="940" w:type="dxa"/>
            <w:vAlign w:val="bottom"/>
            <w:shd w:val="clear" w:color="auto" w:fill="D8D8D8"/>
          </w:tcPr>
          <w:p>
            <w:pPr>
              <w:spacing w:after="0"/>
              <w:rPr>
                <w:sz w:val="14"/>
                <w:szCs w:val="14"/>
                <w:color w:val="auto"/>
              </w:rPr>
            </w:pPr>
          </w:p>
        </w:tc>
        <w:tc>
          <w:tcPr>
            <w:tcW w:w="1000" w:type="dxa"/>
            <w:vAlign w:val="bottom"/>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60" w:type="dxa"/>
            <w:vAlign w:val="bottom"/>
            <w:shd w:val="clear" w:color="auto" w:fill="D8D8D8"/>
          </w:tcPr>
          <w:p>
            <w:pPr>
              <w:spacing w:after="0"/>
              <w:rPr>
                <w:sz w:val="16"/>
                <w:szCs w:val="16"/>
                <w:color w:val="auto"/>
              </w:rPr>
            </w:pPr>
          </w:p>
        </w:tc>
        <w:tc>
          <w:tcPr>
            <w:tcW w:w="140" w:type="dxa"/>
            <w:vAlign w:val="bottom"/>
            <w:shd w:val="clear" w:color="auto" w:fill="D8D8D8"/>
          </w:tcPr>
          <w:p>
            <w:pPr>
              <w:spacing w:after="0"/>
              <w:rPr>
                <w:sz w:val="16"/>
                <w:szCs w:val="16"/>
                <w:color w:val="auto"/>
              </w:rPr>
            </w:pPr>
          </w:p>
        </w:tc>
        <w:tc>
          <w:tcPr>
            <w:tcW w:w="620" w:type="dxa"/>
            <w:vAlign w:val="bottom"/>
            <w:shd w:val="clear" w:color="auto" w:fill="D8D8D8"/>
          </w:tcPr>
          <w:p>
            <w:pPr>
              <w:jc w:val="right"/>
              <w:spacing w:after="0" w:line="166" w:lineRule="exact"/>
              <w:rPr>
                <w:sz w:val="20"/>
                <w:szCs w:val="20"/>
                <w:color w:val="auto"/>
              </w:rPr>
            </w:pPr>
            <w:r>
              <w:rPr>
                <w:rFonts w:ascii="Calibri" w:cs="Calibri" w:eastAsia="Calibri" w:hAnsi="Calibri"/>
                <w:sz w:val="14"/>
                <w:szCs w:val="14"/>
                <w:color w:val="auto"/>
                <w:w w:val="99"/>
              </w:rPr>
              <w:t>2/16/2022</w:t>
            </w:r>
          </w:p>
        </w:tc>
        <w:tc>
          <w:tcPr>
            <w:tcW w:w="100" w:type="dxa"/>
            <w:vAlign w:val="bottom"/>
            <w:shd w:val="clear" w:color="auto" w:fill="D8D8D8"/>
          </w:tcPr>
          <w:p>
            <w:pPr>
              <w:spacing w:after="0"/>
              <w:rPr>
                <w:sz w:val="16"/>
                <w:szCs w:val="16"/>
                <w:color w:val="auto"/>
              </w:rPr>
            </w:pPr>
          </w:p>
        </w:tc>
        <w:tc>
          <w:tcPr>
            <w:tcW w:w="6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92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960" w:type="dxa"/>
            <w:vAlign w:val="bottom"/>
            <w:shd w:val="clear" w:color="auto" w:fill="D8D8D8"/>
          </w:tcPr>
          <w:p>
            <w:pPr>
              <w:jc w:val="right"/>
              <w:ind w:right="35"/>
              <w:spacing w:after="0" w:line="195" w:lineRule="exact"/>
              <w:rPr>
                <w:sz w:val="20"/>
                <w:szCs w:val="20"/>
                <w:color w:val="auto"/>
              </w:rPr>
            </w:pPr>
            <w:r>
              <w:rPr>
                <w:rFonts w:ascii="Calibri" w:cs="Calibri" w:eastAsia="Calibri" w:hAnsi="Calibri"/>
                <w:sz w:val="14"/>
                <w:szCs w:val="14"/>
                <w:color w:val="auto"/>
              </w:rPr>
              <w:t>3,636</w:t>
            </w:r>
            <w:r>
              <w:rPr>
                <w:rFonts w:ascii="Calibri" w:cs="Calibri" w:eastAsia="Calibri" w:hAnsi="Calibri"/>
                <w:sz w:val="20"/>
                <w:szCs w:val="20"/>
                <w:color w:val="auto"/>
                <w:vertAlign w:val="superscript"/>
              </w:rPr>
              <w:t>(3)</w:t>
            </w:r>
          </w:p>
        </w:tc>
        <w:tc>
          <w:tcPr>
            <w:tcW w:w="640" w:type="dxa"/>
            <w:vAlign w:val="bottom"/>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7,272</w:t>
            </w:r>
          </w:p>
        </w:tc>
        <w:tc>
          <w:tcPr>
            <w:tcW w:w="940" w:type="dxa"/>
            <w:vAlign w:val="bottom"/>
            <w:shd w:val="clear" w:color="auto" w:fill="D8D8D8"/>
          </w:tcPr>
          <w:p>
            <w:pPr>
              <w:spacing w:after="0"/>
              <w:rPr>
                <w:sz w:val="16"/>
                <w:szCs w:val="16"/>
                <w:color w:val="auto"/>
              </w:rPr>
            </w:pPr>
          </w:p>
        </w:tc>
        <w:tc>
          <w:tcPr>
            <w:tcW w:w="1000" w:type="dxa"/>
            <w:vAlign w:val="bottom"/>
            <w:shd w:val="clear" w:color="auto" w:fill="D8D8D8"/>
          </w:tcPr>
          <w:p>
            <w:pPr>
              <w:jc w:val="right"/>
              <w:ind w:right="54"/>
              <w:spacing w:after="0" w:line="166" w:lineRule="exact"/>
              <w:rPr>
                <w:sz w:val="20"/>
                <w:szCs w:val="20"/>
                <w:color w:val="auto"/>
              </w:rPr>
            </w:pPr>
            <w:r>
              <w:rPr>
                <w:rFonts w:ascii="Calibri" w:cs="Calibri" w:eastAsia="Calibri" w:hAnsi="Calibri"/>
                <w:sz w:val="14"/>
                <w:szCs w:val="14"/>
                <w:color w:val="auto"/>
              </w:rPr>
              <w:t>566,016</w:t>
            </w:r>
          </w:p>
        </w:tc>
        <w:tc>
          <w:tcPr>
            <w:tcW w:w="0" w:type="dxa"/>
            <w:vAlign w:val="bottom"/>
          </w:tcPr>
          <w:p>
            <w:pPr>
              <w:spacing w:after="0"/>
              <w:rPr>
                <w:sz w:val="1"/>
                <w:szCs w:val="1"/>
                <w:color w:val="auto"/>
              </w:rPr>
            </w:pPr>
          </w:p>
        </w:tc>
      </w:tr>
      <w:tr>
        <w:trPr>
          <w:trHeight w:val="177"/>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jc w:val="right"/>
              <w:ind w:right="137"/>
              <w:spacing w:after="0"/>
              <w:rPr>
                <w:sz w:val="20"/>
                <w:szCs w:val="20"/>
                <w:color w:val="auto"/>
              </w:rPr>
            </w:pPr>
            <w:r>
              <w:rPr>
                <w:rFonts w:ascii="Calibri" w:cs="Calibri" w:eastAsia="Calibri" w:hAnsi="Calibri"/>
                <w:sz w:val="14"/>
                <w:szCs w:val="14"/>
                <w:color w:val="auto"/>
              </w:rPr>
              <w:t>315,062</w:t>
            </w:r>
          </w:p>
        </w:tc>
        <w:tc>
          <w:tcPr>
            <w:tcW w:w="920" w:type="dxa"/>
            <w:vAlign w:val="bottom"/>
          </w:tcPr>
          <w:p>
            <w:pPr>
              <w:jc w:val="right"/>
              <w:ind w:right="96"/>
              <w:spacing w:after="0"/>
              <w:rPr>
                <w:sz w:val="20"/>
                <w:szCs w:val="20"/>
                <w:color w:val="auto"/>
              </w:rPr>
            </w:pPr>
            <w:r>
              <w:rPr>
                <w:rFonts w:ascii="Calibri" w:cs="Calibri" w:eastAsia="Calibri" w:hAnsi="Calibri"/>
                <w:sz w:val="14"/>
                <w:szCs w:val="14"/>
                <w:color w:val="auto"/>
              </w:rPr>
              <w:t>472,592</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9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ind w:right="78"/>
              <w:spacing w:after="0" w:line="224" w:lineRule="exact"/>
              <w:rPr>
                <w:sz w:val="20"/>
                <w:szCs w:val="20"/>
                <w:color w:val="auto"/>
              </w:rPr>
            </w:pPr>
            <w:r>
              <w:rPr>
                <w:rFonts w:ascii="Calibri" w:cs="Calibri" w:eastAsia="Calibri" w:hAnsi="Calibri"/>
                <w:sz w:val="14"/>
                <w:szCs w:val="14"/>
                <w:color w:val="auto"/>
              </w:rPr>
              <w:t>3,108</w:t>
            </w:r>
            <w:r>
              <w:rPr>
                <w:rFonts w:ascii="Calibri" w:cs="Calibri" w:eastAsia="Calibri" w:hAnsi="Calibri"/>
                <w:sz w:val="20"/>
                <w:szCs w:val="20"/>
                <w:color w:val="auto"/>
                <w:vertAlign w:val="superscript"/>
              </w:rPr>
              <w:t>(4)</w:t>
            </w:r>
          </w:p>
        </w:tc>
        <w:tc>
          <w:tcPr>
            <w:tcW w:w="1000" w:type="dxa"/>
            <w:vAlign w:val="bottom"/>
          </w:tcPr>
          <w:p>
            <w:pPr>
              <w:jc w:val="right"/>
              <w:ind w:right="54"/>
              <w:spacing w:after="0"/>
              <w:rPr>
                <w:sz w:val="20"/>
                <w:szCs w:val="20"/>
                <w:color w:val="auto"/>
              </w:rPr>
            </w:pPr>
            <w:r>
              <w:rPr>
                <w:rFonts w:ascii="Calibri" w:cs="Calibri" w:eastAsia="Calibri" w:hAnsi="Calibri"/>
                <w:sz w:val="14"/>
                <w:szCs w:val="14"/>
                <w:color w:val="auto"/>
              </w:rPr>
              <w:t>372,898</w:t>
            </w:r>
          </w:p>
        </w:tc>
        <w:tc>
          <w:tcPr>
            <w:tcW w:w="0" w:type="dxa"/>
            <w:vAlign w:val="bottom"/>
          </w:tcPr>
          <w:p>
            <w:pPr>
              <w:spacing w:after="0"/>
              <w:rPr>
                <w:sz w:val="1"/>
                <w:szCs w:val="1"/>
                <w:color w:val="auto"/>
              </w:rPr>
            </w:pPr>
          </w:p>
        </w:tc>
      </w:tr>
      <w:tr>
        <w:trPr>
          <w:trHeight w:val="195"/>
        </w:trPr>
        <w:tc>
          <w:tcPr>
            <w:tcW w:w="29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auto"/>
              </w:rPr>
              <w:t>Ankor Rai</w:t>
            </w:r>
          </w:p>
        </w:tc>
        <w:tc>
          <w:tcPr>
            <w:tcW w:w="86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3/31/2022</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78"/>
              <w:spacing w:after="0" w:line="195"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(5)</w:t>
            </w:r>
          </w:p>
        </w:tc>
        <w:tc>
          <w:tcPr>
            <w:tcW w:w="100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521,123</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86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jc w:val="right"/>
              <w:ind w:right="35"/>
              <w:spacing w:after="0" w:line="195" w:lineRule="exact"/>
              <w:rPr>
                <w:sz w:val="20"/>
                <w:szCs w:val="20"/>
                <w:color w:val="auto"/>
              </w:rPr>
            </w:pPr>
            <w:r>
              <w:rPr>
                <w:rFonts w:ascii="Calibri" w:cs="Calibri" w:eastAsia="Calibri" w:hAnsi="Calibri"/>
                <w:sz w:val="14"/>
                <w:szCs w:val="14"/>
                <w:color w:val="auto"/>
              </w:rPr>
              <w:t>1,865</w:t>
            </w:r>
            <w:r>
              <w:rPr>
                <w:rFonts w:ascii="Calibri" w:cs="Calibri" w:eastAsia="Calibri" w:hAnsi="Calibri"/>
                <w:sz w:val="20"/>
                <w:szCs w:val="20"/>
                <w:color w:val="auto"/>
                <w:vertAlign w:val="superscript"/>
              </w:rPr>
              <w:t>(2)</w:t>
            </w:r>
          </w:p>
        </w:tc>
        <w:tc>
          <w:tcPr>
            <w:tcW w:w="64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3,730</w:t>
            </w:r>
          </w:p>
        </w:tc>
        <w:tc>
          <w:tcPr>
            <w:tcW w:w="940" w:type="dxa"/>
            <w:vAlign w:val="bottom"/>
          </w:tcPr>
          <w:p>
            <w:pPr>
              <w:spacing w:after="0"/>
              <w:rPr>
                <w:sz w:val="16"/>
                <w:szCs w:val="16"/>
                <w:color w:val="auto"/>
              </w:rPr>
            </w:pPr>
          </w:p>
        </w:tc>
        <w:tc>
          <w:tcPr>
            <w:tcW w:w="100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223,763</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860" w:type="dxa"/>
            <w:vAlign w:val="bottom"/>
            <w:gridSpan w:val="3"/>
          </w:tcPr>
          <w:p>
            <w:pPr>
              <w:jc w:val="right"/>
              <w:ind w:right="100"/>
              <w:spacing w:after="0" w:line="166" w:lineRule="exact"/>
              <w:rPr>
                <w:sz w:val="20"/>
                <w:szCs w:val="20"/>
                <w:color w:val="auto"/>
              </w:rPr>
            </w:pPr>
            <w:r>
              <w:rPr>
                <w:rFonts w:ascii="Calibri" w:cs="Calibri" w:eastAsia="Calibri" w:hAnsi="Calibri"/>
                <w:sz w:val="14"/>
                <w:szCs w:val="14"/>
                <w:color w:val="auto"/>
              </w:rPr>
              <w:t>2/16/2022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ind w:right="35"/>
              <w:spacing w:after="0" w:line="229" w:lineRule="exact"/>
              <w:rPr>
                <w:sz w:val="20"/>
                <w:szCs w:val="20"/>
                <w:color w:val="auto"/>
              </w:rPr>
            </w:pPr>
            <w:r>
              <w:rPr>
                <w:rFonts w:ascii="Calibri" w:cs="Calibri" w:eastAsia="Calibri" w:hAnsi="Calibri"/>
                <w:sz w:val="14"/>
                <w:szCs w:val="14"/>
                <w:color w:val="auto"/>
              </w:rPr>
              <w:t>2,797</w:t>
            </w:r>
            <w:r>
              <w:rPr>
                <w:rFonts w:ascii="Calibri" w:cs="Calibri" w:eastAsia="Calibri" w:hAnsi="Calibri"/>
                <w:sz w:val="20"/>
                <w:szCs w:val="20"/>
                <w:color w:val="auto"/>
                <w:vertAlign w:val="superscript"/>
              </w:rPr>
              <w:t>(3)</w:t>
            </w:r>
          </w:p>
        </w:tc>
        <w:tc>
          <w:tcPr>
            <w:tcW w:w="64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5,594</w:t>
            </w:r>
          </w:p>
        </w:tc>
        <w:tc>
          <w:tcPr>
            <w:tcW w:w="940" w:type="dxa"/>
            <w:vAlign w:val="bottom"/>
          </w:tcPr>
          <w:p>
            <w:pPr>
              <w:spacing w:after="0"/>
              <w:rPr>
                <w:sz w:val="19"/>
                <w:szCs w:val="19"/>
                <w:color w:val="auto"/>
              </w:rPr>
            </w:pPr>
          </w:p>
        </w:tc>
        <w:tc>
          <w:tcPr>
            <w:tcW w:w="1000" w:type="dxa"/>
            <w:vAlign w:val="bottom"/>
          </w:tcPr>
          <w:p>
            <w:pPr>
              <w:jc w:val="right"/>
              <w:ind w:right="54"/>
              <w:spacing w:after="0" w:line="166" w:lineRule="exact"/>
              <w:rPr>
                <w:sz w:val="20"/>
                <w:szCs w:val="20"/>
                <w:color w:val="auto"/>
              </w:rPr>
            </w:pPr>
            <w:r>
              <w:rPr>
                <w:rFonts w:ascii="Calibri" w:cs="Calibri" w:eastAsia="Calibri" w:hAnsi="Calibri"/>
                <w:sz w:val="14"/>
                <w:szCs w:val="14"/>
                <w:color w:val="auto"/>
              </w:rPr>
              <w:t>435,409</w:t>
            </w:r>
          </w:p>
        </w:tc>
        <w:tc>
          <w:tcPr>
            <w:tcW w:w="0" w:type="dxa"/>
            <w:vAlign w:val="bottom"/>
          </w:tcPr>
          <w:p>
            <w:pPr>
              <w:spacing w:after="0"/>
              <w:rPr>
                <w:sz w:val="1"/>
                <w:szCs w:val="1"/>
                <w:color w:val="auto"/>
              </w:rPr>
            </w:pPr>
          </w:p>
        </w:tc>
      </w:tr>
    </w:tbl>
    <w:p>
      <w:pPr>
        <w:ind w:left="320" w:right="160" w:hanging="4"/>
        <w:spacing w:after="0" w:line="225" w:lineRule="auto"/>
        <w:tabs>
          <w:tab w:leader="none" w:pos="494"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These amounts refect the target and maximum annual incentve awards set for 2022. For details of our annual incentve program, see “Compensaton Discussion and Analysis – Annual incentves” beginning on page 80.</w:t>
      </w:r>
    </w:p>
    <w:p>
      <w:pPr>
        <w:spacing w:after="0" w:line="11" w:lineRule="exact"/>
        <w:rPr>
          <w:rFonts w:ascii="Calibri" w:cs="Calibri" w:eastAsia="Calibri" w:hAnsi="Calibri"/>
          <w:sz w:val="13"/>
          <w:szCs w:val="13"/>
          <w:color w:val="auto"/>
        </w:rPr>
      </w:pPr>
    </w:p>
    <w:p>
      <w:pPr>
        <w:ind w:left="500" w:hanging="184"/>
        <w:spacing w:after="0"/>
        <w:tabs>
          <w:tab w:leader="none" w:pos="500"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Represents annual awards of Revenue-Linked PRSUs granted under the 2018 Plan, subject to the vestng set forth in footnote 7.</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Represents annual awards of Relatve TSR-Linked PRSUs granted under the 2018 Plan, subject to the vestng set forth in footnote 7.</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Represents annual awards of tme-vested restricted stock units granted to all named executve ofcers under the 2018 Plan, subject to the vestng set forth in footnote 7.</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Represents the share matching awards granted under the 2018 Plan pursuant to the SMP and subject to the vestng set forth in footnote 7.</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29"/>
        </w:numPr>
        <w:rPr>
          <w:rFonts w:ascii="Calibri" w:cs="Calibri" w:eastAsia="Calibri" w:hAnsi="Calibri"/>
          <w:sz w:val="13"/>
          <w:szCs w:val="13"/>
          <w:color w:val="auto"/>
        </w:rPr>
      </w:pPr>
      <w:r>
        <w:rPr>
          <w:rFonts w:ascii="Calibri" w:cs="Calibri" w:eastAsia="Calibri" w:hAnsi="Calibri"/>
          <w:sz w:val="13"/>
          <w:szCs w:val="13"/>
          <w:color w:val="auto"/>
        </w:rPr>
        <w:t>The grant date fair value refects valuaton based on the grant date of awards in accordance with FASB ASC Topic 718.</w:t>
      </w:r>
    </w:p>
    <w:p>
      <w:pPr>
        <w:spacing w:after="0" w:line="293"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89</w:t>
      </w:r>
    </w:p>
    <w:p>
      <w:pPr>
        <w:sectPr>
          <w:pgSz w:w="11900" w:h="16838" w:orient="portrait"/>
          <w:cols w:equalWidth="0" w:num="1">
            <w:col w:w="10940"/>
          </w:cols>
          <w:pgMar w:left="320" w:top="471"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3"/>
          <w:szCs w:val="13"/>
          <w:color w:val="auto"/>
        </w:rPr>
        <w:t>(7) The vestng schedules of the stock grants mentoned in the table below are as follows for each named executve ofcer (subject to contnued employment through each applicable vestng date):</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460" w:type="dxa"/>
            <w:vAlign w:val="bottom"/>
          </w:tcPr>
          <w:p>
            <w:pPr>
              <w:ind w:left="80"/>
              <w:spacing w:after="0"/>
              <w:rPr>
                <w:sz w:val="20"/>
                <w:szCs w:val="20"/>
                <w:color w:val="auto"/>
              </w:rPr>
            </w:pPr>
            <w:r>
              <w:rPr>
                <w:rFonts w:ascii="Calibri" w:cs="Calibri" w:eastAsia="Calibri" w:hAnsi="Calibri"/>
                <w:sz w:val="17"/>
                <w:szCs w:val="17"/>
                <w:b w:val="1"/>
                <w:bCs w:val="1"/>
                <w:color w:val="FB4E0B"/>
              </w:rPr>
              <w:t>Grant date and vestng start date</w:t>
            </w:r>
          </w:p>
        </w:tc>
        <w:tc>
          <w:tcPr>
            <w:tcW w:w="7160" w:type="dxa"/>
            <w:vAlign w:val="bottom"/>
          </w:tcPr>
          <w:p>
            <w:pPr>
              <w:jc w:val="center"/>
              <w:spacing w:after="0"/>
              <w:rPr>
                <w:sz w:val="20"/>
                <w:szCs w:val="20"/>
                <w:color w:val="auto"/>
              </w:rPr>
            </w:pPr>
            <w:r>
              <w:rPr>
                <w:rFonts w:ascii="Calibri" w:cs="Calibri" w:eastAsia="Calibri" w:hAnsi="Calibri"/>
                <w:sz w:val="17"/>
                <w:szCs w:val="17"/>
                <w:b w:val="1"/>
                <w:bCs w:val="1"/>
                <w:color w:val="FB4E0B"/>
              </w:rPr>
              <w:t>Vestng schedule</w:t>
            </w:r>
          </w:p>
        </w:tc>
        <w:tc>
          <w:tcPr>
            <w:tcW w:w="0" w:type="dxa"/>
            <w:vAlign w:val="bottom"/>
          </w:tcPr>
          <w:p>
            <w:pPr>
              <w:spacing w:after="0"/>
              <w:rPr>
                <w:sz w:val="1"/>
                <w:szCs w:val="1"/>
                <w:color w:val="auto"/>
              </w:rPr>
            </w:pPr>
          </w:p>
        </w:tc>
      </w:tr>
      <w:tr>
        <w:trPr>
          <w:trHeight w:val="29"/>
        </w:trPr>
        <w:tc>
          <w:tcPr>
            <w:tcW w:w="3460" w:type="dxa"/>
            <w:vAlign w:val="bottom"/>
            <w:tcBorders>
              <w:bottom w:val="single" w:sz="8" w:color="FB4E0B"/>
            </w:tcBorders>
          </w:tcPr>
          <w:p>
            <w:pPr>
              <w:spacing w:after="0"/>
              <w:rPr>
                <w:sz w:val="2"/>
                <w:szCs w:val="2"/>
                <w:color w:val="auto"/>
              </w:rPr>
            </w:pPr>
          </w:p>
        </w:tc>
        <w:tc>
          <w:tcPr>
            <w:tcW w:w="716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2/16/2022</w:t>
            </w:r>
          </w:p>
        </w:tc>
        <w:tc>
          <w:tcPr>
            <w:tcW w:w="7160" w:type="dxa"/>
            <w:vAlign w:val="bottom"/>
          </w:tcPr>
          <w:p>
            <w:pPr>
              <w:jc w:val="center"/>
              <w:spacing w:after="0"/>
              <w:rPr>
                <w:sz w:val="20"/>
                <w:szCs w:val="20"/>
                <w:color w:val="auto"/>
              </w:rPr>
            </w:pPr>
            <w:r>
              <w:rPr>
                <w:rFonts w:ascii="Calibri" w:cs="Calibri" w:eastAsia="Calibri" w:hAnsi="Calibri"/>
                <w:sz w:val="17"/>
                <w:szCs w:val="17"/>
                <w:color w:val="auto"/>
              </w:rPr>
              <w:t>Relatve TSR-Linked PRSUs:</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vMerge w:val="continue"/>
          </w:tcPr>
          <w:p>
            <w:pPr>
              <w:spacing w:after="0"/>
              <w:rPr>
                <w:sz w:val="9"/>
                <w:szCs w:val="9"/>
                <w:color w:val="auto"/>
              </w:rPr>
            </w:pPr>
          </w:p>
        </w:tc>
        <w:tc>
          <w:tcPr>
            <w:tcW w:w="7160" w:type="dxa"/>
            <w:vAlign w:val="bottom"/>
            <w:vMerge w:val="restart"/>
          </w:tcPr>
          <w:p>
            <w:pPr>
              <w:jc w:val="center"/>
              <w:spacing w:after="0"/>
              <w:rPr>
                <w:sz w:val="20"/>
                <w:szCs w:val="20"/>
                <w:color w:val="auto"/>
              </w:rPr>
            </w:pPr>
            <w:r>
              <w:rPr>
                <w:rFonts w:ascii="Calibri" w:cs="Calibri" w:eastAsia="Calibri" w:hAnsi="Calibri"/>
                <w:sz w:val="17"/>
                <w:szCs w:val="17"/>
                <w:color w:val="auto"/>
              </w:rPr>
              <w:t>100% vestng on 12/31/2024</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60" w:type="dxa"/>
            <w:vAlign w:val="bottom"/>
            <w:tcBorders>
              <w:bottom w:val="single" w:sz="8" w:color="auto"/>
              <w:right w:val="single" w:sz="8" w:color="auto"/>
            </w:tcBorders>
          </w:tcPr>
          <w:p>
            <w:pPr>
              <w:spacing w:after="0"/>
              <w:rPr>
                <w:sz w:val="7"/>
                <w:szCs w:val="7"/>
                <w:color w:val="auto"/>
              </w:rPr>
            </w:pPr>
          </w:p>
        </w:tc>
        <w:tc>
          <w:tcPr>
            <w:tcW w:w="7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6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2/16/2022</w:t>
            </w:r>
          </w:p>
        </w:tc>
        <w:tc>
          <w:tcPr>
            <w:tcW w:w="7160" w:type="dxa"/>
            <w:vAlign w:val="bottom"/>
          </w:tcPr>
          <w:p>
            <w:pPr>
              <w:jc w:val="center"/>
              <w:spacing w:after="0"/>
              <w:rPr>
                <w:sz w:val="20"/>
                <w:szCs w:val="20"/>
                <w:color w:val="auto"/>
              </w:rPr>
            </w:pPr>
            <w:r>
              <w:rPr>
                <w:rFonts w:ascii="Calibri" w:cs="Calibri" w:eastAsia="Calibri" w:hAnsi="Calibri"/>
                <w:sz w:val="17"/>
                <w:szCs w:val="17"/>
                <w:color w:val="auto"/>
                <w:w w:val="98"/>
              </w:rPr>
              <w:t>Revenue-Linked PRSUs:</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vMerge w:val="continue"/>
          </w:tcPr>
          <w:p>
            <w:pPr>
              <w:spacing w:after="0"/>
              <w:rPr>
                <w:sz w:val="9"/>
                <w:szCs w:val="9"/>
                <w:color w:val="auto"/>
              </w:rPr>
            </w:pPr>
          </w:p>
        </w:tc>
        <w:tc>
          <w:tcPr>
            <w:tcW w:w="7160" w:type="dxa"/>
            <w:vAlign w:val="bottom"/>
            <w:vMerge w:val="restart"/>
          </w:tcPr>
          <w:p>
            <w:pPr>
              <w:jc w:val="center"/>
              <w:spacing w:after="0"/>
              <w:rPr>
                <w:sz w:val="20"/>
                <w:szCs w:val="20"/>
                <w:color w:val="auto"/>
              </w:rPr>
            </w:pPr>
            <w:r>
              <w:rPr>
                <w:rFonts w:ascii="Calibri" w:cs="Calibri" w:eastAsia="Calibri" w:hAnsi="Calibri"/>
                <w:sz w:val="17"/>
                <w:szCs w:val="17"/>
                <w:color w:val="auto"/>
              </w:rPr>
              <w:t>100% vestng on 12/31/2024</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60" w:type="dxa"/>
            <w:vAlign w:val="bottom"/>
            <w:tcBorders>
              <w:bottom w:val="single" w:sz="8" w:color="auto"/>
              <w:right w:val="single" w:sz="8" w:color="auto"/>
            </w:tcBorders>
          </w:tcPr>
          <w:p>
            <w:pPr>
              <w:spacing w:after="0"/>
              <w:rPr>
                <w:sz w:val="7"/>
                <w:szCs w:val="7"/>
                <w:color w:val="auto"/>
              </w:rPr>
            </w:pPr>
          </w:p>
        </w:tc>
        <w:tc>
          <w:tcPr>
            <w:tcW w:w="7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6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2/16/2022</w:t>
            </w:r>
          </w:p>
        </w:tc>
        <w:tc>
          <w:tcPr>
            <w:tcW w:w="7160" w:type="dxa"/>
            <w:vAlign w:val="bottom"/>
          </w:tcPr>
          <w:p>
            <w:pPr>
              <w:jc w:val="center"/>
              <w:spacing w:after="0"/>
              <w:rPr>
                <w:sz w:val="20"/>
                <w:szCs w:val="20"/>
                <w:color w:val="auto"/>
              </w:rPr>
            </w:pPr>
            <w:r>
              <w:rPr>
                <w:rFonts w:ascii="Calibri" w:cs="Calibri" w:eastAsia="Calibri" w:hAnsi="Calibri"/>
                <w:sz w:val="17"/>
                <w:szCs w:val="17"/>
                <w:color w:val="auto"/>
                <w:w w:val="98"/>
              </w:rPr>
              <w:t>Time-Vested Restricted Stock Units:</w:t>
            </w:r>
          </w:p>
        </w:tc>
        <w:tc>
          <w:tcPr>
            <w:tcW w:w="0" w:type="dxa"/>
            <w:vAlign w:val="bottom"/>
          </w:tcPr>
          <w:p>
            <w:pPr>
              <w:spacing w:after="0"/>
              <w:rPr>
                <w:sz w:val="1"/>
                <w:szCs w:val="1"/>
                <w:color w:val="auto"/>
              </w:rPr>
            </w:pPr>
          </w:p>
        </w:tc>
      </w:tr>
      <w:tr>
        <w:trPr>
          <w:trHeight w:val="91"/>
        </w:trPr>
        <w:tc>
          <w:tcPr>
            <w:tcW w:w="3460" w:type="dxa"/>
            <w:vAlign w:val="bottom"/>
            <w:tcBorders>
              <w:right w:val="single" w:sz="8" w:color="auto"/>
            </w:tcBorders>
            <w:vMerge w:val="continue"/>
          </w:tcPr>
          <w:p>
            <w:pPr>
              <w:spacing w:after="0"/>
              <w:rPr>
                <w:sz w:val="7"/>
                <w:szCs w:val="7"/>
                <w:color w:val="auto"/>
              </w:rPr>
            </w:pPr>
          </w:p>
        </w:tc>
        <w:tc>
          <w:tcPr>
            <w:tcW w:w="7160" w:type="dxa"/>
            <w:vAlign w:val="bottom"/>
            <w:vMerge w:val="restart"/>
          </w:tcPr>
          <w:p>
            <w:pPr>
              <w:jc w:val="center"/>
              <w:spacing w:after="0"/>
              <w:rPr>
                <w:sz w:val="20"/>
                <w:szCs w:val="20"/>
                <w:color w:val="auto"/>
              </w:rPr>
            </w:pPr>
            <w:r>
              <w:rPr>
                <w:rFonts w:ascii="Calibri" w:cs="Calibri" w:eastAsia="Calibri" w:hAnsi="Calibri"/>
                <w:sz w:val="17"/>
                <w:szCs w:val="17"/>
                <w:color w:val="auto"/>
                <w:w w:val="99"/>
              </w:rPr>
              <w:t>Vestng over 4 Years – 25% each year</w:t>
            </w:r>
          </w:p>
        </w:tc>
        <w:tc>
          <w:tcPr>
            <w:tcW w:w="0" w:type="dxa"/>
            <w:vAlign w:val="bottom"/>
          </w:tcPr>
          <w:p>
            <w:pPr>
              <w:spacing w:after="0"/>
              <w:rPr>
                <w:sz w:val="1"/>
                <w:szCs w:val="1"/>
                <w:color w:val="auto"/>
              </w:rPr>
            </w:pPr>
          </w:p>
        </w:tc>
      </w:tr>
      <w:tr>
        <w:trPr>
          <w:trHeight w:val="117"/>
        </w:trPr>
        <w:tc>
          <w:tcPr>
            <w:tcW w:w="3460" w:type="dxa"/>
            <w:vAlign w:val="bottom"/>
            <w:tcBorders>
              <w:right w:val="single" w:sz="8" w:color="auto"/>
            </w:tcBorders>
          </w:tcPr>
          <w:p>
            <w:pPr>
              <w:spacing w:after="0"/>
              <w:rPr>
                <w:sz w:val="10"/>
                <w:szCs w:val="10"/>
                <w:color w:val="auto"/>
              </w:rPr>
            </w:pPr>
          </w:p>
        </w:tc>
        <w:tc>
          <w:tcPr>
            <w:tcW w:w="7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460" w:type="dxa"/>
            <w:vAlign w:val="bottom"/>
            <w:tcBorders>
              <w:bottom w:val="single" w:sz="8" w:color="auto"/>
              <w:right w:val="single" w:sz="8" w:color="auto"/>
            </w:tcBorders>
          </w:tcPr>
          <w:p>
            <w:pPr>
              <w:spacing w:after="0"/>
              <w:rPr>
                <w:sz w:val="7"/>
                <w:szCs w:val="7"/>
                <w:color w:val="auto"/>
              </w:rPr>
            </w:pPr>
          </w:p>
        </w:tc>
        <w:tc>
          <w:tcPr>
            <w:tcW w:w="7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6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3/31/2022</w:t>
            </w:r>
          </w:p>
        </w:tc>
        <w:tc>
          <w:tcPr>
            <w:tcW w:w="7160" w:type="dxa"/>
            <w:vAlign w:val="bottom"/>
          </w:tcPr>
          <w:p>
            <w:pPr>
              <w:jc w:val="center"/>
              <w:spacing w:after="0"/>
              <w:rPr>
                <w:sz w:val="20"/>
                <w:szCs w:val="20"/>
                <w:color w:val="auto"/>
              </w:rPr>
            </w:pPr>
            <w:r>
              <w:rPr>
                <w:rFonts w:ascii="Calibri" w:cs="Calibri" w:eastAsia="Calibri" w:hAnsi="Calibri"/>
                <w:sz w:val="17"/>
                <w:szCs w:val="17"/>
                <w:color w:val="auto"/>
                <w:w w:val="98"/>
              </w:rPr>
              <w:t>Share Matching Restricted Stock Units:</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vMerge w:val="continue"/>
          </w:tcPr>
          <w:p>
            <w:pPr>
              <w:spacing w:after="0"/>
              <w:rPr>
                <w:sz w:val="9"/>
                <w:szCs w:val="9"/>
                <w:color w:val="auto"/>
              </w:rPr>
            </w:pPr>
          </w:p>
        </w:tc>
        <w:tc>
          <w:tcPr>
            <w:tcW w:w="7160" w:type="dxa"/>
            <w:vAlign w:val="bottom"/>
            <w:vMerge w:val="restart"/>
          </w:tcPr>
          <w:p>
            <w:pPr>
              <w:jc w:val="center"/>
              <w:spacing w:after="0"/>
              <w:rPr>
                <w:sz w:val="20"/>
                <w:szCs w:val="20"/>
                <w:color w:val="auto"/>
              </w:rPr>
            </w:pPr>
            <w:r>
              <w:rPr>
                <w:rFonts w:ascii="Calibri" w:cs="Calibri" w:eastAsia="Calibri" w:hAnsi="Calibri"/>
                <w:sz w:val="17"/>
                <w:szCs w:val="17"/>
                <w:color w:val="auto"/>
                <w:w w:val="99"/>
              </w:rPr>
              <w:t>Vestng over 3 Years – 1/3 on the second anniversary and 2/3 on the third anniversary of the grant date</w:t>
            </w:r>
          </w:p>
        </w:tc>
        <w:tc>
          <w:tcPr>
            <w:tcW w:w="0" w:type="dxa"/>
            <w:vAlign w:val="bottom"/>
          </w:tcPr>
          <w:p>
            <w:pPr>
              <w:spacing w:after="0"/>
              <w:rPr>
                <w:sz w:val="1"/>
                <w:szCs w:val="1"/>
                <w:color w:val="auto"/>
              </w:rPr>
            </w:pPr>
          </w:p>
        </w:tc>
      </w:tr>
      <w:tr>
        <w:trPr>
          <w:trHeight w:val="104"/>
        </w:trPr>
        <w:tc>
          <w:tcPr>
            <w:tcW w:w="3460" w:type="dxa"/>
            <w:vAlign w:val="bottom"/>
            <w:tcBorders>
              <w:right w:val="single" w:sz="8" w:color="auto"/>
            </w:tcBorders>
          </w:tcPr>
          <w:p>
            <w:pPr>
              <w:spacing w:after="0"/>
              <w:rPr>
                <w:sz w:val="9"/>
                <w:szCs w:val="9"/>
                <w:color w:val="auto"/>
              </w:rPr>
            </w:pPr>
          </w:p>
        </w:tc>
        <w:tc>
          <w:tcPr>
            <w:tcW w:w="7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460" w:type="dxa"/>
            <w:vAlign w:val="bottom"/>
            <w:tcBorders>
              <w:bottom w:val="single" w:sz="8" w:color="FB4E0B"/>
              <w:right w:val="single" w:sz="8" w:color="auto"/>
            </w:tcBorders>
          </w:tcPr>
          <w:p>
            <w:pPr>
              <w:spacing w:after="0"/>
              <w:rPr>
                <w:sz w:val="8"/>
                <w:szCs w:val="8"/>
                <w:color w:val="auto"/>
              </w:rPr>
            </w:pPr>
          </w:p>
        </w:tc>
        <w:tc>
          <w:tcPr>
            <w:tcW w:w="716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Employment agreements</w:t>
      </w:r>
    </w:p>
    <w:p>
      <w:pPr>
        <w:spacing w:after="0" w:line="1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In additon to the terms described below, the employment and severance agreements for each of our named executve ofcers include severance, terminaton and/or noncompetton provisions, which are described below under “Potental payments upon terminaton or change in control at fscal 2022 year-end” beginning on page 95. In 2022, we entered into employment agreements with Messrs. Bhalla and Jetley.</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5"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Mr. Kapoor serves as our Vice Chairman and CEO, and is based at our executve ofces in New York, New York. Our engagement of Mr. Kapoor has been under the terms of employment agreements for over 15 years. Efectve as of August 3, 2020, the Company entered into a second amended and restated employment agreement with Mr. Kapoor (the “Kapoor Agreement”). The Kapoor Agreement provides for an employment term that extends untl Mr. Kapoor’s terminaton or resignaton.</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06"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Kapoor Agreement provides for a base salary of $750,000. Mr. Kapoor’s base salary can be increased at our sole discreton and cannot be decreased unless a Company-wide decrease in pay is implemented. Mr. Kapoor can earn an annual cash bonus, with a target of 150% of base salary and a maximum payout of no greater than 310% of base salary, based upon the atainment of performance criteria determined by our Compensaton and Talent Management Commitee. Mr. Kapoor remains eligible to receive equity-based awards annually during the term, in amounts and forms determined by the Compensaton and Talent Management Commitee but with terms no less favorable than his direct reports.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Personal benefts</w:t>
      </w:r>
    </w:p>
    <w:p>
      <w:pPr>
        <w:spacing w:after="0" w:line="106"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We provide Mr. Kapoor with certain personal benefts, including certain club memberships, home ofce supplies, term life insurance policy (with a face value of $500,000), once-a-year business class airfare between the United States and India for the</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90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executve and his family, up to $30,000 for personal tax and estate planning expenses, up to $2,067 per month car allowance, up to $12,000 per year for expenses associated with maintaining an automobile in India (including cost of a driver), personal security for the executve and his family while in India, reimbursement for frst-class business travel, and a per diem allowance for certain trips. In additon, his employment agreement enttles him to certain other benefts in the event he is relocated to India, but which are not applicable currently as he maintains a U.S. residency.</w:t>
      </w:r>
    </w:p>
    <w:p>
      <w:pPr>
        <w:spacing w:after="0" w:line="211"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Mr. Kapoor’s employment agreement also includes severance, terminaton and noncompetton provisions, which are described below under “Potental payments upon terminaton or change in control at fscal 2022 year-end” beginning on page 95.</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Maurizio Nicolelli</w:t>
      </w:r>
    </w:p>
    <w:p>
      <w:pPr>
        <w:spacing w:after="0" w:line="115" w:lineRule="exact"/>
        <w:rPr>
          <w:sz w:val="20"/>
          <w:szCs w:val="20"/>
          <w:color w:val="auto"/>
        </w:rPr>
      </w:pPr>
    </w:p>
    <w:p>
      <w:pPr>
        <w:ind w:left="320" w:right="60"/>
        <w:spacing w:after="0" w:line="260" w:lineRule="auto"/>
        <w:rPr>
          <w:sz w:val="20"/>
          <w:szCs w:val="20"/>
          <w:color w:val="auto"/>
        </w:rPr>
      </w:pPr>
      <w:r>
        <w:rPr>
          <w:rFonts w:ascii="Calibri" w:cs="Calibri" w:eastAsia="Calibri" w:hAnsi="Calibri"/>
          <w:sz w:val="16"/>
          <w:szCs w:val="16"/>
          <w:color w:val="auto"/>
        </w:rPr>
        <w:t>Mr. Nicolelli serves as our Executve Vice President and CFO and is based at our executve ofces in New York, New York. We entered into an employment agreement with him, efectve February 3, 2020, which will contnue throughout Mr. Nicolelli’s employment with the Company. In connecton with his appointment, Mr. Nicolelli received a joining bonus of $225,000, payable in two installments, and an inital grant of restricted stock units of the Company’s common stock with a fair market value of $425,000, which will vest in four equal, annual installments beginning on the frst anniversary of the grant date.</w:t>
      </w:r>
    </w:p>
    <w:p>
      <w:pPr>
        <w:spacing w:after="0" w:line="27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Mr. Nicolelli’s base salary was set at $475,000 upon his hire in 2020 and is subject to review on an annual basis. In additon, Mr. Nicolelli can earn an annual cash bonus, with a target of 75% of base salary, based upon the atainment of performance criteria determined by our Compensaton and Talent Management Commitee. Mr. Nicolelli is also eligible, subject to performance and other conditons, to receive annual equity awards at the discreton of the Compensaton and Talent Management Commitee.</w:t>
      </w:r>
    </w:p>
    <w:p>
      <w:pPr>
        <w:spacing w:after="0" w:line="107"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Mr. Nicolelli’s agreement also includes severance, terminaton and noncompetton provisions, which are described below under “Potental payments upon terminaton or change in control at fscal 2022 year-end” beginning on page 95.</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Vikas Bhalla</w:t>
      </w:r>
    </w:p>
    <w:p>
      <w:pPr>
        <w:spacing w:after="0" w:line="115"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Mr. Bhalla serves as our Executve Vice President and Business Head, Insurance, and is based in Delhi, India. We entered into an employment agreement with him, efectve April 28, 2001 and a severance leter, efectve March 15, 2011. In April 2022, we entered into an employment agreement with Mr. Bhalla that supersedes his prior agreements, and will contnue throughout Mr. Bhalla’s employment with the Company.</w:t>
      </w:r>
    </w:p>
    <w:p>
      <w:pPr>
        <w:spacing w:after="0" w:line="298"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91</w:t>
      </w:r>
    </w:p>
    <w:p>
      <w:pPr>
        <w:sectPr>
          <w:pgSz w:w="11900" w:h="16838" w:orient="portrait"/>
          <w:cols w:equalWidth="0" w:num="1">
            <w:col w:w="10940"/>
          </w:cols>
          <w:pgMar w:left="320" w:top="471"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Under his prior agreement, Mr. Bhalla’s annual fxed compensaton, measured in his home currency of Indian rupees, was set at 1,659,382 Indian rupees when his employment agreement was frst executed in 2001 and subject to review on an annual basis. Under his current agreement, the annual fxed compensaton is set at 24,500,000 Indian Rupees and remains subject to review on an annual basis. Mr. Bhalla’s annual fxed compensaton includes base salary, as well as amounts available as a leave travel allowance, a housing allowance, an automobile allowance, a medical allowance and a cash supplementary allowance. In additon, Mr. Bhalla can earn an annual cash bonus, with a target of 75% of annual fxed compensaton, based upon the atainment of performance criteria determined by our Compensaton and Talent Management Commitee. Mr. Bhalla is also eligible, subject to performance and other conditons, to receive annual equity awards at the discreton of the Compensaton and Talent Management Commitee.</w:t>
      </w:r>
    </w:p>
    <w:p>
      <w:pPr>
        <w:spacing w:after="0" w:line="108"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Mr. Bhalla’s agreements also includes severance, terminaton and noncompetton provisions, which are described below under “Potental payments upon terminaton or change in control at fscal 2022 year-end” beginning on page 95.</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Vivek Jetley</w:t>
      </w:r>
    </w:p>
    <w:p>
      <w:pPr>
        <w:spacing w:after="0" w:line="115" w:lineRule="exact"/>
        <w:rPr>
          <w:sz w:val="20"/>
          <w:szCs w:val="20"/>
          <w:color w:val="auto"/>
        </w:rPr>
      </w:pPr>
    </w:p>
    <w:p>
      <w:pPr>
        <w:ind w:left="320" w:right="240"/>
        <w:spacing w:after="0" w:line="239" w:lineRule="auto"/>
        <w:rPr>
          <w:sz w:val="20"/>
          <w:szCs w:val="20"/>
          <w:color w:val="auto"/>
        </w:rPr>
      </w:pPr>
      <w:r>
        <w:rPr>
          <w:rFonts w:ascii="Calibri" w:cs="Calibri" w:eastAsia="Calibri" w:hAnsi="Calibri"/>
          <w:sz w:val="17"/>
          <w:szCs w:val="17"/>
          <w:color w:val="auto"/>
        </w:rPr>
        <w:t>Mr. Jetley serves as our Executve Vice President and Business Head, Analytcs, and is based at our executve ofces in New York, New York. We entered into an employment agreement with him in April 2022, which will contnue throughout Mr. Jetley’s employment with the Company.</w:t>
      </w:r>
    </w:p>
    <w:p>
      <w:pPr>
        <w:spacing w:after="0" w:line="28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Mr. Jetley’s base salary was set at $420,000 and is subject to review on an annual basis. In additon, Mr. Jetley can earn an annual cash bonus, with a target of 75% of base salary, based upon atainment of performance criteria determined by our Compensaton and Talent Management Commitee. Mr. Jetley is also eligible, subject to performance and other conditons, to receive annual equity awards at the discreton of the Compensaton and Talent Management Commitee.</w:t>
      </w:r>
    </w:p>
    <w:p>
      <w:pPr>
        <w:spacing w:after="0" w:line="107"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Jetley’s agreement also includes severance, terminaton and noncompetton provisions, which are described below under “Potental payments upon terminaton or change in control at fscal 2022 year-end” beginning on page 95.</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Ankor Rai</w:t>
      </w:r>
    </w:p>
    <w:p>
      <w:pPr>
        <w:spacing w:after="0" w:line="115"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Mr. Rai served from October 2021 through April 2023 as our Executve Vice President and Chief Digital Ofcer and was based at our executve ofces in New York, New York. We entered into an employment agreement with him, efectve November 1, 2021, which contnued throughout Mr. Rai’s employment with the Company.</w:t>
      </w:r>
    </w:p>
    <w:p>
      <w:pPr>
        <w:spacing w:after="0" w:line="27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Mr. Rai’s base salary was set at $410,000 when his employment agreement was frst executed in November 2021 and was subject to review on an annual basis. In additon, Mr. Rai could earn an annual cash bonus, with a target of 75% of base salary, based upon the atainment of performance criteria determined by our Compensaton and Talent Management Commitee. Mr. Rai was also eligible, subject to performance and other conditons, to receive annual equity awards at the discreton of the Compensaton and Talent Management Commitee.</w:t>
      </w:r>
    </w:p>
    <w:p>
      <w:pPr>
        <w:spacing w:after="0" w:line="107"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Mr. Rai’s agreements also included severance, terminaton and noncompetton provisions, which are described below under “Potental payments upon terminaton or change in control at fscal 2022 year-end” beginning on page 95.</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92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Calibri" w:cs="Calibri" w:eastAsia="Calibri" w:hAnsi="Calibri"/>
                <w:sz w:val="14"/>
                <w:szCs w:val="14"/>
                <w:b w:val="1"/>
                <w:bCs w:val="1"/>
                <w:color w:val="D8D8D8"/>
              </w:rPr>
              <w:t>Executve compensaton</w:t>
            </w:r>
          </w:p>
        </w:tc>
      </w:tr>
      <w:tr>
        <w:trPr>
          <w:trHeight w:val="637"/>
        </w:trPr>
        <w:tc>
          <w:tcPr>
            <w:tcW w:w="6060" w:type="dxa"/>
            <w:vAlign w:val="bottom"/>
            <w:gridSpan w:val="4"/>
          </w:tcPr>
          <w:p>
            <w:pPr>
              <w:jc w:val="right"/>
              <w:ind w:right="991"/>
              <w:spacing w:after="0"/>
              <w:rPr>
                <w:sz w:val="20"/>
                <w:szCs w:val="20"/>
                <w:color w:val="auto"/>
              </w:rPr>
            </w:pPr>
            <w:r>
              <w:rPr>
                <w:rFonts w:ascii="Calibri" w:cs="Calibri" w:eastAsia="Calibri" w:hAnsi="Calibri"/>
                <w:sz w:val="24"/>
                <w:szCs w:val="24"/>
                <w:color w:val="auto"/>
              </w:rPr>
              <w:t>Outstanding equity awards at fscal 2022 year-end</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29"/>
        </w:trPr>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Number of shares or</w:t>
            </w:r>
          </w:p>
        </w:tc>
        <w:tc>
          <w:tcPr>
            <w:tcW w:w="18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alibri" w:cs="Calibri" w:eastAsia="Calibri" w:hAnsi="Calibri"/>
                <w:sz w:val="14"/>
                <w:szCs w:val="14"/>
                <w:b w:val="1"/>
                <w:bCs w:val="1"/>
                <w:color w:val="auto"/>
              </w:rPr>
              <w:t>Equity incentve plan awards:</w:t>
            </w:r>
          </w:p>
        </w:tc>
        <w:tc>
          <w:tcPr>
            <w:tcW w:w="2440" w:type="dxa"/>
            <w:vAlign w:val="bottom"/>
            <w:gridSpan w:val="3"/>
          </w:tcPr>
          <w:p>
            <w:pPr>
              <w:jc w:val="center"/>
              <w:ind w:left="51"/>
              <w:spacing w:after="0"/>
              <w:rPr>
                <w:sz w:val="20"/>
                <w:szCs w:val="20"/>
                <w:color w:val="auto"/>
              </w:rPr>
            </w:pPr>
            <w:r>
              <w:rPr>
                <w:rFonts w:ascii="Calibri" w:cs="Calibri" w:eastAsia="Calibri" w:hAnsi="Calibri"/>
                <w:sz w:val="14"/>
                <w:szCs w:val="14"/>
                <w:b w:val="1"/>
                <w:bCs w:val="1"/>
                <w:color w:val="auto"/>
                <w:w w:val="99"/>
              </w:rPr>
              <w:t>Equity incentve plan awards: market</w:t>
            </w:r>
          </w:p>
        </w:tc>
      </w:tr>
      <w:tr>
        <w:trPr>
          <w:trHeight w:val="169"/>
        </w:trPr>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units of stock that</w:t>
            </w:r>
          </w:p>
        </w:tc>
        <w:tc>
          <w:tcPr>
            <w:tcW w:w="1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Market value of shares or</w:t>
            </w:r>
          </w:p>
        </w:tc>
        <w:tc>
          <w:tcPr>
            <w:tcW w:w="2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number of unearned shares,</w:t>
            </w:r>
          </w:p>
        </w:tc>
        <w:tc>
          <w:tcPr>
            <w:tcW w:w="2440" w:type="dxa"/>
            <w:vAlign w:val="bottom"/>
            <w:gridSpan w:val="3"/>
          </w:tcPr>
          <w:p>
            <w:pPr>
              <w:jc w:val="center"/>
              <w:ind w:left="31"/>
              <w:spacing w:after="0" w:line="169" w:lineRule="exact"/>
              <w:rPr>
                <w:sz w:val="20"/>
                <w:szCs w:val="20"/>
                <w:color w:val="auto"/>
              </w:rPr>
            </w:pPr>
            <w:r>
              <w:rPr>
                <w:rFonts w:ascii="Calibri" w:cs="Calibri" w:eastAsia="Calibri" w:hAnsi="Calibri"/>
                <w:sz w:val="14"/>
                <w:szCs w:val="14"/>
                <w:b w:val="1"/>
                <w:bCs w:val="1"/>
                <w:color w:val="auto"/>
                <w:w w:val="98"/>
              </w:rPr>
              <w:t>or payout value of unearned shares,</w:t>
            </w:r>
          </w:p>
        </w:tc>
      </w:tr>
      <w:tr>
        <w:trPr>
          <w:trHeight w:val="169"/>
        </w:trPr>
        <w:tc>
          <w:tcPr>
            <w:tcW w:w="1120" w:type="dxa"/>
            <w:vAlign w:val="bottom"/>
          </w:tcPr>
          <w:p>
            <w:pPr>
              <w:spacing w:after="0"/>
              <w:rPr>
                <w:sz w:val="14"/>
                <w:szCs w:val="14"/>
                <w:color w:val="auto"/>
              </w:rPr>
            </w:pPr>
          </w:p>
        </w:tc>
        <w:tc>
          <w:tcPr>
            <w:tcW w:w="148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Stock award</w:t>
            </w: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have not vested</w:t>
            </w:r>
          </w:p>
        </w:tc>
        <w:tc>
          <w:tcPr>
            <w:tcW w:w="1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units of stock that have</w:t>
            </w:r>
          </w:p>
        </w:tc>
        <w:tc>
          <w:tcPr>
            <w:tcW w:w="212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units or other rights that have</w:t>
            </w:r>
          </w:p>
        </w:tc>
        <w:tc>
          <w:tcPr>
            <w:tcW w:w="2440" w:type="dxa"/>
            <w:vAlign w:val="bottom"/>
            <w:gridSpan w:val="3"/>
          </w:tcPr>
          <w:p>
            <w:pPr>
              <w:jc w:val="center"/>
              <w:ind w:left="31"/>
              <w:spacing w:after="0" w:line="169" w:lineRule="exact"/>
              <w:rPr>
                <w:sz w:val="20"/>
                <w:szCs w:val="20"/>
                <w:color w:val="auto"/>
              </w:rPr>
            </w:pPr>
            <w:r>
              <w:rPr>
                <w:rFonts w:ascii="Calibri" w:cs="Calibri" w:eastAsia="Calibri" w:hAnsi="Calibri"/>
                <w:sz w:val="14"/>
                <w:szCs w:val="14"/>
                <w:b w:val="1"/>
                <w:bCs w:val="1"/>
                <w:color w:val="auto"/>
                <w:w w:val="98"/>
              </w:rPr>
              <w:t>units or other rights that have not</w:t>
            </w:r>
          </w:p>
        </w:tc>
      </w:tr>
      <w:tr>
        <w:trPr>
          <w:trHeight w:val="259"/>
        </w:trPr>
        <w:tc>
          <w:tcPr>
            <w:tcW w:w="112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FB4E0B"/>
              </w:rPr>
              <w:t>Name</w:t>
            </w:r>
          </w:p>
        </w:tc>
        <w:tc>
          <w:tcPr>
            <w:tcW w:w="1480" w:type="dxa"/>
            <w:vAlign w:val="bottom"/>
            <w:tcBorders>
              <w:bottom w:val="single" w:sz="8" w:color="auto"/>
            </w:tcBorders>
          </w:tcPr>
          <w:p>
            <w:pPr>
              <w:jc w:val="right"/>
              <w:ind w:right="191"/>
              <w:spacing w:after="0" w:line="169" w:lineRule="exact"/>
              <w:rPr>
                <w:sz w:val="20"/>
                <w:szCs w:val="20"/>
                <w:color w:val="auto"/>
              </w:rPr>
            </w:pPr>
            <w:r>
              <w:rPr>
                <w:rFonts w:ascii="Calibri" w:cs="Calibri" w:eastAsia="Calibri" w:hAnsi="Calibri"/>
                <w:sz w:val="14"/>
                <w:szCs w:val="14"/>
                <w:b w:val="1"/>
                <w:bCs w:val="1"/>
                <w:color w:val="auto"/>
              </w:rPr>
              <w:t>grant date</w:t>
            </w:r>
          </w:p>
        </w:tc>
        <w:tc>
          <w:tcPr>
            <w:tcW w:w="15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(1)</w:t>
            </w:r>
          </w:p>
        </w:tc>
        <w:tc>
          <w:tcPr>
            <w:tcW w:w="18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5"/>
              </w:rPr>
              <w:t>not vested ($)</w:t>
            </w:r>
            <w:r>
              <w:rPr>
                <w:rFonts w:ascii="Calibri" w:cs="Calibri" w:eastAsia="Calibri" w:hAnsi="Calibri"/>
                <w:sz w:val="20"/>
                <w:szCs w:val="20"/>
                <w:b w:val="1"/>
                <w:bCs w:val="1"/>
                <w:color w:val="auto"/>
                <w:w w:val="95"/>
                <w:vertAlign w:val="superscript"/>
              </w:rPr>
              <w:t>(4)</w:t>
            </w:r>
          </w:p>
        </w:tc>
        <w:tc>
          <w:tcPr>
            <w:tcW w:w="21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6"/>
              </w:rPr>
              <w:t>not vested (#)</w:t>
            </w:r>
            <w:r>
              <w:rPr>
                <w:rFonts w:ascii="Calibri" w:cs="Calibri" w:eastAsia="Calibri" w:hAnsi="Calibri"/>
                <w:sz w:val="20"/>
                <w:szCs w:val="20"/>
                <w:b w:val="1"/>
                <w:bCs w:val="1"/>
                <w:color w:val="auto"/>
                <w:w w:val="96"/>
                <w:vertAlign w:val="superscript"/>
              </w:rPr>
              <w:t>(3)</w:t>
            </w:r>
          </w:p>
        </w:tc>
        <w:tc>
          <w:tcPr>
            <w:tcW w:w="1820" w:type="dxa"/>
            <w:vAlign w:val="bottom"/>
            <w:tcBorders>
              <w:bottom w:val="single" w:sz="8" w:color="auto"/>
            </w:tcBorders>
            <w:gridSpan w:val="2"/>
          </w:tcPr>
          <w:p>
            <w:pPr>
              <w:jc w:val="center"/>
              <w:ind w:left="671"/>
              <w:spacing w:after="0"/>
              <w:rPr>
                <w:sz w:val="20"/>
                <w:szCs w:val="20"/>
                <w:color w:val="auto"/>
              </w:rPr>
            </w:pPr>
            <w:r>
              <w:rPr>
                <w:rFonts w:ascii="Calibri" w:cs="Calibri" w:eastAsia="Calibri" w:hAnsi="Calibri"/>
                <w:sz w:val="14"/>
                <w:szCs w:val="14"/>
                <w:b w:val="1"/>
                <w:bCs w:val="1"/>
                <w:color w:val="auto"/>
                <w:w w:val="93"/>
              </w:rPr>
              <w:t>vested ($)</w:t>
            </w:r>
            <w:r>
              <w:rPr>
                <w:rFonts w:ascii="Calibri" w:cs="Calibri" w:eastAsia="Calibri" w:hAnsi="Calibri"/>
                <w:sz w:val="20"/>
                <w:szCs w:val="20"/>
                <w:b w:val="1"/>
                <w:bCs w:val="1"/>
                <w:color w:val="auto"/>
                <w:w w:val="93"/>
                <w:vertAlign w:val="superscript"/>
              </w:rPr>
              <w:t>(4)</w:t>
            </w:r>
          </w:p>
        </w:tc>
        <w:tc>
          <w:tcPr>
            <w:tcW w:w="620" w:type="dxa"/>
            <w:vAlign w:val="bottom"/>
            <w:tcBorders>
              <w:bottom w:val="single" w:sz="8" w:color="auto"/>
            </w:tcBorders>
          </w:tcPr>
          <w:p>
            <w:pPr>
              <w:spacing w:after="0"/>
              <w:rPr>
                <w:sz w:val="22"/>
                <w:szCs w:val="22"/>
                <w:color w:val="auto"/>
              </w:rPr>
            </w:pPr>
          </w:p>
        </w:tc>
      </w:tr>
      <w:tr>
        <w:trPr>
          <w:trHeight w:val="166"/>
        </w:trPr>
        <w:tc>
          <w:tcPr>
            <w:tcW w:w="1120" w:type="dxa"/>
            <w:vAlign w:val="bottom"/>
          </w:tcPr>
          <w:p>
            <w:pPr>
              <w:ind w:left="20"/>
              <w:spacing w:after="0" w:line="166" w:lineRule="exact"/>
              <w:rPr>
                <w:sz w:val="20"/>
                <w:szCs w:val="20"/>
                <w:color w:val="auto"/>
              </w:rPr>
            </w:pPr>
            <w:r>
              <w:rPr>
                <w:rFonts w:ascii="Calibri" w:cs="Calibri" w:eastAsia="Calibri" w:hAnsi="Calibri"/>
                <w:sz w:val="14"/>
                <w:szCs w:val="14"/>
                <w:b w:val="1"/>
                <w:bCs w:val="1"/>
                <w:color w:val="FB4E0B"/>
              </w:rPr>
              <w:t>Rohit</w:t>
            </w: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112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Kapoor</w:t>
            </w:r>
          </w:p>
        </w:tc>
        <w:tc>
          <w:tcPr>
            <w:tcW w:w="14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2/20/2019</w:t>
            </w:r>
          </w:p>
        </w:tc>
        <w:tc>
          <w:tcPr>
            <w:tcW w:w="15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7,228</w:t>
            </w:r>
          </w:p>
        </w:tc>
        <w:tc>
          <w:tcPr>
            <w:tcW w:w="1880" w:type="dxa"/>
            <w:vAlign w:val="bottom"/>
          </w:tcPr>
          <w:p>
            <w:pPr>
              <w:jc w:val="right"/>
              <w:ind w:right="131"/>
              <w:spacing w:after="0" w:line="167" w:lineRule="exact"/>
              <w:rPr>
                <w:sz w:val="20"/>
                <w:szCs w:val="20"/>
                <w:color w:val="auto"/>
              </w:rPr>
            </w:pPr>
            <w:r>
              <w:rPr>
                <w:rFonts w:ascii="Calibri" w:cs="Calibri" w:eastAsia="Calibri" w:hAnsi="Calibri"/>
                <w:sz w:val="14"/>
                <w:szCs w:val="14"/>
                <w:color w:val="auto"/>
              </w:rPr>
              <w:t>1,224,640</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4"/>
        </w:trPr>
        <w:tc>
          <w:tcPr>
            <w:tcW w:w="1120" w:type="dxa"/>
            <w:vAlign w:val="bottom"/>
          </w:tcPr>
          <w:p>
            <w:pPr>
              <w:spacing w:after="0"/>
              <w:rPr>
                <w:sz w:val="20"/>
                <w:szCs w:val="20"/>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2/20/2020</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11,760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1,992,497</w:t>
            </w:r>
          </w:p>
        </w:tc>
        <w:tc>
          <w:tcPr>
            <w:tcW w:w="2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26,550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4,498,367</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70,800</w:t>
            </w:r>
            <w:r>
              <w:rPr>
                <w:rFonts w:ascii="Calibri" w:cs="Calibri" w:eastAsia="Calibri" w:hAnsi="Calibri"/>
                <w:sz w:val="20"/>
                <w:szCs w:val="20"/>
                <w:color w:val="auto"/>
                <w:vertAlign w:val="superscript"/>
              </w:rPr>
              <w:t>(a)</w:t>
            </w: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Calibri" w:cs="Calibri" w:eastAsia="Calibri" w:hAnsi="Calibri"/>
                <w:sz w:val="14"/>
                <w:szCs w:val="14"/>
                <w:color w:val="auto"/>
              </w:rPr>
              <w:t>11,995,644</w:t>
            </w:r>
          </w:p>
        </w:tc>
      </w:tr>
      <w:tr>
        <w:trPr>
          <w:trHeight w:val="166"/>
        </w:trPr>
        <w:tc>
          <w:tcPr>
            <w:tcW w:w="1120" w:type="dxa"/>
            <w:vAlign w:val="bottom"/>
          </w:tcPr>
          <w:p>
            <w:pPr>
              <w:spacing w:after="0"/>
              <w:rPr>
                <w:sz w:val="14"/>
                <w:szCs w:val="14"/>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25,164</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4,263,537</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15,099</w:t>
            </w:r>
            <w:r>
              <w:rPr>
                <w:rFonts w:ascii="Calibri" w:cs="Calibri" w:eastAsia="Calibri" w:hAnsi="Calibri"/>
                <w:sz w:val="20"/>
                <w:szCs w:val="20"/>
                <w:color w:val="auto"/>
                <w:vertAlign w:val="superscript"/>
              </w:rPr>
              <w:t>(b)</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w w:val="98"/>
              </w:rPr>
              <w:t>2,558,224</w:t>
            </w:r>
          </w:p>
        </w:tc>
      </w:tr>
      <w:tr>
        <w:trPr>
          <w:trHeight w:val="210"/>
        </w:trPr>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31"/>
              <w:spacing w:after="0" w:line="210" w:lineRule="exact"/>
              <w:rPr>
                <w:sz w:val="20"/>
                <w:szCs w:val="20"/>
                <w:color w:val="auto"/>
              </w:rPr>
            </w:pPr>
            <w:r>
              <w:rPr>
                <w:rFonts w:ascii="Calibri" w:cs="Calibri" w:eastAsia="Calibri" w:hAnsi="Calibri"/>
                <w:sz w:val="14"/>
                <w:szCs w:val="14"/>
                <w:color w:val="auto"/>
              </w:rPr>
              <w:t>22,647</w:t>
            </w:r>
            <w:r>
              <w:rPr>
                <w:rFonts w:ascii="Calibri" w:cs="Calibri" w:eastAsia="Calibri" w:hAnsi="Calibri"/>
                <w:sz w:val="20"/>
                <w:szCs w:val="20"/>
                <w:color w:val="auto"/>
                <w:vertAlign w:val="superscript"/>
              </w:rPr>
              <w:t>(c)</w:t>
            </w: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166" w:lineRule="exact"/>
              <w:rPr>
                <w:sz w:val="20"/>
                <w:szCs w:val="20"/>
                <w:color w:val="auto"/>
              </w:rPr>
            </w:pPr>
            <w:r>
              <w:rPr>
                <w:rFonts w:ascii="Calibri" w:cs="Calibri" w:eastAsia="Calibri" w:hAnsi="Calibri"/>
                <w:sz w:val="14"/>
                <w:szCs w:val="14"/>
                <w:color w:val="auto"/>
                <w:w w:val="98"/>
              </w:rPr>
              <w:t>3,837,081</w:t>
            </w:r>
          </w:p>
        </w:tc>
      </w:tr>
      <w:tr>
        <w:trPr>
          <w:trHeight w:val="159"/>
        </w:trPr>
        <w:tc>
          <w:tcPr>
            <w:tcW w:w="112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Maurizio</w:t>
            </w:r>
          </w:p>
        </w:tc>
        <w:tc>
          <w:tcPr>
            <w:tcW w:w="14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2/3/2020</w:t>
            </w:r>
          </w:p>
        </w:tc>
        <w:tc>
          <w:tcPr>
            <w:tcW w:w="15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2,949</w:t>
            </w:r>
          </w:p>
        </w:tc>
        <w:tc>
          <w:tcPr>
            <w:tcW w:w="18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499,649</w:t>
            </w: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3"/>
        </w:trPr>
        <w:tc>
          <w:tcPr>
            <w:tcW w:w="112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Nicolelli</w:t>
            </w: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2/19/2020</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2,183</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369,866</w:t>
            </w: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5,190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879,342</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13,840</w:t>
            </w:r>
            <w:r>
              <w:rPr>
                <w:rFonts w:ascii="Calibri" w:cs="Calibri" w:eastAsia="Calibri" w:hAnsi="Calibri"/>
                <w:sz w:val="20"/>
                <w:szCs w:val="20"/>
                <w:color w:val="auto"/>
                <w:vertAlign w:val="superscript"/>
              </w:rPr>
              <w:t>(a)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w w:val="98"/>
              </w:rPr>
              <w:t>2,344,911</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9/1/2021</w:t>
            </w:r>
          </w:p>
        </w:tc>
        <w:tc>
          <w:tcPr>
            <w:tcW w:w="158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8,121</w:t>
            </w:r>
            <w:r>
              <w:rPr>
                <w:rFonts w:ascii="Calibri" w:cs="Calibri" w:eastAsia="Calibri" w:hAnsi="Calibri"/>
                <w:sz w:val="20"/>
                <w:szCs w:val="20"/>
                <w:color w:val="auto"/>
                <w:vertAlign w:val="superscript"/>
              </w:rPr>
              <w:t>(2)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1,375,941</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66"/>
        </w:trPr>
        <w:tc>
          <w:tcPr>
            <w:tcW w:w="1120" w:type="dxa"/>
            <w:vAlign w:val="bottom"/>
          </w:tcPr>
          <w:p>
            <w:pPr>
              <w:spacing w:after="0"/>
              <w:rPr>
                <w:sz w:val="14"/>
                <w:szCs w:val="14"/>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3,884</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658,066</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2,331</w:t>
            </w:r>
            <w:r>
              <w:rPr>
                <w:rFonts w:ascii="Calibri" w:cs="Calibri" w:eastAsia="Calibri" w:hAnsi="Calibri"/>
                <w:sz w:val="20"/>
                <w:szCs w:val="20"/>
                <w:color w:val="auto"/>
                <w:vertAlign w:val="superscript"/>
              </w:rPr>
              <w:t>(b)</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394,941</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12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3,495</w:t>
            </w:r>
            <w:r>
              <w:rPr>
                <w:rFonts w:ascii="Calibri" w:cs="Calibri" w:eastAsia="Calibri" w:hAnsi="Calibri"/>
                <w:sz w:val="20"/>
                <w:szCs w:val="20"/>
                <w:color w:val="auto"/>
                <w:vertAlign w:val="superscript"/>
              </w:rPr>
              <w:t>(c)</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line="166" w:lineRule="exact"/>
              <w:rPr>
                <w:sz w:val="20"/>
                <w:szCs w:val="20"/>
                <w:color w:val="auto"/>
              </w:rPr>
            </w:pPr>
            <w:r>
              <w:rPr>
                <w:rFonts w:ascii="Calibri" w:cs="Calibri" w:eastAsia="Calibri" w:hAnsi="Calibri"/>
                <w:sz w:val="14"/>
                <w:szCs w:val="14"/>
                <w:color w:val="auto"/>
              </w:rPr>
              <w:t>592,158</w:t>
            </w:r>
          </w:p>
        </w:tc>
      </w:tr>
      <w:tr>
        <w:trPr>
          <w:trHeight w:val="210"/>
        </w:trPr>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3/31/2022</w:t>
            </w:r>
          </w:p>
        </w:tc>
        <w:tc>
          <w:tcPr>
            <w:tcW w:w="1580" w:type="dxa"/>
            <w:vAlign w:val="bottom"/>
            <w:tcBorders>
              <w:bottom w:val="single" w:sz="8" w:color="auto"/>
            </w:tcBorders>
          </w:tcPr>
          <w:p>
            <w:pPr>
              <w:jc w:val="right"/>
              <w:ind w:right="131"/>
              <w:spacing w:after="0" w:line="210"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(2)</w:t>
            </w:r>
          </w:p>
        </w:tc>
        <w:tc>
          <w:tcPr>
            <w:tcW w:w="18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707,709</w:t>
            </w:r>
          </w:p>
        </w:tc>
        <w:tc>
          <w:tcPr>
            <w:tcW w:w="2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59"/>
        </w:trPr>
        <w:tc>
          <w:tcPr>
            <w:tcW w:w="112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Vikas</w:t>
            </w:r>
          </w:p>
        </w:tc>
        <w:tc>
          <w:tcPr>
            <w:tcW w:w="14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2/20/2019</w:t>
            </w:r>
          </w:p>
        </w:tc>
        <w:tc>
          <w:tcPr>
            <w:tcW w:w="15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1,708</w:t>
            </w:r>
          </w:p>
        </w:tc>
        <w:tc>
          <w:tcPr>
            <w:tcW w:w="18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289,386</w:t>
            </w: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3"/>
        </w:trPr>
        <w:tc>
          <w:tcPr>
            <w:tcW w:w="112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Bhalla</w:t>
            </w: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2/19/2020</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4,150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703,135</w:t>
            </w: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5,505</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932,712</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14,680</w:t>
            </w:r>
            <w:r>
              <w:rPr>
                <w:rFonts w:ascii="Calibri" w:cs="Calibri" w:eastAsia="Calibri" w:hAnsi="Calibri"/>
                <w:sz w:val="20"/>
                <w:szCs w:val="20"/>
                <w:color w:val="auto"/>
                <w:vertAlign w:val="superscript"/>
              </w:rPr>
              <w:t>(a)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w w:val="98"/>
              </w:rPr>
              <w:t>2,487,232</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9/1/2021</w:t>
            </w:r>
          </w:p>
        </w:tc>
        <w:tc>
          <w:tcPr>
            <w:tcW w:w="158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12,181</w:t>
            </w:r>
            <w:r>
              <w:rPr>
                <w:rFonts w:ascii="Calibri" w:cs="Calibri" w:eastAsia="Calibri" w:hAnsi="Calibri"/>
                <w:sz w:val="20"/>
                <w:szCs w:val="20"/>
                <w:color w:val="auto"/>
                <w:vertAlign w:val="superscript"/>
              </w:rPr>
              <w:t>(2)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2,063,827</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66"/>
        </w:trPr>
        <w:tc>
          <w:tcPr>
            <w:tcW w:w="1120" w:type="dxa"/>
            <w:vAlign w:val="bottom"/>
          </w:tcPr>
          <w:p>
            <w:pPr>
              <w:spacing w:after="0"/>
              <w:rPr>
                <w:sz w:val="14"/>
                <w:szCs w:val="14"/>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4,348</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736,682</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2,609</w:t>
            </w:r>
            <w:r>
              <w:rPr>
                <w:rFonts w:ascii="Calibri" w:cs="Calibri" w:eastAsia="Calibri" w:hAnsi="Calibri"/>
                <w:sz w:val="20"/>
                <w:szCs w:val="20"/>
                <w:color w:val="auto"/>
                <w:vertAlign w:val="superscript"/>
              </w:rPr>
              <w:t>(b)</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442,043</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12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3,913</w:t>
            </w:r>
            <w:r>
              <w:rPr>
                <w:rFonts w:ascii="Calibri" w:cs="Calibri" w:eastAsia="Calibri" w:hAnsi="Calibri"/>
                <w:sz w:val="20"/>
                <w:szCs w:val="20"/>
                <w:color w:val="auto"/>
                <w:vertAlign w:val="superscript"/>
              </w:rPr>
              <w:t>(c)</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line="166" w:lineRule="exact"/>
              <w:rPr>
                <w:sz w:val="20"/>
                <w:szCs w:val="20"/>
                <w:color w:val="auto"/>
              </w:rPr>
            </w:pPr>
            <w:r>
              <w:rPr>
                <w:rFonts w:ascii="Calibri" w:cs="Calibri" w:eastAsia="Calibri" w:hAnsi="Calibri"/>
                <w:sz w:val="14"/>
                <w:szCs w:val="14"/>
                <w:color w:val="auto"/>
              </w:rPr>
              <w:t>662,980</w:t>
            </w:r>
          </w:p>
        </w:tc>
      </w:tr>
      <w:tr>
        <w:trPr>
          <w:trHeight w:val="210"/>
        </w:trPr>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3/31/2022</w:t>
            </w:r>
          </w:p>
        </w:tc>
        <w:tc>
          <w:tcPr>
            <w:tcW w:w="1580" w:type="dxa"/>
            <w:vAlign w:val="bottom"/>
            <w:tcBorders>
              <w:bottom w:val="single" w:sz="8" w:color="auto"/>
            </w:tcBorders>
          </w:tcPr>
          <w:p>
            <w:pPr>
              <w:jc w:val="right"/>
              <w:ind w:right="131"/>
              <w:spacing w:after="0" w:line="210"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(2)</w:t>
            </w:r>
          </w:p>
        </w:tc>
        <w:tc>
          <w:tcPr>
            <w:tcW w:w="18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707,709</w:t>
            </w:r>
          </w:p>
        </w:tc>
        <w:tc>
          <w:tcPr>
            <w:tcW w:w="2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59"/>
        </w:trPr>
        <w:tc>
          <w:tcPr>
            <w:tcW w:w="112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Vivek</w:t>
            </w:r>
          </w:p>
        </w:tc>
        <w:tc>
          <w:tcPr>
            <w:tcW w:w="14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2/20/2019</w:t>
            </w:r>
          </w:p>
        </w:tc>
        <w:tc>
          <w:tcPr>
            <w:tcW w:w="15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723</w:t>
            </w:r>
          </w:p>
        </w:tc>
        <w:tc>
          <w:tcPr>
            <w:tcW w:w="1880" w:type="dxa"/>
            <w:vAlign w:val="bottom"/>
          </w:tcPr>
          <w:p>
            <w:pPr>
              <w:jc w:val="right"/>
              <w:ind w:right="131"/>
              <w:spacing w:after="0" w:line="159" w:lineRule="exact"/>
              <w:rPr>
                <w:sz w:val="20"/>
                <w:szCs w:val="20"/>
                <w:color w:val="auto"/>
              </w:rPr>
            </w:pPr>
            <w:r>
              <w:rPr>
                <w:rFonts w:ascii="Calibri" w:cs="Calibri" w:eastAsia="Calibri" w:hAnsi="Calibri"/>
                <w:sz w:val="14"/>
                <w:szCs w:val="14"/>
                <w:color w:val="auto"/>
              </w:rPr>
              <w:t>122,498</w:t>
            </w:r>
          </w:p>
        </w:tc>
        <w:tc>
          <w:tcPr>
            <w:tcW w:w="2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3"/>
        </w:trPr>
        <w:tc>
          <w:tcPr>
            <w:tcW w:w="112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Jetley</w:t>
            </w: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2/19/2020</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2,183</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369,866</w:t>
            </w:r>
          </w:p>
        </w:tc>
        <w:tc>
          <w:tcPr>
            <w:tcW w:w="2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4,467</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756,844</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11,910</w:t>
            </w:r>
            <w:r>
              <w:rPr>
                <w:rFonts w:ascii="Calibri" w:cs="Calibri" w:eastAsia="Calibri" w:hAnsi="Calibri"/>
                <w:sz w:val="20"/>
                <w:szCs w:val="20"/>
                <w:color w:val="auto"/>
                <w:vertAlign w:val="superscript"/>
              </w:rPr>
              <w:t>(a)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w w:val="98"/>
              </w:rPr>
              <w:t>2,017,911</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9/1/2021</w:t>
            </w:r>
          </w:p>
        </w:tc>
        <w:tc>
          <w:tcPr>
            <w:tcW w:w="158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12,181</w:t>
            </w:r>
            <w:r>
              <w:rPr>
                <w:rFonts w:ascii="Calibri" w:cs="Calibri" w:eastAsia="Calibri" w:hAnsi="Calibri"/>
                <w:sz w:val="20"/>
                <w:szCs w:val="20"/>
                <w:color w:val="auto"/>
                <w:vertAlign w:val="superscript"/>
              </w:rPr>
              <w:t>(2)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2,063,827</w:t>
            </w:r>
          </w:p>
        </w:tc>
        <w:tc>
          <w:tcPr>
            <w:tcW w:w="2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66"/>
        </w:trPr>
        <w:tc>
          <w:tcPr>
            <w:tcW w:w="1120" w:type="dxa"/>
            <w:vAlign w:val="bottom"/>
          </w:tcPr>
          <w:p>
            <w:pPr>
              <w:spacing w:after="0"/>
              <w:rPr>
                <w:sz w:val="14"/>
                <w:szCs w:val="14"/>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4,040</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684,497</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6"/>
        </w:trPr>
        <w:tc>
          <w:tcPr>
            <w:tcW w:w="1120" w:type="dxa"/>
            <w:vAlign w:val="bottom"/>
          </w:tcPr>
          <w:p>
            <w:pPr>
              <w:spacing w:after="0"/>
              <w:rPr>
                <w:sz w:val="24"/>
                <w:szCs w:val="24"/>
                <w:color w:val="auto"/>
              </w:rPr>
            </w:pPr>
          </w:p>
        </w:tc>
        <w:tc>
          <w:tcPr>
            <w:tcW w:w="1480" w:type="dxa"/>
            <w:vAlign w:val="bottom"/>
          </w:tcPr>
          <w:p>
            <w:pPr>
              <w:jc w:val="right"/>
              <w:ind w:right="131"/>
              <w:spacing w:after="0"/>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2,424</w:t>
            </w:r>
            <w:r>
              <w:rPr>
                <w:rFonts w:ascii="Calibri" w:cs="Calibri" w:eastAsia="Calibri" w:hAnsi="Calibri"/>
                <w:sz w:val="20"/>
                <w:szCs w:val="20"/>
                <w:color w:val="auto"/>
                <w:vertAlign w:val="superscript"/>
              </w:rPr>
              <w:t>(b)</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alibri" w:cs="Calibri" w:eastAsia="Calibri" w:hAnsi="Calibri"/>
                <w:sz w:val="14"/>
                <w:szCs w:val="14"/>
                <w:color w:val="auto"/>
              </w:rPr>
              <w:t>410,698</w:t>
            </w:r>
          </w:p>
        </w:tc>
      </w:tr>
      <w:tr>
        <w:trPr>
          <w:trHeight w:val="221"/>
        </w:trPr>
        <w:tc>
          <w:tcPr>
            <w:tcW w:w="1120" w:type="dxa"/>
            <w:vAlign w:val="bottom"/>
          </w:tcPr>
          <w:p>
            <w:pPr>
              <w:spacing w:after="0"/>
              <w:rPr>
                <w:sz w:val="19"/>
                <w:szCs w:val="19"/>
                <w:color w:val="auto"/>
              </w:rPr>
            </w:pPr>
          </w:p>
        </w:tc>
        <w:tc>
          <w:tcPr>
            <w:tcW w:w="14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12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3,636</w:t>
            </w:r>
            <w:r>
              <w:rPr>
                <w:rFonts w:ascii="Calibri" w:cs="Calibri" w:eastAsia="Calibri" w:hAnsi="Calibri"/>
                <w:sz w:val="20"/>
                <w:szCs w:val="20"/>
                <w:color w:val="auto"/>
                <w:vertAlign w:val="superscript"/>
              </w:rPr>
              <w:t>(c)</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jc w:val="right"/>
              <w:spacing w:after="0" w:line="166" w:lineRule="exact"/>
              <w:rPr>
                <w:sz w:val="20"/>
                <w:szCs w:val="20"/>
                <w:color w:val="auto"/>
              </w:rPr>
            </w:pPr>
            <w:r>
              <w:rPr>
                <w:rFonts w:ascii="Calibri" w:cs="Calibri" w:eastAsia="Calibri" w:hAnsi="Calibri"/>
                <w:sz w:val="14"/>
                <w:szCs w:val="14"/>
                <w:color w:val="auto"/>
              </w:rPr>
              <w:t>616,047</w:t>
            </w:r>
          </w:p>
        </w:tc>
      </w:tr>
      <w:tr>
        <w:trPr>
          <w:trHeight w:val="210"/>
        </w:trPr>
        <w:tc>
          <w:tcPr>
            <w:tcW w:w="1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3/31/2022</w:t>
            </w:r>
          </w:p>
        </w:tc>
        <w:tc>
          <w:tcPr>
            <w:tcW w:w="1580" w:type="dxa"/>
            <w:vAlign w:val="bottom"/>
            <w:tcBorders>
              <w:bottom w:val="single" w:sz="8" w:color="auto"/>
            </w:tcBorders>
          </w:tcPr>
          <w:p>
            <w:pPr>
              <w:jc w:val="right"/>
              <w:ind w:right="131"/>
              <w:spacing w:after="0" w:line="210"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(2)</w:t>
            </w:r>
          </w:p>
        </w:tc>
        <w:tc>
          <w:tcPr>
            <w:tcW w:w="1880" w:type="dxa"/>
            <w:vAlign w:val="bottom"/>
            <w:tcBorders>
              <w:bottom w:val="single" w:sz="8" w:color="auto"/>
            </w:tcBorders>
          </w:tcPr>
          <w:p>
            <w:pPr>
              <w:jc w:val="right"/>
              <w:ind w:right="131"/>
              <w:spacing w:after="0" w:line="166" w:lineRule="exact"/>
              <w:rPr>
                <w:sz w:val="20"/>
                <w:szCs w:val="20"/>
                <w:color w:val="auto"/>
              </w:rPr>
            </w:pPr>
            <w:r>
              <w:rPr>
                <w:rFonts w:ascii="Calibri" w:cs="Calibri" w:eastAsia="Calibri" w:hAnsi="Calibri"/>
                <w:sz w:val="14"/>
                <w:szCs w:val="14"/>
                <w:color w:val="auto"/>
              </w:rPr>
              <w:t>707,709</w:t>
            </w:r>
          </w:p>
        </w:tc>
        <w:tc>
          <w:tcPr>
            <w:tcW w:w="2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607"/>
        </w:trPr>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60" w:type="dxa"/>
            <w:vAlign w:val="bottom"/>
            <w:gridSpan w:val="2"/>
          </w:tcPr>
          <w:p>
            <w:pPr>
              <w:ind w:left="1780"/>
              <w:spacing w:after="0"/>
              <w:rPr>
                <w:sz w:val="20"/>
                <w:szCs w:val="20"/>
                <w:color w:val="auto"/>
              </w:rPr>
            </w:pPr>
            <w:r>
              <w:rPr>
                <w:rFonts w:ascii="Calibri" w:cs="Calibri" w:eastAsia="Calibri" w:hAnsi="Calibri"/>
                <w:sz w:val="13"/>
                <w:szCs w:val="13"/>
                <w:color w:val="auto"/>
                <w:w w:val="97"/>
              </w:rPr>
              <w:t>EXL 2023 Proxy Statement</w:t>
            </w:r>
          </w:p>
        </w:tc>
        <w:tc>
          <w:tcPr>
            <w:tcW w:w="780" w:type="dxa"/>
            <w:vAlign w:val="bottom"/>
          </w:tcPr>
          <w:p>
            <w:pPr>
              <w:jc w:val="right"/>
              <w:spacing w:after="0"/>
              <w:rPr>
                <w:sz w:val="20"/>
                <w:szCs w:val="20"/>
                <w:color w:val="auto"/>
              </w:rPr>
            </w:pPr>
            <w:r>
              <w:rPr>
                <w:rFonts w:ascii="Calibri" w:cs="Calibri" w:eastAsia="Calibri" w:hAnsi="Calibri"/>
                <w:sz w:val="28"/>
                <w:szCs w:val="28"/>
                <w:b w:val="1"/>
                <w:bCs w:val="1"/>
                <w:color w:val="FB4E0B"/>
              </w:rPr>
              <w:t>/</w:t>
            </w:r>
          </w:p>
        </w:tc>
        <w:tc>
          <w:tcPr>
            <w:tcW w:w="620" w:type="dxa"/>
            <w:vAlign w:val="bottom"/>
          </w:tcPr>
          <w:p>
            <w:pPr>
              <w:jc w:val="right"/>
              <w:ind w:right="129"/>
              <w:spacing w:after="0"/>
              <w:rPr>
                <w:sz w:val="20"/>
                <w:szCs w:val="20"/>
                <w:color w:val="auto"/>
              </w:rPr>
            </w:pPr>
            <w:r>
              <w:rPr>
                <w:rFonts w:ascii="Calibri" w:cs="Calibri" w:eastAsia="Calibri" w:hAnsi="Calibri"/>
                <w:sz w:val="17"/>
                <w:szCs w:val="17"/>
                <w:b w:val="1"/>
                <w:bCs w:val="1"/>
                <w:color w:val="auto"/>
              </w:rPr>
              <w:t>93</w:t>
            </w:r>
          </w:p>
        </w:tc>
      </w:tr>
    </w:tbl>
    <w:p>
      <w:pPr>
        <w:sectPr>
          <w:pgSz w:w="11900" w:h="16838" w:orient="portrait"/>
          <w:cols w:equalWidth="0" w:num="1">
            <w:col w:w="10940"/>
          </w:cols>
          <w:pgMar w:left="320" w:top="471"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540" w:type="dxa"/>
            <w:vAlign w:val="bottom"/>
          </w:tcPr>
          <w:p>
            <w:pPr>
              <w:spacing w:after="0"/>
              <w:rPr>
                <w:sz w:val="20"/>
                <w:szCs w:val="20"/>
                <w:color w:val="auto"/>
              </w:rPr>
            </w:pPr>
            <w:r>
              <w:rPr>
                <w:rFonts w:ascii="Calibri" w:cs="Calibri" w:eastAsia="Calibri" w:hAnsi="Calibri"/>
                <w:sz w:val="14"/>
                <w:szCs w:val="14"/>
                <w:b w:val="1"/>
                <w:bCs w:val="1"/>
                <w:color w:val="D8D8D8"/>
              </w:rPr>
              <w:t>Executve compensaton</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533"/>
        </w:trPr>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Number of shares or</w:t>
            </w:r>
          </w:p>
        </w:tc>
        <w:tc>
          <w:tcPr>
            <w:tcW w:w="18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alibri" w:cs="Calibri" w:eastAsia="Calibri" w:hAnsi="Calibri"/>
                <w:sz w:val="14"/>
                <w:szCs w:val="14"/>
                <w:b w:val="1"/>
                <w:bCs w:val="1"/>
                <w:color w:val="auto"/>
              </w:rPr>
              <w:t>Equity incentve plan awards:</w:t>
            </w:r>
          </w:p>
        </w:tc>
        <w:tc>
          <w:tcPr>
            <w:tcW w:w="2440" w:type="dxa"/>
            <w:vAlign w:val="bottom"/>
          </w:tcPr>
          <w:p>
            <w:pPr>
              <w:jc w:val="center"/>
              <w:ind w:left="51"/>
              <w:spacing w:after="0"/>
              <w:rPr>
                <w:sz w:val="20"/>
                <w:szCs w:val="20"/>
                <w:color w:val="auto"/>
              </w:rPr>
            </w:pPr>
            <w:r>
              <w:rPr>
                <w:rFonts w:ascii="Calibri" w:cs="Calibri" w:eastAsia="Calibri" w:hAnsi="Calibri"/>
                <w:sz w:val="14"/>
                <w:szCs w:val="14"/>
                <w:b w:val="1"/>
                <w:bCs w:val="1"/>
                <w:color w:val="auto"/>
                <w:w w:val="99"/>
              </w:rPr>
              <w:t>Equity incentve plan awards: market</w:t>
            </w:r>
          </w:p>
        </w:tc>
      </w:tr>
      <w:tr>
        <w:trPr>
          <w:trHeight w:val="169"/>
        </w:trPr>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units of stock that</w:t>
            </w:r>
          </w:p>
        </w:tc>
        <w:tc>
          <w:tcPr>
            <w:tcW w:w="1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Market value of shares or</w:t>
            </w:r>
          </w:p>
        </w:tc>
        <w:tc>
          <w:tcPr>
            <w:tcW w:w="21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number of unearned shares,</w:t>
            </w:r>
          </w:p>
        </w:tc>
        <w:tc>
          <w:tcPr>
            <w:tcW w:w="24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w w:val="98"/>
              </w:rPr>
              <w:t>or payout value of unearned shares,</w:t>
            </w:r>
          </w:p>
        </w:tc>
      </w:tr>
      <w:tr>
        <w:trPr>
          <w:trHeight w:val="169"/>
        </w:trPr>
        <w:tc>
          <w:tcPr>
            <w:tcW w:w="1540" w:type="dxa"/>
            <w:vAlign w:val="bottom"/>
          </w:tcPr>
          <w:p>
            <w:pPr>
              <w:spacing w:after="0"/>
              <w:rPr>
                <w:sz w:val="14"/>
                <w:szCs w:val="14"/>
                <w:color w:val="auto"/>
              </w:rPr>
            </w:pPr>
          </w:p>
        </w:tc>
        <w:tc>
          <w:tcPr>
            <w:tcW w:w="106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Stock award</w:t>
            </w:r>
          </w:p>
        </w:tc>
        <w:tc>
          <w:tcPr>
            <w:tcW w:w="15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have not vested</w:t>
            </w:r>
          </w:p>
        </w:tc>
        <w:tc>
          <w:tcPr>
            <w:tcW w:w="18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units of stock that have</w:t>
            </w:r>
          </w:p>
        </w:tc>
        <w:tc>
          <w:tcPr>
            <w:tcW w:w="212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units or other rights that have</w:t>
            </w:r>
          </w:p>
        </w:tc>
        <w:tc>
          <w:tcPr>
            <w:tcW w:w="24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w w:val="98"/>
              </w:rPr>
              <w:t>units or other rights that have not</w:t>
            </w:r>
          </w:p>
        </w:tc>
      </w:tr>
      <w:tr>
        <w:trPr>
          <w:trHeight w:val="259"/>
        </w:trPr>
        <w:tc>
          <w:tcPr>
            <w:tcW w:w="15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b w:val="1"/>
                <w:bCs w:val="1"/>
                <w:color w:val="FB4E0B"/>
              </w:rPr>
              <w:t>Name</w:t>
            </w:r>
          </w:p>
        </w:tc>
        <w:tc>
          <w:tcPr>
            <w:tcW w:w="1060" w:type="dxa"/>
            <w:vAlign w:val="bottom"/>
            <w:tcBorders>
              <w:bottom w:val="single" w:sz="8" w:color="auto"/>
            </w:tcBorders>
          </w:tcPr>
          <w:p>
            <w:pPr>
              <w:jc w:val="right"/>
              <w:ind w:right="191"/>
              <w:spacing w:after="0" w:line="169" w:lineRule="exact"/>
              <w:rPr>
                <w:sz w:val="20"/>
                <w:szCs w:val="20"/>
                <w:color w:val="auto"/>
              </w:rPr>
            </w:pPr>
            <w:r>
              <w:rPr>
                <w:rFonts w:ascii="Calibri" w:cs="Calibri" w:eastAsia="Calibri" w:hAnsi="Calibri"/>
                <w:sz w:val="14"/>
                <w:szCs w:val="14"/>
                <w:b w:val="1"/>
                <w:bCs w:val="1"/>
                <w:color w:val="auto"/>
              </w:rPr>
              <w:t>grant date</w:t>
            </w:r>
          </w:p>
        </w:tc>
        <w:tc>
          <w:tcPr>
            <w:tcW w:w="15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0"/>
              </w:rPr>
              <w:t>(#)</w:t>
            </w:r>
            <w:r>
              <w:rPr>
                <w:rFonts w:ascii="Calibri" w:cs="Calibri" w:eastAsia="Calibri" w:hAnsi="Calibri"/>
                <w:sz w:val="20"/>
                <w:szCs w:val="20"/>
                <w:b w:val="1"/>
                <w:bCs w:val="1"/>
                <w:color w:val="auto"/>
                <w:w w:val="90"/>
                <w:vertAlign w:val="superscript"/>
              </w:rPr>
              <w:t>(1)</w:t>
            </w:r>
          </w:p>
        </w:tc>
        <w:tc>
          <w:tcPr>
            <w:tcW w:w="18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5"/>
              </w:rPr>
              <w:t>not vested ($)</w:t>
            </w:r>
            <w:r>
              <w:rPr>
                <w:rFonts w:ascii="Calibri" w:cs="Calibri" w:eastAsia="Calibri" w:hAnsi="Calibri"/>
                <w:sz w:val="20"/>
                <w:szCs w:val="20"/>
                <w:b w:val="1"/>
                <w:bCs w:val="1"/>
                <w:color w:val="auto"/>
                <w:w w:val="95"/>
                <w:vertAlign w:val="superscript"/>
              </w:rPr>
              <w:t>(4)</w:t>
            </w:r>
          </w:p>
        </w:tc>
        <w:tc>
          <w:tcPr>
            <w:tcW w:w="21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6"/>
              </w:rPr>
              <w:t>not vested (#)</w:t>
            </w:r>
            <w:r>
              <w:rPr>
                <w:rFonts w:ascii="Calibri" w:cs="Calibri" w:eastAsia="Calibri" w:hAnsi="Calibri"/>
                <w:sz w:val="20"/>
                <w:szCs w:val="20"/>
                <w:b w:val="1"/>
                <w:bCs w:val="1"/>
                <w:color w:val="auto"/>
                <w:w w:val="96"/>
                <w:vertAlign w:val="superscript"/>
              </w:rPr>
              <w:t>(3)</w:t>
            </w:r>
          </w:p>
        </w:tc>
        <w:tc>
          <w:tcPr>
            <w:tcW w:w="2440" w:type="dxa"/>
            <w:vAlign w:val="bottom"/>
            <w:tcBorders>
              <w:bottom w:val="single" w:sz="8" w:color="auto"/>
            </w:tcBorders>
          </w:tcPr>
          <w:p>
            <w:pPr>
              <w:jc w:val="center"/>
              <w:ind w:left="51"/>
              <w:spacing w:after="0"/>
              <w:rPr>
                <w:sz w:val="20"/>
                <w:szCs w:val="20"/>
                <w:color w:val="auto"/>
              </w:rPr>
            </w:pPr>
            <w:r>
              <w:rPr>
                <w:rFonts w:ascii="Calibri" w:cs="Calibri" w:eastAsia="Calibri" w:hAnsi="Calibri"/>
                <w:sz w:val="14"/>
                <w:szCs w:val="14"/>
                <w:b w:val="1"/>
                <w:bCs w:val="1"/>
                <w:color w:val="auto"/>
                <w:w w:val="93"/>
              </w:rPr>
              <w:t>vested ($)</w:t>
            </w:r>
            <w:r>
              <w:rPr>
                <w:rFonts w:ascii="Calibri" w:cs="Calibri" w:eastAsia="Calibri" w:hAnsi="Calibri"/>
                <w:sz w:val="20"/>
                <w:szCs w:val="20"/>
                <w:b w:val="1"/>
                <w:bCs w:val="1"/>
                <w:color w:val="auto"/>
                <w:w w:val="93"/>
                <w:vertAlign w:val="superscript"/>
              </w:rPr>
              <w:t>(4)</w:t>
            </w:r>
          </w:p>
        </w:tc>
      </w:tr>
      <w:tr>
        <w:trPr>
          <w:trHeight w:val="166"/>
        </w:trPr>
        <w:tc>
          <w:tcPr>
            <w:tcW w:w="1540" w:type="dxa"/>
            <w:vAlign w:val="bottom"/>
          </w:tcPr>
          <w:p>
            <w:pPr>
              <w:ind w:left="20"/>
              <w:spacing w:after="0" w:line="166" w:lineRule="exact"/>
              <w:rPr>
                <w:sz w:val="20"/>
                <w:szCs w:val="20"/>
                <w:color w:val="auto"/>
              </w:rPr>
            </w:pPr>
            <w:r>
              <w:rPr>
                <w:rFonts w:ascii="Calibri" w:cs="Calibri" w:eastAsia="Calibri" w:hAnsi="Calibri"/>
                <w:sz w:val="14"/>
                <w:szCs w:val="14"/>
                <w:b w:val="1"/>
                <w:bCs w:val="1"/>
                <w:color w:val="FB4E0B"/>
              </w:rPr>
              <w:t>Ankor Rai</w:t>
            </w:r>
          </w:p>
        </w:tc>
        <w:tc>
          <w:tcPr>
            <w:tcW w:w="10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2/20/2019</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672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113,857</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93"/>
        </w:trPr>
        <w:tc>
          <w:tcPr>
            <w:tcW w:w="1540" w:type="dxa"/>
            <w:vAlign w:val="bottom"/>
          </w:tcPr>
          <w:p>
            <w:pPr>
              <w:spacing w:after="0"/>
              <w:rPr>
                <w:sz w:val="16"/>
                <w:szCs w:val="16"/>
                <w:color w:val="auto"/>
              </w:rPr>
            </w:pPr>
          </w:p>
        </w:tc>
        <w:tc>
          <w:tcPr>
            <w:tcW w:w="1060" w:type="dxa"/>
            <w:vAlign w:val="bottom"/>
          </w:tcPr>
          <w:p>
            <w:pPr>
              <w:jc w:val="right"/>
              <w:ind w:right="131"/>
              <w:spacing w:after="0"/>
              <w:rPr>
                <w:sz w:val="20"/>
                <w:szCs w:val="20"/>
                <w:color w:val="auto"/>
              </w:rPr>
            </w:pPr>
            <w:r>
              <w:rPr>
                <w:rFonts w:ascii="Calibri" w:cs="Calibri" w:eastAsia="Calibri" w:hAnsi="Calibri"/>
                <w:sz w:val="14"/>
                <w:szCs w:val="14"/>
                <w:color w:val="auto"/>
              </w:rPr>
              <w:t>2/19/2020</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1,680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284,642</w:t>
            </w:r>
          </w:p>
        </w:tc>
        <w:tc>
          <w:tcPr>
            <w:tcW w:w="21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21"/>
        </w:trPr>
        <w:tc>
          <w:tcPr>
            <w:tcW w:w="15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jc w:val="right"/>
              <w:ind w:right="131"/>
              <w:spacing w:after="0"/>
              <w:rPr>
                <w:sz w:val="20"/>
                <w:szCs w:val="20"/>
                <w:color w:val="auto"/>
              </w:rPr>
            </w:pPr>
            <w:r>
              <w:rPr>
                <w:rFonts w:ascii="Calibri" w:cs="Calibri" w:eastAsia="Calibri" w:hAnsi="Calibri"/>
                <w:sz w:val="14"/>
                <w:szCs w:val="14"/>
                <w:color w:val="auto"/>
              </w:rPr>
              <w:t>2,880</w:t>
            </w:r>
          </w:p>
        </w:tc>
        <w:tc>
          <w:tcPr>
            <w:tcW w:w="1880" w:type="dxa"/>
            <w:vAlign w:val="bottom"/>
          </w:tcPr>
          <w:p>
            <w:pPr>
              <w:jc w:val="right"/>
              <w:ind w:right="131"/>
              <w:spacing w:after="0"/>
              <w:rPr>
                <w:sz w:val="20"/>
                <w:szCs w:val="20"/>
                <w:color w:val="auto"/>
              </w:rPr>
            </w:pPr>
            <w:r>
              <w:rPr>
                <w:rFonts w:ascii="Calibri" w:cs="Calibri" w:eastAsia="Calibri" w:hAnsi="Calibri"/>
                <w:sz w:val="14"/>
                <w:szCs w:val="14"/>
                <w:color w:val="auto"/>
              </w:rPr>
              <w:t>487,958</w:t>
            </w:r>
          </w:p>
        </w:tc>
        <w:tc>
          <w:tcPr>
            <w:tcW w:w="2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76"/>
        </w:trPr>
        <w:tc>
          <w:tcPr>
            <w:tcW w:w="15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Calibri" w:cs="Calibri" w:eastAsia="Calibri" w:hAnsi="Calibri"/>
                <w:sz w:val="14"/>
                <w:szCs w:val="14"/>
                <w:color w:val="auto"/>
              </w:rPr>
              <w:t>2/17/2021</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7,680</w:t>
            </w:r>
            <w:r>
              <w:rPr>
                <w:rFonts w:ascii="Calibri" w:cs="Calibri" w:eastAsia="Calibri" w:hAnsi="Calibri"/>
                <w:sz w:val="20"/>
                <w:szCs w:val="20"/>
                <w:color w:val="auto"/>
                <w:vertAlign w:val="superscript"/>
              </w:rPr>
              <w:t>(a)</w:t>
            </w:r>
          </w:p>
        </w:tc>
        <w:tc>
          <w:tcPr>
            <w:tcW w:w="2440" w:type="dxa"/>
            <w:vAlign w:val="bottom"/>
          </w:tcPr>
          <w:p>
            <w:pPr>
              <w:jc w:val="right"/>
              <w:spacing w:after="0"/>
              <w:rPr>
                <w:sz w:val="20"/>
                <w:szCs w:val="20"/>
                <w:color w:val="auto"/>
              </w:rPr>
            </w:pPr>
            <w:r>
              <w:rPr>
                <w:rFonts w:ascii="Calibri" w:cs="Calibri" w:eastAsia="Calibri" w:hAnsi="Calibri"/>
                <w:sz w:val="14"/>
                <w:szCs w:val="14"/>
                <w:color w:val="auto"/>
              </w:rPr>
              <w:t>1,301,222</w:t>
            </w:r>
          </w:p>
        </w:tc>
      </w:tr>
      <w:tr>
        <w:trPr>
          <w:trHeight w:val="221"/>
        </w:trPr>
        <w:tc>
          <w:tcPr>
            <w:tcW w:w="1540" w:type="dxa"/>
            <w:vAlign w:val="bottom"/>
          </w:tcPr>
          <w:p>
            <w:pPr>
              <w:spacing w:after="0"/>
              <w:rPr>
                <w:sz w:val="19"/>
                <w:szCs w:val="19"/>
                <w:color w:val="auto"/>
              </w:rPr>
            </w:pPr>
          </w:p>
        </w:tc>
        <w:tc>
          <w:tcPr>
            <w:tcW w:w="10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9/1/2021</w:t>
            </w:r>
          </w:p>
        </w:tc>
        <w:tc>
          <w:tcPr>
            <w:tcW w:w="158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12,181</w:t>
            </w:r>
            <w:r>
              <w:rPr>
                <w:rFonts w:ascii="Calibri" w:cs="Calibri" w:eastAsia="Calibri" w:hAnsi="Calibri"/>
                <w:sz w:val="20"/>
                <w:szCs w:val="20"/>
                <w:color w:val="auto"/>
                <w:vertAlign w:val="superscript"/>
              </w:rPr>
              <w:t>(2)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2,063,827</w:t>
            </w:r>
          </w:p>
        </w:tc>
        <w:tc>
          <w:tcPr>
            <w:tcW w:w="21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166"/>
        </w:trPr>
        <w:tc>
          <w:tcPr>
            <w:tcW w:w="1540" w:type="dxa"/>
            <w:vAlign w:val="bottom"/>
          </w:tcPr>
          <w:p>
            <w:pPr>
              <w:spacing w:after="0"/>
              <w:rPr>
                <w:sz w:val="14"/>
                <w:szCs w:val="14"/>
                <w:color w:val="auto"/>
              </w:rPr>
            </w:pPr>
          </w:p>
        </w:tc>
        <w:tc>
          <w:tcPr>
            <w:tcW w:w="10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3,108</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526,588</w:t>
            </w:r>
          </w:p>
        </w:tc>
        <w:tc>
          <w:tcPr>
            <w:tcW w:w="2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276"/>
        </w:trPr>
        <w:tc>
          <w:tcPr>
            <w:tcW w:w="1540" w:type="dxa"/>
            <w:vAlign w:val="bottom"/>
          </w:tcPr>
          <w:p>
            <w:pPr>
              <w:spacing w:after="0"/>
              <w:rPr>
                <w:sz w:val="24"/>
                <w:szCs w:val="24"/>
                <w:color w:val="auto"/>
              </w:rPr>
            </w:pPr>
          </w:p>
        </w:tc>
        <w:tc>
          <w:tcPr>
            <w:tcW w:w="1060" w:type="dxa"/>
            <w:vAlign w:val="bottom"/>
          </w:tcPr>
          <w:p>
            <w:pPr>
              <w:jc w:val="right"/>
              <w:ind w:right="131"/>
              <w:spacing w:after="0"/>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tcPr>
          <w:p>
            <w:pPr>
              <w:jc w:val="right"/>
              <w:ind w:right="131"/>
              <w:spacing w:after="0"/>
              <w:rPr>
                <w:sz w:val="20"/>
                <w:szCs w:val="20"/>
                <w:color w:val="auto"/>
              </w:rPr>
            </w:pPr>
            <w:r>
              <w:rPr>
                <w:rFonts w:ascii="Calibri" w:cs="Calibri" w:eastAsia="Calibri" w:hAnsi="Calibri"/>
                <w:sz w:val="14"/>
                <w:szCs w:val="14"/>
                <w:color w:val="auto"/>
              </w:rPr>
              <w:t>1,865</w:t>
            </w:r>
            <w:r>
              <w:rPr>
                <w:rFonts w:ascii="Calibri" w:cs="Calibri" w:eastAsia="Calibri" w:hAnsi="Calibri"/>
                <w:sz w:val="20"/>
                <w:szCs w:val="20"/>
                <w:color w:val="auto"/>
                <w:vertAlign w:val="superscript"/>
              </w:rPr>
              <w:t>(b)</w:t>
            </w:r>
          </w:p>
        </w:tc>
        <w:tc>
          <w:tcPr>
            <w:tcW w:w="2440" w:type="dxa"/>
            <w:vAlign w:val="bottom"/>
          </w:tcPr>
          <w:p>
            <w:pPr>
              <w:jc w:val="right"/>
              <w:spacing w:after="0"/>
              <w:rPr>
                <w:sz w:val="20"/>
                <w:szCs w:val="20"/>
                <w:color w:val="auto"/>
              </w:rPr>
            </w:pPr>
            <w:r>
              <w:rPr>
                <w:rFonts w:ascii="Calibri" w:cs="Calibri" w:eastAsia="Calibri" w:hAnsi="Calibri"/>
                <w:sz w:val="14"/>
                <w:szCs w:val="14"/>
                <w:color w:val="auto"/>
              </w:rPr>
              <w:t>315,987</w:t>
            </w:r>
          </w:p>
        </w:tc>
      </w:tr>
      <w:tr>
        <w:trPr>
          <w:trHeight w:val="221"/>
        </w:trPr>
        <w:tc>
          <w:tcPr>
            <w:tcW w:w="1540" w:type="dxa"/>
            <w:vAlign w:val="bottom"/>
          </w:tcPr>
          <w:p>
            <w:pPr>
              <w:spacing w:after="0"/>
              <w:rPr>
                <w:sz w:val="19"/>
                <w:szCs w:val="19"/>
                <w:color w:val="auto"/>
              </w:rPr>
            </w:pPr>
          </w:p>
        </w:tc>
        <w:tc>
          <w:tcPr>
            <w:tcW w:w="10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2/16/2022</w:t>
            </w:r>
          </w:p>
        </w:tc>
        <w:tc>
          <w:tcPr>
            <w:tcW w:w="1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120" w:type="dxa"/>
            <w:vAlign w:val="bottom"/>
          </w:tcPr>
          <w:p>
            <w:pPr>
              <w:jc w:val="right"/>
              <w:ind w:right="131"/>
              <w:spacing w:after="0" w:line="221" w:lineRule="exact"/>
              <w:rPr>
                <w:sz w:val="20"/>
                <w:szCs w:val="20"/>
                <w:color w:val="auto"/>
              </w:rPr>
            </w:pPr>
            <w:r>
              <w:rPr>
                <w:rFonts w:ascii="Calibri" w:cs="Calibri" w:eastAsia="Calibri" w:hAnsi="Calibri"/>
                <w:sz w:val="14"/>
                <w:szCs w:val="14"/>
                <w:color w:val="auto"/>
              </w:rPr>
              <w:t>2,797</w:t>
            </w:r>
            <w:r>
              <w:rPr>
                <w:rFonts w:ascii="Calibri" w:cs="Calibri" w:eastAsia="Calibri" w:hAnsi="Calibri"/>
                <w:sz w:val="20"/>
                <w:szCs w:val="20"/>
                <w:color w:val="auto"/>
                <w:vertAlign w:val="superscript"/>
              </w:rPr>
              <w:t>(c)</w:t>
            </w:r>
          </w:p>
        </w:tc>
        <w:tc>
          <w:tcPr>
            <w:tcW w:w="2440" w:type="dxa"/>
            <w:vAlign w:val="bottom"/>
          </w:tcPr>
          <w:p>
            <w:pPr>
              <w:jc w:val="right"/>
              <w:spacing w:after="0" w:line="166" w:lineRule="exact"/>
              <w:rPr>
                <w:sz w:val="20"/>
                <w:szCs w:val="20"/>
                <w:color w:val="auto"/>
              </w:rPr>
            </w:pPr>
            <w:r>
              <w:rPr>
                <w:rFonts w:ascii="Calibri" w:cs="Calibri" w:eastAsia="Calibri" w:hAnsi="Calibri"/>
                <w:sz w:val="14"/>
                <w:szCs w:val="14"/>
                <w:color w:val="auto"/>
              </w:rPr>
              <w:t>473,896</w:t>
            </w:r>
          </w:p>
        </w:tc>
      </w:tr>
      <w:tr>
        <w:trPr>
          <w:trHeight w:val="243"/>
        </w:trPr>
        <w:tc>
          <w:tcPr>
            <w:tcW w:w="1540" w:type="dxa"/>
            <w:vAlign w:val="bottom"/>
          </w:tcPr>
          <w:p>
            <w:pPr>
              <w:spacing w:after="0"/>
              <w:rPr>
                <w:sz w:val="21"/>
                <w:szCs w:val="21"/>
                <w:color w:val="auto"/>
              </w:rPr>
            </w:pPr>
          </w:p>
        </w:tc>
        <w:tc>
          <w:tcPr>
            <w:tcW w:w="106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3/31/2022</w:t>
            </w:r>
          </w:p>
        </w:tc>
        <w:tc>
          <w:tcPr>
            <w:tcW w:w="1580" w:type="dxa"/>
            <w:vAlign w:val="bottom"/>
          </w:tcPr>
          <w:p>
            <w:pPr>
              <w:jc w:val="right"/>
              <w:ind w:right="131"/>
              <w:spacing w:after="0" w:line="243" w:lineRule="exact"/>
              <w:rPr>
                <w:sz w:val="20"/>
                <w:szCs w:val="20"/>
                <w:color w:val="auto"/>
              </w:rPr>
            </w:pPr>
            <w:r>
              <w:rPr>
                <w:rFonts w:ascii="Calibri" w:cs="Calibri" w:eastAsia="Calibri" w:hAnsi="Calibri"/>
                <w:sz w:val="14"/>
                <w:szCs w:val="14"/>
                <w:color w:val="auto"/>
              </w:rPr>
              <w:t>4,177</w:t>
            </w:r>
            <w:r>
              <w:rPr>
                <w:rFonts w:ascii="Calibri" w:cs="Calibri" w:eastAsia="Calibri" w:hAnsi="Calibri"/>
                <w:sz w:val="20"/>
                <w:szCs w:val="20"/>
                <w:color w:val="auto"/>
                <w:vertAlign w:val="superscript"/>
              </w:rPr>
              <w:t>(2)</w:t>
            </w:r>
          </w:p>
        </w:tc>
        <w:tc>
          <w:tcPr>
            <w:tcW w:w="1880" w:type="dxa"/>
            <w:vAlign w:val="bottom"/>
          </w:tcPr>
          <w:p>
            <w:pPr>
              <w:jc w:val="right"/>
              <w:ind w:right="131"/>
              <w:spacing w:after="0" w:line="166" w:lineRule="exact"/>
              <w:rPr>
                <w:sz w:val="20"/>
                <w:szCs w:val="20"/>
                <w:color w:val="auto"/>
              </w:rPr>
            </w:pPr>
            <w:r>
              <w:rPr>
                <w:rFonts w:ascii="Calibri" w:cs="Calibri" w:eastAsia="Calibri" w:hAnsi="Calibri"/>
                <w:sz w:val="14"/>
                <w:szCs w:val="14"/>
                <w:color w:val="auto"/>
              </w:rPr>
              <w:t>707,709</w:t>
            </w:r>
          </w:p>
        </w:tc>
        <w:tc>
          <w:tcPr>
            <w:tcW w:w="2120" w:type="dxa"/>
            <w:vAlign w:val="bottom"/>
          </w:tcPr>
          <w:p>
            <w:pPr>
              <w:spacing w:after="0"/>
              <w:rPr>
                <w:sz w:val="21"/>
                <w:szCs w:val="21"/>
                <w:color w:val="auto"/>
              </w:rPr>
            </w:pPr>
          </w:p>
        </w:tc>
        <w:tc>
          <w:tcPr>
            <w:tcW w:w="2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-20320</wp:posOffset>
            </wp:positionV>
            <wp:extent cx="67405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ind w:left="320" w:right="300" w:hanging="4"/>
        <w:spacing w:after="0" w:line="225" w:lineRule="auto"/>
        <w:tabs>
          <w:tab w:leader="none" w:pos="494"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Unless otherwise noted, this column represents annual restricted stock unit awards that vest and convert to shares in accordance with the following schedule (subject to contnued employment through each applicable vestng date): 25% of the restricted stock units vest on each of the frst, second, third and fourth anniversaries of the grant date.</w:t>
      </w:r>
    </w:p>
    <w:p>
      <w:pPr>
        <w:spacing w:after="0" w:line="14" w:lineRule="exact"/>
        <w:rPr>
          <w:rFonts w:ascii="Calibri" w:cs="Calibri" w:eastAsia="Calibri" w:hAnsi="Calibri"/>
          <w:sz w:val="13"/>
          <w:szCs w:val="13"/>
          <w:color w:val="auto"/>
        </w:rPr>
      </w:pPr>
    </w:p>
    <w:p>
      <w:pPr>
        <w:ind w:left="320" w:right="540" w:hanging="4"/>
        <w:spacing w:after="0" w:line="251" w:lineRule="auto"/>
        <w:tabs>
          <w:tab w:leader="none" w:pos="494"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These restricted stock unit awards vest and convert to shares in accordance with the following schedule (subject to contnued employment through each applicable vestng date): 1/3 of the restricted stock units vest on the second anniversary of the grant date with the remaining 2/3 vestng on the third anniversary of the grant date.</w:t>
      </w:r>
    </w:p>
    <w:p>
      <w:pPr>
        <w:spacing w:after="0" w:line="6" w:lineRule="exact"/>
        <w:rPr>
          <w:rFonts w:ascii="Calibri" w:cs="Calibri" w:eastAsia="Calibri" w:hAnsi="Calibri"/>
          <w:sz w:val="13"/>
          <w:szCs w:val="13"/>
          <w:color w:val="auto"/>
        </w:rPr>
      </w:pPr>
    </w:p>
    <w:p>
      <w:pPr>
        <w:ind w:left="320" w:right="220" w:hanging="4"/>
        <w:spacing w:after="0" w:line="251" w:lineRule="auto"/>
        <w:tabs>
          <w:tab w:leader="none" w:pos="494"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 performance restricted stock unit awards in this table vest and convert to shares in accordance with the following schedules (subject to contnued employment through the applicable vestng date and achievement of applicable performance goals):</w:t>
      </w:r>
    </w:p>
    <w:p>
      <w:pPr>
        <w:spacing w:after="0" w:line="3" w:lineRule="exact"/>
        <w:rPr>
          <w:rFonts w:ascii="Calibri" w:cs="Calibri" w:eastAsia="Calibri" w:hAnsi="Calibri"/>
          <w:sz w:val="13"/>
          <w:szCs w:val="13"/>
          <w:color w:val="auto"/>
        </w:rPr>
      </w:pPr>
    </w:p>
    <w:p>
      <w:pPr>
        <w:ind w:left="920" w:hanging="179"/>
        <w:spacing w:after="0"/>
        <w:tabs>
          <w:tab w:leader="none" w:pos="920" w:val="left"/>
        </w:tabs>
        <w:numPr>
          <w:ilvl w:val="1"/>
          <w:numId w:val="30"/>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2023. This amount represents the 2021 Relatve TSR-Linked PRSUs and refects maximum performance.</w:t>
      </w:r>
    </w:p>
    <w:p>
      <w:pPr>
        <w:spacing w:after="0" w:line="10" w:lineRule="exact"/>
        <w:rPr>
          <w:rFonts w:ascii="Calibri" w:cs="Calibri" w:eastAsia="Calibri" w:hAnsi="Calibri"/>
          <w:sz w:val="13"/>
          <w:szCs w:val="13"/>
          <w:color w:val="auto"/>
        </w:rPr>
      </w:pPr>
    </w:p>
    <w:p>
      <w:pPr>
        <w:ind w:left="920" w:hanging="179"/>
        <w:spacing w:after="0"/>
        <w:tabs>
          <w:tab w:leader="none" w:pos="920" w:val="left"/>
        </w:tabs>
        <w:numPr>
          <w:ilvl w:val="1"/>
          <w:numId w:val="30"/>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2024. This amount represents the 2022 Revenue-Linked PRSUs and refects target performance.</w:t>
      </w:r>
    </w:p>
    <w:p>
      <w:pPr>
        <w:spacing w:after="0" w:line="10" w:lineRule="exact"/>
        <w:rPr>
          <w:rFonts w:ascii="Calibri" w:cs="Calibri" w:eastAsia="Calibri" w:hAnsi="Calibri"/>
          <w:sz w:val="13"/>
          <w:szCs w:val="13"/>
          <w:color w:val="auto"/>
        </w:rPr>
      </w:pPr>
    </w:p>
    <w:p>
      <w:pPr>
        <w:ind w:left="900" w:hanging="159"/>
        <w:spacing w:after="0"/>
        <w:tabs>
          <w:tab w:leader="none" w:pos="900" w:val="left"/>
        </w:tabs>
        <w:numPr>
          <w:ilvl w:val="1"/>
          <w:numId w:val="30"/>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2024. This amount represents the 2022 Relatve TSR-Linked PRSUs and refects target performance.</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 price used in determining the market values set forth in this table is $169.43, which was the closing price of our stock on December 30, 2022.</w:t>
      </w:r>
    </w:p>
    <w:p>
      <w:pPr>
        <w:spacing w:after="0" w:line="30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Opton exercises and stock vested during fscal year 2022</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following table provides additonal informaton about the value realized by our named executve ofcers on opton award exercises and stock award vestng during fscal year 2022:</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2200" w:type="dxa"/>
            <w:vAlign w:val="bottom"/>
            <w:tcBorders>
              <w:right w:val="single" w:sz="8" w:color="FB4E0B"/>
            </w:tcBorders>
          </w:tcPr>
          <w:p>
            <w:pPr>
              <w:spacing w:after="0"/>
              <w:rPr>
                <w:sz w:val="21"/>
                <w:szCs w:val="21"/>
                <w:color w:val="auto"/>
              </w:rPr>
            </w:pPr>
          </w:p>
        </w:tc>
        <w:tc>
          <w:tcPr>
            <w:tcW w:w="3940" w:type="dxa"/>
            <w:vAlign w:val="bottom"/>
            <w:tcBorders>
              <w:right w:val="single" w:sz="8" w:color="FB4E0B"/>
            </w:tcBorders>
            <w:gridSpan w:val="2"/>
            <w:shd w:val="clear" w:color="auto" w:fill="FB4E0B"/>
          </w:tcPr>
          <w:p>
            <w:pPr>
              <w:ind w:left="1800"/>
              <w:spacing w:after="0"/>
              <w:rPr>
                <w:sz w:val="20"/>
                <w:szCs w:val="20"/>
                <w:color w:val="auto"/>
              </w:rPr>
            </w:pPr>
            <w:r>
              <w:rPr>
                <w:rFonts w:ascii="Calibri" w:cs="Calibri" w:eastAsia="Calibri" w:hAnsi="Calibri"/>
                <w:sz w:val="17"/>
                <w:szCs w:val="17"/>
                <w:b w:val="1"/>
                <w:bCs w:val="1"/>
                <w:color w:val="FFFFFF"/>
              </w:rPr>
              <w:t>Opton awards</w:t>
            </w:r>
          </w:p>
        </w:tc>
        <w:tc>
          <w:tcPr>
            <w:tcW w:w="3940" w:type="dxa"/>
            <w:vAlign w:val="bottom"/>
            <w:gridSpan w:val="2"/>
            <w:shd w:val="clear" w:color="auto" w:fill="FB4E0B"/>
          </w:tcPr>
          <w:p>
            <w:pPr>
              <w:jc w:val="right"/>
              <w:ind w:right="1073"/>
              <w:spacing w:after="0"/>
              <w:rPr>
                <w:sz w:val="20"/>
                <w:szCs w:val="20"/>
                <w:color w:val="auto"/>
              </w:rPr>
            </w:pPr>
            <w:r>
              <w:rPr>
                <w:rFonts w:ascii="Calibri" w:cs="Calibri" w:eastAsia="Calibri" w:hAnsi="Calibri"/>
                <w:sz w:val="17"/>
                <w:szCs w:val="17"/>
                <w:b w:val="1"/>
                <w:bCs w:val="1"/>
                <w:color w:val="FFFFFF"/>
              </w:rPr>
              <w:t>Stock awards</w:t>
            </w:r>
          </w:p>
        </w:tc>
      </w:tr>
      <w:tr>
        <w:trPr>
          <w:trHeight w:val="88"/>
        </w:trPr>
        <w:tc>
          <w:tcPr>
            <w:tcW w:w="540" w:type="dxa"/>
            <w:vAlign w:val="bottom"/>
          </w:tcPr>
          <w:p>
            <w:pPr>
              <w:spacing w:after="0"/>
              <w:rPr>
                <w:sz w:val="7"/>
                <w:szCs w:val="7"/>
                <w:color w:val="auto"/>
              </w:rPr>
            </w:pPr>
          </w:p>
        </w:tc>
        <w:tc>
          <w:tcPr>
            <w:tcW w:w="2200" w:type="dxa"/>
            <w:vAlign w:val="bottom"/>
            <w:tcBorders>
              <w:right w:val="single" w:sz="8" w:color="FB4E0B"/>
            </w:tcBorders>
          </w:tcPr>
          <w:p>
            <w:pPr>
              <w:spacing w:after="0"/>
              <w:rPr>
                <w:sz w:val="7"/>
                <w:szCs w:val="7"/>
                <w:color w:val="auto"/>
              </w:rPr>
            </w:pPr>
          </w:p>
        </w:tc>
        <w:tc>
          <w:tcPr>
            <w:tcW w:w="1980" w:type="dxa"/>
            <w:vAlign w:val="bottom"/>
            <w:tcBorders>
              <w:right w:val="single" w:sz="8" w:color="FB4E0B"/>
            </w:tcBorders>
            <w:shd w:val="clear" w:color="auto" w:fill="FB4E0B"/>
          </w:tcPr>
          <w:p>
            <w:pPr>
              <w:spacing w:after="0"/>
              <w:rPr>
                <w:sz w:val="7"/>
                <w:szCs w:val="7"/>
                <w:color w:val="auto"/>
              </w:rPr>
            </w:pPr>
          </w:p>
        </w:tc>
        <w:tc>
          <w:tcPr>
            <w:tcW w:w="1960" w:type="dxa"/>
            <w:vAlign w:val="bottom"/>
            <w:tcBorders>
              <w:right w:val="single" w:sz="8" w:color="FB4E0B"/>
            </w:tcBorders>
            <w:shd w:val="clear" w:color="auto" w:fill="FB4E0B"/>
          </w:tcPr>
          <w:p>
            <w:pPr>
              <w:spacing w:after="0"/>
              <w:rPr>
                <w:sz w:val="7"/>
                <w:szCs w:val="7"/>
                <w:color w:val="auto"/>
              </w:rPr>
            </w:pPr>
          </w:p>
        </w:tc>
        <w:tc>
          <w:tcPr>
            <w:tcW w:w="2000" w:type="dxa"/>
            <w:vAlign w:val="bottom"/>
            <w:tcBorders>
              <w:right w:val="single" w:sz="8" w:color="FB4E0B"/>
            </w:tcBorders>
            <w:shd w:val="clear" w:color="auto" w:fill="FB4E0B"/>
          </w:tcPr>
          <w:p>
            <w:pPr>
              <w:spacing w:after="0"/>
              <w:rPr>
                <w:sz w:val="7"/>
                <w:szCs w:val="7"/>
                <w:color w:val="auto"/>
              </w:rPr>
            </w:pPr>
          </w:p>
        </w:tc>
        <w:tc>
          <w:tcPr>
            <w:tcW w:w="1940" w:type="dxa"/>
            <w:vAlign w:val="bottom"/>
            <w:shd w:val="clear" w:color="auto" w:fill="FB4E0B"/>
          </w:tcPr>
          <w:p>
            <w:pPr>
              <w:spacing w:after="0"/>
              <w:rPr>
                <w:sz w:val="7"/>
                <w:szCs w:val="7"/>
                <w:color w:val="auto"/>
              </w:rPr>
            </w:pPr>
          </w:p>
        </w:tc>
      </w:tr>
      <w:tr>
        <w:trPr>
          <w:trHeight w:val="252"/>
        </w:trPr>
        <w:tc>
          <w:tcPr>
            <w:tcW w:w="5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98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w w:val="98"/>
              </w:rPr>
              <w:t>Number of shares</w:t>
            </w:r>
          </w:p>
        </w:tc>
        <w:tc>
          <w:tcPr>
            <w:tcW w:w="196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w w:val="98"/>
              </w:rPr>
              <w:t>Value realized on</w:t>
            </w:r>
          </w:p>
        </w:tc>
        <w:tc>
          <w:tcPr>
            <w:tcW w:w="200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rPr>
              <w:t>Number of shares</w:t>
            </w:r>
          </w:p>
        </w:tc>
        <w:tc>
          <w:tcPr>
            <w:tcW w:w="194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w w:val="98"/>
              </w:rPr>
              <w:t>Value realized on</w:t>
            </w:r>
          </w:p>
        </w:tc>
      </w:tr>
      <w:tr>
        <w:trPr>
          <w:trHeight w:val="208"/>
        </w:trPr>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98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rPr>
              <w:t>acquired on</w:t>
            </w:r>
          </w:p>
        </w:tc>
        <w:tc>
          <w:tcPr>
            <w:tcW w:w="1960" w:type="dxa"/>
            <w:vAlign w:val="bottom"/>
          </w:tcPr>
          <w:p>
            <w:pPr>
              <w:jc w:val="center"/>
              <w:ind w:left="633"/>
              <w:spacing w:after="0" w:line="206" w:lineRule="exact"/>
              <w:rPr>
                <w:sz w:val="20"/>
                <w:szCs w:val="20"/>
                <w:color w:val="auto"/>
              </w:rPr>
            </w:pPr>
            <w:r>
              <w:rPr>
                <w:rFonts w:ascii="Calibri" w:cs="Calibri" w:eastAsia="Calibri" w:hAnsi="Calibri"/>
                <w:sz w:val="17"/>
                <w:szCs w:val="17"/>
                <w:b w:val="1"/>
                <w:bCs w:val="1"/>
                <w:color w:val="FB4E0B"/>
                <w:w w:val="97"/>
              </w:rPr>
              <w:t>exercise</w:t>
            </w:r>
          </w:p>
        </w:tc>
        <w:tc>
          <w:tcPr>
            <w:tcW w:w="200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w w:val="97"/>
              </w:rPr>
              <w:t>acquired on</w:t>
            </w:r>
          </w:p>
        </w:tc>
        <w:tc>
          <w:tcPr>
            <w:tcW w:w="1940" w:type="dxa"/>
            <w:vAlign w:val="bottom"/>
          </w:tcPr>
          <w:p>
            <w:pPr>
              <w:jc w:val="center"/>
              <w:ind w:left="633"/>
              <w:spacing w:after="0" w:line="206" w:lineRule="exact"/>
              <w:rPr>
                <w:sz w:val="20"/>
                <w:szCs w:val="20"/>
                <w:color w:val="auto"/>
              </w:rPr>
            </w:pPr>
            <w:r>
              <w:rPr>
                <w:rFonts w:ascii="Calibri" w:cs="Calibri" w:eastAsia="Calibri" w:hAnsi="Calibri"/>
                <w:sz w:val="17"/>
                <w:szCs w:val="17"/>
                <w:b w:val="1"/>
                <w:bCs w:val="1"/>
                <w:color w:val="FB4E0B"/>
              </w:rPr>
              <w:t>vestng</w:t>
            </w:r>
          </w:p>
        </w:tc>
      </w:tr>
      <w:tr>
        <w:trPr>
          <w:trHeight w:val="219"/>
        </w:trPr>
        <w:tc>
          <w:tcPr>
            <w:tcW w:w="54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2200" w:type="dxa"/>
            <w:vAlign w:val="bottom"/>
          </w:tcPr>
          <w:p>
            <w:pPr>
              <w:spacing w:after="0"/>
              <w:rPr>
                <w:sz w:val="19"/>
                <w:szCs w:val="19"/>
                <w:color w:val="auto"/>
              </w:rPr>
            </w:pPr>
          </w:p>
        </w:tc>
        <w:tc>
          <w:tcPr>
            <w:tcW w:w="198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w w:val="97"/>
              </w:rPr>
              <w:t>exercise</w:t>
            </w:r>
          </w:p>
        </w:tc>
        <w:tc>
          <w:tcPr>
            <w:tcW w:w="1960" w:type="dxa"/>
            <w:vAlign w:val="bottom"/>
          </w:tcPr>
          <w:p>
            <w:pPr>
              <w:jc w:val="center"/>
              <w:ind w:left="613"/>
              <w:spacing w:after="0" w:line="206" w:lineRule="exact"/>
              <w:rPr>
                <w:sz w:val="20"/>
                <w:szCs w:val="20"/>
                <w:color w:val="auto"/>
              </w:rPr>
            </w:pPr>
            <w:r>
              <w:rPr>
                <w:rFonts w:ascii="Calibri" w:cs="Calibri" w:eastAsia="Calibri" w:hAnsi="Calibri"/>
                <w:sz w:val="17"/>
                <w:szCs w:val="17"/>
                <w:b w:val="1"/>
                <w:bCs w:val="1"/>
                <w:color w:val="FB4E0B"/>
                <w:w w:val="93"/>
              </w:rPr>
              <w:t>($)</w:t>
            </w:r>
          </w:p>
        </w:tc>
        <w:tc>
          <w:tcPr>
            <w:tcW w:w="200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rPr>
              <w:t>vestng</w:t>
            </w:r>
          </w:p>
        </w:tc>
        <w:tc>
          <w:tcPr>
            <w:tcW w:w="1940" w:type="dxa"/>
            <w:vAlign w:val="bottom"/>
          </w:tcPr>
          <w:p>
            <w:pPr>
              <w:jc w:val="center"/>
              <w:ind w:left="633"/>
              <w:spacing w:after="0" w:line="206" w:lineRule="exact"/>
              <w:rPr>
                <w:sz w:val="20"/>
                <w:szCs w:val="20"/>
                <w:color w:val="auto"/>
              </w:rPr>
            </w:pPr>
            <w:r>
              <w:rPr>
                <w:rFonts w:ascii="Calibri" w:cs="Calibri" w:eastAsia="Calibri" w:hAnsi="Calibri"/>
                <w:sz w:val="17"/>
                <w:szCs w:val="17"/>
                <w:b w:val="1"/>
                <w:bCs w:val="1"/>
                <w:color w:val="FB4E0B"/>
                <w:w w:val="93"/>
              </w:rPr>
              <w:t>($)</w:t>
            </w:r>
          </w:p>
        </w:tc>
      </w:tr>
      <w:tr>
        <w:trPr>
          <w:trHeight w:val="94"/>
        </w:trPr>
        <w:tc>
          <w:tcPr>
            <w:tcW w:w="2740" w:type="dxa"/>
            <w:vAlign w:val="bottom"/>
            <w:tcBorders>
              <w:bottom w:val="single" w:sz="8" w:color="FB4E0B"/>
            </w:tcBorders>
            <w:gridSpan w:val="2"/>
          </w:tcPr>
          <w:p>
            <w:pPr>
              <w:spacing w:after="0"/>
              <w:rPr>
                <w:sz w:val="8"/>
                <w:szCs w:val="8"/>
                <w:color w:val="auto"/>
              </w:rPr>
            </w:pPr>
          </w:p>
        </w:tc>
        <w:tc>
          <w:tcPr>
            <w:tcW w:w="1980" w:type="dxa"/>
            <w:vAlign w:val="bottom"/>
            <w:tcBorders>
              <w:bottom w:val="single" w:sz="8" w:color="FB4E0B"/>
            </w:tcBorders>
          </w:tcPr>
          <w:p>
            <w:pPr>
              <w:spacing w:after="0"/>
              <w:rPr>
                <w:sz w:val="8"/>
                <w:szCs w:val="8"/>
                <w:color w:val="auto"/>
              </w:rPr>
            </w:pPr>
          </w:p>
        </w:tc>
        <w:tc>
          <w:tcPr>
            <w:tcW w:w="1960" w:type="dxa"/>
            <w:vAlign w:val="bottom"/>
            <w:tcBorders>
              <w:bottom w:val="single" w:sz="8" w:color="FB4E0B"/>
            </w:tcBorders>
          </w:tcPr>
          <w:p>
            <w:pPr>
              <w:spacing w:after="0"/>
              <w:rPr>
                <w:sz w:val="8"/>
                <w:szCs w:val="8"/>
                <w:color w:val="auto"/>
              </w:rPr>
            </w:pPr>
          </w:p>
        </w:tc>
        <w:tc>
          <w:tcPr>
            <w:tcW w:w="2000" w:type="dxa"/>
            <w:vAlign w:val="bottom"/>
            <w:tcBorders>
              <w:bottom w:val="single" w:sz="8" w:color="FB4E0B"/>
            </w:tcBorders>
          </w:tcPr>
          <w:p>
            <w:pPr>
              <w:spacing w:after="0"/>
              <w:rPr>
                <w:sz w:val="8"/>
                <w:szCs w:val="8"/>
                <w:color w:val="auto"/>
              </w:rPr>
            </w:pPr>
          </w:p>
        </w:tc>
        <w:tc>
          <w:tcPr>
            <w:tcW w:w="1940" w:type="dxa"/>
            <w:vAlign w:val="bottom"/>
            <w:tcBorders>
              <w:bottom w:val="single" w:sz="8" w:color="FB4E0B"/>
            </w:tcBorders>
          </w:tcPr>
          <w:p>
            <w:pPr>
              <w:spacing w:after="0"/>
              <w:rPr>
                <w:sz w:val="8"/>
                <w:szCs w:val="8"/>
                <w:color w:val="auto"/>
              </w:rPr>
            </w:pPr>
          </w:p>
        </w:tc>
      </w:tr>
      <w:tr>
        <w:trPr>
          <w:trHeight w:val="237"/>
        </w:trPr>
        <w:tc>
          <w:tcPr>
            <w:tcW w:w="274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196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7"/>
              </w:rPr>
              <w:t>93,449</w:t>
            </w:r>
          </w:p>
        </w:tc>
        <w:tc>
          <w:tcPr>
            <w:tcW w:w="1940" w:type="dxa"/>
            <w:vAlign w:val="bottom"/>
          </w:tcPr>
          <w:p>
            <w:pPr>
              <w:jc w:val="right"/>
              <w:ind w:right="133"/>
              <w:spacing w:after="0"/>
              <w:rPr>
                <w:sz w:val="20"/>
                <w:szCs w:val="20"/>
                <w:color w:val="auto"/>
              </w:rPr>
            </w:pPr>
            <w:r>
              <w:rPr>
                <w:rFonts w:ascii="Calibri" w:cs="Calibri" w:eastAsia="Calibri" w:hAnsi="Calibri"/>
                <w:sz w:val="17"/>
                <w:szCs w:val="17"/>
                <w:color w:val="auto"/>
              </w:rPr>
              <w:t>14,288,566</w:t>
            </w:r>
          </w:p>
        </w:tc>
      </w:tr>
      <w:tr>
        <w:trPr>
          <w:trHeight w:val="88"/>
        </w:trPr>
        <w:tc>
          <w:tcPr>
            <w:tcW w:w="2740" w:type="dxa"/>
            <w:vAlign w:val="bottom"/>
            <w:tcBorders>
              <w:bottom w:val="single" w:sz="8" w:color="auto"/>
              <w:right w:val="single" w:sz="8" w:color="auto"/>
            </w:tcBorders>
            <w:gridSpan w:val="2"/>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230"/>
        </w:trPr>
        <w:tc>
          <w:tcPr>
            <w:tcW w:w="274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196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7"/>
              </w:rPr>
              <w:t>10,843</w:t>
            </w:r>
          </w:p>
        </w:tc>
        <w:tc>
          <w:tcPr>
            <w:tcW w:w="1940" w:type="dxa"/>
            <w:vAlign w:val="bottom"/>
          </w:tcPr>
          <w:p>
            <w:pPr>
              <w:jc w:val="right"/>
              <w:ind w:right="153"/>
              <w:spacing w:after="0"/>
              <w:rPr>
                <w:sz w:val="20"/>
                <w:szCs w:val="20"/>
                <w:color w:val="auto"/>
              </w:rPr>
            </w:pPr>
            <w:r>
              <w:rPr>
                <w:rFonts w:ascii="Calibri" w:cs="Calibri" w:eastAsia="Calibri" w:hAnsi="Calibri"/>
                <w:sz w:val="17"/>
                <w:szCs w:val="17"/>
                <w:color w:val="auto"/>
              </w:rPr>
              <w:t>1,624,495</w:t>
            </w:r>
          </w:p>
        </w:tc>
      </w:tr>
      <w:tr>
        <w:trPr>
          <w:trHeight w:val="88"/>
        </w:trPr>
        <w:tc>
          <w:tcPr>
            <w:tcW w:w="2740" w:type="dxa"/>
            <w:vAlign w:val="bottom"/>
            <w:tcBorders>
              <w:bottom w:val="single" w:sz="8" w:color="auto"/>
              <w:right w:val="single" w:sz="8" w:color="auto"/>
            </w:tcBorders>
            <w:gridSpan w:val="2"/>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230"/>
        </w:trPr>
        <w:tc>
          <w:tcPr>
            <w:tcW w:w="274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196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7"/>
              </w:rPr>
              <w:t>19,731</w:t>
            </w:r>
          </w:p>
        </w:tc>
        <w:tc>
          <w:tcPr>
            <w:tcW w:w="1940" w:type="dxa"/>
            <w:vAlign w:val="bottom"/>
          </w:tcPr>
          <w:p>
            <w:pPr>
              <w:jc w:val="right"/>
              <w:ind w:right="153"/>
              <w:spacing w:after="0"/>
              <w:rPr>
                <w:sz w:val="20"/>
                <w:szCs w:val="20"/>
                <w:color w:val="auto"/>
              </w:rPr>
            </w:pPr>
            <w:r>
              <w:rPr>
                <w:rFonts w:ascii="Calibri" w:cs="Calibri" w:eastAsia="Calibri" w:hAnsi="Calibri"/>
                <w:sz w:val="17"/>
                <w:szCs w:val="17"/>
                <w:color w:val="auto"/>
              </w:rPr>
              <w:t>2,957,319</w:t>
            </w:r>
          </w:p>
        </w:tc>
      </w:tr>
      <w:tr>
        <w:trPr>
          <w:trHeight w:val="88"/>
        </w:trPr>
        <w:tc>
          <w:tcPr>
            <w:tcW w:w="2740" w:type="dxa"/>
            <w:vAlign w:val="bottom"/>
            <w:tcBorders>
              <w:bottom w:val="single" w:sz="8" w:color="auto"/>
              <w:right w:val="single" w:sz="8" w:color="auto"/>
            </w:tcBorders>
            <w:gridSpan w:val="2"/>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230"/>
        </w:trPr>
        <w:tc>
          <w:tcPr>
            <w:tcW w:w="274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196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7"/>
              </w:rPr>
              <w:t>15,005</w:t>
            </w:r>
          </w:p>
        </w:tc>
        <w:tc>
          <w:tcPr>
            <w:tcW w:w="1940" w:type="dxa"/>
            <w:vAlign w:val="bottom"/>
          </w:tcPr>
          <w:p>
            <w:pPr>
              <w:jc w:val="right"/>
              <w:ind w:right="153"/>
              <w:spacing w:after="0"/>
              <w:rPr>
                <w:sz w:val="20"/>
                <w:szCs w:val="20"/>
                <w:color w:val="auto"/>
              </w:rPr>
            </w:pPr>
            <w:r>
              <w:rPr>
                <w:rFonts w:ascii="Calibri" w:cs="Calibri" w:eastAsia="Calibri" w:hAnsi="Calibri"/>
                <w:sz w:val="17"/>
                <w:szCs w:val="17"/>
                <w:color w:val="auto"/>
              </w:rPr>
              <w:t>2,314,952</w:t>
            </w:r>
          </w:p>
        </w:tc>
      </w:tr>
      <w:tr>
        <w:trPr>
          <w:trHeight w:val="88"/>
        </w:trPr>
        <w:tc>
          <w:tcPr>
            <w:tcW w:w="2740" w:type="dxa"/>
            <w:vAlign w:val="bottom"/>
            <w:tcBorders>
              <w:bottom w:val="single" w:sz="8" w:color="auto"/>
              <w:right w:val="single" w:sz="8" w:color="auto"/>
            </w:tcBorders>
            <w:gridSpan w:val="2"/>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r>
      <w:tr>
        <w:trPr>
          <w:trHeight w:val="230"/>
        </w:trPr>
        <w:tc>
          <w:tcPr>
            <w:tcW w:w="2740" w:type="dxa"/>
            <w:vAlign w:val="bottom"/>
            <w:tcBorders>
              <w:right w:val="single" w:sz="8" w:color="auto"/>
            </w:tcBorders>
            <w:gridSpan w:val="2"/>
          </w:tcPr>
          <w:p>
            <w:pPr>
              <w:ind w:left="40"/>
              <w:spacing w:after="0"/>
              <w:rPr>
                <w:sz w:val="20"/>
                <w:szCs w:val="20"/>
                <w:color w:val="auto"/>
              </w:rPr>
            </w:pPr>
            <w:r>
              <w:rPr>
                <w:rFonts w:ascii="Calibri" w:cs="Calibri" w:eastAsia="Calibri" w:hAnsi="Calibri"/>
                <w:sz w:val="17"/>
                <w:szCs w:val="17"/>
                <w:b w:val="1"/>
                <w:bCs w:val="1"/>
                <w:color w:val="auto"/>
              </w:rPr>
              <w:t>Ankor Rai</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196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7"/>
              </w:rPr>
              <w:t>12,615</w:t>
            </w:r>
          </w:p>
        </w:tc>
        <w:tc>
          <w:tcPr>
            <w:tcW w:w="1940" w:type="dxa"/>
            <w:vAlign w:val="bottom"/>
          </w:tcPr>
          <w:p>
            <w:pPr>
              <w:jc w:val="right"/>
              <w:ind w:right="153"/>
              <w:spacing w:after="0"/>
              <w:rPr>
                <w:sz w:val="20"/>
                <w:szCs w:val="20"/>
                <w:color w:val="auto"/>
              </w:rPr>
            </w:pPr>
            <w:r>
              <w:rPr>
                <w:rFonts w:ascii="Calibri" w:cs="Calibri" w:eastAsia="Calibri" w:hAnsi="Calibri"/>
                <w:sz w:val="17"/>
                <w:szCs w:val="17"/>
                <w:color w:val="auto"/>
              </w:rPr>
              <w:t>1,955,042</w:t>
            </w:r>
          </w:p>
        </w:tc>
      </w:tr>
      <w:tr>
        <w:trPr>
          <w:trHeight w:val="94"/>
        </w:trPr>
        <w:tc>
          <w:tcPr>
            <w:tcW w:w="540" w:type="dxa"/>
            <w:vAlign w:val="bottom"/>
            <w:tcBorders>
              <w:bottom w:val="single" w:sz="8" w:color="FB4E0B"/>
            </w:tcBorders>
          </w:tcPr>
          <w:p>
            <w:pPr>
              <w:spacing w:after="0"/>
              <w:rPr>
                <w:sz w:val="8"/>
                <w:szCs w:val="8"/>
                <w:color w:val="auto"/>
              </w:rPr>
            </w:pPr>
          </w:p>
        </w:tc>
        <w:tc>
          <w:tcPr>
            <w:tcW w:w="2200" w:type="dxa"/>
            <w:vAlign w:val="bottom"/>
            <w:tcBorders>
              <w:bottom w:val="single" w:sz="8" w:color="FB4E0B"/>
              <w:right w:val="single" w:sz="8" w:color="auto"/>
            </w:tcBorders>
          </w:tcPr>
          <w:p>
            <w:pPr>
              <w:spacing w:after="0"/>
              <w:rPr>
                <w:sz w:val="8"/>
                <w:szCs w:val="8"/>
                <w:color w:val="auto"/>
              </w:rPr>
            </w:pPr>
          </w:p>
        </w:tc>
        <w:tc>
          <w:tcPr>
            <w:tcW w:w="1980" w:type="dxa"/>
            <w:vAlign w:val="bottom"/>
            <w:tcBorders>
              <w:bottom w:val="single" w:sz="8" w:color="FB4E0B"/>
              <w:right w:val="single" w:sz="8" w:color="auto"/>
            </w:tcBorders>
          </w:tcPr>
          <w:p>
            <w:pPr>
              <w:spacing w:after="0"/>
              <w:rPr>
                <w:sz w:val="8"/>
                <w:szCs w:val="8"/>
                <w:color w:val="auto"/>
              </w:rPr>
            </w:pPr>
          </w:p>
        </w:tc>
        <w:tc>
          <w:tcPr>
            <w:tcW w:w="1960" w:type="dxa"/>
            <w:vAlign w:val="bottom"/>
            <w:tcBorders>
              <w:bottom w:val="single" w:sz="8" w:color="FB4E0B"/>
              <w:right w:val="single" w:sz="8" w:color="auto"/>
            </w:tcBorders>
          </w:tcPr>
          <w:p>
            <w:pPr>
              <w:spacing w:after="0"/>
              <w:rPr>
                <w:sz w:val="8"/>
                <w:szCs w:val="8"/>
                <w:color w:val="auto"/>
              </w:rPr>
            </w:pPr>
          </w:p>
        </w:tc>
        <w:tc>
          <w:tcPr>
            <w:tcW w:w="2000" w:type="dxa"/>
            <w:vAlign w:val="bottom"/>
            <w:tcBorders>
              <w:bottom w:val="single" w:sz="8" w:color="FB4E0B"/>
              <w:right w:val="single" w:sz="8" w:color="auto"/>
            </w:tcBorders>
          </w:tcPr>
          <w:p>
            <w:pPr>
              <w:spacing w:after="0"/>
              <w:rPr>
                <w:sz w:val="8"/>
                <w:szCs w:val="8"/>
                <w:color w:val="auto"/>
              </w:rPr>
            </w:pPr>
          </w:p>
        </w:tc>
        <w:tc>
          <w:tcPr>
            <w:tcW w:w="1940" w:type="dxa"/>
            <w:vAlign w:val="bottom"/>
            <w:tcBorders>
              <w:bottom w:val="single" w:sz="8" w:color="FB4E0B"/>
            </w:tcBorders>
          </w:tcPr>
          <w:p>
            <w:pPr>
              <w:spacing w:after="0"/>
              <w:rPr>
                <w:sz w:val="8"/>
                <w:szCs w:val="8"/>
                <w:color w:val="auto"/>
              </w:rPr>
            </w:pPr>
          </w:p>
        </w:tc>
      </w:tr>
      <w:tr>
        <w:trPr>
          <w:trHeight w:val="445"/>
        </w:trPr>
        <w:tc>
          <w:tcPr>
            <w:tcW w:w="540" w:type="dxa"/>
            <w:vAlign w:val="bottom"/>
          </w:tcPr>
          <w:p>
            <w:pPr>
              <w:ind w:left="100"/>
              <w:spacing w:after="0"/>
              <w:rPr>
                <w:sz w:val="20"/>
                <w:szCs w:val="20"/>
                <w:color w:val="auto"/>
              </w:rPr>
            </w:pPr>
            <w:r>
              <w:rPr>
                <w:rFonts w:ascii="Calibri" w:cs="Calibri" w:eastAsia="Calibri" w:hAnsi="Calibri"/>
                <w:sz w:val="17"/>
                <w:szCs w:val="17"/>
                <w:b w:val="1"/>
                <w:bCs w:val="1"/>
                <w:color w:val="auto"/>
              </w:rPr>
              <w:t>94</w:t>
            </w:r>
          </w:p>
        </w:tc>
        <w:tc>
          <w:tcPr>
            <w:tcW w:w="2200" w:type="dxa"/>
            <w:vAlign w:val="bottom"/>
          </w:tcPr>
          <w:p>
            <w:pPr>
              <w:ind w:left="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1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940"/>
          </w:cols>
          <w:pgMar w:left="320" w:top="471"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Pension benefts for fscal year 2022</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discloses the present value of accumulated pension benefts payable to each of the named executve ofcers.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8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w w:val="99"/>
              </w:rPr>
              <w:t>Number of</w:t>
            </w:r>
          </w:p>
        </w:tc>
        <w:tc>
          <w:tcPr>
            <w:tcW w:w="1480" w:type="dxa"/>
            <w:vAlign w:val="bottom"/>
          </w:tcPr>
          <w:p>
            <w:pPr>
              <w:jc w:val="center"/>
              <w:ind w:left="233"/>
              <w:spacing w:after="0"/>
              <w:rPr>
                <w:sz w:val="20"/>
                <w:szCs w:val="20"/>
                <w:color w:val="auto"/>
              </w:rPr>
            </w:pPr>
            <w:r>
              <w:rPr>
                <w:rFonts w:ascii="Calibri" w:cs="Calibri" w:eastAsia="Calibri" w:hAnsi="Calibri"/>
                <w:sz w:val="17"/>
                <w:szCs w:val="17"/>
                <w:b w:val="1"/>
                <w:bCs w:val="1"/>
                <w:color w:val="FB4E0B"/>
                <w:w w:val="99"/>
              </w:rPr>
              <w:t>Present value</w:t>
            </w:r>
          </w:p>
        </w:tc>
        <w:tc>
          <w:tcPr>
            <w:tcW w:w="1540" w:type="dxa"/>
            <w:vAlign w:val="bottom"/>
          </w:tcPr>
          <w:p>
            <w:pPr>
              <w:jc w:val="center"/>
              <w:ind w:left="273"/>
              <w:spacing w:after="0"/>
              <w:rPr>
                <w:sz w:val="20"/>
                <w:szCs w:val="20"/>
                <w:color w:val="auto"/>
              </w:rPr>
            </w:pPr>
            <w:r>
              <w:rPr>
                <w:rFonts w:ascii="Calibri" w:cs="Calibri" w:eastAsia="Calibri" w:hAnsi="Calibri"/>
                <w:sz w:val="17"/>
                <w:szCs w:val="17"/>
                <w:b w:val="1"/>
                <w:bCs w:val="1"/>
                <w:color w:val="FB4E0B"/>
                <w:w w:val="98"/>
              </w:rPr>
              <w:t>Payments during</w:t>
            </w:r>
          </w:p>
        </w:tc>
      </w:tr>
      <w:tr>
        <w:trPr>
          <w:trHeight w:val="208"/>
        </w:trPr>
        <w:tc>
          <w:tcPr>
            <w:tcW w:w="16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8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w w:val="99"/>
              </w:rPr>
              <w:t>years credited</w:t>
            </w:r>
          </w:p>
        </w:tc>
        <w:tc>
          <w:tcPr>
            <w:tcW w:w="1480" w:type="dxa"/>
            <w:vAlign w:val="bottom"/>
          </w:tcPr>
          <w:p>
            <w:pPr>
              <w:jc w:val="center"/>
              <w:ind w:left="233"/>
              <w:spacing w:after="0"/>
              <w:rPr>
                <w:sz w:val="20"/>
                <w:szCs w:val="20"/>
                <w:color w:val="auto"/>
              </w:rPr>
            </w:pPr>
            <w:r>
              <w:rPr>
                <w:rFonts w:ascii="Calibri" w:cs="Calibri" w:eastAsia="Calibri" w:hAnsi="Calibri"/>
                <w:sz w:val="17"/>
                <w:szCs w:val="17"/>
                <w:b w:val="1"/>
                <w:bCs w:val="1"/>
                <w:color w:val="FB4E0B"/>
                <w:w w:val="98"/>
              </w:rPr>
              <w:t>of accumulated</w:t>
            </w:r>
          </w:p>
        </w:tc>
        <w:tc>
          <w:tcPr>
            <w:tcW w:w="1540" w:type="dxa"/>
            <w:vAlign w:val="bottom"/>
          </w:tcPr>
          <w:p>
            <w:pPr>
              <w:jc w:val="center"/>
              <w:ind w:left="253"/>
              <w:spacing w:after="0"/>
              <w:rPr>
                <w:sz w:val="20"/>
                <w:szCs w:val="20"/>
                <w:color w:val="auto"/>
              </w:rPr>
            </w:pPr>
            <w:r>
              <w:rPr>
                <w:rFonts w:ascii="Calibri" w:cs="Calibri" w:eastAsia="Calibri" w:hAnsi="Calibri"/>
                <w:sz w:val="17"/>
                <w:szCs w:val="17"/>
                <w:b w:val="1"/>
                <w:bCs w:val="1"/>
                <w:color w:val="FB4E0B"/>
              </w:rPr>
              <w:t>last fscal year</w:t>
            </w:r>
          </w:p>
        </w:tc>
      </w:tr>
      <w:tr>
        <w:trPr>
          <w:trHeight w:val="208"/>
        </w:trPr>
        <w:tc>
          <w:tcPr>
            <w:tcW w:w="1600" w:type="dxa"/>
            <w:vAlign w:val="bottom"/>
          </w:tcPr>
          <w:p>
            <w:pPr>
              <w:ind w:left="80"/>
              <w:spacing w:after="0"/>
              <w:rPr>
                <w:sz w:val="20"/>
                <w:szCs w:val="20"/>
                <w:color w:val="auto"/>
              </w:rPr>
            </w:pPr>
            <w:r>
              <w:rPr>
                <w:rFonts w:ascii="Calibri" w:cs="Calibri" w:eastAsia="Calibri" w:hAnsi="Calibri"/>
                <w:sz w:val="17"/>
                <w:szCs w:val="17"/>
                <w:b w:val="1"/>
                <w:bCs w:val="1"/>
                <w:color w:val="FB4E0B"/>
              </w:rPr>
              <w:t>Name</w:t>
            </w:r>
          </w:p>
        </w:tc>
        <w:tc>
          <w:tcPr>
            <w:tcW w:w="4720" w:type="dxa"/>
            <w:vAlign w:val="bottom"/>
          </w:tcPr>
          <w:p>
            <w:pPr>
              <w:ind w:left="700"/>
              <w:spacing w:after="0"/>
              <w:rPr>
                <w:sz w:val="20"/>
                <w:szCs w:val="20"/>
                <w:color w:val="auto"/>
              </w:rPr>
            </w:pPr>
            <w:r>
              <w:rPr>
                <w:rFonts w:ascii="Calibri" w:cs="Calibri" w:eastAsia="Calibri" w:hAnsi="Calibri"/>
                <w:sz w:val="17"/>
                <w:szCs w:val="17"/>
                <w:b w:val="1"/>
                <w:bCs w:val="1"/>
                <w:color w:val="FB4E0B"/>
              </w:rPr>
              <w:t>Plan name</w:t>
            </w:r>
          </w:p>
        </w:tc>
        <w:tc>
          <w:tcPr>
            <w:tcW w:w="1280" w:type="dxa"/>
            <w:vAlign w:val="bottom"/>
          </w:tcPr>
          <w:p>
            <w:pPr>
              <w:jc w:val="center"/>
              <w:ind w:left="153"/>
              <w:spacing w:after="0"/>
              <w:rPr>
                <w:sz w:val="20"/>
                <w:szCs w:val="20"/>
                <w:color w:val="auto"/>
              </w:rPr>
            </w:pPr>
            <w:r>
              <w:rPr>
                <w:rFonts w:ascii="Calibri" w:cs="Calibri" w:eastAsia="Calibri" w:hAnsi="Calibri"/>
                <w:sz w:val="17"/>
                <w:szCs w:val="17"/>
                <w:b w:val="1"/>
                <w:bCs w:val="1"/>
                <w:color w:val="FB4E0B"/>
              </w:rPr>
              <w:t>service (#)</w:t>
            </w:r>
            <w:r>
              <w:rPr>
                <w:rFonts w:ascii="Calibri" w:cs="Calibri" w:eastAsia="Calibri" w:hAnsi="Calibri"/>
                <w:sz w:val="13"/>
                <w:szCs w:val="13"/>
                <w:b w:val="1"/>
                <w:bCs w:val="1"/>
                <w:color w:val="FB4E0B"/>
              </w:rPr>
              <w:t>(1)</w:t>
            </w:r>
          </w:p>
        </w:tc>
        <w:tc>
          <w:tcPr>
            <w:tcW w:w="1480" w:type="dxa"/>
            <w:vAlign w:val="bottom"/>
          </w:tcPr>
          <w:p>
            <w:pPr>
              <w:jc w:val="center"/>
              <w:ind w:left="253"/>
              <w:spacing w:after="0"/>
              <w:rPr>
                <w:sz w:val="20"/>
                <w:szCs w:val="20"/>
                <w:color w:val="auto"/>
              </w:rPr>
            </w:pPr>
            <w:r>
              <w:rPr>
                <w:rFonts w:ascii="Calibri" w:cs="Calibri" w:eastAsia="Calibri" w:hAnsi="Calibri"/>
                <w:sz w:val="17"/>
                <w:szCs w:val="17"/>
                <w:b w:val="1"/>
                <w:bCs w:val="1"/>
                <w:color w:val="FB4E0B"/>
              </w:rPr>
              <w:t>beneft ($)</w:t>
            </w:r>
          </w:p>
        </w:tc>
        <w:tc>
          <w:tcPr>
            <w:tcW w:w="1540" w:type="dxa"/>
            <w:vAlign w:val="bottom"/>
          </w:tcPr>
          <w:p>
            <w:pPr>
              <w:jc w:val="right"/>
              <w:ind w:right="413"/>
              <w:spacing w:after="0"/>
              <w:rPr>
                <w:sz w:val="20"/>
                <w:szCs w:val="20"/>
                <w:color w:val="auto"/>
              </w:rPr>
            </w:pPr>
            <w:r>
              <w:rPr>
                <w:rFonts w:ascii="Calibri" w:cs="Calibri" w:eastAsia="Calibri" w:hAnsi="Calibri"/>
                <w:sz w:val="17"/>
                <w:szCs w:val="17"/>
                <w:b w:val="1"/>
                <w:bCs w:val="1"/>
                <w:color w:val="FB4E0B"/>
              </w:rPr>
              <w:t>($)</w:t>
            </w:r>
          </w:p>
        </w:tc>
      </w:tr>
      <w:tr>
        <w:trPr>
          <w:trHeight w:val="133"/>
        </w:trPr>
        <w:tc>
          <w:tcPr>
            <w:tcW w:w="1600" w:type="dxa"/>
            <w:vAlign w:val="bottom"/>
            <w:tcBorders>
              <w:bottom w:val="single" w:sz="8" w:color="FB4E0B"/>
            </w:tcBorders>
          </w:tcPr>
          <w:p>
            <w:pPr>
              <w:spacing w:after="0"/>
              <w:rPr>
                <w:sz w:val="11"/>
                <w:szCs w:val="11"/>
                <w:color w:val="auto"/>
              </w:rPr>
            </w:pPr>
          </w:p>
        </w:tc>
        <w:tc>
          <w:tcPr>
            <w:tcW w:w="4720" w:type="dxa"/>
            <w:vAlign w:val="bottom"/>
            <w:tcBorders>
              <w:bottom w:val="single" w:sz="8" w:color="FB4E0B"/>
            </w:tcBorders>
          </w:tcPr>
          <w:p>
            <w:pPr>
              <w:spacing w:after="0"/>
              <w:rPr>
                <w:sz w:val="11"/>
                <w:szCs w:val="11"/>
                <w:color w:val="auto"/>
              </w:rPr>
            </w:pPr>
          </w:p>
        </w:tc>
        <w:tc>
          <w:tcPr>
            <w:tcW w:w="1280" w:type="dxa"/>
            <w:vAlign w:val="bottom"/>
            <w:tcBorders>
              <w:bottom w:val="single" w:sz="8" w:color="FB4E0B"/>
            </w:tcBorders>
          </w:tcPr>
          <w:p>
            <w:pPr>
              <w:spacing w:after="0"/>
              <w:rPr>
                <w:sz w:val="11"/>
                <w:szCs w:val="11"/>
                <w:color w:val="auto"/>
              </w:rPr>
            </w:pPr>
          </w:p>
        </w:tc>
        <w:tc>
          <w:tcPr>
            <w:tcW w:w="1480" w:type="dxa"/>
            <w:vAlign w:val="bottom"/>
            <w:tcBorders>
              <w:bottom w:val="single" w:sz="8" w:color="FB4E0B"/>
            </w:tcBorders>
          </w:tcPr>
          <w:p>
            <w:pPr>
              <w:spacing w:after="0"/>
              <w:rPr>
                <w:sz w:val="11"/>
                <w:szCs w:val="11"/>
                <w:color w:val="auto"/>
              </w:rPr>
            </w:pPr>
          </w:p>
        </w:tc>
        <w:tc>
          <w:tcPr>
            <w:tcW w:w="1540" w:type="dxa"/>
            <w:vAlign w:val="bottom"/>
            <w:tcBorders>
              <w:bottom w:val="single" w:sz="8" w:color="FB4E0B"/>
            </w:tcBorders>
          </w:tcPr>
          <w:p>
            <w:pPr>
              <w:spacing w:after="0"/>
              <w:rPr>
                <w:sz w:val="11"/>
                <w:szCs w:val="11"/>
                <w:color w:val="auto"/>
              </w:rPr>
            </w:pPr>
          </w:p>
        </w:tc>
      </w:tr>
      <w:tr>
        <w:trPr>
          <w:trHeight w:val="237"/>
        </w:trPr>
        <w:tc>
          <w:tcPr>
            <w:tcW w:w="16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4720" w:type="dxa"/>
            <w:vAlign w:val="bottom"/>
            <w:tcBorders>
              <w:right w:val="single" w:sz="8" w:color="auto"/>
            </w:tcBorders>
          </w:tcPr>
          <w:p>
            <w:pPr>
              <w:ind w:left="700"/>
              <w:spacing w:after="0"/>
              <w:rPr>
                <w:sz w:val="20"/>
                <w:szCs w:val="20"/>
                <w:color w:val="auto"/>
              </w:rPr>
            </w:pPr>
            <w:r>
              <w:rPr>
                <w:rFonts w:ascii="Calibri" w:cs="Calibri" w:eastAsia="Calibri" w:hAnsi="Calibri"/>
                <w:sz w:val="17"/>
                <w:szCs w:val="17"/>
                <w:color w:val="auto"/>
              </w:rPr>
              <w:t>Gratuity Plan for Indian Employees</w:t>
            </w:r>
            <w:r>
              <w:rPr>
                <w:rFonts w:ascii="Calibri" w:cs="Calibri" w:eastAsia="Calibri" w:hAnsi="Calibri"/>
                <w:sz w:val="13"/>
                <w:szCs w:val="13"/>
                <w:color w:val="auto"/>
              </w:rPr>
              <w:t>(2)</w:t>
            </w:r>
          </w:p>
        </w:tc>
        <w:tc>
          <w:tcPr>
            <w:tcW w:w="1280" w:type="dxa"/>
            <w:vAlign w:val="bottom"/>
            <w:tcBorders>
              <w:right w:val="single" w:sz="8" w:color="auto"/>
            </w:tcBorders>
          </w:tcPr>
          <w:p>
            <w:pPr>
              <w:jc w:val="center"/>
              <w:ind w:left="153"/>
              <w:spacing w:after="0"/>
              <w:rPr>
                <w:sz w:val="20"/>
                <w:szCs w:val="20"/>
                <w:color w:val="auto"/>
              </w:rPr>
            </w:pPr>
            <w:r>
              <w:rPr>
                <w:rFonts w:ascii="Calibri" w:cs="Calibri" w:eastAsia="Calibri" w:hAnsi="Calibri"/>
                <w:sz w:val="17"/>
                <w:szCs w:val="17"/>
                <w:color w:val="auto"/>
                <w:w w:val="92"/>
              </w:rPr>
              <w:t>22</w:t>
            </w:r>
          </w:p>
        </w:tc>
        <w:tc>
          <w:tcPr>
            <w:tcW w:w="1480" w:type="dxa"/>
            <w:vAlign w:val="bottom"/>
            <w:tcBorders>
              <w:right w:val="single" w:sz="8" w:color="auto"/>
            </w:tcBorders>
          </w:tcPr>
          <w:p>
            <w:pPr>
              <w:jc w:val="center"/>
              <w:ind w:left="233"/>
              <w:spacing w:after="0"/>
              <w:rPr>
                <w:sz w:val="20"/>
                <w:szCs w:val="20"/>
                <w:color w:val="auto"/>
              </w:rPr>
            </w:pPr>
            <w:r>
              <w:rPr>
                <w:rFonts w:ascii="Calibri" w:cs="Calibri" w:eastAsia="Calibri" w:hAnsi="Calibri"/>
                <w:sz w:val="17"/>
                <w:szCs w:val="17"/>
                <w:color w:val="auto"/>
                <w:w w:val="99"/>
              </w:rPr>
              <w:t>124,859</w:t>
            </w:r>
          </w:p>
        </w:tc>
        <w:tc>
          <w:tcPr>
            <w:tcW w:w="1540" w:type="dxa"/>
            <w:vAlign w:val="bottom"/>
          </w:tcPr>
          <w:p>
            <w:pPr>
              <w:jc w:val="center"/>
              <w:ind w:left="253"/>
              <w:spacing w:after="0"/>
              <w:rPr>
                <w:sz w:val="20"/>
                <w:szCs w:val="20"/>
                <w:color w:val="auto"/>
              </w:rPr>
            </w:pPr>
            <w:r>
              <w:rPr>
                <w:rFonts w:ascii="Calibri" w:cs="Calibri" w:eastAsia="Calibri" w:hAnsi="Calibri"/>
                <w:sz w:val="17"/>
                <w:szCs w:val="17"/>
                <w:color w:val="auto"/>
              </w:rPr>
              <w:t>—</w:t>
            </w:r>
          </w:p>
        </w:tc>
      </w:tr>
      <w:tr>
        <w:trPr>
          <w:trHeight w:val="94"/>
        </w:trPr>
        <w:tc>
          <w:tcPr>
            <w:tcW w:w="1600" w:type="dxa"/>
            <w:vAlign w:val="bottom"/>
            <w:tcBorders>
              <w:bottom w:val="single" w:sz="8" w:color="FB4E0B"/>
              <w:right w:val="single" w:sz="8" w:color="auto"/>
            </w:tcBorders>
          </w:tcPr>
          <w:p>
            <w:pPr>
              <w:spacing w:after="0"/>
              <w:rPr>
                <w:sz w:val="8"/>
                <w:szCs w:val="8"/>
                <w:color w:val="auto"/>
              </w:rPr>
            </w:pPr>
          </w:p>
        </w:tc>
        <w:tc>
          <w:tcPr>
            <w:tcW w:w="4720" w:type="dxa"/>
            <w:vAlign w:val="bottom"/>
            <w:tcBorders>
              <w:bottom w:val="single" w:sz="8" w:color="FB4E0B"/>
              <w:right w:val="single" w:sz="8" w:color="auto"/>
            </w:tcBorders>
          </w:tcPr>
          <w:p>
            <w:pPr>
              <w:spacing w:after="0"/>
              <w:rPr>
                <w:sz w:val="8"/>
                <w:szCs w:val="8"/>
                <w:color w:val="auto"/>
              </w:rPr>
            </w:pPr>
          </w:p>
        </w:tc>
        <w:tc>
          <w:tcPr>
            <w:tcW w:w="1280" w:type="dxa"/>
            <w:vAlign w:val="bottom"/>
            <w:tcBorders>
              <w:bottom w:val="single" w:sz="8" w:color="FB4E0B"/>
              <w:right w:val="single" w:sz="8" w:color="auto"/>
            </w:tcBorders>
          </w:tcPr>
          <w:p>
            <w:pPr>
              <w:spacing w:after="0"/>
              <w:rPr>
                <w:sz w:val="8"/>
                <w:szCs w:val="8"/>
                <w:color w:val="auto"/>
              </w:rPr>
            </w:pPr>
          </w:p>
        </w:tc>
        <w:tc>
          <w:tcPr>
            <w:tcW w:w="1480" w:type="dxa"/>
            <w:vAlign w:val="bottom"/>
            <w:tcBorders>
              <w:bottom w:val="single" w:sz="8" w:color="FB4E0B"/>
              <w:right w:val="single" w:sz="8" w:color="auto"/>
            </w:tcBorders>
          </w:tcPr>
          <w:p>
            <w:pPr>
              <w:spacing w:after="0"/>
              <w:rPr>
                <w:sz w:val="8"/>
                <w:szCs w:val="8"/>
                <w:color w:val="auto"/>
              </w:rPr>
            </w:pPr>
          </w:p>
        </w:tc>
        <w:tc>
          <w:tcPr>
            <w:tcW w:w="1540" w:type="dxa"/>
            <w:vAlign w:val="bottom"/>
            <w:tcBorders>
              <w:bottom w:val="single" w:sz="8" w:color="FB4E0B"/>
            </w:tcBorders>
          </w:tcPr>
          <w:p>
            <w:pPr>
              <w:spacing w:after="0"/>
              <w:rPr>
                <w:sz w:val="8"/>
                <w:szCs w:val="8"/>
                <w:color w:val="auto"/>
              </w:rPr>
            </w:pPr>
          </w:p>
        </w:tc>
      </w:tr>
    </w:tbl>
    <w:p>
      <w:pPr>
        <w:ind w:left="320" w:right="280" w:hanging="4"/>
        <w:spacing w:after="0" w:line="241" w:lineRule="auto"/>
        <w:tabs>
          <w:tab w:leader="none" w:pos="494" w:val="left"/>
        </w:tabs>
        <w:numPr>
          <w:ilvl w:val="0"/>
          <w:numId w:val="31"/>
        </w:numPr>
        <w:rPr>
          <w:rFonts w:ascii="Calibri" w:cs="Calibri" w:eastAsia="Calibri" w:hAnsi="Calibri"/>
          <w:sz w:val="13"/>
          <w:szCs w:val="13"/>
          <w:color w:val="auto"/>
        </w:rPr>
      </w:pPr>
      <w:r>
        <w:rPr>
          <w:rFonts w:ascii="Calibri" w:cs="Calibri" w:eastAsia="Calibri" w:hAnsi="Calibri"/>
          <w:sz w:val="13"/>
          <w:szCs w:val="13"/>
          <w:color w:val="auto"/>
        </w:rPr>
        <w:t>Consists of the number of years of service credited as of December 31, 2022, for the purpose of determining beneft service under the Gratuity Plan. Credited service is determined based on the completed years of contnuous employment (rounded to the nearest whole number of years) with the Company since the executve’s date of hire.</w:t>
      </w:r>
    </w:p>
    <w:p>
      <w:pPr>
        <w:spacing w:after="0" w:line="13"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31"/>
        </w:numPr>
        <w:rPr>
          <w:rFonts w:ascii="Calibri" w:cs="Calibri" w:eastAsia="Calibri" w:hAnsi="Calibri"/>
          <w:sz w:val="13"/>
          <w:szCs w:val="13"/>
          <w:color w:val="auto"/>
        </w:rPr>
      </w:pPr>
      <w:r>
        <w:rPr>
          <w:rFonts w:ascii="Calibri" w:cs="Calibri" w:eastAsia="Calibri" w:hAnsi="Calibri"/>
          <w:sz w:val="13"/>
          <w:szCs w:val="13"/>
          <w:color w:val="auto"/>
        </w:rPr>
        <w:t>Liabilites with regard to the Gratuity Plan is determined by actuarial valuaton using the projected unit credit method. Under this method, we determine our liability based upon the discounted value of salary increases untl the date of separaton arising from retrement, death, resignaton or other terminaton of services. Critcal assumptons used in measuring the plan expense and projected liability under the projected unit credit method include the discount rate, expected return on assets and the expected increase in the compensaton rates. Details regarding the assumptons used in the calculaton of these amounts are included in footnote 20 to the audited fnancial statements for the fscal year ended December 31, 2022, included in the 2022 Form 10-K.</w:t>
      </w:r>
    </w:p>
    <w:p>
      <w:pPr>
        <w:spacing w:after="0" w:line="9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We are required to provide all Indian employees with benefts under the Gratuity Plan, a defned beneft pension plan in India. Distributons from the Gratuity Plan are made in a single lump sum following retrement from the Company. An executve’s beneft under the Gratuity Plan is determined at any tme as the executve’s annual base salary (determined based on the executve’s most recent monthly base salary) divided by 26, multplied by 15, and the product multplied by the executve’s completed years of contnuous service with the Company. An executve has a vested and nonforfeitable right to payment of his accrued Gratuity Plan beneft only afer fve years of service. The present value of Mr. Bhalla’s accumulated benefts has been determined based on his monthly basic salary rate in efect on December 31, 2022, which was approximately $9,837.</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Potental payments upon terminaton or change in control at fscal 2022 year-end</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following tables summarize the amounts payable to each named executve ofcer upon a change in control or terminaton of his employment with us on December 31, 2022. In calculatng potental payments for purposes of this disclosure, we have quantfed our equity-based payments using the closing stock price on December 30, 2022, which was $169.43. Some of the capitalized terms used in the employment agreements for our named executve ofcers are defned in the secton enttled “Certain defned terms” on page 102.</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Cash severance</w:t>
      </w:r>
    </w:p>
    <w:p>
      <w:pPr>
        <w:spacing w:after="0" w:line="106"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If Mr. Kapoor’s employment were terminated by us without “cause” or by the executve for “good reason” or by “retrement” (in each case, as described below) on December 31, 2022, he would have been enttled to cash severance consistng of:</w:t>
      </w:r>
    </w:p>
    <w:p>
      <w:pPr>
        <w:spacing w:after="0" w:line="119" w:lineRule="exact"/>
        <w:rPr>
          <w:sz w:val="20"/>
          <w:szCs w:val="20"/>
          <w:color w:val="auto"/>
        </w:rPr>
      </w:pPr>
    </w:p>
    <w:p>
      <w:pPr>
        <w:ind w:left="1140" w:hanging="407"/>
        <w:spacing w:after="0"/>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except in the case of retrement, contnuaton of his base salary for 24 months;</w:t>
      </w:r>
    </w:p>
    <w:p>
      <w:pPr>
        <w:spacing w:after="0" w:line="119" w:lineRule="exact"/>
        <w:rPr>
          <w:rFonts w:ascii="Calibri" w:cs="Calibri" w:eastAsia="Calibri" w:hAnsi="Calibri"/>
          <w:sz w:val="17"/>
          <w:szCs w:val="17"/>
          <w:color w:val="auto"/>
        </w:rPr>
      </w:pPr>
    </w:p>
    <w:p>
      <w:pPr>
        <w:ind w:left="1140" w:right="220" w:hanging="407"/>
        <w:spacing w:after="0" w:line="239" w:lineRule="auto"/>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except in the case of retrement, his actual bonus, if any, earned for the year of terminaton, determined as if he had been employed for the full year of terminaton, paid ratably over the remaining period of base salary payments;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any unpaid bonus amounts from prior periods;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32"/>
        </w:numPr>
        <w:rPr>
          <w:rFonts w:ascii="Calibri" w:cs="Calibri" w:eastAsia="Calibri" w:hAnsi="Calibri"/>
          <w:sz w:val="17"/>
          <w:szCs w:val="17"/>
          <w:color w:val="auto"/>
        </w:rPr>
      </w:pPr>
      <w:r>
        <w:rPr>
          <w:rFonts w:ascii="Calibri" w:cs="Calibri" w:eastAsia="Calibri" w:hAnsi="Calibri"/>
          <w:sz w:val="17"/>
          <w:szCs w:val="17"/>
          <w:color w:val="auto"/>
        </w:rPr>
        <w:t>any accrued but unpaid base salary and vacaton days or unreimbursed expenses;</w:t>
      </w:r>
    </w:p>
    <w:p>
      <w:pPr>
        <w:spacing w:after="0" w:line="296"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95</w:t>
      </w:r>
    </w:p>
    <w:p>
      <w:pPr>
        <w:sectPr>
          <w:pgSz w:w="11900" w:h="16838" w:orient="portrait"/>
          <w:cols w:equalWidth="0" w:num="1">
            <w:col w:w="10940"/>
          </w:cols>
          <w:pgMar w:left="320" w:top="471"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1140" w:right="100" w:hanging="407"/>
        <w:spacing w:after="0" w:line="239" w:lineRule="auto"/>
        <w:tabs>
          <w:tab w:leader="none" w:pos="1140" w:val="left"/>
        </w:tabs>
        <w:numPr>
          <w:ilvl w:val="0"/>
          <w:numId w:val="33"/>
        </w:numPr>
        <w:rPr>
          <w:rFonts w:ascii="Calibri" w:cs="Calibri" w:eastAsia="Calibri" w:hAnsi="Calibri"/>
          <w:sz w:val="17"/>
          <w:szCs w:val="17"/>
          <w:color w:val="auto"/>
        </w:rPr>
      </w:pPr>
      <w:r>
        <w:rPr>
          <w:rFonts w:ascii="Calibri" w:cs="Calibri" w:eastAsia="Calibri" w:hAnsi="Calibri"/>
          <w:sz w:val="17"/>
          <w:szCs w:val="17"/>
          <w:color w:val="auto"/>
        </w:rPr>
        <w:t>costs of contnued COBRA coverage under the Company’s group health plan on behalf of the executve and his eligible dependents (described in more detail below), untl the earlier of (x) the 18-month anniversary of terminaton and (y) the date the executve becomes eligible to receive comparable benefts from a subsequent employer; and</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33"/>
        </w:numPr>
        <w:rPr>
          <w:rFonts w:ascii="Calibri" w:cs="Calibri" w:eastAsia="Calibri" w:hAnsi="Calibri"/>
          <w:sz w:val="17"/>
          <w:szCs w:val="17"/>
          <w:color w:val="auto"/>
        </w:rPr>
      </w:pPr>
      <w:r>
        <w:rPr>
          <w:rFonts w:ascii="Calibri" w:cs="Calibri" w:eastAsia="Calibri" w:hAnsi="Calibri"/>
          <w:sz w:val="17"/>
          <w:szCs w:val="17"/>
          <w:color w:val="auto"/>
        </w:rPr>
        <w:t>except in the case of retrement, contnuaton of life insurance coverage untl the earlier of (x) the 18-month anniversary of terminaton and</w:t>
      </w:r>
    </w:p>
    <w:p>
      <w:pPr>
        <w:ind w:left="1140"/>
        <w:spacing w:after="0"/>
        <w:rPr>
          <w:rFonts w:ascii="Calibri" w:cs="Calibri" w:eastAsia="Calibri" w:hAnsi="Calibri"/>
          <w:sz w:val="17"/>
          <w:szCs w:val="17"/>
          <w:color w:val="auto"/>
        </w:rPr>
      </w:pPr>
      <w:r>
        <w:rPr>
          <w:rFonts w:ascii="Calibri" w:cs="Calibri" w:eastAsia="Calibri" w:hAnsi="Calibri"/>
          <w:sz w:val="17"/>
          <w:szCs w:val="17"/>
          <w:color w:val="auto"/>
        </w:rPr>
        <w:t>(y) the date the executve commences employment with a subsequent employer.</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Change-in-control cash severance</w:t>
      </w:r>
    </w:p>
    <w:p>
      <w:pPr>
        <w:spacing w:after="0" w:line="106" w:lineRule="exact"/>
        <w:rPr>
          <w:sz w:val="20"/>
          <w:szCs w:val="20"/>
          <w:color w:val="auto"/>
        </w:rPr>
      </w:pPr>
    </w:p>
    <w:p>
      <w:pPr>
        <w:jc w:val="both"/>
        <w:ind w:left="320" w:right="20"/>
        <w:spacing w:after="0" w:line="255" w:lineRule="auto"/>
        <w:rPr>
          <w:sz w:val="20"/>
          <w:szCs w:val="20"/>
          <w:color w:val="auto"/>
        </w:rPr>
      </w:pPr>
      <w:r>
        <w:rPr>
          <w:rFonts w:ascii="Calibri" w:cs="Calibri" w:eastAsia="Calibri" w:hAnsi="Calibri"/>
          <w:sz w:val="16"/>
          <w:szCs w:val="16"/>
          <w:color w:val="auto"/>
        </w:rPr>
        <w:t>If Mr. Kapoor’s employment is terminated by us without “cause” or by the executve for “good reason” (in each case, as described above) within 12 months following a “change in control” or in specifc contemplaton of a change in control, the executve will receive, in lieu of the cash severance described above,</w:t>
      </w:r>
    </w:p>
    <w:p>
      <w:pPr>
        <w:spacing w:after="0" w:line="1" w:lineRule="exact"/>
        <w:rPr>
          <w:sz w:val="20"/>
          <w:szCs w:val="20"/>
          <w:color w:val="auto"/>
        </w:rPr>
      </w:pPr>
    </w:p>
    <w:p>
      <w:pPr>
        <w:ind w:left="320" w:right="340" w:hanging="4"/>
        <w:spacing w:after="0" w:line="239" w:lineRule="auto"/>
        <w:tabs>
          <w:tab w:leader="none" w:pos="547"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a lump sum payment equal to 24 months of base salary and (2) his actual bonus, if any, earned for the year of terminaton, determined as if he had been employed for the full year of terminaton, paid ratably over the remaining period of base salary payments.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Death or disability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If Mr. Kapoor’s employment terminates due to his death or is terminated by either the executve or us due to his disability, he (or his estate) will be enttled to a prorated porton of his projected bonus amount for the year of terminaton.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Noncompetton and non-solicitaton provisions</w:t>
      </w:r>
    </w:p>
    <w:p>
      <w:pPr>
        <w:spacing w:after="0" w:line="106"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Kapoor is subject to confdentality and non-disparagement restrictons at all tmes, as well as noncompetton and non-solicitaton restrictons during his employment and for one year thereafer.</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equity awards</w:t>
      </w:r>
    </w:p>
    <w:p>
      <w:pPr>
        <w:spacing w:after="0" w:line="106"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If Mr. Kapoor’s employment is terminated by us without cause or by Mr. Kapoor for good reason, Mr. Kapoor will be treated as if he was stll employed by the Company for a period of twenty-seven months following the terminaton date. On a “change in control” (as defned in the 2006 Plan, 2015 Plan, or 2018 Plan, as applicable), retrement (as defned below), or on death, Mr. Kapoor’s outstanding annual equity awards will vest as described below:</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Time-Vested RSUs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If a change in control occurs prior to the end of the four-year vestng period, Mr. Kapoor’s Time-Vested RSUs will be advanced by one year. In additon, all of Mr. Kapoor’s outstanding Time-Vested RSUs will become fully vested if he is terminated without cause in specifc contemplaton of or within 12 months following a change in control, or he voluntarily terminates his employment for good reason within 12 months following a change in control. If Mr. Kapoor dies before the end of the four-year vestng period, all of Mr. Kapoor’s outstanding Time-Vested RSUs will become fully vested. If Mr. Kapoor retres and the applicable award has been outstanding for at least 6 months, Mr. Kapoor will become fully vested in any unvested RSUs that would have vested within the next 12 months absent his retrement.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Revenue-Linked PRSUs</w:t>
      </w:r>
    </w:p>
    <w:p>
      <w:pPr>
        <w:spacing w:after="0" w:line="106"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If a change in control occurs prior to the end of the performance period, 100% of target of Mr. Kapoor’s Revenue-Linked PRSUs will be deemed earned, will be subject to a three-year installment vestng schedule and will be advanced by one year under such</w:t>
      </w:r>
    </w:p>
    <w:p>
      <w:pPr>
        <w:spacing w:after="0" w:line="127"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96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schedule. In additon, all of Mr. Kapoor’s outstanding Revenue-Linked PRSUs will become fully vested if, (i) he is terminated without cause in specifc contemplaton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porton of the outstanding Revenue-Linked PRSUs equal to (x) the number of completed full months during the three-year performance period up to the date of Mr. Kapoor’s death divided by (y) 36 multplied by (z) 100% of Mr. Kapoor’s Revenue-Linked PRSUs. If Mr. Kapoor retres and the award has been outstanding for at least 6 months, Mr. Kapoor will become vested in a porton of the outstanding Revenue-Linked PRSUs equal to (x) the number of years of service completed by Mr. Kapoor from the grant date (rounding up to the closest whole number) divided by (y) 3 multplied by (z) the number of Revenue-Linked PRSUs earned based on actual performance.</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Relatve TSR-Linked PRSUs</w:t>
      </w:r>
    </w:p>
    <w:p>
      <w:pPr>
        <w:spacing w:after="0" w:line="106"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a change in control occurs on or prior to the frst anniversary of the grant date, 100% of target of Mr. Kapoor’s Relatve TSR-Linked PRSUs will be deemed earned. If a change in control occurs afer the frst anniversary of the grant date, the performance period will be deemed to end on the date of the change in control and the Compensaton and Talent Management Commitee will determine the number of earned Relatve TSR-Linked PRSUs based on the TSR of the Company and the peer group as of such date. In either scenario, the Relatve TSR-Linked PRSUs that are deemed earned will be subject to a three year installment vestng schedule and will be advanced by one year under such schedule. In additon, all of Mr. Kapoor’s outstanding Relatve TSR-Linked PRSUs will become fully vested if, following or in specifc contemplaton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porton of the outstanding Relatve TSR-Linked PRSUs equal to (x) the number of completed full months during the 3 year performance period up to the date of Mr. Kapoor’s death divided by (y) 36 multplied by (z) 100% of Mr. Kapoor’s Relatve TSR-Linked PRSUs. If Mr. Kapoor retres and the award has been outstanding for at least 6 months, Mr. Kapoor will become vested in a porton of the outstanding Revenue-Linked PRSUs equal to (x) the number of years of service completed by Mr. Kapoor from the grant date (rounding up to the closest whole number) divided by (y) 3 multplied by (z) the number of Revenue-Linked PRSUs earned based on actual performance.</w:t>
      </w:r>
    </w:p>
    <w:p>
      <w:pPr>
        <w:spacing w:after="0" w:line="31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Release of claims</w:t>
      </w:r>
    </w:p>
    <w:p>
      <w:pPr>
        <w:spacing w:after="0" w:line="106"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Kapoor’s severance payments and terminaton-related equity acceleraton are subject to his executon of a release of claims against us, his not having commited a material breach of the restrictve covenants that has remained uncured for 15 days afer we have given him notce of such breach and his resignaton from the board of directors and all commitees thereof, if requested by the Company.</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Code Secton 280G</w:t>
      </w:r>
    </w:p>
    <w:p>
      <w:pPr>
        <w:spacing w:after="0" w:line="106"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Mr. Kapoor’s employment agreement also contains a “modifed cut-back” provision such that any payments that consttute “excess parachute payments” under Secton 280G of the Code will be reduced to an amount that does not trigger the applicable excise</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97</w:t>
      </w:r>
    </w:p>
    <w:p>
      <w:pPr>
        <w:sectPr>
          <w:pgSz w:w="11900" w:h="16838" w:orient="portrait"/>
          <w:cols w:equalWidth="0" w:num="1">
            <w:col w:w="10940"/>
          </w:cols>
          <w:pgMar w:left="320" w:top="471"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taxes, to the extent such reduced amount is larger than the amount Mr. Kapoor would have received on a present-value net-afer-tax basis (including excise taxes) absent such a reducton.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Rohit Kapoor</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 in</w:t>
            </w:r>
          </w:p>
        </w:tc>
      </w:tr>
      <w:tr>
        <w:trPr>
          <w:trHeight w:val="169"/>
        </w:trPr>
        <w:tc>
          <w:tcPr>
            <w:tcW w:w="2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258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3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36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8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3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r>
      <w:tr>
        <w:trPr>
          <w:trHeight w:val="169"/>
        </w:trPr>
        <w:tc>
          <w:tcPr>
            <w:tcW w:w="25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control</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control</w:t>
            </w:r>
          </w:p>
        </w:tc>
        <w:tc>
          <w:tcPr>
            <w:tcW w:w="1300" w:type="dxa"/>
            <w:vAlign w:val="bottom"/>
          </w:tcPr>
          <w:p>
            <w:pPr>
              <w:jc w:val="right"/>
              <w:ind w:right="311"/>
              <w:spacing w:after="0" w:line="169" w:lineRule="exact"/>
              <w:rPr>
                <w:sz w:val="20"/>
                <w:szCs w:val="20"/>
                <w:color w:val="auto"/>
              </w:rPr>
            </w:pPr>
            <w:r>
              <w:rPr>
                <w:rFonts w:ascii="Calibri" w:cs="Calibri" w:eastAsia="Calibri" w:hAnsi="Calibri"/>
                <w:sz w:val="14"/>
                <w:szCs w:val="14"/>
                <w:b w:val="1"/>
                <w:bCs w:val="1"/>
                <w:color w:val="auto"/>
              </w:rPr>
              <w:t>Disability</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r>
      <w:tr>
        <w:trPr>
          <w:trHeight w:val="169"/>
        </w:trPr>
        <w:tc>
          <w:tcPr>
            <w:tcW w:w="25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300" w:type="dxa"/>
            <w:vAlign w:val="bottom"/>
          </w:tcPr>
          <w:p>
            <w:pPr>
              <w:jc w:val="right"/>
              <w:ind w:right="511"/>
              <w:spacing w:after="0" w:line="169" w:lineRule="exact"/>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3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r>
      <w:tr>
        <w:trPr>
          <w:trHeight w:val="102"/>
        </w:trPr>
        <w:tc>
          <w:tcPr>
            <w:tcW w:w="2580" w:type="dxa"/>
            <w:vAlign w:val="bottom"/>
            <w:tcBorders>
              <w:bottom w:val="single" w:sz="8" w:color="FB4E0B"/>
            </w:tcBorders>
          </w:tcPr>
          <w:p>
            <w:pPr>
              <w:spacing w:after="0"/>
              <w:rPr>
                <w:sz w:val="8"/>
                <w:szCs w:val="8"/>
                <w:color w:val="auto"/>
              </w:rPr>
            </w:pPr>
          </w:p>
        </w:tc>
        <w:tc>
          <w:tcPr>
            <w:tcW w:w="1360" w:type="dxa"/>
            <w:vAlign w:val="bottom"/>
            <w:tcBorders>
              <w:bottom w:val="single" w:sz="8" w:color="FB4E0B"/>
            </w:tcBorders>
          </w:tcPr>
          <w:p>
            <w:pPr>
              <w:spacing w:after="0"/>
              <w:rPr>
                <w:sz w:val="8"/>
                <w:szCs w:val="8"/>
                <w:color w:val="auto"/>
              </w:rPr>
            </w:pPr>
          </w:p>
        </w:tc>
        <w:tc>
          <w:tcPr>
            <w:tcW w:w="1340" w:type="dxa"/>
            <w:vAlign w:val="bottom"/>
            <w:tcBorders>
              <w:bottom w:val="single" w:sz="8" w:color="FB4E0B"/>
            </w:tcBorders>
          </w:tcPr>
          <w:p>
            <w:pPr>
              <w:spacing w:after="0"/>
              <w:rPr>
                <w:sz w:val="8"/>
                <w:szCs w:val="8"/>
                <w:color w:val="auto"/>
              </w:rPr>
            </w:pPr>
          </w:p>
        </w:tc>
        <w:tc>
          <w:tcPr>
            <w:tcW w:w="1300" w:type="dxa"/>
            <w:vAlign w:val="bottom"/>
            <w:tcBorders>
              <w:bottom w:val="single" w:sz="8" w:color="FB4E0B"/>
            </w:tcBorders>
          </w:tcPr>
          <w:p>
            <w:pPr>
              <w:spacing w:after="0"/>
              <w:rPr>
                <w:sz w:val="8"/>
                <w:szCs w:val="8"/>
                <w:color w:val="auto"/>
              </w:rPr>
            </w:pPr>
          </w:p>
        </w:tc>
        <w:tc>
          <w:tcPr>
            <w:tcW w:w="1340" w:type="dxa"/>
            <w:vAlign w:val="bottom"/>
            <w:tcBorders>
              <w:bottom w:val="single" w:sz="8" w:color="FB4E0B"/>
            </w:tcBorders>
          </w:tcPr>
          <w:p>
            <w:pPr>
              <w:spacing w:after="0"/>
              <w:rPr>
                <w:sz w:val="8"/>
                <w:szCs w:val="8"/>
                <w:color w:val="auto"/>
              </w:rPr>
            </w:pPr>
          </w:p>
        </w:tc>
        <w:tc>
          <w:tcPr>
            <w:tcW w:w="1360" w:type="dxa"/>
            <w:vAlign w:val="bottom"/>
            <w:tcBorders>
              <w:bottom w:val="single" w:sz="8" w:color="FB4E0B"/>
            </w:tcBorders>
          </w:tcPr>
          <w:p>
            <w:pPr>
              <w:spacing w:after="0"/>
              <w:rPr>
                <w:sz w:val="8"/>
                <w:szCs w:val="8"/>
                <w:color w:val="auto"/>
              </w:rPr>
            </w:pPr>
          </w:p>
        </w:tc>
        <w:tc>
          <w:tcPr>
            <w:tcW w:w="1340" w:type="dxa"/>
            <w:vAlign w:val="bottom"/>
            <w:tcBorders>
              <w:bottom w:val="single" w:sz="8" w:color="FB4E0B"/>
            </w:tcBorders>
          </w:tcPr>
          <w:p>
            <w:pPr>
              <w:spacing w:after="0"/>
              <w:rPr>
                <w:sz w:val="8"/>
                <w:szCs w:val="8"/>
                <w:color w:val="auto"/>
              </w:rPr>
            </w:pPr>
          </w:p>
        </w:tc>
      </w:tr>
      <w:tr>
        <w:trPr>
          <w:trHeight w:val="203"/>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Base salary payout</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1,630,000</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1,630,000</w:t>
            </w:r>
          </w:p>
        </w:tc>
      </w:tr>
      <w:tr>
        <w:trPr>
          <w:trHeight w:val="83"/>
        </w:trPr>
        <w:tc>
          <w:tcPr>
            <w:tcW w:w="2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96"/>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Bonus payout</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1,829,887</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1,829,887</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1,829,887</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1,829,887</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1,829,887</w:t>
            </w:r>
          </w:p>
        </w:tc>
      </w:tr>
      <w:tr>
        <w:trPr>
          <w:trHeight w:val="83"/>
        </w:trPr>
        <w:tc>
          <w:tcPr>
            <w:tcW w:w="2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96"/>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Life insurance</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4,239</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4,239</w:t>
            </w:r>
          </w:p>
        </w:tc>
      </w:tr>
      <w:tr>
        <w:trPr>
          <w:trHeight w:val="83"/>
        </w:trPr>
        <w:tc>
          <w:tcPr>
            <w:tcW w:w="2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96"/>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Health insurance</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42,433</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42,433</w:t>
            </w:r>
          </w:p>
        </w:tc>
      </w:tr>
      <w:tr>
        <w:trPr>
          <w:trHeight w:val="83"/>
        </w:trPr>
        <w:tc>
          <w:tcPr>
            <w:tcW w:w="2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96"/>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Restricted stock units</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11,979,040</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11,979,040</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10,913,156</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4,786,228</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11,979,040</w:t>
            </w:r>
          </w:p>
        </w:tc>
      </w:tr>
      <w:tr>
        <w:trPr>
          <w:trHeight w:val="83"/>
        </w:trPr>
        <w:tc>
          <w:tcPr>
            <w:tcW w:w="25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199"/>
        </w:trPr>
        <w:tc>
          <w:tcPr>
            <w:tcW w:w="258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Performance restricted</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12,393,127</w:t>
            </w:r>
          </w:p>
        </w:tc>
        <w:tc>
          <w:tcPr>
            <w:tcW w:w="134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12,393,127</w:t>
            </w:r>
          </w:p>
        </w:tc>
        <w:tc>
          <w:tcPr>
            <w:tcW w:w="13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340" w:type="dxa"/>
            <w:vAlign w:val="bottom"/>
            <w:tcBorders>
              <w:right w:val="single" w:sz="8" w:color="auto"/>
            </w:tcBorders>
          </w:tcPr>
          <w:p>
            <w:pPr>
              <w:jc w:val="right"/>
              <w:ind w:right="51"/>
              <w:spacing w:after="0" w:line="199" w:lineRule="exact"/>
              <w:rPr>
                <w:sz w:val="20"/>
                <w:szCs w:val="20"/>
                <w:color w:val="auto"/>
              </w:rPr>
            </w:pPr>
            <w:r>
              <w:rPr>
                <w:rFonts w:ascii="Calibri" w:cs="Calibri" w:eastAsia="Calibri" w:hAnsi="Calibri"/>
                <w:sz w:val="14"/>
                <w:szCs w:val="14"/>
                <w:color w:val="auto"/>
              </w:rPr>
              <w:t>12,393,127</w:t>
            </w:r>
            <w:r>
              <w:rPr>
                <w:rFonts w:ascii="Calibri" w:cs="Calibri" w:eastAsia="Calibri" w:hAnsi="Calibri"/>
                <w:sz w:val="20"/>
                <w:szCs w:val="20"/>
                <w:color w:val="auto"/>
                <w:vertAlign w:val="superscript"/>
              </w:rPr>
              <w:t>(1)</w:t>
            </w:r>
          </w:p>
        </w:tc>
        <w:tc>
          <w:tcPr>
            <w:tcW w:w="13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16,259,394</w:t>
            </w:r>
          </w:p>
        </w:tc>
        <w:tc>
          <w:tcPr>
            <w:tcW w:w="1340" w:type="dxa"/>
            <w:vAlign w:val="bottom"/>
          </w:tcPr>
          <w:p>
            <w:pPr>
              <w:jc w:val="right"/>
              <w:ind w:right="31"/>
              <w:spacing w:after="0"/>
              <w:rPr>
                <w:sz w:val="20"/>
                <w:szCs w:val="20"/>
                <w:color w:val="auto"/>
              </w:rPr>
            </w:pPr>
            <w:r>
              <w:rPr>
                <w:rFonts w:ascii="Calibri" w:cs="Calibri" w:eastAsia="Calibri" w:hAnsi="Calibri"/>
                <w:sz w:val="14"/>
                <w:szCs w:val="14"/>
                <w:color w:val="auto"/>
              </w:rPr>
              <w:t>12,393,127</w:t>
            </w:r>
          </w:p>
        </w:tc>
      </w:tr>
      <w:tr>
        <w:trPr>
          <w:trHeight w:val="197"/>
        </w:trPr>
        <w:tc>
          <w:tcPr>
            <w:tcW w:w="2580" w:type="dxa"/>
            <w:vAlign w:val="bottom"/>
            <w:tcBorders>
              <w:right w:val="single" w:sz="8" w:color="auto"/>
            </w:tcBorders>
          </w:tcPr>
          <w:p>
            <w:pPr>
              <w:ind w:left="20"/>
              <w:spacing w:after="0" w:line="166" w:lineRule="exact"/>
              <w:rPr>
                <w:sz w:val="20"/>
                <w:szCs w:val="20"/>
                <w:color w:val="auto"/>
              </w:rPr>
            </w:pPr>
            <w:r>
              <w:rPr>
                <w:rFonts w:ascii="Calibri" w:cs="Calibri" w:eastAsia="Calibri" w:hAnsi="Calibri"/>
                <w:sz w:val="14"/>
                <w:szCs w:val="14"/>
                <w:color w:val="auto"/>
              </w:rPr>
              <w:t>stock units</w:t>
            </w: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26"/>
        </w:trPr>
        <w:tc>
          <w:tcPr>
            <w:tcW w:w="2580" w:type="dxa"/>
            <w:vAlign w:val="bottom"/>
            <w:tcBorders>
              <w:right w:val="single" w:sz="8" w:color="FB4E0B"/>
            </w:tcBorders>
            <w:shd w:val="clear" w:color="auto" w:fill="FB4E0B"/>
          </w:tcPr>
          <w:p>
            <w:pPr>
              <w:spacing w:after="0"/>
              <w:rPr>
                <w:sz w:val="2"/>
                <w:szCs w:val="2"/>
                <w:color w:val="auto"/>
              </w:rPr>
            </w:pPr>
          </w:p>
        </w:tc>
        <w:tc>
          <w:tcPr>
            <w:tcW w:w="1360" w:type="dxa"/>
            <w:vAlign w:val="bottom"/>
            <w:tcBorders>
              <w:right w:val="single" w:sz="8" w:color="FB4E0B"/>
            </w:tcBorders>
            <w:shd w:val="clear" w:color="auto" w:fill="FB4E0B"/>
          </w:tcPr>
          <w:p>
            <w:pPr>
              <w:spacing w:after="0"/>
              <w:rPr>
                <w:sz w:val="2"/>
                <w:szCs w:val="2"/>
                <w:color w:val="auto"/>
              </w:rPr>
            </w:pPr>
          </w:p>
        </w:tc>
        <w:tc>
          <w:tcPr>
            <w:tcW w:w="1340" w:type="dxa"/>
            <w:vAlign w:val="bottom"/>
            <w:tcBorders>
              <w:right w:val="single" w:sz="8" w:color="FB4E0B"/>
            </w:tcBorders>
            <w:shd w:val="clear" w:color="auto" w:fill="FB4E0B"/>
          </w:tcPr>
          <w:p>
            <w:pPr>
              <w:spacing w:after="0"/>
              <w:rPr>
                <w:sz w:val="2"/>
                <w:szCs w:val="2"/>
                <w:color w:val="auto"/>
              </w:rPr>
            </w:pPr>
          </w:p>
        </w:tc>
        <w:tc>
          <w:tcPr>
            <w:tcW w:w="1300" w:type="dxa"/>
            <w:vAlign w:val="bottom"/>
            <w:tcBorders>
              <w:right w:val="single" w:sz="8" w:color="FB4E0B"/>
            </w:tcBorders>
            <w:shd w:val="clear" w:color="auto" w:fill="FB4E0B"/>
          </w:tcPr>
          <w:p>
            <w:pPr>
              <w:spacing w:after="0"/>
              <w:rPr>
                <w:sz w:val="2"/>
                <w:szCs w:val="2"/>
                <w:color w:val="auto"/>
              </w:rPr>
            </w:pPr>
          </w:p>
        </w:tc>
        <w:tc>
          <w:tcPr>
            <w:tcW w:w="1340" w:type="dxa"/>
            <w:vAlign w:val="bottom"/>
            <w:tcBorders>
              <w:right w:val="single" w:sz="8" w:color="FB4E0B"/>
            </w:tcBorders>
            <w:shd w:val="clear" w:color="auto" w:fill="FB4E0B"/>
          </w:tcPr>
          <w:p>
            <w:pPr>
              <w:spacing w:after="0"/>
              <w:rPr>
                <w:sz w:val="2"/>
                <w:szCs w:val="2"/>
                <w:color w:val="auto"/>
              </w:rPr>
            </w:pPr>
          </w:p>
        </w:tc>
        <w:tc>
          <w:tcPr>
            <w:tcW w:w="1360" w:type="dxa"/>
            <w:vAlign w:val="bottom"/>
            <w:tcBorders>
              <w:right w:val="single" w:sz="8" w:color="FB4E0B"/>
            </w:tcBorders>
            <w:shd w:val="clear" w:color="auto" w:fill="FB4E0B"/>
          </w:tcPr>
          <w:p>
            <w:pPr>
              <w:spacing w:after="0"/>
              <w:rPr>
                <w:sz w:val="2"/>
                <w:szCs w:val="2"/>
                <w:color w:val="auto"/>
              </w:rPr>
            </w:pPr>
          </w:p>
        </w:tc>
        <w:tc>
          <w:tcPr>
            <w:tcW w:w="1340" w:type="dxa"/>
            <w:vAlign w:val="bottom"/>
            <w:shd w:val="clear" w:color="auto" w:fill="FB4E0B"/>
          </w:tcPr>
          <w:p>
            <w:pPr>
              <w:spacing w:after="0"/>
              <w:rPr>
                <w:sz w:val="2"/>
                <w:szCs w:val="2"/>
                <w:color w:val="auto"/>
              </w:rPr>
            </w:pPr>
          </w:p>
        </w:tc>
      </w:tr>
    </w:tbl>
    <w:p>
      <w:pPr>
        <w:spacing w:after="0" w:line="98" w:lineRule="exact"/>
        <w:rPr>
          <w:sz w:val="20"/>
          <w:szCs w:val="20"/>
          <w:color w:val="auto"/>
        </w:rPr>
      </w:pPr>
    </w:p>
    <w:p>
      <w:pPr>
        <w:ind w:left="320" w:right="300" w:hanging="4"/>
        <w:spacing w:after="0" w:line="253" w:lineRule="auto"/>
        <w:tabs>
          <w:tab w:leader="none" w:pos="494" w:val="left"/>
        </w:tabs>
        <w:numPr>
          <w:ilvl w:val="0"/>
          <w:numId w:val="35"/>
        </w:numPr>
        <w:rPr>
          <w:rFonts w:ascii="Calibri" w:cs="Calibri" w:eastAsia="Calibri" w:hAnsi="Calibri"/>
          <w:sz w:val="13"/>
          <w:szCs w:val="13"/>
          <w:color w:val="auto"/>
        </w:rPr>
      </w:pPr>
      <w:r>
        <w:rPr>
          <w:rFonts w:ascii="Calibri" w:cs="Calibri" w:eastAsia="Calibri" w:hAnsi="Calibri"/>
          <w:sz w:val="13"/>
          <w:szCs w:val="13"/>
          <w:color w:val="auto"/>
        </w:rPr>
        <w:t>As described above, upon his terminaton for good reason or without cause, Mr. Kapoor is treated as having contnued his employment for two additonal years for purposes of his annual equity awards. The informaton in this table was calculated assuming target performance over the additonal two year-period, however, the actual payment would depend upon the Company’s actual performance following Mr. Kapoor’s terminaton.</w:t>
      </w:r>
    </w:p>
    <w:p>
      <w:pPr>
        <w:spacing w:after="0" w:line="29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Maurizio Nicolelli</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Either Mr. Nicolelli or we may terminate Mr. Nicolelli’s employment at any tme with 30 days’ notce (or 90 days’ notce if terminaton is by Mr. Nicolelli). If Mr. Nicolelli is terminated by us without “cause” (other than due to death or disability), or if Mr. Nicolelli resigns for “good reason”, Mr. Nicolelli will receive a cash severance payment equal to twelve months’ of his then-current base salary, with 25% payable on the frst payroll date at least 10 days following terminaton and the remainder payable in nine equal monthly installments.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“change in control” (as defned in the 2018 Plan) or death, Mr. Nicolelli’s outstanding equity awards will vest as described below:</w:t>
      </w:r>
    </w:p>
    <w:p>
      <w:pPr>
        <w:spacing w:after="0" w:line="119" w:lineRule="exact"/>
        <w:rPr>
          <w:sz w:val="20"/>
          <w:szCs w:val="20"/>
          <w:color w:val="auto"/>
        </w:rPr>
      </w:pPr>
    </w:p>
    <w:p>
      <w:pPr>
        <w:ind w:left="1140" w:right="20" w:hanging="407"/>
        <w:spacing w:after="0"/>
        <w:tabs>
          <w:tab w:leader="none" w:pos="1140" w:val="left"/>
        </w:tabs>
        <w:numPr>
          <w:ilvl w:val="0"/>
          <w:numId w:val="36"/>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Time-Vested RSUs: </w:t>
      </w:r>
      <w:r>
        <w:rPr>
          <w:rFonts w:ascii="Calibri" w:cs="Calibri" w:eastAsia="Calibri" w:hAnsi="Calibri"/>
          <w:sz w:val="17"/>
          <w:szCs w:val="17"/>
          <w:color w:val="auto"/>
        </w:rPr>
        <w:t>If a change in control occurs prior to the end of the four-year vestng period, Mr. Nicolelli’s Time-Vested RSUs will be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advanced by one year. In additon, all of Mr. Nicolelli’s outstanding Time-Vested RSUs will become fully vested if, following or in specifc contemplaton of a change in control, he is terminated without cause or, following a change in control, he terminates his employment for good reason. If Mr. Nicolelli dies before the end of the four-year vestng period, all of Mr. Nicolelli’s outstanding Time-Vested RSUs will become fully vested. If Mr. Nicolelli retres with at least 10 years of service and the applicable award has been outstanding for at least 6 months, Mr. Nicolelli will become vested in all unvested RSUs that would have vested within the next 12 months absent his retrement. If Mr. Nicolelli retres with at least 5 years of service but less than 10, the number of vested Time-Vested PRSUs will be calculated as</w:t>
      </w:r>
    </w:p>
    <w:p>
      <w:pPr>
        <w:spacing w:after="0" w:line="129" w:lineRule="exact"/>
        <w:rPr>
          <w:sz w:val="20"/>
          <w:szCs w:val="20"/>
          <w:color w:val="auto"/>
        </w:rPr>
      </w:pPr>
    </w:p>
    <w:p>
      <w:pPr>
        <w:ind w:left="420"/>
        <w:spacing w:after="0"/>
        <w:tabs>
          <w:tab w:leader="none" w:pos="900" w:val="left"/>
          <w:tab w:leader="none" w:pos="1260" w:val="left"/>
        </w:tabs>
        <w:rPr>
          <w:sz w:val="20"/>
          <w:szCs w:val="20"/>
          <w:color w:val="auto"/>
        </w:rPr>
      </w:pPr>
      <w:r>
        <w:rPr>
          <w:rFonts w:ascii="Calibri" w:cs="Calibri" w:eastAsia="Calibri" w:hAnsi="Calibri"/>
          <w:sz w:val="17"/>
          <w:szCs w:val="17"/>
          <w:b w:val="1"/>
          <w:bCs w:val="1"/>
          <w:color w:val="auto"/>
        </w:rPr>
        <w:t>98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1160" w:right="260"/>
        <w:spacing w:after="0" w:line="239" w:lineRule="auto"/>
        <w:rPr>
          <w:sz w:val="20"/>
          <w:szCs w:val="20"/>
          <w:color w:val="auto"/>
        </w:rPr>
      </w:pPr>
      <w:r>
        <w:rPr>
          <w:rFonts w:ascii="Calibri" w:cs="Calibri" w:eastAsia="Calibri" w:hAnsi="Calibri"/>
          <w:sz w:val="17"/>
          <w:szCs w:val="17"/>
          <w:color w:val="auto"/>
        </w:rPr>
        <w:t>described in the preceding sentence and then reduced by 50%. Vestng of the restricted stock units granted in September 2021, however, is only accelerated (i) on Mr. Nicolelli’s death or (ii) if following or in specifc contemplaton of a change in control, he is terminated without cause or, following a change in control, he terminates his employment for good reason.</w:t>
      </w:r>
    </w:p>
    <w:p>
      <w:pPr>
        <w:spacing w:after="0" w:line="122" w:lineRule="exact"/>
        <w:rPr>
          <w:sz w:val="20"/>
          <w:szCs w:val="20"/>
          <w:color w:val="auto"/>
        </w:rPr>
      </w:pPr>
    </w:p>
    <w:p>
      <w:pPr>
        <w:ind w:left="1140" w:right="20" w:hanging="407"/>
        <w:spacing w:after="0"/>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Revenue-Linked PRSUs: </w:t>
      </w:r>
      <w:r>
        <w:rPr>
          <w:rFonts w:ascii="Calibri" w:cs="Calibri" w:eastAsia="Calibri" w:hAnsi="Calibri"/>
          <w:sz w:val="17"/>
          <w:szCs w:val="17"/>
          <w:color w:val="auto"/>
        </w:rPr>
        <w:t>If a change in control occurs prior to the end of the performance period, 100% of Mr. Nicolelli’s Revenue-Linked PRSUs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will be deemed earned, will be subject to a new three year installment vestng schedule and will be advanced by one year under such schedule. In additon, all of Mr. Nicolelli’s outstanding Revenue-Linked PRSUs will become fully vested if, following or in specifc contemplaton of a change in control, he is terminated without cause or, following a change in control, he (i) terminates his employment for good reason or, (ii) dies. If Mr. Nicolelli dies prior to the end of the performance period and no change in control has occurred, Mr. Nicolelli will become vested in a porton of the outstanding Revenue-Linked PRSUs equal to (x) the number of completed full months during the 3 year performance period up to the date of Mr. Nicolelli’s death divided by (y) 36 multplied by (z) 100% of Mr. Nicolelli’s Revenue-Linked PRSUs. If Mr. Nicolelli retres with at least 10 years of service and the award has been outstanding for at least 6 months, Mr. Nicolelli will become vested in a porton of the outstanding Revenue-Linked PRSUs equal to (x) the number of years of service completed by Mr. Nicolelli from the grant date (rounding up to the closest whole number) divided by (y) 3 multplied by (z) the number of Revenue-Linked PRSUs earned based on actual performance. If Mr. Nicolelli retres with at least 5 years of service but less than 10, the number of vested Revenue-Linked PRSUs will be calculated as described in the preceding sentence and then reduced by 50%.</w:t>
      </w:r>
    </w:p>
    <w:p>
      <w:pPr>
        <w:spacing w:after="0" w:line="124" w:lineRule="exact"/>
        <w:rPr>
          <w:rFonts w:ascii="Calibri" w:cs="Calibri" w:eastAsia="Calibri" w:hAnsi="Calibri"/>
          <w:sz w:val="17"/>
          <w:szCs w:val="17"/>
          <w:color w:val="auto"/>
        </w:rPr>
      </w:pPr>
    </w:p>
    <w:p>
      <w:pPr>
        <w:ind w:left="1140" w:right="80" w:hanging="407"/>
        <w:spacing w:after="0"/>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If a change in control occurs on or prior to the frst anniversary of the grant date, 100% of Mr. Nicolelli’s Relatve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TSR-Linked PRSUs will be deemed earned. If a change in control occurs afer the frst anniversary of the grant date, the performance period will be deemed to end on the date of the change in control and the Compensaton and Talent Management Commitee will determine the number of earned Relatve TSR-Linked PRSUs based on the TSR of the Company and the peer group as of such date. In either scenario, the Relatve TSR-Linked PRSUs that are deemed earned will be subject to a new three year installment vestng schedule and will be advanced by one year under such schedule. In additon, all of Mr. Nicolelli’s outstanding, earned TSR-Linked PRSUs will become fully vested if, following or in specifc contemplaton of a change in control, he is terminated without cause or, following a change in control, he (i) voluntarily terminates his employment for good reason or, (ii) dies. If Mr. Nicolelli dies prior to the end of the performance period and no change in control has occurred, Mr. Nicolelli will become vested in a porton of the outstanding Relatve TSR-Linked PRSUs equal to (x) the number of completed full months during the 3 year performance period up to the date of Mr. Nicolelli’s death divided by (y) 36 multplied by (z) 100% of Mr. Nicolelli’s Relatve TSR-Linked PRSUs. If Mr. Nicolelli retres with at least 10 years of service and the award has been outstanding for at least 6 months, Mr. Nicolelli will become vested in a porton of the outstanding Relatve TSR-Linked PRSUs equal to (x) the number of years of service completed by Mr. Nicolelli from the grant date (rounding up to the closest whole number) divided by (y) 3 multplied by (z) the number of Relatve TSR-Linked PRSUs earned based on actual performance. If Mr. Nicolelli retres with at least 5 years of service but less than 10, the number of vested Relatve TSR-Linked PRSUs will be calculated as described in the preceding sentence and then reduced by 50%.</w:t>
      </w:r>
    </w:p>
    <w:p>
      <w:pPr>
        <w:spacing w:after="0" w:line="126" w:lineRule="exact"/>
        <w:rPr>
          <w:rFonts w:ascii="Calibri" w:cs="Calibri" w:eastAsia="Calibri" w:hAnsi="Calibri"/>
          <w:sz w:val="17"/>
          <w:szCs w:val="17"/>
          <w:color w:val="auto"/>
        </w:rPr>
      </w:pPr>
    </w:p>
    <w:p>
      <w:pPr>
        <w:ind w:left="1140" w:right="300" w:hanging="407"/>
        <w:spacing w:after="0" w:line="239" w:lineRule="auto"/>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Share Matching Program Awards: </w:t>
      </w:r>
      <w:r>
        <w:rPr>
          <w:rFonts w:ascii="Calibri" w:cs="Calibri" w:eastAsia="Calibri" w:hAnsi="Calibri"/>
          <w:sz w:val="17"/>
          <w:szCs w:val="17"/>
          <w:color w:val="auto"/>
        </w:rPr>
        <w:t>In additon, all of Mr. Nicolelli’s outstanding SMP RSUs will become fully vested if, following or in specifc</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contemplaton of a change in control, he is terminated without cause or, following a change in</w:t>
      </w:r>
    </w:p>
    <w:p>
      <w:pPr>
        <w:spacing w:after="0" w:line="297" w:lineRule="exact"/>
        <w:rPr>
          <w:sz w:val="20"/>
          <w:szCs w:val="20"/>
          <w:color w:val="auto"/>
        </w:rPr>
      </w:pPr>
    </w:p>
    <w:p>
      <w:pPr>
        <w:ind w:left="8160"/>
        <w:spacing w:after="0"/>
        <w:tabs>
          <w:tab w:leader="none" w:pos="10160" w:val="left"/>
          <w:tab w:leader="none" w:pos="1054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99</w:t>
      </w:r>
    </w:p>
    <w:p>
      <w:pPr>
        <w:sectPr>
          <w:pgSz w:w="11900" w:h="16838" w:orient="portrait"/>
          <w:cols w:equalWidth="0" w:num="1">
            <w:col w:w="10940"/>
          </w:cols>
          <w:pgMar w:left="320" w:top="471"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1160" w:right="760"/>
        <w:spacing w:after="0" w:line="239" w:lineRule="auto"/>
        <w:rPr>
          <w:sz w:val="20"/>
          <w:szCs w:val="20"/>
          <w:color w:val="auto"/>
        </w:rPr>
      </w:pPr>
      <w:r>
        <w:rPr>
          <w:rFonts w:ascii="Calibri" w:cs="Calibri" w:eastAsia="Calibri" w:hAnsi="Calibri"/>
          <w:sz w:val="17"/>
          <w:szCs w:val="17"/>
          <w:color w:val="auto"/>
        </w:rPr>
        <w:t>control, he terminates his employment for good reason. If Mr. Nicolelli dies before the end of the vestng period, all of Mr. Nicolelli’s outstanding SMP RSUs will become fully vested.</w:t>
      </w:r>
    </w:p>
    <w:p>
      <w:pPr>
        <w:spacing w:after="0" w:line="211"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Mr. Nicolelli’s severance payments and terminaton-related equity acceleraton are subject to his executon of a waiver and release of claims against us. Mr. Nicolelli is subject to confdentality restrictons at all tmes, as well as noncompetton and nonsolicitaton restrictons for two years following terminaton of his employment.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Maurizio Nicolelli</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without cause or</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for good reason</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4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338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Death prior to a</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Death afer a</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33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338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c>
          <w:tcPr>
            <w:tcW w:w="146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14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88"/>
              </w:rPr>
              <w:t>($)</w:t>
            </w:r>
          </w:p>
        </w:tc>
      </w:tr>
      <w:tr>
        <w:trPr>
          <w:trHeight w:val="102"/>
        </w:trPr>
        <w:tc>
          <w:tcPr>
            <w:tcW w:w="3380" w:type="dxa"/>
            <w:vAlign w:val="bottom"/>
            <w:tcBorders>
              <w:bottom w:val="single" w:sz="8" w:color="FB4E0B"/>
            </w:tcBorders>
          </w:tcPr>
          <w:p>
            <w:pPr>
              <w:spacing w:after="0"/>
              <w:rPr>
                <w:sz w:val="8"/>
                <w:szCs w:val="8"/>
                <w:color w:val="auto"/>
              </w:rPr>
            </w:pPr>
          </w:p>
        </w:tc>
        <w:tc>
          <w:tcPr>
            <w:tcW w:w="1440" w:type="dxa"/>
            <w:vAlign w:val="bottom"/>
            <w:tcBorders>
              <w:bottom w:val="single" w:sz="8" w:color="FB4E0B"/>
            </w:tcBorders>
          </w:tcPr>
          <w:p>
            <w:pPr>
              <w:spacing w:after="0"/>
              <w:rPr>
                <w:sz w:val="8"/>
                <w:szCs w:val="8"/>
                <w:color w:val="auto"/>
              </w:rPr>
            </w:pPr>
          </w:p>
        </w:tc>
        <w:tc>
          <w:tcPr>
            <w:tcW w:w="1460" w:type="dxa"/>
            <w:vAlign w:val="bottom"/>
            <w:tcBorders>
              <w:bottom w:val="single" w:sz="8" w:color="FB4E0B"/>
            </w:tcBorders>
          </w:tcPr>
          <w:p>
            <w:pPr>
              <w:spacing w:after="0"/>
              <w:rPr>
                <w:sz w:val="8"/>
                <w:szCs w:val="8"/>
                <w:color w:val="auto"/>
              </w:rPr>
            </w:pPr>
          </w:p>
        </w:tc>
        <w:tc>
          <w:tcPr>
            <w:tcW w:w="1460" w:type="dxa"/>
            <w:vAlign w:val="bottom"/>
            <w:tcBorders>
              <w:bottom w:val="single" w:sz="8" w:color="FB4E0B"/>
            </w:tcBorders>
          </w:tcPr>
          <w:p>
            <w:pPr>
              <w:spacing w:after="0"/>
              <w:rPr>
                <w:sz w:val="8"/>
                <w:szCs w:val="8"/>
                <w:color w:val="auto"/>
              </w:rPr>
            </w:pPr>
          </w:p>
        </w:tc>
        <w:tc>
          <w:tcPr>
            <w:tcW w:w="1440" w:type="dxa"/>
            <w:vAlign w:val="bottom"/>
            <w:tcBorders>
              <w:bottom w:val="single" w:sz="8" w:color="FB4E0B"/>
            </w:tcBorders>
          </w:tcPr>
          <w:p>
            <w:pPr>
              <w:spacing w:after="0"/>
              <w:rPr>
                <w:sz w:val="8"/>
                <w:szCs w:val="8"/>
                <w:color w:val="auto"/>
              </w:rPr>
            </w:pPr>
          </w:p>
        </w:tc>
        <w:tc>
          <w:tcPr>
            <w:tcW w:w="1440" w:type="dxa"/>
            <w:vAlign w:val="bottom"/>
            <w:tcBorders>
              <w:bottom w:val="single" w:sz="8" w:color="FB4E0B"/>
            </w:tcBorders>
          </w:tcPr>
          <w:p>
            <w:pPr>
              <w:spacing w:after="0"/>
              <w:rPr>
                <w:sz w:val="8"/>
                <w:szCs w:val="8"/>
                <w:color w:val="auto"/>
              </w:rPr>
            </w:pPr>
          </w:p>
        </w:tc>
      </w:tr>
      <w:tr>
        <w:trPr>
          <w:trHeight w:val="203"/>
        </w:trPr>
        <w:tc>
          <w:tcPr>
            <w:tcW w:w="338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Base salary payout</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w:t>
            </w:r>
          </w:p>
        </w:tc>
        <w:tc>
          <w:tcPr>
            <w:tcW w:w="14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510,000</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440" w:type="dxa"/>
            <w:vAlign w:val="bottom"/>
          </w:tcPr>
          <w:p>
            <w:pPr>
              <w:jc w:val="right"/>
              <w:ind w:right="71"/>
              <w:spacing w:after="0"/>
              <w:rPr>
                <w:sz w:val="20"/>
                <w:szCs w:val="20"/>
                <w:color w:val="auto"/>
              </w:rPr>
            </w:pPr>
            <w:r>
              <w:rPr>
                <w:rFonts w:ascii="Calibri" w:cs="Calibri" w:eastAsia="Calibri" w:hAnsi="Calibri"/>
                <w:sz w:val="14"/>
                <w:szCs w:val="14"/>
                <w:color w:val="auto"/>
              </w:rPr>
              <w:t>510,000</w:t>
            </w:r>
          </w:p>
        </w:tc>
      </w:tr>
      <w:tr>
        <w:trPr>
          <w:trHeight w:val="83"/>
        </w:trPr>
        <w:tc>
          <w:tcPr>
            <w:tcW w:w="338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196"/>
        </w:trPr>
        <w:tc>
          <w:tcPr>
            <w:tcW w:w="338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Restricted stock units</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4,490,573</w:t>
            </w:r>
          </w:p>
        </w:tc>
        <w:tc>
          <w:tcPr>
            <w:tcW w:w="14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4,490,573</w:t>
            </w:r>
          </w:p>
        </w:tc>
        <w:tc>
          <w:tcPr>
            <w:tcW w:w="14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892,345</w:t>
            </w:r>
          </w:p>
        </w:tc>
        <w:tc>
          <w:tcPr>
            <w:tcW w:w="1440" w:type="dxa"/>
            <w:vAlign w:val="bottom"/>
          </w:tcPr>
          <w:p>
            <w:pPr>
              <w:jc w:val="right"/>
              <w:ind w:right="71"/>
              <w:spacing w:after="0"/>
              <w:rPr>
                <w:sz w:val="20"/>
                <w:szCs w:val="20"/>
                <w:color w:val="auto"/>
              </w:rPr>
            </w:pPr>
            <w:r>
              <w:rPr>
                <w:rFonts w:ascii="Calibri" w:cs="Calibri" w:eastAsia="Calibri" w:hAnsi="Calibri"/>
                <w:sz w:val="14"/>
                <w:szCs w:val="14"/>
                <w:color w:val="auto"/>
              </w:rPr>
              <w:t>4,490,573</w:t>
            </w:r>
          </w:p>
        </w:tc>
      </w:tr>
      <w:tr>
        <w:trPr>
          <w:trHeight w:val="83"/>
        </w:trPr>
        <w:tc>
          <w:tcPr>
            <w:tcW w:w="338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196"/>
        </w:trPr>
        <w:tc>
          <w:tcPr>
            <w:tcW w:w="338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Performance restricted stock units</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1,110,676</w:t>
            </w:r>
          </w:p>
        </w:tc>
        <w:tc>
          <w:tcPr>
            <w:tcW w:w="14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3,332,010</w:t>
            </w:r>
          </w:p>
        </w:tc>
        <w:tc>
          <w:tcPr>
            <w:tcW w:w="146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4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3,003,010</w:t>
            </w:r>
          </w:p>
        </w:tc>
        <w:tc>
          <w:tcPr>
            <w:tcW w:w="1440" w:type="dxa"/>
            <w:vAlign w:val="bottom"/>
          </w:tcPr>
          <w:p>
            <w:pPr>
              <w:jc w:val="right"/>
              <w:ind w:right="71"/>
              <w:spacing w:after="0"/>
              <w:rPr>
                <w:sz w:val="20"/>
                <w:szCs w:val="20"/>
                <w:color w:val="auto"/>
              </w:rPr>
            </w:pPr>
            <w:r>
              <w:rPr>
                <w:rFonts w:ascii="Calibri" w:cs="Calibri" w:eastAsia="Calibri" w:hAnsi="Calibri"/>
                <w:sz w:val="14"/>
                <w:szCs w:val="14"/>
                <w:color w:val="auto"/>
              </w:rPr>
              <w:t>3,332,010</w:t>
            </w:r>
          </w:p>
        </w:tc>
      </w:tr>
      <w:tr>
        <w:trPr>
          <w:trHeight w:val="89"/>
        </w:trPr>
        <w:tc>
          <w:tcPr>
            <w:tcW w:w="3380" w:type="dxa"/>
            <w:vAlign w:val="bottom"/>
            <w:tcBorders>
              <w:bottom w:val="single" w:sz="8" w:color="FB4E0B"/>
              <w:right w:val="single" w:sz="8" w:color="auto"/>
            </w:tcBorders>
          </w:tcPr>
          <w:p>
            <w:pPr>
              <w:spacing w:after="0"/>
              <w:rPr>
                <w:sz w:val="7"/>
                <w:szCs w:val="7"/>
                <w:color w:val="auto"/>
              </w:rPr>
            </w:pPr>
          </w:p>
        </w:tc>
        <w:tc>
          <w:tcPr>
            <w:tcW w:w="1440" w:type="dxa"/>
            <w:vAlign w:val="bottom"/>
            <w:tcBorders>
              <w:bottom w:val="single" w:sz="8" w:color="FB4E0B"/>
              <w:right w:val="single" w:sz="8" w:color="auto"/>
            </w:tcBorders>
          </w:tcPr>
          <w:p>
            <w:pPr>
              <w:spacing w:after="0"/>
              <w:rPr>
                <w:sz w:val="7"/>
                <w:szCs w:val="7"/>
                <w:color w:val="auto"/>
              </w:rPr>
            </w:pPr>
          </w:p>
        </w:tc>
        <w:tc>
          <w:tcPr>
            <w:tcW w:w="1460" w:type="dxa"/>
            <w:vAlign w:val="bottom"/>
            <w:tcBorders>
              <w:bottom w:val="single" w:sz="8" w:color="FB4E0B"/>
              <w:right w:val="single" w:sz="8" w:color="auto"/>
            </w:tcBorders>
          </w:tcPr>
          <w:p>
            <w:pPr>
              <w:spacing w:after="0"/>
              <w:rPr>
                <w:sz w:val="7"/>
                <w:szCs w:val="7"/>
                <w:color w:val="auto"/>
              </w:rPr>
            </w:pPr>
          </w:p>
        </w:tc>
        <w:tc>
          <w:tcPr>
            <w:tcW w:w="1460" w:type="dxa"/>
            <w:vAlign w:val="bottom"/>
            <w:tcBorders>
              <w:bottom w:val="single" w:sz="8" w:color="FB4E0B"/>
              <w:right w:val="single" w:sz="8" w:color="auto"/>
            </w:tcBorders>
          </w:tcPr>
          <w:p>
            <w:pPr>
              <w:spacing w:after="0"/>
              <w:rPr>
                <w:sz w:val="7"/>
                <w:szCs w:val="7"/>
                <w:color w:val="auto"/>
              </w:rPr>
            </w:pPr>
          </w:p>
        </w:tc>
        <w:tc>
          <w:tcPr>
            <w:tcW w:w="1440" w:type="dxa"/>
            <w:vAlign w:val="bottom"/>
            <w:tcBorders>
              <w:bottom w:val="single" w:sz="8" w:color="FB4E0B"/>
              <w:right w:val="single" w:sz="8" w:color="auto"/>
            </w:tcBorders>
          </w:tcPr>
          <w:p>
            <w:pPr>
              <w:spacing w:after="0"/>
              <w:rPr>
                <w:sz w:val="7"/>
                <w:szCs w:val="7"/>
                <w:color w:val="auto"/>
              </w:rPr>
            </w:pPr>
          </w:p>
        </w:tc>
        <w:tc>
          <w:tcPr>
            <w:tcW w:w="1440" w:type="dxa"/>
            <w:vAlign w:val="bottom"/>
            <w:tcBorders>
              <w:bottom w:val="single" w:sz="8" w:color="FB4E0B"/>
            </w:tcBorders>
          </w:tcPr>
          <w:p>
            <w:pPr>
              <w:spacing w:after="0"/>
              <w:rPr>
                <w:sz w:val="7"/>
                <w:szCs w:val="7"/>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Vikas Bhalla</w:t>
      </w:r>
    </w:p>
    <w:p>
      <w:pPr>
        <w:spacing w:after="0" w:line="245"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Either Mr. Bhalla or we may terminate Mr. Bhalla’s employment at any tme (though we must give Mr. Bhalla 30 days’ notce if the terminaton is without “cause” and Mr. Bhalla must give us 90 days’ advance notce upon his resignaton). If Mr. Bhalla’s employment with the Company is terminated by the Company without “cause” (other than due to death or disability) or by Mr. Bhalla for “good reason” (both “cause” and “good reason” as defned below), Mr. Bhalla will receive a cash severance payment equal to 12 months’ annual fxed compensaton, with 25% payable as a lump sum payment and the remaining 75% payable in accordance with the Company’s regular payroll practces.</w:t>
      </w:r>
    </w:p>
    <w:p>
      <w:pPr>
        <w:spacing w:after="0" w:line="211"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On a “change in control” (as defned in the 2018 Plan) or death, Mr. Bhalla’s outstanding equity awards will vest in the same manner as described for Mr. Nicolelli’s outstanding equity awards beginning on page 98, except that his restricted stock units granted in September 2021 will not vest if he terminates his employment for good reason following a change in control.</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Mr. Bhalla’s severance payments and terminaton-related equity acceleraton are subject to his executon of a waiver and release of claims against us.</w:t>
      </w:r>
    </w:p>
    <w:p>
      <w:pPr>
        <w:spacing w:after="0" w:line="2"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Mr. Bhalla is subject to confdentality restrictons at all tmes, as well as noncompetton and nonsolicitaton restrictons for one year following terminaton of his employment.</w:t>
      </w:r>
    </w:p>
    <w:p>
      <w:pPr>
        <w:spacing w:after="0" w:line="127"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100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Vikas Bhalla</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following change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control or 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72"/>
        </w:trPr>
        <w:tc>
          <w:tcPr>
            <w:tcW w:w="2560" w:type="dxa"/>
            <w:vAlign w:val="bottom"/>
          </w:tcPr>
          <w:p>
            <w:pPr>
              <w:spacing w:after="0"/>
              <w:rPr>
                <w:sz w:val="14"/>
                <w:szCs w:val="14"/>
                <w:color w:val="auto"/>
              </w:rPr>
            </w:pPr>
          </w:p>
        </w:tc>
        <w:tc>
          <w:tcPr>
            <w:tcW w:w="160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rPr>
                <w:sz w:val="20"/>
                <w:szCs w:val="20"/>
                <w:color w:val="auto"/>
              </w:rPr>
            </w:pPr>
            <w:r>
              <w:rPr>
                <w:rFonts w:ascii="Calibri" w:cs="Calibri" w:eastAsia="Calibri" w:hAnsi="Calibri"/>
                <w:sz w:val="14"/>
                <w:szCs w:val="14"/>
                <w:b w:val="1"/>
                <w:bCs w:val="1"/>
                <w:color w:val="auto"/>
              </w:rPr>
              <w:t>Death afer a</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good reason or</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7"/>
              </w:rPr>
              <w:t>without cause</w:t>
            </w:r>
          </w:p>
        </w:tc>
        <w:tc>
          <w:tcPr>
            <w:tcW w:w="16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5"/>
              </w:rPr>
              <w:t>control</w:t>
            </w:r>
          </w:p>
        </w:tc>
        <w:tc>
          <w:tcPr>
            <w:tcW w:w="162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w w:val="97"/>
              </w:rPr>
              <w:t>change in control</w:t>
            </w:r>
          </w:p>
        </w:tc>
      </w:tr>
      <w:tr>
        <w:trPr>
          <w:trHeight w:val="179"/>
        </w:trPr>
        <w:tc>
          <w:tcPr>
            <w:tcW w:w="25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rPr>
              <w:t>($)</w:t>
            </w:r>
          </w:p>
        </w:tc>
      </w:tr>
      <w:tr>
        <w:trPr>
          <w:trHeight w:val="128"/>
        </w:trPr>
        <w:tc>
          <w:tcPr>
            <w:tcW w:w="2560" w:type="dxa"/>
            <w:vAlign w:val="bottom"/>
            <w:tcBorders>
              <w:bottom w:val="single" w:sz="8" w:color="FB4E0B"/>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337,282</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337,282</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5,433,451</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5,433,451</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1,136,028</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5,433,451</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1,197,423</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3,592,255</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3,223,951</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3,592,255</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357"/>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Government-required payouts</w:t>
            </w:r>
            <w:r>
              <w:rPr>
                <w:rFonts w:ascii="Calibri" w:cs="Calibri" w:eastAsia="Calibri" w:hAnsi="Calibri"/>
                <w:sz w:val="20"/>
                <w:szCs w:val="20"/>
                <w:color w:val="auto"/>
                <w:vertAlign w:val="superscript"/>
              </w:rPr>
              <w:t>(1)</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124,859</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124,859</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124,859</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124,859</w:t>
            </w:r>
          </w:p>
        </w:tc>
      </w:tr>
      <w:tr>
        <w:trPr>
          <w:trHeight w:val="26"/>
        </w:trPr>
        <w:tc>
          <w:tcPr>
            <w:tcW w:w="2560" w:type="dxa"/>
            <w:vAlign w:val="bottom"/>
            <w:tcBorders>
              <w:right w:val="single" w:sz="8" w:color="FB4E0B"/>
            </w:tcBorders>
            <w:shd w:val="clear" w:color="auto" w:fill="FB4E0B"/>
          </w:tcPr>
          <w:p>
            <w:pPr>
              <w:spacing w:after="0"/>
              <w:rPr>
                <w:sz w:val="2"/>
                <w:szCs w:val="2"/>
                <w:color w:val="auto"/>
              </w:rPr>
            </w:pPr>
          </w:p>
        </w:tc>
        <w:tc>
          <w:tcPr>
            <w:tcW w:w="1600" w:type="dxa"/>
            <w:vAlign w:val="bottom"/>
            <w:tcBorders>
              <w:right w:val="single" w:sz="8" w:color="FB4E0B"/>
            </w:tcBorders>
            <w:shd w:val="clear" w:color="auto" w:fill="FB4E0B"/>
          </w:tcPr>
          <w:p>
            <w:pPr>
              <w:spacing w:after="0"/>
              <w:rPr>
                <w:sz w:val="2"/>
                <w:szCs w:val="2"/>
                <w:color w:val="auto"/>
              </w:rPr>
            </w:pPr>
          </w:p>
        </w:tc>
        <w:tc>
          <w:tcPr>
            <w:tcW w:w="1600" w:type="dxa"/>
            <w:vAlign w:val="bottom"/>
            <w:tcBorders>
              <w:right w:val="single" w:sz="8" w:color="FB4E0B"/>
            </w:tcBorders>
            <w:shd w:val="clear" w:color="auto" w:fill="FB4E0B"/>
          </w:tcPr>
          <w:p>
            <w:pPr>
              <w:spacing w:after="0"/>
              <w:rPr>
                <w:sz w:val="2"/>
                <w:szCs w:val="2"/>
                <w:color w:val="auto"/>
              </w:rPr>
            </w:pPr>
          </w:p>
        </w:tc>
        <w:tc>
          <w:tcPr>
            <w:tcW w:w="1620" w:type="dxa"/>
            <w:vAlign w:val="bottom"/>
            <w:tcBorders>
              <w:right w:val="single" w:sz="8" w:color="FB4E0B"/>
            </w:tcBorders>
            <w:shd w:val="clear" w:color="auto" w:fill="FB4E0B"/>
          </w:tcPr>
          <w:p>
            <w:pPr>
              <w:spacing w:after="0"/>
              <w:rPr>
                <w:sz w:val="2"/>
                <w:szCs w:val="2"/>
                <w:color w:val="auto"/>
              </w:rPr>
            </w:pPr>
          </w:p>
        </w:tc>
        <w:tc>
          <w:tcPr>
            <w:tcW w:w="1620" w:type="dxa"/>
            <w:vAlign w:val="bottom"/>
            <w:tcBorders>
              <w:right w:val="single" w:sz="8" w:color="FB4E0B"/>
            </w:tcBorders>
            <w:shd w:val="clear" w:color="auto" w:fill="FB4E0B"/>
          </w:tcPr>
          <w:p>
            <w:pPr>
              <w:spacing w:after="0"/>
              <w:rPr>
                <w:sz w:val="2"/>
                <w:szCs w:val="2"/>
                <w:color w:val="auto"/>
              </w:rPr>
            </w:pPr>
          </w:p>
        </w:tc>
        <w:tc>
          <w:tcPr>
            <w:tcW w:w="1620" w:type="dxa"/>
            <w:vAlign w:val="bottom"/>
            <w:shd w:val="clear" w:color="auto" w:fill="FB4E0B"/>
          </w:tcPr>
          <w:p>
            <w:pPr>
              <w:spacing w:after="0"/>
              <w:rPr>
                <w:sz w:val="2"/>
                <w:szCs w:val="2"/>
                <w:color w:val="auto"/>
              </w:rPr>
            </w:pPr>
          </w:p>
        </w:tc>
      </w:tr>
    </w:tbl>
    <w:p>
      <w:pPr>
        <w:spacing w:after="0" w:line="84"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(1) Represents distributons under the Gratuity Plan, which is due to Mr. Bhalla because he has earned over fve years of credited service.</w:t>
      </w:r>
    </w:p>
    <w:p>
      <w:pPr>
        <w:spacing w:after="0" w:line="19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Vivek Jetley</w:t>
      </w:r>
    </w:p>
    <w:p>
      <w:pPr>
        <w:spacing w:after="0" w:line="115"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Either Mr. Jetley or we may terminate Mr. Jetley’s employment at any tme (though we must give Mr. Jetley 30 days’ notce if the terminaton is without “cause” and Mr. Jetley must give us 90 days’ advance notce upon his resignaton). If Mr. Jetley’s employment with the Company is terminated by the Company without “cause” (other than due to death or disability) or by Mr. Jetley for “good reason” (both “cause” and “good reason” as defned below), Mr. Jetley will receive a cash severance payment equal to 12 months’ base salary, with 25% payable as a lump sum payment and the remaining 75% payable in accordance with the Company’s regular payroll practces.</w:t>
      </w:r>
    </w:p>
    <w:p>
      <w:pPr>
        <w:spacing w:after="0" w:line="211"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On a “change in control” (as defned in the 2018 Plan) or death, Mr. Jetley’s outstanding equity awards will vest in the same manner as described for Mr. Nicolelli’s outstanding equity awards beginning on page 98, except that his restricted stock units granted in September 2021 will not vest if he terminates his employment for good reason following a change in control.</w:t>
      </w:r>
    </w:p>
    <w:p>
      <w:pPr>
        <w:spacing w:after="0" w:line="213"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Mr. Jetley’s severance payments and terminaton-related equity acceleraton are subject to his executon of a release of claims against us. Mr. Jetley is subject to confdentality restrictons at all tmes, as well as noncompetton, nondisparagement and nonsolicitaton restrictons during his employment and for one year thereafer.</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Vivek Jetley</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2560" w:type="dxa"/>
            <w:vAlign w:val="bottom"/>
          </w:tcPr>
          <w:p>
            <w:pPr>
              <w:spacing w:after="0"/>
              <w:rPr>
                <w:sz w:val="14"/>
                <w:szCs w:val="14"/>
                <w:color w:val="auto"/>
              </w:rPr>
            </w:pP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Death afer a</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good reason or</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r>
      <w:tr>
        <w:trPr>
          <w:trHeight w:val="141"/>
        </w:trPr>
        <w:tc>
          <w:tcPr>
            <w:tcW w:w="256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500,000</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500,000</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4,705,241</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4,705,241</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730,752</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4,705,241</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1,014,885</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3,044,657</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2,702,443</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3,044,657</w:t>
            </w:r>
          </w:p>
        </w:tc>
      </w:tr>
      <w:tr>
        <w:trPr>
          <w:trHeight w:val="128"/>
        </w:trPr>
        <w:tc>
          <w:tcPr>
            <w:tcW w:w="25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1">
            <w:col w:w="10940"/>
          </w:cols>
          <w:pgMar w:left="320" w:top="471" w:right="639" w:bottom="1440" w:gutter="0" w:footer="0" w:header="0"/>
        </w:sectPr>
      </w:pPr>
    </w:p>
    <w:p>
      <w:pPr>
        <w:spacing w:after="0" w:line="73"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101</w:t>
      </w:r>
    </w:p>
    <w:p>
      <w:pPr>
        <w:sectPr>
          <w:pgSz w:w="11900" w:h="16838" w:orient="portrait"/>
          <w:cols w:equalWidth="0" w:num="1">
            <w:col w:w="10940"/>
          </w:cols>
          <w:pgMar w:left="320" w:top="471" w:right="6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Ankor Rai</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Either Mr. Rai or we may terminate Mr. Rai’s employment at any tme (though we must give Mr. Rai 30 days’ notce if the terminaton is without “cause” and Mr. Rai must give us 90 days’ advance notce upon any resignaton). If Mr. Rai’s employment with the Company is terminated by the Company without “cause” (other than due to death or disability) or by Mr. Rai for “good reason” (both “cause” and “good reason” as defned below), Mr. Rai will receive a cash severance payment equal to 12 months’ base salary, with 25% payable as a lump sum payment and the remaining 75% payable in accordance with the Company’s regular payroll practces.</w:t>
      </w:r>
    </w:p>
    <w:p>
      <w:pPr>
        <w:spacing w:after="0" w:line="211" w:lineRule="exact"/>
        <w:rPr>
          <w:sz w:val="20"/>
          <w:szCs w:val="20"/>
          <w:color w:val="auto"/>
        </w:rPr>
      </w:pPr>
    </w:p>
    <w:p>
      <w:pPr>
        <w:ind w:left="320" w:right="680"/>
        <w:spacing w:after="0" w:line="239" w:lineRule="auto"/>
        <w:rPr>
          <w:sz w:val="20"/>
          <w:szCs w:val="20"/>
          <w:color w:val="auto"/>
        </w:rPr>
      </w:pPr>
      <w:r>
        <w:rPr>
          <w:rFonts w:ascii="Calibri" w:cs="Calibri" w:eastAsia="Calibri" w:hAnsi="Calibri"/>
          <w:sz w:val="17"/>
          <w:szCs w:val="17"/>
          <w:color w:val="auto"/>
        </w:rPr>
        <w:t>On a “change in control” (as defned in the 2018 Plan) or death, Mr. Rai’s outstanding equity awards will vest in the same manner as described for Mr. Nicolelli’s outstanding equity awards beginning on page 98.</w:t>
      </w:r>
    </w:p>
    <w:p>
      <w:pPr>
        <w:spacing w:after="0" w:line="211"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Mr. Rai’s severance payments and terminaton-related equity acceleraton are subject to his executon of a release of claims against us. Mr. Rai is subject to confdentality restrictons at all tmes, as well as noncompetton, nondisparagement and nonsolicitaton restrictons during his employment and for one year thereafer.</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Mr. Rai resigned from the Company in April 2023.</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Ankor Rai</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162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2560" w:type="dxa"/>
            <w:vAlign w:val="bottom"/>
          </w:tcPr>
          <w:p>
            <w:pPr>
              <w:spacing w:after="0"/>
              <w:rPr>
                <w:sz w:val="14"/>
                <w:szCs w:val="14"/>
                <w:color w:val="auto"/>
              </w:rPr>
            </w:pP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Death afer a</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good reason or</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r>
      <w:tr>
        <w:trPr>
          <w:trHeight w:val="141"/>
        </w:trPr>
        <w:tc>
          <w:tcPr>
            <w:tcW w:w="256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450,000</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450,000</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4,184,582</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4,184,582</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550,478</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4,184,582</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697,030</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2,091,105</w:t>
            </w:r>
          </w:p>
        </w:tc>
        <w:tc>
          <w:tcPr>
            <w:tcW w:w="162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1,827,837</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2,091,105</w:t>
            </w:r>
          </w:p>
        </w:tc>
      </w:tr>
      <w:tr>
        <w:trPr>
          <w:trHeight w:val="128"/>
        </w:trPr>
        <w:tc>
          <w:tcPr>
            <w:tcW w:w="25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Certain defned terms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cause</w:t>
      </w:r>
    </w:p>
    <w:p>
      <w:pPr>
        <w:spacing w:after="0" w:line="106" w:lineRule="exact"/>
        <w:rPr>
          <w:sz w:val="20"/>
          <w:szCs w:val="20"/>
          <w:color w:val="auto"/>
        </w:rPr>
      </w:pPr>
    </w:p>
    <w:p>
      <w:pPr>
        <w:ind w:left="320" w:right="140"/>
        <w:spacing w:after="0" w:line="258" w:lineRule="auto"/>
        <w:rPr>
          <w:sz w:val="20"/>
          <w:szCs w:val="20"/>
          <w:color w:val="auto"/>
        </w:rPr>
      </w:pPr>
      <w:r>
        <w:rPr>
          <w:rFonts w:ascii="Calibri" w:cs="Calibri" w:eastAsia="Calibri" w:hAnsi="Calibri"/>
          <w:sz w:val="16"/>
          <w:szCs w:val="16"/>
          <w:color w:val="auto"/>
        </w:rPr>
        <w:t>The following defniton of “cause” applies to all named executve ofcers unless stated otherwise. “Cause” will occur if: (i) there is a fnal nonappealable convicton of, or pleading of no contest to, (1) a crime of moral turpitude which causes serious economic injury or serious injury to our reputaton or (2) a felony; (ii) the executve engages in fraud, embezzlement, gross negligence, self-dealing, dishonesty or other gross and willful misconduct which causes serious and demonstrable injury to us; (iii) the executve materially violates any of our material policies (for Mr. Kapoor, which is not remedied within 15 days of receipt of notce from the Company specifying the breach in reasonable detail); (iv) the executve willfully and contnually fails to substantally perform his dutes (other than for reason of physical or mental incapacity) which contnues beyond 15 days afer we notfy him in writng of his</w:t>
      </w:r>
    </w:p>
    <w:p>
      <w:pPr>
        <w:spacing w:after="0" w:line="114"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102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need to substantally improve his performance; provided that a failure to achieve performance objectves will not by itself consttute cause and no act or failure to act shall be considered “willful” unless done or failed to be done by the executve in bad faith and without a reasonable belief that his actons or omission was in our best interest; (v) the executve fails to reasonably cooperate in a governmental investgaton involving us; (vi) the executve materially, knowingly and intentonally fails to comply with applicable laws with respect to the executon of the Company’s business operatons (subject to a presumpton of good faith if the executve is following advice of counsel); (vii) the executve fails to follow his supervisor’s (or, for Mr. Kapoor, our board of directors’) lawful instructons and does not remedy the failure for 15 days afer we give him writen notce; (viii) the executve’s use of alcohol or drugs materially interferes with the performance of his dutes; (ix) for Mr. Kapoor only, he fails to take reasonable steps to end certain afliatons specifed in his employment agreement within six months afer a request by our board of directors; or (x) for Mr. Kapoor only, he materially breaches any material term of his employment agreement which is not remedied within 15 days of receipt of notce from the Company specifying the breach in reasonable detail.</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good reason</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For Mr. Kapoor, “good reason” generally means: (i) his dutes or responsibilites are substantally reduced, he is required to report to anyone other than our board of directors, or his ttle as our ofcer is adversely changed; however, if following a change in control, his new ttle and authority are similar to his old ttle and authority, then any change in the executve’s ttle will not consttute a signifcant reducton in his dutes and authorites, it being understood that “good reason” shall be deemed to exist if Mr. Kapoor is no longer the chief executve ofcer of the Company or any entty that acquires the Company;</w:t>
      </w:r>
    </w:p>
    <w:p>
      <w:pPr>
        <w:spacing w:after="0" w:line="3" w:lineRule="exact"/>
        <w:rPr>
          <w:sz w:val="20"/>
          <w:szCs w:val="20"/>
          <w:color w:val="auto"/>
        </w:rPr>
      </w:pPr>
    </w:p>
    <w:p>
      <w:pPr>
        <w:ind w:left="320" w:right="60" w:hanging="4"/>
        <w:spacing w:after="0"/>
        <w:tabs>
          <w:tab w:leader="none" w:pos="539" w:val="left"/>
        </w:tabs>
        <w:numPr>
          <w:ilvl w:val="0"/>
          <w:numId w:val="38"/>
        </w:numPr>
        <w:rPr>
          <w:rFonts w:ascii="Calibri" w:cs="Calibri" w:eastAsia="Calibri" w:hAnsi="Calibri"/>
          <w:sz w:val="17"/>
          <w:szCs w:val="17"/>
          <w:color w:val="auto"/>
        </w:rPr>
      </w:pPr>
      <w:r>
        <w:rPr>
          <w:rFonts w:ascii="Calibri" w:cs="Calibri" w:eastAsia="Calibri" w:hAnsi="Calibri"/>
          <w:sz w:val="17"/>
          <w:szCs w:val="17"/>
          <w:color w:val="auto"/>
        </w:rPr>
        <w:t>his base salary is reduced, or his target annual bonus opportunity is reduced below 100% of his base salary; (iii) the ofce or locaton where he is based in the metropolitan New York City area is moved more than 30 miles, and the new locaton is more than 30 miles from his primary residence in the metropolitan New York City area; or (iv) we breach any material term of his employment agreement. If Mr. Kapoor plans to terminate his employment for good reason, he must notfy us within 45 days following the date the executve frst becomes aware of the circumstances giving rise to good reason and must allow us 30 days to remedy the problem.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defniton of “good reason” applies to Messrs. Nicolelli, Bhalla, Jetley and Rai unless stated otherwise. “Good reason” means, without the executve’s prior writen consent: (i) the executve’s dutes or responsibilites are substantally reduced, or he is required to report to anyone other than our board of directors, or our CEO; (ii) the executve’s ttle as our ofcer is adversely changed; however, if following a change in control (as defned in the 2018 Plan), his new ttle and authority are similar to his old ttle and authority, then any change in the executve’s ttle will not consttute a signifcant reducton in his dutes and authorites; (iii) for Mr. Nicolelli only, there is a change in the ofce or locaton where the executve is based of more than 50 miles</w:t>
      </w:r>
    </w:p>
    <w:p>
      <w:pPr>
        <w:spacing w:after="0" w:line="3"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(100 kilometers for Mr. Bhalla); or (iv) we breach any material term of the executve’s employment agreement or severance agreement. If the executve plans to terminate his employment for good reason, he must notfy us within 30 days following the date the executve frst becomes aware of the circumstances giving rise to good reason and must allow us 30 days to remedy the problem.</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change in control</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 “change in control” (as generally defned in Mr. Kapoor’s employment agreement and the 2018 Plan, as applicable) generally means any of the following events: (i) any person or group becomes a benefcial owner (within the meaning of Rule 13d-3 under the Exchange Act) of more than 50% of either (1) the combined votng power of our then-outstanding votng securites enttled to vote in the electon of directors or (2) our outstanding shares of common stock, assuming all rights to acquire common stock through optons, warrants, conversion of convertble stock or debt, and the like are exercised; (ii) a majority of the members of our</w:t>
      </w:r>
    </w:p>
    <w:p>
      <w:pPr>
        <w:spacing w:after="0" w:line="297"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103</w:t>
      </w:r>
    </w:p>
    <w:p>
      <w:pPr>
        <w:sectPr>
          <w:pgSz w:w="11900" w:h="16838" w:orient="portrait"/>
          <w:cols w:equalWidth="0" w:num="1">
            <w:col w:w="10940"/>
          </w:cols>
          <w:pgMar w:left="320" w:top="471"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board of directors changes from those in ofce as of the date of Mr. Kapoor’s employment agreement or the efectve date of the 2018 Plan (as applicable), except that the electon of any new director whose electon or nominaton was approved by at least two-thirds of our incumbent directors will not be regarded towards a change in the majority for these purposes; (iii) our dissoluton or liquidaton; (iv) the sale, transfer or other dispositon of all or substantally all of our business or our assets; or (v) consummaton of a reorganizaton, recapitalizaton, merger, consolidaton or similar transacton with another entty which requires the approval of our stockholders; however, any such transacton will not be a change in control if afer the transacton</w:t>
      </w:r>
    </w:p>
    <w:p>
      <w:pPr>
        <w:spacing w:after="0" w:line="3" w:lineRule="exact"/>
        <w:rPr>
          <w:sz w:val="20"/>
          <w:szCs w:val="20"/>
          <w:color w:val="auto"/>
        </w:rPr>
      </w:pPr>
    </w:p>
    <w:p>
      <w:pPr>
        <w:ind w:left="320" w:right="120" w:hanging="4"/>
        <w:spacing w:after="0" w:line="239" w:lineRule="auto"/>
        <w:tabs>
          <w:tab w:leader="none" w:pos="547" w:val="left"/>
        </w:tabs>
        <w:numPr>
          <w:ilvl w:val="0"/>
          <w:numId w:val="39"/>
        </w:numPr>
        <w:rPr>
          <w:rFonts w:ascii="Calibri" w:cs="Calibri" w:eastAsia="Calibri" w:hAnsi="Calibri"/>
          <w:sz w:val="17"/>
          <w:szCs w:val="17"/>
          <w:color w:val="auto"/>
        </w:rPr>
      </w:pPr>
      <w:r>
        <w:rPr>
          <w:rFonts w:ascii="Calibri" w:cs="Calibri" w:eastAsia="Calibri" w:hAnsi="Calibri"/>
          <w:sz w:val="17"/>
          <w:szCs w:val="17"/>
          <w:color w:val="auto"/>
        </w:rPr>
        <w:t>more than 50% of the total votng power of the resultng entty or its ultmate parent is represented by what were our outstanding votng securites before the transacton in substantally the same proporton among holders; (2) no person or group is or becomes the benefcial owner of more than 50% of the total votng power of the outstanding votng securites eligible to elect members of our board of directors of the parent or surviving company; and</w:t>
      </w:r>
    </w:p>
    <w:p>
      <w:pPr>
        <w:spacing w:after="0" w:line="4" w:lineRule="exact"/>
        <w:rPr>
          <w:rFonts w:ascii="Calibri" w:cs="Calibri" w:eastAsia="Calibri" w:hAnsi="Calibri"/>
          <w:sz w:val="17"/>
          <w:szCs w:val="17"/>
          <w:color w:val="auto"/>
        </w:rPr>
      </w:pPr>
    </w:p>
    <w:p>
      <w:pPr>
        <w:ind w:left="320" w:right="260" w:hanging="4"/>
        <w:spacing w:after="0" w:line="239" w:lineRule="auto"/>
        <w:tabs>
          <w:tab w:leader="none" w:pos="547" w:val="left"/>
        </w:tabs>
        <w:numPr>
          <w:ilvl w:val="0"/>
          <w:numId w:val="40"/>
        </w:numPr>
        <w:rPr>
          <w:rFonts w:ascii="Calibri" w:cs="Calibri" w:eastAsia="Calibri" w:hAnsi="Calibri"/>
          <w:sz w:val="17"/>
          <w:szCs w:val="17"/>
          <w:color w:val="auto"/>
        </w:rPr>
      </w:pPr>
      <w:r>
        <w:rPr>
          <w:rFonts w:ascii="Calibri" w:cs="Calibri" w:eastAsia="Calibri" w:hAnsi="Calibri"/>
          <w:sz w:val="17"/>
          <w:szCs w:val="17"/>
          <w:color w:val="auto"/>
        </w:rPr>
        <w:t>at least a majority of the members of our board of directors of the parent or surviving company following the transacton were our board members when our board frst approved the transacton.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retrement</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“retrement” generally means a named executve ofcer’s voluntary terminaton of employment that is efectve afer he reaches age 60.</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CEO pay rato</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presented below is an estmate of the rato of our CEO’s annual total compensaton to our median employee’s annual total compensaton (our “Pay Rato”). Due to the size and complexity of our organizaton, which as of December 31, 2022, was made up of approximately 45,400 professionals throughout the world, with delivery centers in over 10 countries, our Pay Rato is based on reasonable assumptons and estmates described below.</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selected the median employee used for Pay Rato in 2021 by looking at our entre employee populaton (excluding our CEO) as of December 31, 2021, but excluding leased employees and independent contractors. The median employee used for our Pay Rato in 2021 changed positons and therefore, was not used for our Pay Rato in 2022. Instead, and per the SEC rules, we use another employee whose compensaton is substantally similar to the 2021 median employee based on each employee’s 2021 “total pay.” Each employee’s “total pay” was calculated using the sum of his or her fxed pay / base salary and variable pay (including any performance bonus, sales commission, and retenton or signing bonus). We also annualized total pay for all full-tme and part-tme employees that were employed for less than the full fscal year 2021.</w:t>
      </w:r>
    </w:p>
    <w:p>
      <w:pPr>
        <w:spacing w:after="0" w:line="128"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104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80"/>
          </w:cols>
          <w:pgMar w:left="320" w:top="471" w:right="6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For all employees located in jurisdictons other than the United States, a cost-of-living adjustment was made to align their compensaton with the cost-of-living standards in the United States, the jurisdicton in which our CEO resides. Finally, we identfed the median employee and calculated his or her annual total compensaton and the CEO’s annual total compensaton in the manner required by Item 402(u) of Regulaton S-K, to determine the pay rato shown in the table below.</w:t>
      </w:r>
    </w:p>
    <w:p>
      <w:pPr>
        <w:spacing w:after="0" w:line="352"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all employees (with COLA)</w:t>
      </w:r>
      <w:r>
        <w:rPr>
          <w:rFonts w:ascii="Calibri" w:cs="Calibri" w:eastAsia="Calibri" w:hAnsi="Calibri"/>
          <w:sz w:val="13"/>
          <w:szCs w:val="13"/>
          <w:b w:val="1"/>
          <w:bCs w:val="1"/>
          <w:color w:val="FB4E0B"/>
        </w:rPr>
        <w:t>(1)</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rPr>
              <w:t>11,010,906</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Pr>
          <w:p>
            <w:pPr>
              <w:jc w:val="right"/>
              <w:ind w:right="33"/>
              <w:spacing w:after="0"/>
              <w:rPr>
                <w:sz w:val="20"/>
                <w:szCs w:val="20"/>
                <w:color w:val="auto"/>
              </w:rPr>
            </w:pPr>
            <w:r>
              <w:rPr>
                <w:rFonts w:ascii="Calibri" w:cs="Calibri" w:eastAsia="Calibri" w:hAnsi="Calibri"/>
                <w:sz w:val="17"/>
                <w:szCs w:val="17"/>
                <w:color w:val="auto"/>
              </w:rPr>
              <w:t>14,147</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4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Calibri" w:cs="Calibri" w:eastAsia="Calibri" w:hAnsi="Calibri"/>
                <w:sz w:val="17"/>
                <w:szCs w:val="17"/>
                <w:color w:val="auto"/>
              </w:rPr>
              <w:t>778:1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r>
    </w:tbl>
    <w:p>
      <w:pPr>
        <w:ind w:left="320" w:right="140" w:hanging="4"/>
        <w:spacing w:after="0"/>
        <w:tabs>
          <w:tab w:leader="none" w:pos="494"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2022 Mercer Combined Index. Our median employee, identfed without performing a cost-of-living adjustment, is based in India and had an annual total compensaton of $6,654, resultng in a pay rato of 1,655:1.</w:t>
      </w:r>
    </w:p>
    <w:p>
      <w:pPr>
        <w:spacing w:after="0" w:line="1"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Approximately 94% of our employees are located outside of the United States, primarily in India and the Philippines. As is common with many global companies, our compensaton programs are market based, and as such they may difer for employees based on the country where an employee works. Accordingly, we believe that it is important to show our pay-rato calculated in a similar manner as described above using the median U.S.-based employee to provide a commensurable view of our pay practces.</w:t>
      </w:r>
    </w:p>
    <w:p>
      <w:pPr>
        <w:spacing w:after="0" w:line="355"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United States employees</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4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20" w:type="dxa"/>
            <w:vAlign w:val="bottom"/>
            <w:tcBorders>
              <w:top w:val="single" w:sz="8" w:color="FB4E0B"/>
            </w:tcBorders>
            <w:gridSpan w:val="2"/>
          </w:tcPr>
          <w:p>
            <w:pPr>
              <w:jc w:val="right"/>
              <w:ind w:right="13"/>
              <w:spacing w:after="0"/>
              <w:rPr>
                <w:sz w:val="20"/>
                <w:szCs w:val="20"/>
                <w:color w:val="auto"/>
              </w:rPr>
            </w:pPr>
            <w:r>
              <w:rPr>
                <w:rFonts w:ascii="Calibri" w:cs="Calibri" w:eastAsia="Calibri" w:hAnsi="Calibri"/>
                <w:sz w:val="17"/>
                <w:szCs w:val="17"/>
                <w:color w:val="auto"/>
              </w:rPr>
              <w:t>11,010,906</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40" w:type="dxa"/>
            <w:vAlign w:val="bottom"/>
          </w:tcPr>
          <w:p>
            <w:pPr>
              <w:jc w:val="right"/>
              <w:spacing w:after="0"/>
              <w:rPr>
                <w:sz w:val="20"/>
                <w:szCs w:val="20"/>
                <w:color w:val="auto"/>
              </w:rPr>
            </w:pPr>
            <w:r>
              <w:rPr>
                <w:rFonts w:ascii="Calibri" w:cs="Calibri" w:eastAsia="Calibri" w:hAnsi="Calibri"/>
                <w:sz w:val="17"/>
                <w:szCs w:val="17"/>
                <w:color w:val="auto"/>
              </w:rPr>
              <w:t>$</w:t>
            </w: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Calibri" w:cs="Calibri" w:eastAsia="Calibri" w:hAnsi="Calibri"/>
                <w:sz w:val="17"/>
                <w:szCs w:val="17"/>
                <w:color w:val="auto"/>
              </w:rPr>
              <w:t>102,618</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3"/>
              <w:spacing w:after="0"/>
              <w:rPr>
                <w:sz w:val="20"/>
                <w:szCs w:val="20"/>
                <w:color w:val="auto"/>
              </w:rPr>
            </w:pPr>
            <w:r>
              <w:rPr>
                <w:rFonts w:ascii="Calibri" w:cs="Calibri" w:eastAsia="Calibri" w:hAnsi="Calibri"/>
                <w:sz w:val="17"/>
                <w:szCs w:val="17"/>
                <w:color w:val="auto"/>
              </w:rPr>
              <w:t>107:1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40" w:type="dxa"/>
            <w:vAlign w:val="bottom"/>
            <w:tcBorders>
              <w:bottom w:val="single" w:sz="8" w:color="FB4E0B"/>
            </w:tcBorders>
          </w:tcPr>
          <w:p>
            <w:pPr>
              <w:spacing w:after="0"/>
              <w:rPr>
                <w:sz w:val="11"/>
                <w:szCs w:val="11"/>
                <w:color w:val="auto"/>
              </w:rPr>
            </w:pPr>
          </w:p>
        </w:tc>
        <w:tc>
          <w:tcPr>
            <w:tcW w:w="200" w:type="dxa"/>
            <w:vAlign w:val="bottom"/>
            <w:tcBorders>
              <w:bottom w:val="single" w:sz="8" w:color="FB4E0B"/>
            </w:tcBorders>
          </w:tcPr>
          <w:p>
            <w:pPr>
              <w:spacing w:after="0"/>
              <w:rPr>
                <w:sz w:val="11"/>
                <w:szCs w:val="11"/>
                <w:color w:val="auto"/>
              </w:rPr>
            </w:pPr>
          </w:p>
        </w:tc>
        <w:tc>
          <w:tcPr>
            <w:tcW w:w="720" w:type="dxa"/>
            <w:vAlign w:val="bottom"/>
            <w:tcBorders>
              <w:bottom w:val="single" w:sz="8" w:color="FB4E0B"/>
            </w:tcBorders>
          </w:tcPr>
          <w:p>
            <w:pPr>
              <w:spacing w:after="0"/>
              <w:rPr>
                <w:sz w:val="11"/>
                <w:szCs w:val="11"/>
                <w:color w:val="auto"/>
              </w:rPr>
            </w:pPr>
          </w:p>
        </w:tc>
      </w:tr>
      <w:tr>
        <w:trPr>
          <w:trHeight w:val="940"/>
        </w:trPr>
        <w:tc>
          <w:tcPr>
            <w:tcW w:w="9460" w:type="dxa"/>
            <w:vAlign w:val="bottom"/>
          </w:tcPr>
          <w:p>
            <w:pPr>
              <w:ind w:left="7740"/>
              <w:spacing w:after="0"/>
              <w:rPr>
                <w:sz w:val="20"/>
                <w:szCs w:val="20"/>
                <w:color w:val="auto"/>
              </w:rPr>
            </w:pPr>
            <w:r>
              <w:rPr>
                <w:rFonts w:ascii="Calibri" w:cs="Calibri" w:eastAsia="Calibri" w:hAnsi="Calibri"/>
                <w:sz w:val="13"/>
                <w:szCs w:val="13"/>
                <w:color w:val="auto"/>
              </w:rPr>
              <w:t>EXL 2023 Proxy Statement</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alibri" w:cs="Calibri" w:eastAsia="Calibri" w:hAnsi="Calibri"/>
                <w:sz w:val="28"/>
                <w:szCs w:val="28"/>
                <w:b w:val="1"/>
                <w:bCs w:val="1"/>
                <w:color w:val="FB4E0B"/>
              </w:rPr>
              <w:t>/</w:t>
            </w:r>
          </w:p>
        </w:tc>
        <w:tc>
          <w:tcPr>
            <w:tcW w:w="720" w:type="dxa"/>
            <w:vAlign w:val="bottom"/>
          </w:tcPr>
          <w:p>
            <w:pPr>
              <w:jc w:val="right"/>
              <w:ind w:right="153"/>
              <w:spacing w:after="0"/>
              <w:rPr>
                <w:sz w:val="20"/>
                <w:szCs w:val="20"/>
                <w:color w:val="auto"/>
              </w:rPr>
            </w:pPr>
            <w:r>
              <w:rPr>
                <w:rFonts w:ascii="Calibri" w:cs="Calibri" w:eastAsia="Calibri" w:hAnsi="Calibri"/>
                <w:sz w:val="17"/>
                <w:szCs w:val="17"/>
                <w:b w:val="1"/>
                <w:bCs w:val="1"/>
                <w:color w:val="auto"/>
              </w:rPr>
              <w:t>105</w:t>
            </w:r>
          </w:p>
        </w:tc>
      </w:tr>
    </w:tbl>
    <w:p>
      <w:pPr>
        <w:sectPr>
          <w:pgSz w:w="11900" w:h="16838" w:orient="portrait"/>
          <w:cols w:equalWidth="0" w:num="1">
            <w:col w:w="10940"/>
          </w:cols>
          <w:pgMar w:left="320" w:top="471"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ectPr>
          <w:pgSz w:w="11900" w:h="16838" w:orient="portrait"/>
          <w:cols w:equalWidth="0" w:num="1">
            <w:col w:w="10139"/>
          </w:cols>
          <w:pgMar w:left="320" w:top="471" w:right="1440" w:bottom="1440" w:gutter="0" w:footer="0" w:header="0"/>
        </w:sectPr>
      </w:pPr>
    </w:p>
    <w:bookmarkStart w:id="107" w:name="page108"/>
    <w:bookmarkEnd w:id="107"/>
    <w:p>
      <w:pPr>
        <w:ind w:left="4"/>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4"/>
        <w:spacing w:after="0"/>
        <w:rPr>
          <w:sz w:val="20"/>
          <w:szCs w:val="20"/>
          <w:color w:val="auto"/>
        </w:rPr>
      </w:pPr>
      <w:r>
        <w:rPr>
          <w:rFonts w:ascii="Calibri" w:cs="Calibri" w:eastAsia="Calibri" w:hAnsi="Calibri"/>
          <w:sz w:val="24"/>
          <w:szCs w:val="24"/>
          <w:color w:val="auto"/>
        </w:rPr>
        <w:t>Pay versus performance</w:t>
      </w:r>
    </w:p>
    <w:p>
      <w:pPr>
        <w:spacing w:after="0" w:line="114" w:lineRule="exact"/>
        <w:rPr>
          <w:sz w:val="20"/>
          <w:szCs w:val="20"/>
          <w:color w:val="auto"/>
        </w:rPr>
      </w:pPr>
    </w:p>
    <w:p>
      <w:pPr>
        <w:ind w:left="4"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109" w:lineRule="exact"/>
        <w:rPr>
          <w:sz w:val="20"/>
          <w:szCs w:val="20"/>
          <w:color w:val="auto"/>
        </w:rPr>
      </w:pPr>
    </w:p>
    <w:p>
      <w:pPr>
        <w:ind w:left="4" w:right="20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the following table shows the past three fscal years’ total compensaton for our named executve ofcers as set forth in the Summary Compensaton Table, the “compensaton actually paid” to our named executve ofcers (as determined under SEC rules), our total shareholder return (TSR), the TSR of the peer group over the same period, our net income, and our revenue, which we have selected as our Company Selected Measure because of its role as a component of both our annual and long-term incentve compensaton program.</w:t>
      </w:r>
    </w:p>
    <w:p>
      <w:pPr>
        <w:spacing w:after="0" w:line="306" w:lineRule="exact"/>
        <w:rPr>
          <w:sz w:val="20"/>
          <w:szCs w:val="20"/>
          <w:color w:val="auto"/>
        </w:rPr>
      </w:pPr>
    </w:p>
    <w:p>
      <w:pPr>
        <w:ind w:left="4"/>
        <w:spacing w:after="0"/>
        <w:rPr>
          <w:sz w:val="20"/>
          <w:szCs w:val="20"/>
          <w:color w:val="auto"/>
        </w:rPr>
      </w:pPr>
      <w:r>
        <w:rPr>
          <w:rFonts w:ascii="Calibri" w:cs="Calibri" w:eastAsia="Calibri" w:hAnsi="Calibri"/>
          <w:sz w:val="19"/>
          <w:szCs w:val="19"/>
          <w:b w:val="1"/>
          <w:bCs w:val="1"/>
          <w:color w:val="FB4E0B"/>
        </w:rPr>
        <w:t>2022 Pay versus performance table</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Avg. Summary</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Company Selected Measure:</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6"/>
                <w:szCs w:val="6"/>
                <w:color w:val="auto"/>
              </w:rPr>
            </w:pPr>
          </w:p>
        </w:tc>
        <w:tc>
          <w:tcPr>
            <w:tcW w:w="122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7"/>
              </w:rPr>
              <w:t>Summary</w:t>
            </w:r>
          </w:p>
        </w:tc>
        <w:tc>
          <w:tcPr>
            <w:tcW w:w="124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rPr>
              <w:t>Compensaton Table</w:t>
            </w:r>
          </w:p>
        </w:tc>
        <w:tc>
          <w:tcPr>
            <w:tcW w:w="100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18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rPr>
              <w:t>Avg. compensaton</w:t>
            </w: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Borders>
              <w:bottom w:val="single" w:sz="8" w:color="FB4E0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8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820" w:type="dxa"/>
            <w:vAlign w:val="bottom"/>
          </w:tcPr>
          <w:p>
            <w:pPr>
              <w:spacing w:after="0"/>
              <w:rPr>
                <w:sz w:val="14"/>
                <w:szCs w:val="14"/>
                <w:color w:val="auto"/>
              </w:rPr>
            </w:pPr>
          </w:p>
        </w:tc>
        <w:tc>
          <w:tcPr>
            <w:tcW w:w="12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Table</w:t>
            </w:r>
          </w:p>
        </w:tc>
        <w:tc>
          <w:tcPr>
            <w:tcW w:w="12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6"/>
              </w:rPr>
              <w:t>total for other</w:t>
            </w:r>
          </w:p>
        </w:tc>
        <w:tc>
          <w:tcPr>
            <w:tcW w:w="100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actually paid to</w:t>
            </w:r>
          </w:p>
        </w:tc>
        <w:tc>
          <w:tcPr>
            <w:tcW w:w="11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actually paid to</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w w:val="98"/>
              </w:rPr>
              <w:t>Revenue</w:t>
            </w:r>
          </w:p>
        </w:tc>
        <w:tc>
          <w:tcPr>
            <w:tcW w:w="0" w:type="dxa"/>
            <w:vAlign w:val="bottom"/>
          </w:tcPr>
          <w:p>
            <w:pPr>
              <w:spacing w:after="0"/>
              <w:rPr>
                <w:sz w:val="1"/>
                <w:szCs w:val="1"/>
                <w:color w:val="auto"/>
              </w:rPr>
            </w:pPr>
          </w:p>
        </w:tc>
      </w:tr>
      <w:tr>
        <w:trPr>
          <w:trHeight w:val="65"/>
        </w:trPr>
        <w:tc>
          <w:tcPr>
            <w:tcW w:w="1820" w:type="dxa"/>
            <w:vAlign w:val="bottom"/>
          </w:tcPr>
          <w:p>
            <w:pPr>
              <w:spacing w:after="0"/>
              <w:rPr>
                <w:sz w:val="5"/>
                <w:szCs w:val="5"/>
                <w:color w:val="auto"/>
              </w:rPr>
            </w:pPr>
          </w:p>
        </w:tc>
        <w:tc>
          <w:tcPr>
            <w:tcW w:w="1220" w:type="dxa"/>
            <w:vAlign w:val="bottom"/>
            <w:vMerge w:val="restart"/>
          </w:tcPr>
          <w:p>
            <w:pPr>
              <w:jc w:val="center"/>
              <w:spacing w:after="0" w:line="199" w:lineRule="exact"/>
              <w:rPr>
                <w:sz w:val="20"/>
                <w:szCs w:val="20"/>
                <w:color w:val="auto"/>
              </w:rPr>
            </w:pPr>
            <w:r>
              <w:rPr>
                <w:rFonts w:ascii="Calibri" w:cs="Calibri" w:eastAsia="Calibri" w:hAnsi="Calibri"/>
                <w:sz w:val="14"/>
                <w:szCs w:val="14"/>
                <w:b w:val="1"/>
                <w:bCs w:val="1"/>
                <w:color w:val="auto"/>
                <w:w w:val="93"/>
              </w:rPr>
              <w:t>total for CEO</w:t>
            </w:r>
            <w:r>
              <w:rPr>
                <w:rFonts w:ascii="Calibri" w:cs="Calibri" w:eastAsia="Calibri" w:hAnsi="Calibri"/>
                <w:sz w:val="17"/>
                <w:szCs w:val="17"/>
                <w:b w:val="1"/>
                <w:bCs w:val="1"/>
                <w:color w:val="auto"/>
                <w:w w:val="93"/>
                <w:vertAlign w:val="superscript"/>
              </w:rPr>
              <w:t>(1)</w:t>
            </w:r>
          </w:p>
        </w:tc>
        <w:tc>
          <w:tcPr>
            <w:tcW w:w="1240" w:type="dxa"/>
            <w:vAlign w:val="bottom"/>
            <w:vMerge w:val="restart"/>
          </w:tcPr>
          <w:p>
            <w:pPr>
              <w:jc w:val="center"/>
              <w:spacing w:after="0" w:line="199" w:lineRule="exact"/>
              <w:rPr>
                <w:sz w:val="20"/>
                <w:szCs w:val="20"/>
                <w:color w:val="auto"/>
              </w:rPr>
            </w:pPr>
            <w:r>
              <w:rPr>
                <w:rFonts w:ascii="Calibri" w:cs="Calibri" w:eastAsia="Calibri" w:hAnsi="Calibri"/>
                <w:sz w:val="14"/>
                <w:szCs w:val="14"/>
                <w:b w:val="1"/>
                <w:bCs w:val="1"/>
                <w:color w:val="auto"/>
                <w:w w:val="90"/>
              </w:rPr>
              <w:t>NEOs</w:t>
            </w:r>
            <w:r>
              <w:rPr>
                <w:rFonts w:ascii="Calibri" w:cs="Calibri" w:eastAsia="Calibri" w:hAnsi="Calibri"/>
                <w:sz w:val="17"/>
                <w:szCs w:val="17"/>
                <w:b w:val="1"/>
                <w:bCs w:val="1"/>
                <w:color w:val="auto"/>
                <w:w w:val="90"/>
                <w:vertAlign w:val="superscript"/>
              </w:rPr>
              <w:t>(2)</w:t>
            </w:r>
          </w:p>
        </w:tc>
        <w:tc>
          <w:tcPr>
            <w:tcW w:w="1000" w:type="dxa"/>
            <w:vAlign w:val="bottom"/>
            <w:vMerge w:val="restart"/>
          </w:tcPr>
          <w:p>
            <w:pPr>
              <w:jc w:val="center"/>
              <w:spacing w:after="0" w:line="200" w:lineRule="exact"/>
              <w:rPr>
                <w:sz w:val="20"/>
                <w:szCs w:val="20"/>
                <w:color w:val="auto"/>
              </w:rPr>
            </w:pPr>
            <w:r>
              <w:rPr>
                <w:rFonts w:ascii="Calibri" w:cs="Calibri" w:eastAsia="Calibri" w:hAnsi="Calibri"/>
                <w:sz w:val="21"/>
                <w:szCs w:val="21"/>
                <w:b w:val="1"/>
                <w:bCs w:val="1"/>
                <w:color w:val="auto"/>
                <w:vertAlign w:val="subscript"/>
              </w:rPr>
              <w:t>CEO</w:t>
            </w:r>
            <w:r>
              <w:rPr>
                <w:rFonts w:ascii="Calibri" w:cs="Calibri" w:eastAsia="Calibri" w:hAnsi="Calibri"/>
                <w:sz w:val="8"/>
                <w:szCs w:val="8"/>
                <w:b w:val="1"/>
                <w:bCs w:val="1"/>
                <w:color w:val="auto"/>
              </w:rPr>
              <w:t>(1)(3)</w:t>
            </w:r>
          </w:p>
        </w:tc>
        <w:tc>
          <w:tcPr>
            <w:tcW w:w="1180" w:type="dxa"/>
            <w:vAlign w:val="bottom"/>
            <w:vMerge w:val="restart"/>
          </w:tcPr>
          <w:p>
            <w:pPr>
              <w:jc w:val="right"/>
              <w:ind w:right="91"/>
              <w:spacing w:after="0" w:line="199" w:lineRule="exact"/>
              <w:rPr>
                <w:sz w:val="20"/>
                <w:szCs w:val="20"/>
                <w:color w:val="auto"/>
              </w:rPr>
            </w:pPr>
            <w:r>
              <w:rPr>
                <w:rFonts w:ascii="Calibri" w:cs="Calibri" w:eastAsia="Calibri" w:hAnsi="Calibri"/>
                <w:sz w:val="14"/>
                <w:szCs w:val="14"/>
                <w:b w:val="1"/>
                <w:bCs w:val="1"/>
                <w:color w:val="auto"/>
              </w:rPr>
              <w:t>other NEOs</w:t>
            </w:r>
            <w:r>
              <w:rPr>
                <w:rFonts w:ascii="Calibri" w:cs="Calibri" w:eastAsia="Calibri" w:hAnsi="Calibri"/>
                <w:sz w:val="17"/>
                <w:szCs w:val="17"/>
                <w:b w:val="1"/>
                <w:bCs w:val="1"/>
                <w:color w:val="auto"/>
                <w:vertAlign w:val="superscript"/>
              </w:rPr>
              <w:t>(2)(3)</w:t>
            </w:r>
          </w:p>
        </w:tc>
        <w:tc>
          <w:tcPr>
            <w:tcW w:w="600" w:type="dxa"/>
            <w:vAlign w:val="bottom"/>
            <w:vMerge w:val="restart"/>
          </w:tcPr>
          <w:p>
            <w:pPr>
              <w:ind w:left="160"/>
              <w:spacing w:after="0" w:line="199" w:lineRule="exact"/>
              <w:rPr>
                <w:sz w:val="20"/>
                <w:szCs w:val="20"/>
                <w:color w:val="auto"/>
              </w:rPr>
            </w:pPr>
            <w:r>
              <w:rPr>
                <w:rFonts w:ascii="Calibri" w:cs="Calibri" w:eastAsia="Calibri" w:hAnsi="Calibri"/>
                <w:sz w:val="14"/>
                <w:szCs w:val="14"/>
                <w:b w:val="1"/>
                <w:bCs w:val="1"/>
                <w:color w:val="auto"/>
              </w:rPr>
              <w:t>TSR</w:t>
            </w:r>
            <w:r>
              <w:rPr>
                <w:rFonts w:ascii="Calibri" w:cs="Calibri" w:eastAsia="Calibri" w:hAnsi="Calibri"/>
                <w:sz w:val="17"/>
                <w:szCs w:val="17"/>
                <w:b w:val="1"/>
                <w:bCs w:val="1"/>
                <w:color w:val="auto"/>
                <w:vertAlign w:val="superscript"/>
              </w:rPr>
              <w:t>(4)</w:t>
            </w:r>
          </w:p>
        </w:tc>
        <w:tc>
          <w:tcPr>
            <w:tcW w:w="1040" w:type="dxa"/>
            <w:vAlign w:val="bottom"/>
            <w:vMerge w:val="restart"/>
          </w:tcPr>
          <w:p>
            <w:pPr>
              <w:jc w:val="right"/>
              <w:spacing w:after="0" w:line="199" w:lineRule="exact"/>
              <w:rPr>
                <w:sz w:val="20"/>
                <w:szCs w:val="20"/>
                <w:color w:val="auto"/>
              </w:rPr>
            </w:pPr>
            <w:r>
              <w:rPr>
                <w:rFonts w:ascii="Calibri" w:cs="Calibri" w:eastAsia="Calibri" w:hAnsi="Calibri"/>
                <w:sz w:val="14"/>
                <w:szCs w:val="14"/>
                <w:b w:val="1"/>
                <w:bCs w:val="1"/>
                <w:color w:val="auto"/>
                <w:w w:val="98"/>
              </w:rPr>
              <w:t>Peer group TSR</w:t>
            </w:r>
            <w:r>
              <w:rPr>
                <w:rFonts w:ascii="Calibri" w:cs="Calibri" w:eastAsia="Calibri" w:hAnsi="Calibri"/>
                <w:sz w:val="17"/>
                <w:szCs w:val="17"/>
                <w:b w:val="1"/>
                <w:bCs w:val="1"/>
                <w:color w:val="auto"/>
                <w:w w:val="98"/>
                <w:vertAlign w:val="superscript"/>
              </w:rPr>
              <w:t>(4)</w:t>
            </w:r>
          </w:p>
        </w:tc>
        <w:tc>
          <w:tcPr>
            <w:tcW w:w="840" w:type="dxa"/>
            <w:vAlign w:val="bottom"/>
            <w:vMerge w:val="restart"/>
          </w:tcPr>
          <w:p>
            <w:pPr>
              <w:jc w:val="right"/>
              <w:ind w:right="11"/>
              <w:spacing w:after="0" w:line="169" w:lineRule="exact"/>
              <w:rPr>
                <w:sz w:val="20"/>
                <w:szCs w:val="20"/>
                <w:color w:val="auto"/>
              </w:rPr>
            </w:pPr>
            <w:r>
              <w:rPr>
                <w:rFonts w:ascii="Calibri" w:cs="Calibri" w:eastAsia="Calibri" w:hAnsi="Calibri"/>
                <w:sz w:val="14"/>
                <w:szCs w:val="14"/>
                <w:b w:val="1"/>
                <w:bCs w:val="1"/>
                <w:color w:val="auto"/>
              </w:rPr>
              <w:t>Net income</w:t>
            </w: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680" w:type="dxa"/>
            <w:vAlign w:val="bottom"/>
            <w:vMerge w:val="restart"/>
          </w:tcPr>
          <w:p>
            <w:pPr>
              <w:jc w:val="center"/>
              <w:spacing w:after="0" w:line="169" w:lineRule="exact"/>
              <w:rPr>
                <w:sz w:val="20"/>
                <w:szCs w:val="20"/>
                <w:color w:val="auto"/>
              </w:rPr>
            </w:pPr>
            <w:r>
              <w:rPr>
                <w:rFonts w:ascii="Calibri" w:cs="Calibri" w:eastAsia="Calibri" w:hAnsi="Calibri"/>
                <w:sz w:val="14"/>
                <w:szCs w:val="14"/>
                <w:b w:val="1"/>
                <w:bCs w:val="1"/>
                <w:color w:val="auto"/>
                <w:w w:val="98"/>
              </w:rPr>
              <w:t>($ in millions)</w:t>
            </w:r>
          </w:p>
        </w:tc>
        <w:tc>
          <w:tcPr>
            <w:tcW w:w="0" w:type="dxa"/>
            <w:vAlign w:val="bottom"/>
          </w:tcPr>
          <w:p>
            <w:pPr>
              <w:spacing w:after="0"/>
              <w:rPr>
                <w:sz w:val="1"/>
                <w:szCs w:val="1"/>
                <w:color w:val="auto"/>
              </w:rPr>
            </w:pPr>
          </w:p>
        </w:tc>
      </w:tr>
      <w:tr>
        <w:trPr>
          <w:trHeight w:val="34"/>
        </w:trPr>
        <w:tc>
          <w:tcPr>
            <w:tcW w:w="1820" w:type="dxa"/>
            <w:vAlign w:val="bottom"/>
            <w:vMerge w:val="restart"/>
          </w:tcPr>
          <w:p>
            <w:pPr>
              <w:ind w:left="60"/>
              <w:spacing w:after="0" w:line="166" w:lineRule="exact"/>
              <w:rPr>
                <w:sz w:val="20"/>
                <w:szCs w:val="20"/>
                <w:color w:val="auto"/>
              </w:rPr>
            </w:pPr>
            <w:r>
              <w:rPr>
                <w:rFonts w:ascii="Calibri" w:cs="Calibri" w:eastAsia="Calibri" w:hAnsi="Calibri"/>
                <w:sz w:val="14"/>
                <w:szCs w:val="14"/>
                <w:b w:val="1"/>
                <w:bCs w:val="1"/>
                <w:color w:val="FB4E0B"/>
              </w:rPr>
              <w:t>Year</w:t>
            </w:r>
          </w:p>
        </w:tc>
        <w:tc>
          <w:tcPr>
            <w:tcW w:w="122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w w:val="88"/>
              </w:rPr>
              <w:t>($)</w:t>
            </w:r>
          </w:p>
        </w:tc>
        <w:tc>
          <w:tcPr>
            <w:tcW w:w="124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00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1180" w:type="dxa"/>
            <w:vAlign w:val="bottom"/>
            <w:vMerge w:val="restart"/>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c>
          <w:tcPr>
            <w:tcW w:w="600" w:type="dxa"/>
            <w:vAlign w:val="bottom"/>
            <w:vMerge w:val="restart"/>
          </w:tcPr>
          <w:p>
            <w:pPr>
              <w:ind w:left="220"/>
              <w:spacing w:after="0" w:line="166" w:lineRule="exact"/>
              <w:rPr>
                <w:sz w:val="20"/>
                <w:szCs w:val="20"/>
                <w:color w:val="auto"/>
              </w:rPr>
            </w:pPr>
            <w:r>
              <w:rPr>
                <w:rFonts w:ascii="Calibri" w:cs="Calibri" w:eastAsia="Calibri" w:hAnsi="Calibri"/>
                <w:sz w:val="14"/>
                <w:szCs w:val="14"/>
                <w:b w:val="1"/>
                <w:bCs w:val="1"/>
                <w:color w:val="auto"/>
              </w:rPr>
              <w:t>($)</w:t>
            </w:r>
          </w:p>
        </w:tc>
        <w:tc>
          <w:tcPr>
            <w:tcW w:w="1040" w:type="dxa"/>
            <w:vAlign w:val="bottom"/>
            <w:vMerge w:val="restart"/>
          </w:tcPr>
          <w:p>
            <w:pPr>
              <w:jc w:val="right"/>
              <w:ind w:right="371"/>
              <w:spacing w:after="0" w:line="166" w:lineRule="exact"/>
              <w:rPr>
                <w:sz w:val="20"/>
                <w:szCs w:val="20"/>
                <w:color w:val="auto"/>
              </w:rPr>
            </w:pPr>
            <w:r>
              <w:rPr>
                <w:rFonts w:ascii="Calibri" w:cs="Calibri" w:eastAsia="Calibri" w:hAnsi="Calibri"/>
                <w:sz w:val="14"/>
                <w:szCs w:val="14"/>
                <w:b w:val="1"/>
                <w:bCs w:val="1"/>
                <w:color w:val="auto"/>
              </w:rPr>
              <w:t>($)</w:t>
            </w:r>
          </w:p>
        </w:tc>
        <w:tc>
          <w:tcPr>
            <w:tcW w:w="840" w:type="dxa"/>
            <w:vAlign w:val="bottom"/>
            <w:vMerge w:val="restart"/>
          </w:tcPr>
          <w:p>
            <w:pPr>
              <w:jc w:val="right"/>
              <w:spacing w:after="0" w:line="166" w:lineRule="exact"/>
              <w:rPr>
                <w:sz w:val="20"/>
                <w:szCs w:val="20"/>
                <w:color w:val="auto"/>
              </w:rPr>
            </w:pPr>
            <w:r>
              <w:rPr>
                <w:rFonts w:ascii="Calibri" w:cs="Calibri" w:eastAsia="Calibri" w:hAnsi="Calibri"/>
                <w:sz w:val="14"/>
                <w:szCs w:val="14"/>
                <w:b w:val="1"/>
                <w:bCs w:val="1"/>
                <w:color w:val="auto"/>
              </w:rPr>
              <w:t>($ in millions)</w:t>
            </w:r>
          </w:p>
        </w:tc>
        <w:tc>
          <w:tcPr>
            <w:tcW w:w="1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820" w:type="dxa"/>
            <w:vAlign w:val="bottom"/>
            <w:tcBorders>
              <w:bottom w:val="single" w:sz="8" w:color="FB4E0B"/>
            </w:tcBorders>
            <w:vMerge w:val="continue"/>
          </w:tcPr>
          <w:p>
            <w:pPr>
              <w:spacing w:after="0"/>
              <w:rPr>
                <w:sz w:val="12"/>
                <w:szCs w:val="12"/>
                <w:color w:val="auto"/>
              </w:rPr>
            </w:pPr>
          </w:p>
        </w:tc>
        <w:tc>
          <w:tcPr>
            <w:tcW w:w="1220" w:type="dxa"/>
            <w:vAlign w:val="bottom"/>
            <w:tcBorders>
              <w:bottom w:val="single" w:sz="8" w:color="FB4E0B"/>
            </w:tcBorders>
            <w:vMerge w:val="continue"/>
          </w:tcPr>
          <w:p>
            <w:pPr>
              <w:spacing w:after="0"/>
              <w:rPr>
                <w:sz w:val="12"/>
                <w:szCs w:val="12"/>
                <w:color w:val="auto"/>
              </w:rPr>
            </w:pPr>
          </w:p>
        </w:tc>
        <w:tc>
          <w:tcPr>
            <w:tcW w:w="1240" w:type="dxa"/>
            <w:vAlign w:val="bottom"/>
            <w:tcBorders>
              <w:bottom w:val="single" w:sz="8" w:color="FB4E0B"/>
            </w:tcBorders>
            <w:vMerge w:val="continue"/>
          </w:tcPr>
          <w:p>
            <w:pPr>
              <w:spacing w:after="0"/>
              <w:rPr>
                <w:sz w:val="12"/>
                <w:szCs w:val="12"/>
                <w:color w:val="auto"/>
              </w:rPr>
            </w:pPr>
          </w:p>
        </w:tc>
        <w:tc>
          <w:tcPr>
            <w:tcW w:w="1000" w:type="dxa"/>
            <w:vAlign w:val="bottom"/>
            <w:tcBorders>
              <w:bottom w:val="single" w:sz="8" w:color="FB4E0B"/>
            </w:tcBorders>
            <w:vMerge w:val="continue"/>
          </w:tcPr>
          <w:p>
            <w:pPr>
              <w:spacing w:after="0"/>
              <w:rPr>
                <w:sz w:val="12"/>
                <w:szCs w:val="12"/>
                <w:color w:val="auto"/>
              </w:rPr>
            </w:pPr>
          </w:p>
        </w:tc>
        <w:tc>
          <w:tcPr>
            <w:tcW w:w="1180" w:type="dxa"/>
            <w:vAlign w:val="bottom"/>
            <w:tcBorders>
              <w:bottom w:val="single" w:sz="8" w:color="FB4E0B"/>
            </w:tcBorders>
            <w:vMerge w:val="continue"/>
          </w:tcPr>
          <w:p>
            <w:pPr>
              <w:spacing w:after="0"/>
              <w:rPr>
                <w:sz w:val="12"/>
                <w:szCs w:val="12"/>
                <w:color w:val="auto"/>
              </w:rPr>
            </w:pPr>
          </w:p>
        </w:tc>
        <w:tc>
          <w:tcPr>
            <w:tcW w:w="600" w:type="dxa"/>
            <w:vAlign w:val="bottom"/>
            <w:tcBorders>
              <w:bottom w:val="single" w:sz="8" w:color="FB4E0B"/>
            </w:tcBorders>
            <w:vMerge w:val="continue"/>
          </w:tcPr>
          <w:p>
            <w:pPr>
              <w:spacing w:after="0"/>
              <w:rPr>
                <w:sz w:val="12"/>
                <w:szCs w:val="12"/>
                <w:color w:val="auto"/>
              </w:rPr>
            </w:pPr>
          </w:p>
        </w:tc>
        <w:tc>
          <w:tcPr>
            <w:tcW w:w="1040" w:type="dxa"/>
            <w:vAlign w:val="bottom"/>
            <w:tcBorders>
              <w:bottom w:val="single" w:sz="8" w:color="FB4E0B"/>
            </w:tcBorders>
            <w:vMerge w:val="continue"/>
          </w:tcPr>
          <w:p>
            <w:pPr>
              <w:spacing w:after="0"/>
              <w:rPr>
                <w:sz w:val="12"/>
                <w:szCs w:val="12"/>
                <w:color w:val="auto"/>
              </w:rPr>
            </w:pPr>
          </w:p>
        </w:tc>
        <w:tc>
          <w:tcPr>
            <w:tcW w:w="840" w:type="dxa"/>
            <w:vAlign w:val="bottom"/>
            <w:tcBorders>
              <w:bottom w:val="single" w:sz="8" w:color="FB4E0B"/>
            </w:tcBorders>
            <w:vMerge w:val="continue"/>
          </w:tcPr>
          <w:p>
            <w:pPr>
              <w:spacing w:after="0"/>
              <w:rPr>
                <w:sz w:val="12"/>
                <w:szCs w:val="12"/>
                <w:color w:val="auto"/>
              </w:rPr>
            </w:pPr>
          </w:p>
        </w:tc>
        <w:tc>
          <w:tcPr>
            <w:tcW w:w="168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18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2022</w:t>
            </w:r>
          </w:p>
        </w:tc>
        <w:tc>
          <w:tcPr>
            <w:tcW w:w="12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11,010,906</w:t>
            </w:r>
          </w:p>
        </w:tc>
        <w:tc>
          <w:tcPr>
            <w:tcW w:w="12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2,697,045</w:t>
            </w:r>
          </w:p>
        </w:tc>
        <w:tc>
          <w:tcPr>
            <w:tcW w:w="100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16,069,419</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4,081,949</w:t>
            </w:r>
          </w:p>
        </w:tc>
        <w:tc>
          <w:tcPr>
            <w:tcW w:w="600" w:type="dxa"/>
            <w:vAlign w:val="bottom"/>
            <w:tcBorders>
              <w:right w:val="single" w:sz="8" w:color="auto"/>
            </w:tcBorders>
          </w:tcPr>
          <w:p>
            <w:pPr>
              <w:ind w:left="240"/>
              <w:spacing w:after="0"/>
              <w:rPr>
                <w:sz w:val="20"/>
                <w:szCs w:val="20"/>
                <w:color w:val="auto"/>
              </w:rPr>
            </w:pPr>
            <w:r>
              <w:rPr>
                <w:rFonts w:ascii="Calibri" w:cs="Calibri" w:eastAsia="Calibri" w:hAnsi="Calibri"/>
                <w:sz w:val="14"/>
                <w:szCs w:val="14"/>
                <w:color w:val="auto"/>
              </w:rPr>
              <w:t>244</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116</w:t>
            </w:r>
          </w:p>
        </w:tc>
        <w:tc>
          <w:tcPr>
            <w:tcW w:w="8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143</w:t>
            </w:r>
          </w:p>
        </w:tc>
        <w:tc>
          <w:tcPr>
            <w:tcW w:w="1680" w:type="dxa"/>
            <w:vAlign w:val="bottom"/>
          </w:tcPr>
          <w:p>
            <w:pPr>
              <w:jc w:val="right"/>
              <w:ind w:right="71"/>
              <w:spacing w:after="0"/>
              <w:rPr>
                <w:sz w:val="20"/>
                <w:szCs w:val="20"/>
                <w:color w:val="auto"/>
              </w:rPr>
            </w:pPr>
            <w:r>
              <w:rPr>
                <w:rFonts w:ascii="Calibri" w:cs="Calibri" w:eastAsia="Calibri" w:hAnsi="Calibri"/>
                <w:sz w:val="14"/>
                <w:szCs w:val="14"/>
                <w:color w:val="auto"/>
              </w:rPr>
              <w:t>1,412</w:t>
            </w:r>
          </w:p>
        </w:tc>
        <w:tc>
          <w:tcPr>
            <w:tcW w:w="0" w:type="dxa"/>
            <w:vAlign w:val="bottom"/>
          </w:tcPr>
          <w:p>
            <w:pPr>
              <w:spacing w:after="0"/>
              <w:rPr>
                <w:sz w:val="1"/>
                <w:szCs w:val="1"/>
                <w:color w:val="auto"/>
              </w:rPr>
            </w:pPr>
          </w:p>
        </w:tc>
      </w:tr>
      <w:tr>
        <w:trPr>
          <w:trHeight w:val="122"/>
        </w:trPr>
        <w:tc>
          <w:tcPr>
            <w:tcW w:w="182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8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2021</w:t>
            </w:r>
          </w:p>
        </w:tc>
        <w:tc>
          <w:tcPr>
            <w:tcW w:w="12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10,033,589</w:t>
            </w:r>
          </w:p>
        </w:tc>
        <w:tc>
          <w:tcPr>
            <w:tcW w:w="12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3,445,143</w:t>
            </w:r>
          </w:p>
        </w:tc>
        <w:tc>
          <w:tcPr>
            <w:tcW w:w="100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19,117,355</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5,740,391</w:t>
            </w:r>
          </w:p>
        </w:tc>
        <w:tc>
          <w:tcPr>
            <w:tcW w:w="600" w:type="dxa"/>
            <w:vAlign w:val="bottom"/>
            <w:tcBorders>
              <w:right w:val="single" w:sz="8" w:color="auto"/>
            </w:tcBorders>
          </w:tcPr>
          <w:p>
            <w:pPr>
              <w:ind w:left="240"/>
              <w:spacing w:after="0"/>
              <w:rPr>
                <w:sz w:val="20"/>
                <w:szCs w:val="20"/>
                <w:color w:val="auto"/>
              </w:rPr>
            </w:pPr>
            <w:r>
              <w:rPr>
                <w:rFonts w:ascii="Calibri" w:cs="Calibri" w:eastAsia="Calibri" w:hAnsi="Calibri"/>
                <w:sz w:val="14"/>
                <w:szCs w:val="14"/>
                <w:color w:val="auto"/>
              </w:rPr>
              <w:t>208</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130</w:t>
            </w:r>
          </w:p>
        </w:tc>
        <w:tc>
          <w:tcPr>
            <w:tcW w:w="8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115</w:t>
            </w:r>
          </w:p>
        </w:tc>
        <w:tc>
          <w:tcPr>
            <w:tcW w:w="1680" w:type="dxa"/>
            <w:vAlign w:val="bottom"/>
          </w:tcPr>
          <w:p>
            <w:pPr>
              <w:jc w:val="right"/>
              <w:ind w:right="71"/>
              <w:spacing w:after="0"/>
              <w:rPr>
                <w:sz w:val="20"/>
                <w:szCs w:val="20"/>
                <w:color w:val="auto"/>
              </w:rPr>
            </w:pPr>
            <w:r>
              <w:rPr>
                <w:rFonts w:ascii="Calibri" w:cs="Calibri" w:eastAsia="Calibri" w:hAnsi="Calibri"/>
                <w:sz w:val="14"/>
                <w:szCs w:val="14"/>
                <w:color w:val="auto"/>
              </w:rPr>
              <w:t>1,122</w:t>
            </w:r>
          </w:p>
        </w:tc>
        <w:tc>
          <w:tcPr>
            <w:tcW w:w="0" w:type="dxa"/>
            <w:vAlign w:val="bottom"/>
          </w:tcPr>
          <w:p>
            <w:pPr>
              <w:spacing w:after="0"/>
              <w:rPr>
                <w:sz w:val="1"/>
                <w:szCs w:val="1"/>
                <w:color w:val="auto"/>
              </w:rPr>
            </w:pPr>
          </w:p>
        </w:tc>
      </w:tr>
      <w:tr>
        <w:trPr>
          <w:trHeight w:val="122"/>
        </w:trPr>
        <w:tc>
          <w:tcPr>
            <w:tcW w:w="182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8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18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2020</w:t>
            </w:r>
          </w:p>
        </w:tc>
        <w:tc>
          <w:tcPr>
            <w:tcW w:w="12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7,141,267</w:t>
            </w:r>
          </w:p>
        </w:tc>
        <w:tc>
          <w:tcPr>
            <w:tcW w:w="12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1,913,189</w:t>
            </w:r>
          </w:p>
        </w:tc>
        <w:tc>
          <w:tcPr>
            <w:tcW w:w="1000" w:type="dxa"/>
            <w:vAlign w:val="bottom"/>
            <w:tcBorders>
              <w:right w:val="single" w:sz="8" w:color="auto"/>
            </w:tcBorders>
          </w:tcPr>
          <w:p>
            <w:pPr>
              <w:jc w:val="right"/>
              <w:ind w:right="75"/>
              <w:spacing w:after="0"/>
              <w:rPr>
                <w:sz w:val="20"/>
                <w:szCs w:val="20"/>
                <w:color w:val="auto"/>
              </w:rPr>
            </w:pPr>
            <w:r>
              <w:rPr>
                <w:rFonts w:ascii="Calibri" w:cs="Calibri" w:eastAsia="Calibri" w:hAnsi="Calibri"/>
                <w:sz w:val="14"/>
                <w:szCs w:val="14"/>
                <w:color w:val="auto"/>
              </w:rPr>
              <w:t>8,690,902</w:t>
            </w:r>
          </w:p>
        </w:tc>
        <w:tc>
          <w:tcPr>
            <w:tcW w:w="118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3,166,120</w:t>
            </w:r>
          </w:p>
        </w:tc>
        <w:tc>
          <w:tcPr>
            <w:tcW w:w="600" w:type="dxa"/>
            <w:vAlign w:val="bottom"/>
            <w:tcBorders>
              <w:right w:val="single" w:sz="8" w:color="auto"/>
            </w:tcBorders>
          </w:tcPr>
          <w:p>
            <w:pPr>
              <w:ind w:left="240"/>
              <w:spacing w:after="0"/>
              <w:rPr>
                <w:sz w:val="20"/>
                <w:szCs w:val="20"/>
                <w:color w:val="auto"/>
              </w:rPr>
            </w:pPr>
            <w:r>
              <w:rPr>
                <w:rFonts w:ascii="Calibri" w:cs="Calibri" w:eastAsia="Calibri" w:hAnsi="Calibri"/>
                <w:sz w:val="14"/>
                <w:szCs w:val="14"/>
                <w:color w:val="auto"/>
              </w:rPr>
              <w:t>123</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102</w:t>
            </w:r>
          </w:p>
        </w:tc>
        <w:tc>
          <w:tcPr>
            <w:tcW w:w="8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89</w:t>
            </w:r>
          </w:p>
        </w:tc>
        <w:tc>
          <w:tcPr>
            <w:tcW w:w="1680" w:type="dxa"/>
            <w:vAlign w:val="bottom"/>
          </w:tcPr>
          <w:p>
            <w:pPr>
              <w:jc w:val="right"/>
              <w:ind w:right="71"/>
              <w:spacing w:after="0"/>
              <w:rPr>
                <w:sz w:val="20"/>
                <w:szCs w:val="20"/>
                <w:color w:val="auto"/>
              </w:rPr>
            </w:pPr>
            <w:r>
              <w:rPr>
                <w:rFonts w:ascii="Calibri" w:cs="Calibri" w:eastAsia="Calibri" w:hAnsi="Calibri"/>
                <w:sz w:val="14"/>
                <w:szCs w:val="14"/>
                <w:color w:val="auto"/>
              </w:rPr>
              <w:t>958</w:t>
            </w:r>
          </w:p>
        </w:tc>
        <w:tc>
          <w:tcPr>
            <w:tcW w:w="0" w:type="dxa"/>
            <w:vAlign w:val="bottom"/>
          </w:tcPr>
          <w:p>
            <w:pPr>
              <w:spacing w:after="0"/>
              <w:rPr>
                <w:sz w:val="1"/>
                <w:szCs w:val="1"/>
                <w:color w:val="auto"/>
              </w:rPr>
            </w:pPr>
          </w:p>
        </w:tc>
      </w:tr>
      <w:tr>
        <w:trPr>
          <w:trHeight w:val="128"/>
        </w:trPr>
        <w:tc>
          <w:tcPr>
            <w:tcW w:w="1820" w:type="dxa"/>
            <w:vAlign w:val="bottom"/>
            <w:tcBorders>
              <w:bottom w:val="single" w:sz="8" w:color="FB4E0B"/>
              <w:right w:val="single" w:sz="8" w:color="auto"/>
            </w:tcBorders>
          </w:tcPr>
          <w:p>
            <w:pPr>
              <w:spacing w:after="0"/>
              <w:rPr>
                <w:sz w:val="11"/>
                <w:szCs w:val="11"/>
                <w:color w:val="auto"/>
              </w:rPr>
            </w:pPr>
          </w:p>
        </w:tc>
        <w:tc>
          <w:tcPr>
            <w:tcW w:w="1220" w:type="dxa"/>
            <w:vAlign w:val="bottom"/>
            <w:tcBorders>
              <w:bottom w:val="single" w:sz="8" w:color="FB4E0B"/>
              <w:right w:val="single" w:sz="8" w:color="auto"/>
            </w:tcBorders>
          </w:tcPr>
          <w:p>
            <w:pPr>
              <w:spacing w:after="0"/>
              <w:rPr>
                <w:sz w:val="11"/>
                <w:szCs w:val="11"/>
                <w:color w:val="auto"/>
              </w:rPr>
            </w:pPr>
          </w:p>
        </w:tc>
        <w:tc>
          <w:tcPr>
            <w:tcW w:w="1240" w:type="dxa"/>
            <w:vAlign w:val="bottom"/>
            <w:tcBorders>
              <w:bottom w:val="single" w:sz="8" w:color="FB4E0B"/>
              <w:right w:val="single" w:sz="8" w:color="auto"/>
            </w:tcBorders>
          </w:tcPr>
          <w:p>
            <w:pPr>
              <w:spacing w:after="0"/>
              <w:rPr>
                <w:sz w:val="11"/>
                <w:szCs w:val="11"/>
                <w:color w:val="auto"/>
              </w:rPr>
            </w:pPr>
          </w:p>
        </w:tc>
        <w:tc>
          <w:tcPr>
            <w:tcW w:w="1000" w:type="dxa"/>
            <w:vAlign w:val="bottom"/>
            <w:tcBorders>
              <w:bottom w:val="single" w:sz="8" w:color="FB4E0B"/>
              <w:right w:val="single" w:sz="8" w:color="auto"/>
            </w:tcBorders>
          </w:tcPr>
          <w:p>
            <w:pPr>
              <w:spacing w:after="0"/>
              <w:rPr>
                <w:sz w:val="11"/>
                <w:szCs w:val="11"/>
                <w:color w:val="auto"/>
              </w:rPr>
            </w:pPr>
          </w:p>
        </w:tc>
        <w:tc>
          <w:tcPr>
            <w:tcW w:w="1180" w:type="dxa"/>
            <w:vAlign w:val="bottom"/>
            <w:tcBorders>
              <w:bottom w:val="single" w:sz="8" w:color="FB4E0B"/>
              <w:right w:val="single" w:sz="8" w:color="auto"/>
            </w:tcBorders>
          </w:tcPr>
          <w:p>
            <w:pPr>
              <w:spacing w:after="0"/>
              <w:rPr>
                <w:sz w:val="11"/>
                <w:szCs w:val="11"/>
                <w:color w:val="auto"/>
              </w:rPr>
            </w:pPr>
          </w:p>
        </w:tc>
        <w:tc>
          <w:tcPr>
            <w:tcW w:w="600" w:type="dxa"/>
            <w:vAlign w:val="bottom"/>
            <w:tcBorders>
              <w:bottom w:val="single" w:sz="8" w:color="FB4E0B"/>
              <w:right w:val="single" w:sz="8" w:color="auto"/>
            </w:tcBorders>
          </w:tcPr>
          <w:p>
            <w:pPr>
              <w:spacing w:after="0"/>
              <w:rPr>
                <w:sz w:val="11"/>
                <w:szCs w:val="11"/>
                <w:color w:val="auto"/>
              </w:rPr>
            </w:pPr>
          </w:p>
        </w:tc>
        <w:tc>
          <w:tcPr>
            <w:tcW w:w="1040" w:type="dxa"/>
            <w:vAlign w:val="bottom"/>
            <w:tcBorders>
              <w:bottom w:val="single" w:sz="8" w:color="FB4E0B"/>
              <w:right w:val="single" w:sz="8" w:color="auto"/>
            </w:tcBorders>
          </w:tcPr>
          <w:p>
            <w:pPr>
              <w:spacing w:after="0"/>
              <w:rPr>
                <w:sz w:val="11"/>
                <w:szCs w:val="11"/>
                <w:color w:val="auto"/>
              </w:rPr>
            </w:pPr>
          </w:p>
        </w:tc>
        <w:tc>
          <w:tcPr>
            <w:tcW w:w="840" w:type="dxa"/>
            <w:vAlign w:val="bottom"/>
            <w:tcBorders>
              <w:bottom w:val="single" w:sz="8" w:color="FB4E0B"/>
              <w:right w:val="single" w:sz="8" w:color="auto"/>
            </w:tcBorders>
          </w:tcPr>
          <w:p>
            <w:pPr>
              <w:spacing w:after="0"/>
              <w:rPr>
                <w:sz w:val="11"/>
                <w:szCs w:val="11"/>
                <w:color w:val="auto"/>
              </w:rPr>
            </w:pPr>
          </w:p>
        </w:tc>
        <w:tc>
          <w:tcPr>
            <w:tcW w:w="168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4" w:hanging="184"/>
        <w:spacing w:after="0"/>
        <w:tabs>
          <w:tab w:leader="none" w:pos="184" w:val="left"/>
        </w:tabs>
        <w:numPr>
          <w:ilvl w:val="0"/>
          <w:numId w:val="42"/>
        </w:numPr>
        <w:rPr>
          <w:rFonts w:ascii="Calibri" w:cs="Calibri" w:eastAsia="Calibri" w:hAnsi="Calibri"/>
          <w:sz w:val="13"/>
          <w:szCs w:val="13"/>
          <w:color w:val="auto"/>
        </w:rPr>
      </w:pPr>
      <w:r>
        <w:rPr>
          <w:rFonts w:ascii="Calibri" w:cs="Calibri" w:eastAsia="Calibri" w:hAnsi="Calibri"/>
          <w:sz w:val="13"/>
          <w:szCs w:val="13"/>
          <w:color w:val="auto"/>
        </w:rPr>
        <w:t>The CEO for each of 2022, 2021, and 2020 was Rohit Kapoor.</w:t>
      </w:r>
    </w:p>
    <w:p>
      <w:pPr>
        <w:spacing w:after="0" w:line="10" w:lineRule="exact"/>
        <w:rPr>
          <w:rFonts w:ascii="Calibri" w:cs="Calibri" w:eastAsia="Calibri" w:hAnsi="Calibri"/>
          <w:sz w:val="13"/>
          <w:szCs w:val="13"/>
          <w:color w:val="auto"/>
        </w:rPr>
      </w:pPr>
    </w:p>
    <w:p>
      <w:pPr>
        <w:ind w:left="184" w:hanging="184"/>
        <w:spacing w:after="0"/>
        <w:tabs>
          <w:tab w:leader="none" w:pos="184" w:val="left"/>
        </w:tabs>
        <w:numPr>
          <w:ilvl w:val="0"/>
          <w:numId w:val="42"/>
        </w:numPr>
        <w:rPr>
          <w:rFonts w:ascii="Calibri" w:cs="Calibri" w:eastAsia="Calibri" w:hAnsi="Calibri"/>
          <w:sz w:val="13"/>
          <w:szCs w:val="13"/>
          <w:color w:val="auto"/>
        </w:rPr>
      </w:pPr>
      <w:r>
        <w:rPr>
          <w:rFonts w:ascii="Calibri" w:cs="Calibri" w:eastAsia="Calibri" w:hAnsi="Calibri"/>
          <w:sz w:val="13"/>
          <w:szCs w:val="13"/>
          <w:color w:val="auto"/>
        </w:rPr>
        <w:t>The other named executve ofcers for each applicable year are as follows:</w:t>
      </w:r>
    </w:p>
    <w:p>
      <w:pPr>
        <w:spacing w:after="0" w:line="127" w:lineRule="exact"/>
        <w:rPr>
          <w:rFonts w:ascii="Calibri" w:cs="Calibri" w:eastAsia="Calibri" w:hAnsi="Calibri"/>
          <w:sz w:val="13"/>
          <w:szCs w:val="13"/>
          <w:color w:val="auto"/>
        </w:rPr>
      </w:pPr>
    </w:p>
    <w:p>
      <w:pPr>
        <w:ind w:left="624" w:hanging="311"/>
        <w:spacing w:after="0"/>
        <w:tabs>
          <w:tab w:leader="none" w:pos="624" w:val="left"/>
        </w:tabs>
        <w:numPr>
          <w:ilvl w:val="1"/>
          <w:numId w:val="42"/>
        </w:numPr>
        <w:rPr>
          <w:rFonts w:ascii="Calibri" w:cs="Calibri" w:eastAsia="Calibri" w:hAnsi="Calibri"/>
          <w:sz w:val="13"/>
          <w:szCs w:val="13"/>
          <w:color w:val="auto"/>
        </w:rPr>
      </w:pPr>
      <w:r>
        <w:rPr>
          <w:rFonts w:ascii="Calibri" w:cs="Calibri" w:eastAsia="Calibri" w:hAnsi="Calibri"/>
          <w:sz w:val="13"/>
          <w:szCs w:val="13"/>
          <w:color w:val="auto"/>
        </w:rPr>
        <w:t>2022: Maurizio Nicolelli, Vikas Bhalla, Vivek Jetley, and Ankor Rai</w:t>
      </w:r>
    </w:p>
    <w:p>
      <w:pPr>
        <w:spacing w:after="0" w:line="10" w:lineRule="exact"/>
        <w:rPr>
          <w:rFonts w:ascii="Calibri" w:cs="Calibri" w:eastAsia="Calibri" w:hAnsi="Calibri"/>
          <w:sz w:val="13"/>
          <w:szCs w:val="13"/>
          <w:color w:val="auto"/>
        </w:rPr>
      </w:pPr>
    </w:p>
    <w:p>
      <w:pPr>
        <w:ind w:left="624" w:hanging="311"/>
        <w:spacing w:after="0"/>
        <w:tabs>
          <w:tab w:leader="none" w:pos="624" w:val="left"/>
        </w:tabs>
        <w:numPr>
          <w:ilvl w:val="1"/>
          <w:numId w:val="42"/>
        </w:numPr>
        <w:rPr>
          <w:rFonts w:ascii="Calibri" w:cs="Calibri" w:eastAsia="Calibri" w:hAnsi="Calibri"/>
          <w:sz w:val="13"/>
          <w:szCs w:val="13"/>
          <w:color w:val="auto"/>
        </w:rPr>
      </w:pPr>
      <w:r>
        <w:rPr>
          <w:rFonts w:ascii="Calibri" w:cs="Calibri" w:eastAsia="Calibri" w:hAnsi="Calibri"/>
          <w:sz w:val="13"/>
          <w:szCs w:val="13"/>
          <w:color w:val="auto"/>
        </w:rPr>
        <w:t>2021: Maurizio Nicolelli, Vikas Bhalla, Vivek Jetley, and Samuel Meckey</w:t>
      </w:r>
    </w:p>
    <w:p>
      <w:pPr>
        <w:spacing w:after="0" w:line="10" w:lineRule="exact"/>
        <w:rPr>
          <w:rFonts w:ascii="Calibri" w:cs="Calibri" w:eastAsia="Calibri" w:hAnsi="Calibri"/>
          <w:sz w:val="13"/>
          <w:szCs w:val="13"/>
          <w:color w:val="auto"/>
        </w:rPr>
      </w:pPr>
    </w:p>
    <w:p>
      <w:pPr>
        <w:ind w:left="624" w:hanging="311"/>
        <w:spacing w:after="0"/>
        <w:tabs>
          <w:tab w:leader="none" w:pos="624" w:val="left"/>
        </w:tabs>
        <w:numPr>
          <w:ilvl w:val="1"/>
          <w:numId w:val="42"/>
        </w:numPr>
        <w:rPr>
          <w:rFonts w:ascii="Calibri" w:cs="Calibri" w:eastAsia="Calibri" w:hAnsi="Calibri"/>
          <w:sz w:val="13"/>
          <w:szCs w:val="13"/>
          <w:color w:val="auto"/>
        </w:rPr>
      </w:pPr>
      <w:r>
        <w:rPr>
          <w:rFonts w:ascii="Calibri" w:cs="Calibri" w:eastAsia="Calibri" w:hAnsi="Calibri"/>
          <w:sz w:val="13"/>
          <w:szCs w:val="13"/>
          <w:color w:val="auto"/>
        </w:rPr>
        <w:t>2020: Maurizio Nicolelli, Pavan Bagai, Nalin Miglani, Vikas Bhalla, and Samuel Meckey</w:t>
      </w:r>
    </w:p>
    <w:p>
      <w:pPr>
        <w:spacing w:after="0" w:line="117" w:lineRule="exact"/>
        <w:rPr>
          <w:rFonts w:ascii="Calibri" w:cs="Calibri" w:eastAsia="Calibri" w:hAnsi="Calibri"/>
          <w:sz w:val="13"/>
          <w:szCs w:val="13"/>
          <w:color w:val="auto"/>
        </w:rPr>
      </w:pPr>
    </w:p>
    <w:p>
      <w:pPr>
        <w:ind w:left="4" w:right="100" w:hanging="4"/>
        <w:spacing w:after="0" w:line="254" w:lineRule="auto"/>
        <w:tabs>
          <w:tab w:leader="none" w:pos="178" w:val="left"/>
        </w:tabs>
        <w:numPr>
          <w:ilvl w:val="0"/>
          <w:numId w:val="42"/>
        </w:numPr>
        <w:rPr>
          <w:rFonts w:ascii="Calibri" w:cs="Calibri" w:eastAsia="Calibri" w:hAnsi="Calibri"/>
          <w:sz w:val="13"/>
          <w:szCs w:val="13"/>
          <w:color w:val="auto"/>
        </w:rPr>
      </w:pPr>
      <w:r>
        <w:rPr>
          <w:rFonts w:ascii="Calibri" w:cs="Calibri" w:eastAsia="Calibri" w:hAnsi="Calibri"/>
          <w:sz w:val="13"/>
          <w:szCs w:val="13"/>
          <w:color w:val="auto"/>
        </w:rPr>
        <w:t>SEC rules require certain adjustments be made to the Summary Compensaton Table totals to determine “compensaton actually paid” as reported in the Pay versus Performance Table. “Compensaton actually paid” does not represent cash and/or equity value transferred to, or actually earned or realized by, the applicable named executve ofcer without restricton, but rather is a valuaton calculated under applicable SEC rules. In general, “compensaton actually paid” is calculated as summary compensaton table total compensaton adjusted to (a) include the value of any pension beneft (or loss) atributed to the past fscal year, including on account of any amendments adopted during such year; and (b) include the fair market value of equity awards as of December 31, 2022, or, if earlier, the vestng date (rather than the grant date) and factor in dividends and interest accrued with respect to such awards. For purposes of the pension valuaton adjustments shown below, there was no prior service cost to report. In additon, for purposes of the equity award adjustments shown below, no equity awards were cancelled due to failure to meet vestng conditons, no equity awards were granted and vested in the same year, and there are no dividends or interest accrued to report. The following table details these adjustments:</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8"/>
              </w:rPr>
              <w:t>Add year-end value</w:t>
            </w:r>
          </w:p>
        </w:tc>
        <w:tc>
          <w:tcPr>
            <w:tcW w:w="1620" w:type="dxa"/>
            <w:vAlign w:val="bottom"/>
          </w:tcPr>
          <w:p>
            <w:pPr>
              <w:spacing w:after="0"/>
              <w:rPr>
                <w:sz w:val="14"/>
                <w:szCs w:val="14"/>
                <w:color w:val="auto"/>
              </w:rPr>
            </w:pPr>
          </w:p>
        </w:tc>
        <w:tc>
          <w:tcPr>
            <w:tcW w:w="1460" w:type="dxa"/>
            <w:vAlign w:val="bottom"/>
          </w:tcPr>
          <w:p>
            <w:pPr>
              <w:jc w:val="center"/>
              <w:ind w:right="11"/>
              <w:spacing w:after="0"/>
              <w:rPr>
                <w:sz w:val="20"/>
                <w:szCs w:val="20"/>
                <w:color w:val="auto"/>
              </w:rPr>
            </w:pPr>
            <w:r>
              <w:rPr>
                <w:rFonts w:ascii="Calibri" w:cs="Calibri" w:eastAsia="Calibri" w:hAnsi="Calibri"/>
                <w:sz w:val="14"/>
                <w:szCs w:val="14"/>
                <w:b w:val="1"/>
                <w:bCs w:val="1"/>
                <w:color w:val="auto"/>
                <w:w w:val="97"/>
              </w:rPr>
              <w:t>Add change in value</w:t>
            </w:r>
          </w:p>
        </w:tc>
      </w:tr>
      <w:tr>
        <w:trPr>
          <w:trHeight w:val="169"/>
        </w:trPr>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Summary</w:t>
            </w:r>
          </w:p>
        </w:tc>
        <w:tc>
          <w:tcPr>
            <w:tcW w:w="108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Deduct change</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of unvested equity</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Add change in value of</w:t>
            </w:r>
          </w:p>
        </w:tc>
        <w:tc>
          <w:tcPr>
            <w:tcW w:w="14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of equity awards</w:t>
            </w:r>
          </w:p>
        </w:tc>
      </w:tr>
      <w:tr>
        <w:trPr>
          <w:trHeight w:val="169"/>
        </w:trPr>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Compensaton</w:t>
            </w:r>
          </w:p>
        </w:tc>
        <w:tc>
          <w:tcPr>
            <w:tcW w:w="108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9"/>
              </w:rPr>
              <w:t>in pension</w:t>
            </w:r>
          </w:p>
        </w:tc>
        <w:tc>
          <w:tcPr>
            <w:tcW w:w="9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Add pension</w:t>
            </w:r>
          </w:p>
        </w:tc>
        <w:tc>
          <w:tcPr>
            <w:tcW w:w="1000" w:type="dxa"/>
            <w:vAlign w:val="bottom"/>
          </w:tcPr>
          <w:p>
            <w:pPr>
              <w:jc w:val="right"/>
              <w:ind w:right="111"/>
              <w:spacing w:after="0" w:line="169" w:lineRule="exact"/>
              <w:rPr>
                <w:sz w:val="20"/>
                <w:szCs w:val="20"/>
                <w:color w:val="auto"/>
              </w:rPr>
            </w:pPr>
            <w:r>
              <w:rPr>
                <w:rFonts w:ascii="Calibri" w:cs="Calibri" w:eastAsia="Calibri" w:hAnsi="Calibri"/>
                <w:sz w:val="14"/>
                <w:szCs w:val="14"/>
                <w:b w:val="1"/>
                <w:bCs w:val="1"/>
                <w:color w:val="auto"/>
              </w:rPr>
              <w:t>Deduct stock</w:t>
            </w:r>
          </w:p>
        </w:tc>
        <w:tc>
          <w:tcPr>
            <w:tcW w:w="13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awards granted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unvested equity awards</w:t>
            </w:r>
          </w:p>
        </w:tc>
        <w:tc>
          <w:tcPr>
            <w:tcW w:w="14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granted in prior years</w:t>
            </w:r>
          </w:p>
        </w:tc>
      </w:tr>
      <w:tr>
        <w:trPr>
          <w:trHeight w:val="169"/>
        </w:trPr>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5"/>
              </w:rPr>
              <w:t>Table total</w:t>
            </w:r>
          </w:p>
        </w:tc>
        <w:tc>
          <w:tcPr>
            <w:tcW w:w="108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value</w:t>
            </w:r>
          </w:p>
        </w:tc>
        <w:tc>
          <w:tcPr>
            <w:tcW w:w="9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service cost</w:t>
            </w:r>
          </w:p>
        </w:tc>
        <w:tc>
          <w:tcPr>
            <w:tcW w:w="1000" w:type="dxa"/>
            <w:vAlign w:val="bottom"/>
          </w:tcPr>
          <w:p>
            <w:pPr>
              <w:jc w:val="right"/>
              <w:ind w:right="271"/>
              <w:spacing w:after="0" w:line="169" w:lineRule="exact"/>
              <w:rPr>
                <w:sz w:val="20"/>
                <w:szCs w:val="20"/>
                <w:color w:val="auto"/>
              </w:rPr>
            </w:pPr>
            <w:r>
              <w:rPr>
                <w:rFonts w:ascii="Calibri" w:cs="Calibri" w:eastAsia="Calibri" w:hAnsi="Calibri"/>
                <w:sz w:val="14"/>
                <w:szCs w:val="14"/>
                <w:b w:val="1"/>
                <w:bCs w:val="1"/>
                <w:color w:val="auto"/>
              </w:rPr>
              <w:t>awards</w:t>
            </w:r>
          </w:p>
        </w:tc>
        <w:tc>
          <w:tcPr>
            <w:tcW w:w="13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year</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granted in prior years</w:t>
            </w:r>
          </w:p>
        </w:tc>
        <w:tc>
          <w:tcPr>
            <w:tcW w:w="14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which vested in year</w:t>
            </w:r>
          </w:p>
        </w:tc>
      </w:tr>
      <w:tr>
        <w:trPr>
          <w:trHeight w:val="182"/>
        </w:trPr>
        <w:tc>
          <w:tcPr>
            <w:tcW w:w="1100" w:type="dxa"/>
            <w:vAlign w:val="bottom"/>
          </w:tcPr>
          <w:p>
            <w:pPr>
              <w:ind w:left="60"/>
              <w:spacing w:after="0"/>
              <w:rPr>
                <w:sz w:val="20"/>
                <w:szCs w:val="20"/>
                <w:color w:val="auto"/>
              </w:rPr>
            </w:pPr>
            <w:r>
              <w:rPr>
                <w:rFonts w:ascii="Calibri" w:cs="Calibri" w:eastAsia="Calibri" w:hAnsi="Calibri"/>
                <w:sz w:val="14"/>
                <w:szCs w:val="14"/>
                <w:b w:val="1"/>
                <w:bCs w:val="1"/>
                <w:color w:val="FB4E0B"/>
              </w:rPr>
              <w:t>Year</w:t>
            </w:r>
          </w:p>
        </w:tc>
        <w:tc>
          <w:tcPr>
            <w:tcW w:w="1020" w:type="dxa"/>
            <w:vAlign w:val="bottom"/>
          </w:tcPr>
          <w:p>
            <w:pPr>
              <w:ind w:left="180"/>
              <w:spacing w:after="0"/>
              <w:rPr>
                <w:sz w:val="20"/>
                <w:szCs w:val="20"/>
                <w:color w:val="auto"/>
              </w:rPr>
            </w:pPr>
            <w:r>
              <w:rPr>
                <w:rFonts w:ascii="Calibri" w:cs="Calibri" w:eastAsia="Calibri" w:hAnsi="Calibri"/>
                <w:sz w:val="14"/>
                <w:szCs w:val="14"/>
                <w:b w:val="1"/>
                <w:bCs w:val="1"/>
                <w:color w:val="auto"/>
              </w:rPr>
              <w:t>Executve(s)</w:t>
            </w:r>
          </w:p>
        </w:tc>
        <w:tc>
          <w:tcPr>
            <w:tcW w:w="104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108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1000" w:type="dxa"/>
            <w:vAlign w:val="bottom"/>
          </w:tcPr>
          <w:p>
            <w:pPr>
              <w:jc w:val="right"/>
              <w:ind w:right="391"/>
              <w:spacing w:after="0" w:line="169" w:lineRule="exact"/>
              <w:rPr>
                <w:sz w:val="20"/>
                <w:szCs w:val="20"/>
                <w:color w:val="auto"/>
              </w:rPr>
            </w:pPr>
            <w:r>
              <w:rPr>
                <w:rFonts w:ascii="Calibri" w:cs="Calibri" w:eastAsia="Calibri" w:hAnsi="Calibri"/>
                <w:sz w:val="14"/>
                <w:szCs w:val="14"/>
                <w:b w:val="1"/>
                <w:bCs w:val="1"/>
                <w:color w:val="auto"/>
              </w:rPr>
              <w:t>($)</w:t>
            </w:r>
          </w:p>
        </w:tc>
        <w:tc>
          <w:tcPr>
            <w:tcW w:w="13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88"/>
              </w:rPr>
              <w:t>($)</w:t>
            </w:r>
          </w:p>
        </w:tc>
        <w:tc>
          <w:tcPr>
            <w:tcW w:w="146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88"/>
              </w:rPr>
              <w:t>($)</w:t>
            </w:r>
          </w:p>
        </w:tc>
      </w:tr>
      <w:tr>
        <w:trPr>
          <w:trHeight w:val="128"/>
        </w:trPr>
        <w:tc>
          <w:tcPr>
            <w:tcW w:w="1100" w:type="dxa"/>
            <w:vAlign w:val="bottom"/>
            <w:tcBorders>
              <w:bottom w:val="single" w:sz="8" w:color="FB4E0B"/>
            </w:tcBorders>
          </w:tcPr>
          <w:p>
            <w:pPr>
              <w:spacing w:after="0"/>
              <w:rPr>
                <w:sz w:val="11"/>
                <w:szCs w:val="11"/>
                <w:color w:val="auto"/>
              </w:rPr>
            </w:pPr>
          </w:p>
        </w:tc>
        <w:tc>
          <w:tcPr>
            <w:tcW w:w="1020" w:type="dxa"/>
            <w:vAlign w:val="bottom"/>
            <w:tcBorders>
              <w:bottom w:val="single" w:sz="8" w:color="FB4E0B"/>
            </w:tcBorders>
          </w:tcPr>
          <w:p>
            <w:pPr>
              <w:spacing w:after="0"/>
              <w:rPr>
                <w:sz w:val="11"/>
                <w:szCs w:val="11"/>
                <w:color w:val="auto"/>
              </w:rPr>
            </w:pPr>
          </w:p>
        </w:tc>
        <w:tc>
          <w:tcPr>
            <w:tcW w:w="1040" w:type="dxa"/>
            <w:vAlign w:val="bottom"/>
            <w:tcBorders>
              <w:bottom w:val="single" w:sz="8" w:color="FB4E0B"/>
            </w:tcBorders>
          </w:tcPr>
          <w:p>
            <w:pPr>
              <w:spacing w:after="0"/>
              <w:rPr>
                <w:sz w:val="11"/>
                <w:szCs w:val="11"/>
                <w:color w:val="auto"/>
              </w:rPr>
            </w:pPr>
          </w:p>
        </w:tc>
        <w:tc>
          <w:tcPr>
            <w:tcW w:w="1080" w:type="dxa"/>
            <w:vAlign w:val="bottom"/>
            <w:tcBorders>
              <w:bottom w:val="single" w:sz="8" w:color="FB4E0B"/>
            </w:tcBorders>
          </w:tcPr>
          <w:p>
            <w:pPr>
              <w:spacing w:after="0"/>
              <w:rPr>
                <w:sz w:val="11"/>
                <w:szCs w:val="11"/>
                <w:color w:val="auto"/>
              </w:rPr>
            </w:pPr>
          </w:p>
        </w:tc>
        <w:tc>
          <w:tcPr>
            <w:tcW w:w="960" w:type="dxa"/>
            <w:vAlign w:val="bottom"/>
            <w:tcBorders>
              <w:bottom w:val="single" w:sz="8" w:color="FB4E0B"/>
            </w:tcBorders>
          </w:tcPr>
          <w:p>
            <w:pPr>
              <w:spacing w:after="0"/>
              <w:rPr>
                <w:sz w:val="11"/>
                <w:szCs w:val="11"/>
                <w:color w:val="auto"/>
              </w:rPr>
            </w:pPr>
          </w:p>
        </w:tc>
        <w:tc>
          <w:tcPr>
            <w:tcW w:w="1000" w:type="dxa"/>
            <w:vAlign w:val="bottom"/>
            <w:tcBorders>
              <w:bottom w:val="single" w:sz="8" w:color="FB4E0B"/>
            </w:tcBorders>
          </w:tcPr>
          <w:p>
            <w:pPr>
              <w:spacing w:after="0"/>
              <w:rPr>
                <w:sz w:val="11"/>
                <w:szCs w:val="11"/>
                <w:color w:val="auto"/>
              </w:rPr>
            </w:pPr>
          </w:p>
        </w:tc>
        <w:tc>
          <w:tcPr>
            <w:tcW w:w="1340" w:type="dxa"/>
            <w:vAlign w:val="bottom"/>
            <w:tcBorders>
              <w:bottom w:val="single" w:sz="8" w:color="FB4E0B"/>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c>
          <w:tcPr>
            <w:tcW w:w="1460" w:type="dxa"/>
            <w:vAlign w:val="bottom"/>
            <w:tcBorders>
              <w:bottom w:val="single" w:sz="8" w:color="FB4E0B"/>
            </w:tcBorders>
          </w:tcPr>
          <w:p>
            <w:pPr>
              <w:spacing w:after="0"/>
              <w:rPr>
                <w:sz w:val="11"/>
                <w:szCs w:val="11"/>
                <w:color w:val="auto"/>
              </w:rPr>
            </w:pPr>
          </w:p>
        </w:tc>
      </w:tr>
      <w:tr>
        <w:trPr>
          <w:trHeight w:val="203"/>
        </w:trPr>
        <w:tc>
          <w:tcPr>
            <w:tcW w:w="11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2022</w:t>
            </w: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11,010,906</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0</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0</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8,356,213</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10,658,841</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1,995,931</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759,954</w:t>
            </w:r>
          </w:p>
        </w:tc>
      </w:tr>
      <w:tr>
        <w:trPr>
          <w:trHeight w:val="299"/>
        </w:trPr>
        <w:tc>
          <w:tcPr>
            <w:tcW w:w="1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2,697,045</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20,200</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124,859</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1,797,927</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2,336,355</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635,050</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106,766</w:t>
            </w:r>
          </w:p>
        </w:tc>
      </w:tr>
      <w:tr>
        <w:trPr>
          <w:trHeight w:val="83"/>
        </w:trPr>
        <w:tc>
          <w:tcPr>
            <w:tcW w:w="11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196"/>
        </w:trPr>
        <w:tc>
          <w:tcPr>
            <w:tcW w:w="11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2021</w:t>
            </w: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10,033,589</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0</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0</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7,209,918</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10,249,716</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4,905,807</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1,138,161</w:t>
            </w:r>
          </w:p>
        </w:tc>
      </w:tr>
      <w:tr>
        <w:trPr>
          <w:trHeight w:val="299"/>
        </w:trPr>
        <w:tc>
          <w:tcPr>
            <w:tcW w:w="1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3,445,143</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16,865</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116,473</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2,420,631</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3,469,558</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927,536</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219,178</w:t>
            </w:r>
          </w:p>
        </w:tc>
      </w:tr>
      <w:tr>
        <w:trPr>
          <w:trHeight w:val="83"/>
        </w:trPr>
        <w:tc>
          <w:tcPr>
            <w:tcW w:w="11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196"/>
        </w:trPr>
        <w:tc>
          <w:tcPr>
            <w:tcW w:w="11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2020</w:t>
            </w: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CEO</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7,141,267</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0</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0</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5,701,209</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5,633,903</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1,152,826</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464,114</w:t>
            </w:r>
          </w:p>
        </w:tc>
      </w:tr>
      <w:tr>
        <w:trPr>
          <w:trHeight w:val="299"/>
        </w:trPr>
        <w:tc>
          <w:tcPr>
            <w:tcW w:w="1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Other NEOs</w:t>
            </w:r>
          </w:p>
        </w:tc>
        <w:tc>
          <w:tcPr>
            <w:tcW w:w="10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1,913,189</w:t>
            </w:r>
          </w:p>
        </w:tc>
        <w:tc>
          <w:tcPr>
            <w:tcW w:w="108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5,527</w:t>
            </w:r>
          </w:p>
        </w:tc>
        <w:tc>
          <w:tcPr>
            <w:tcW w:w="96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104,557</w:t>
            </w:r>
          </w:p>
        </w:tc>
        <w:tc>
          <w:tcPr>
            <w:tcW w:w="100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1,164,079</w:t>
            </w:r>
          </w:p>
        </w:tc>
        <w:tc>
          <w:tcPr>
            <w:tcW w:w="13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1,963,489</w:t>
            </w:r>
          </w:p>
        </w:tc>
        <w:tc>
          <w:tcPr>
            <w:tcW w:w="162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256,269</w:t>
            </w:r>
          </w:p>
        </w:tc>
        <w:tc>
          <w:tcPr>
            <w:tcW w:w="1460" w:type="dxa"/>
            <w:vAlign w:val="bottom"/>
          </w:tcPr>
          <w:p>
            <w:pPr>
              <w:jc w:val="right"/>
              <w:ind w:right="91"/>
              <w:spacing w:after="0"/>
              <w:rPr>
                <w:sz w:val="20"/>
                <w:szCs w:val="20"/>
                <w:color w:val="auto"/>
              </w:rPr>
            </w:pPr>
            <w:r>
              <w:rPr>
                <w:rFonts w:ascii="Calibri" w:cs="Calibri" w:eastAsia="Calibri" w:hAnsi="Calibri"/>
                <w:sz w:val="14"/>
                <w:szCs w:val="14"/>
                <w:color w:val="auto"/>
              </w:rPr>
              <w:t>98,222</w:t>
            </w:r>
          </w:p>
        </w:tc>
      </w:tr>
      <w:tr>
        <w:trPr>
          <w:trHeight w:val="89"/>
        </w:trPr>
        <w:tc>
          <w:tcPr>
            <w:tcW w:w="1100" w:type="dxa"/>
            <w:vAlign w:val="bottom"/>
            <w:tcBorders>
              <w:bottom w:val="single" w:sz="8" w:color="FB4E0B"/>
              <w:right w:val="single" w:sz="8" w:color="auto"/>
            </w:tcBorders>
          </w:tcPr>
          <w:p>
            <w:pPr>
              <w:spacing w:after="0"/>
              <w:rPr>
                <w:sz w:val="7"/>
                <w:szCs w:val="7"/>
                <w:color w:val="auto"/>
              </w:rPr>
            </w:pPr>
          </w:p>
        </w:tc>
        <w:tc>
          <w:tcPr>
            <w:tcW w:w="1020" w:type="dxa"/>
            <w:vAlign w:val="bottom"/>
            <w:tcBorders>
              <w:bottom w:val="single" w:sz="8" w:color="FB4E0B"/>
              <w:right w:val="single" w:sz="8" w:color="auto"/>
            </w:tcBorders>
          </w:tcPr>
          <w:p>
            <w:pPr>
              <w:spacing w:after="0"/>
              <w:rPr>
                <w:sz w:val="7"/>
                <w:szCs w:val="7"/>
                <w:color w:val="auto"/>
              </w:rPr>
            </w:pPr>
          </w:p>
        </w:tc>
        <w:tc>
          <w:tcPr>
            <w:tcW w:w="1040" w:type="dxa"/>
            <w:vAlign w:val="bottom"/>
            <w:tcBorders>
              <w:bottom w:val="single" w:sz="8" w:color="FB4E0B"/>
              <w:right w:val="single" w:sz="8" w:color="auto"/>
            </w:tcBorders>
          </w:tcPr>
          <w:p>
            <w:pPr>
              <w:spacing w:after="0"/>
              <w:rPr>
                <w:sz w:val="7"/>
                <w:szCs w:val="7"/>
                <w:color w:val="auto"/>
              </w:rPr>
            </w:pPr>
          </w:p>
        </w:tc>
        <w:tc>
          <w:tcPr>
            <w:tcW w:w="1080" w:type="dxa"/>
            <w:vAlign w:val="bottom"/>
            <w:tcBorders>
              <w:bottom w:val="single" w:sz="8" w:color="FB4E0B"/>
              <w:right w:val="single" w:sz="8" w:color="auto"/>
            </w:tcBorders>
          </w:tcPr>
          <w:p>
            <w:pPr>
              <w:spacing w:after="0"/>
              <w:rPr>
                <w:sz w:val="7"/>
                <w:szCs w:val="7"/>
                <w:color w:val="auto"/>
              </w:rPr>
            </w:pPr>
          </w:p>
        </w:tc>
        <w:tc>
          <w:tcPr>
            <w:tcW w:w="960" w:type="dxa"/>
            <w:vAlign w:val="bottom"/>
            <w:tcBorders>
              <w:bottom w:val="single" w:sz="8" w:color="FB4E0B"/>
              <w:right w:val="single" w:sz="8" w:color="auto"/>
            </w:tcBorders>
          </w:tcPr>
          <w:p>
            <w:pPr>
              <w:spacing w:after="0"/>
              <w:rPr>
                <w:sz w:val="7"/>
                <w:szCs w:val="7"/>
                <w:color w:val="auto"/>
              </w:rPr>
            </w:pPr>
          </w:p>
        </w:tc>
        <w:tc>
          <w:tcPr>
            <w:tcW w:w="1000" w:type="dxa"/>
            <w:vAlign w:val="bottom"/>
            <w:tcBorders>
              <w:bottom w:val="single" w:sz="8" w:color="FB4E0B"/>
              <w:right w:val="single" w:sz="8" w:color="auto"/>
            </w:tcBorders>
          </w:tcPr>
          <w:p>
            <w:pPr>
              <w:spacing w:after="0"/>
              <w:rPr>
                <w:sz w:val="7"/>
                <w:szCs w:val="7"/>
                <w:color w:val="auto"/>
              </w:rPr>
            </w:pPr>
          </w:p>
        </w:tc>
        <w:tc>
          <w:tcPr>
            <w:tcW w:w="1340" w:type="dxa"/>
            <w:vAlign w:val="bottom"/>
            <w:tcBorders>
              <w:bottom w:val="single" w:sz="8" w:color="FB4E0B"/>
              <w:right w:val="single" w:sz="8" w:color="auto"/>
            </w:tcBorders>
          </w:tcPr>
          <w:p>
            <w:pPr>
              <w:spacing w:after="0"/>
              <w:rPr>
                <w:sz w:val="7"/>
                <w:szCs w:val="7"/>
                <w:color w:val="auto"/>
              </w:rPr>
            </w:pPr>
          </w:p>
        </w:tc>
        <w:tc>
          <w:tcPr>
            <w:tcW w:w="1620" w:type="dxa"/>
            <w:vAlign w:val="bottom"/>
            <w:tcBorders>
              <w:bottom w:val="single" w:sz="8" w:color="FB4E0B"/>
              <w:right w:val="single" w:sz="8" w:color="auto"/>
            </w:tcBorders>
          </w:tcPr>
          <w:p>
            <w:pPr>
              <w:spacing w:after="0"/>
              <w:rPr>
                <w:sz w:val="7"/>
                <w:szCs w:val="7"/>
                <w:color w:val="auto"/>
              </w:rPr>
            </w:pPr>
          </w:p>
        </w:tc>
        <w:tc>
          <w:tcPr>
            <w:tcW w:w="1460" w:type="dxa"/>
            <w:vAlign w:val="bottom"/>
            <w:tcBorders>
              <w:bottom w:val="single" w:sz="8" w:color="FB4E0B"/>
            </w:tcBorders>
          </w:tcPr>
          <w:p>
            <w:pPr>
              <w:spacing w:after="0"/>
              <w:rPr>
                <w:sz w:val="7"/>
                <w:szCs w:val="7"/>
                <w:color w:val="auto"/>
              </w:rPr>
            </w:pPr>
          </w:p>
        </w:tc>
      </w:tr>
    </w:tbl>
    <w:p>
      <w:pPr>
        <w:spacing w:after="0" w:line="94" w:lineRule="exact"/>
        <w:rPr>
          <w:sz w:val="20"/>
          <w:szCs w:val="20"/>
          <w:color w:val="auto"/>
        </w:rPr>
      </w:pPr>
    </w:p>
    <w:p>
      <w:pPr>
        <w:ind w:left="4"/>
        <w:spacing w:after="0"/>
        <w:rPr>
          <w:sz w:val="20"/>
          <w:szCs w:val="20"/>
          <w:color w:val="auto"/>
        </w:rPr>
      </w:pPr>
      <w:r>
        <w:rPr>
          <w:rFonts w:ascii="Calibri" w:cs="Calibri" w:eastAsia="Calibri" w:hAnsi="Calibri"/>
          <w:sz w:val="13"/>
          <w:szCs w:val="13"/>
          <w:color w:val="auto"/>
        </w:rPr>
        <w:t>(4) TSR is determined based on the value of an inital fxed investment of $100. The peer group TSR represents TSR of the peer group disclosed in our Form 10-K performance graph.</w:t>
      </w:r>
    </w:p>
    <w:p>
      <w:pPr>
        <w:spacing w:after="0" w:line="124" w:lineRule="exact"/>
        <w:rPr>
          <w:sz w:val="20"/>
          <w:szCs w:val="20"/>
          <w:color w:val="auto"/>
        </w:rPr>
      </w:pPr>
    </w:p>
    <w:p>
      <w:pPr>
        <w:ind w:left="144"/>
        <w:spacing w:after="0"/>
        <w:tabs>
          <w:tab w:leader="none" w:pos="743" w:val="left"/>
          <w:tab w:leader="none" w:pos="1083" w:val="left"/>
        </w:tabs>
        <w:rPr>
          <w:sz w:val="20"/>
          <w:szCs w:val="20"/>
          <w:color w:val="auto"/>
        </w:rPr>
      </w:pPr>
      <w:r>
        <w:rPr>
          <w:rFonts w:ascii="Calibri" w:cs="Calibri" w:eastAsia="Calibri" w:hAnsi="Calibri"/>
          <w:sz w:val="17"/>
          <w:szCs w:val="17"/>
          <w:b w:val="1"/>
          <w:bCs w:val="1"/>
          <w:color w:val="auto"/>
        </w:rPr>
        <w:t>106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624"/>
          </w:cols>
          <w:pgMar w:left="636" w:top="263" w:right="6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Relatonship between “compensaton actually paid” and performance measures</w:t>
      </w:r>
    </w:p>
    <w:p>
      <w:pPr>
        <w:spacing w:after="0" w:line="115"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The following comparisons describe the relatonships between the amounts included in the pay versus performance table above for each of 2022, 2021 and 2020, including (i) the relatonship between our TSR and our peer group TSR, and (ii) the relatonship between compensaton actually paid to our CEO and other NEOs and revenue (our Company-Selected Measure), TSR,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165100</wp:posOffset>
            </wp:positionV>
            <wp:extent cx="5815330" cy="13214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15330" cy="132143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1916430</wp:posOffset>
            </wp:positionV>
            <wp:extent cx="2775585" cy="13049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75585" cy="130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107</w:t>
      </w:r>
    </w:p>
    <w:p>
      <w:pPr>
        <w:sectPr>
          <w:pgSz w:w="11900" w:h="16838" w:orient="portrait"/>
          <w:cols w:equalWidth="0" w:num="1">
            <w:col w:w="10940"/>
          </w:cols>
          <w:pgMar w:left="320" w:top="471"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2022 Performance measures</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noted above, our Compensaton and Talent Management Commitee believes in a wholistc evaluaton of our executves’ and our Company’s performance and uses a mix of performance measures throughout our annual and long-term incentve programs to align executve pay with stockholder value creaton. As required by SEC rules, in 2022, the fnancial performance measures identfed as the most important and used by us to link compensaton actually paid for our for named executve ofcers’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163830</wp:posOffset>
            </wp:positionV>
            <wp:extent cx="4436110" cy="6032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436110" cy="603250"/>
                    </a:xfrm>
                    <a:prstGeom prst="rect">
                      <a:avLst/>
                    </a:prstGeom>
                    <a:noFill/>
                  </pic:spPr>
                </pic:pic>
              </a:graphicData>
            </a:graphic>
          </wp:anchor>
        </w:drawing>
      </w:r>
    </w:p>
    <w:p>
      <w:pPr>
        <w:spacing w:after="0" w:line="267" w:lineRule="exact"/>
        <w:rPr>
          <w:sz w:val="20"/>
          <w:szCs w:val="20"/>
          <w:color w:val="auto"/>
        </w:rPr>
      </w:pPr>
    </w:p>
    <w:p>
      <w:pPr>
        <w:jc w:val="center"/>
        <w:ind w:right="-539"/>
        <w:spacing w:after="0"/>
        <w:rPr>
          <w:sz w:val="20"/>
          <w:szCs w:val="20"/>
          <w:color w:val="auto"/>
        </w:rPr>
      </w:pPr>
      <w:r>
        <w:rPr>
          <w:rFonts w:ascii="Calibri" w:cs="Calibri" w:eastAsia="Calibri" w:hAnsi="Calibri"/>
          <w:sz w:val="17"/>
          <w:szCs w:val="17"/>
          <w:color w:val="auto"/>
        </w:rPr>
        <w:t>Revenue</w:t>
      </w:r>
    </w:p>
    <w:p>
      <w:pPr>
        <w:spacing w:after="0" w:line="105" w:lineRule="exact"/>
        <w:rPr>
          <w:sz w:val="20"/>
          <w:szCs w:val="20"/>
          <w:color w:val="auto"/>
        </w:rPr>
      </w:pPr>
    </w:p>
    <w:p>
      <w:pPr>
        <w:jc w:val="center"/>
        <w:ind w:right="-539"/>
        <w:spacing w:after="0"/>
        <w:rPr>
          <w:sz w:val="20"/>
          <w:szCs w:val="20"/>
          <w:color w:val="auto"/>
        </w:rPr>
      </w:pPr>
      <w:r>
        <w:rPr>
          <w:rFonts w:ascii="Calibri" w:cs="Calibri" w:eastAsia="Calibri" w:hAnsi="Calibri"/>
          <w:sz w:val="17"/>
          <w:szCs w:val="17"/>
          <w:color w:val="auto"/>
        </w:rPr>
        <w:t>Adjusted Operatng Proft Margin</w:t>
      </w:r>
    </w:p>
    <w:p>
      <w:pPr>
        <w:spacing w:after="0" w:line="105" w:lineRule="exact"/>
        <w:rPr>
          <w:sz w:val="20"/>
          <w:szCs w:val="20"/>
          <w:color w:val="auto"/>
        </w:rPr>
      </w:pPr>
    </w:p>
    <w:p>
      <w:pPr>
        <w:jc w:val="center"/>
        <w:ind w:right="-539"/>
        <w:spacing w:after="0"/>
        <w:rPr>
          <w:sz w:val="20"/>
          <w:szCs w:val="20"/>
          <w:color w:val="auto"/>
        </w:rPr>
      </w:pPr>
      <w:r>
        <w:rPr>
          <w:rFonts w:ascii="Calibri" w:cs="Calibri" w:eastAsia="Calibri" w:hAnsi="Calibri"/>
          <w:sz w:val="17"/>
          <w:szCs w:val="17"/>
          <w:color w:val="auto"/>
        </w:rPr>
        <w:t>Relatve TSR</w:t>
      </w:r>
    </w:p>
    <w:p>
      <w:pPr>
        <w:spacing w:after="0" w:line="192" w:lineRule="exact"/>
        <w:rPr>
          <w:sz w:val="20"/>
          <w:szCs w:val="20"/>
          <w:color w:val="auto"/>
        </w:rPr>
      </w:pPr>
    </w:p>
    <w:p>
      <w:pPr>
        <w:ind w:left="460"/>
        <w:spacing w:after="0"/>
        <w:tabs>
          <w:tab w:leader="none" w:pos="1060" w:val="left"/>
          <w:tab w:leader="none" w:pos="1400" w:val="left"/>
        </w:tabs>
        <w:rPr>
          <w:sz w:val="20"/>
          <w:szCs w:val="20"/>
          <w:color w:val="auto"/>
        </w:rPr>
      </w:pPr>
      <w:r>
        <w:rPr>
          <w:rFonts w:ascii="Calibri" w:cs="Calibri" w:eastAsia="Calibri" w:hAnsi="Calibri"/>
          <w:sz w:val="17"/>
          <w:szCs w:val="17"/>
          <w:b w:val="1"/>
          <w:bCs w:val="1"/>
          <w:color w:val="auto"/>
        </w:rPr>
        <w:t>108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740"/>
          </w:cols>
          <w:pgMar w:left="320" w:top="471" w:right="8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compensaton for fscal year 2022</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 2022 by our non-executve directors who served during fscal year 2022:</w:t>
      </w:r>
    </w:p>
    <w:p>
      <w:pPr>
        <w:spacing w:after="0" w:line="352"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Fees earned or</w:t>
            </w:r>
          </w:p>
        </w:tc>
        <w:tc>
          <w:tcPr>
            <w:tcW w:w="1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Calibri" w:cs="Calibri" w:eastAsia="Calibri" w:hAnsi="Calibri"/>
                <w:sz w:val="17"/>
                <w:szCs w:val="17"/>
                <w:b w:val="1"/>
                <w:bCs w:val="1"/>
                <w:color w:val="FB4E0B"/>
              </w:rPr>
              <w:t>All Other</w:t>
            </w:r>
          </w:p>
        </w:tc>
        <w:tc>
          <w:tcPr>
            <w:tcW w:w="1580" w:type="dxa"/>
            <w:vAlign w:val="bottom"/>
          </w:tcPr>
          <w:p>
            <w:pPr>
              <w:spacing w:after="0"/>
              <w:rPr>
                <w:sz w:val="18"/>
                <w:szCs w:val="18"/>
                <w:color w:val="auto"/>
              </w:rPr>
            </w:pPr>
          </w:p>
        </w:tc>
      </w:tr>
      <w:tr>
        <w:trPr>
          <w:trHeight w:val="208"/>
        </w:trPr>
        <w:tc>
          <w:tcPr>
            <w:tcW w:w="3500" w:type="dxa"/>
            <w:vAlign w:val="bottom"/>
          </w:tcPr>
          <w:p>
            <w:pPr>
              <w:spacing w:after="0"/>
              <w:rPr>
                <w:sz w:val="18"/>
                <w:szCs w:val="18"/>
                <w:color w:val="auto"/>
              </w:rPr>
            </w:pPr>
          </w:p>
        </w:tc>
        <w:tc>
          <w:tcPr>
            <w:tcW w:w="18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rPr>
              <w:t>paid in cash</w:t>
            </w:r>
          </w:p>
        </w:tc>
        <w:tc>
          <w:tcPr>
            <w:tcW w:w="1840" w:type="dxa"/>
            <w:vAlign w:val="bottom"/>
          </w:tcPr>
          <w:p>
            <w:pPr>
              <w:ind w:left="440"/>
              <w:spacing w:after="0"/>
              <w:rPr>
                <w:sz w:val="20"/>
                <w:szCs w:val="20"/>
                <w:color w:val="auto"/>
              </w:rPr>
            </w:pPr>
            <w:r>
              <w:rPr>
                <w:rFonts w:ascii="Calibri" w:cs="Calibri" w:eastAsia="Calibri" w:hAnsi="Calibri"/>
                <w:sz w:val="17"/>
                <w:szCs w:val="17"/>
                <w:b w:val="1"/>
                <w:bCs w:val="1"/>
                <w:color w:val="FB4E0B"/>
              </w:rPr>
              <w:t>Stock awards</w:t>
            </w:r>
          </w:p>
        </w:tc>
        <w:tc>
          <w:tcPr>
            <w:tcW w:w="1900" w:type="dxa"/>
            <w:vAlign w:val="bottom"/>
          </w:tcPr>
          <w:p>
            <w:pPr>
              <w:jc w:val="center"/>
              <w:spacing w:after="0"/>
              <w:rPr>
                <w:sz w:val="20"/>
                <w:szCs w:val="20"/>
                <w:color w:val="auto"/>
              </w:rPr>
            </w:pPr>
            <w:r>
              <w:rPr>
                <w:rFonts w:ascii="Calibri" w:cs="Calibri" w:eastAsia="Calibri" w:hAnsi="Calibri"/>
                <w:sz w:val="17"/>
                <w:szCs w:val="17"/>
                <w:b w:val="1"/>
                <w:bCs w:val="1"/>
                <w:color w:val="FB4E0B"/>
              </w:rPr>
              <w:t>compensaton</w:t>
            </w:r>
          </w:p>
        </w:tc>
        <w:tc>
          <w:tcPr>
            <w:tcW w:w="158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w w:val="94"/>
              </w:rPr>
              <w:t>Total</w:t>
            </w:r>
          </w:p>
        </w:tc>
      </w:tr>
      <w:tr>
        <w:trPr>
          <w:trHeight w:val="352"/>
        </w:trPr>
        <w:tc>
          <w:tcPr>
            <w:tcW w:w="3500" w:type="dxa"/>
            <w:vAlign w:val="bottom"/>
            <w:tcBorders>
              <w:bottom w:val="single" w:sz="8" w:color="FB4E0B"/>
            </w:tcBorders>
          </w:tcPr>
          <w:p>
            <w:pPr>
              <w:ind w:left="40"/>
              <w:spacing w:after="0"/>
              <w:rPr>
                <w:sz w:val="20"/>
                <w:szCs w:val="20"/>
                <w:color w:val="auto"/>
              </w:rPr>
            </w:pPr>
            <w:r>
              <w:rPr>
                <w:rFonts w:ascii="Calibri" w:cs="Calibri" w:eastAsia="Calibri" w:hAnsi="Calibri"/>
                <w:sz w:val="17"/>
                <w:szCs w:val="17"/>
                <w:b w:val="1"/>
                <w:bCs w:val="1"/>
                <w:color w:val="FB4E0B"/>
              </w:rPr>
              <w:t>Name</w:t>
            </w:r>
            <w:r>
              <w:rPr>
                <w:rFonts w:ascii="Calibri" w:cs="Calibri" w:eastAsia="Calibri" w:hAnsi="Calibri"/>
                <w:sz w:val="13"/>
                <w:szCs w:val="13"/>
                <w:b w:val="1"/>
                <w:bCs w:val="1"/>
                <w:color w:val="FB4E0B"/>
              </w:rPr>
              <w:t>(1)</w:t>
            </w:r>
          </w:p>
        </w:tc>
        <w:tc>
          <w:tcPr>
            <w:tcW w:w="1800" w:type="dxa"/>
            <w:vAlign w:val="bottom"/>
            <w:tcBorders>
              <w:bottom w:val="single" w:sz="8" w:color="FB4E0B"/>
            </w:tcBorders>
          </w:tcPr>
          <w:p>
            <w:pPr>
              <w:jc w:val="center"/>
              <w:spacing w:after="0" w:line="206" w:lineRule="exact"/>
              <w:rPr>
                <w:sz w:val="20"/>
                <w:szCs w:val="20"/>
                <w:color w:val="auto"/>
              </w:rPr>
            </w:pPr>
            <w:r>
              <w:rPr>
                <w:rFonts w:ascii="Calibri" w:cs="Calibri" w:eastAsia="Calibri" w:hAnsi="Calibri"/>
                <w:sz w:val="17"/>
                <w:szCs w:val="17"/>
                <w:b w:val="1"/>
                <w:bCs w:val="1"/>
                <w:color w:val="FB4E0B"/>
              </w:rPr>
              <w:t>($)</w:t>
            </w:r>
          </w:p>
        </w:tc>
        <w:tc>
          <w:tcPr>
            <w:tcW w:w="1840" w:type="dxa"/>
            <w:vAlign w:val="bottom"/>
            <w:tcBorders>
              <w:bottom w:val="single" w:sz="8" w:color="FB4E0B"/>
            </w:tcBorders>
          </w:tcPr>
          <w:p>
            <w:pPr>
              <w:ind w:left="660"/>
              <w:spacing w:after="0" w:line="346" w:lineRule="exact"/>
              <w:rPr>
                <w:sz w:val="20"/>
                <w:szCs w:val="20"/>
                <w:color w:val="auto"/>
              </w:rPr>
            </w:pPr>
            <w:r>
              <w:rPr>
                <w:rFonts w:ascii="Calibri" w:cs="Calibri" w:eastAsia="Calibri" w:hAnsi="Calibri"/>
                <w:sz w:val="34"/>
                <w:szCs w:val="34"/>
                <w:b w:val="1"/>
                <w:bCs w:val="1"/>
                <w:color w:val="FB4E0B"/>
                <w:vertAlign w:val="subscript"/>
              </w:rPr>
              <w:t>($)</w:t>
            </w:r>
            <w:r>
              <w:rPr>
                <w:rFonts w:ascii="Calibri" w:cs="Calibri" w:eastAsia="Calibri" w:hAnsi="Calibri"/>
                <w:sz w:val="13"/>
                <w:szCs w:val="13"/>
                <w:b w:val="1"/>
                <w:bCs w:val="1"/>
                <w:color w:val="FB4E0B"/>
              </w:rPr>
              <w:t>(2)(3)</w:t>
            </w:r>
          </w:p>
        </w:tc>
        <w:tc>
          <w:tcPr>
            <w:tcW w:w="1900" w:type="dxa"/>
            <w:vAlign w:val="bottom"/>
            <w:tcBorders>
              <w:bottom w:val="single" w:sz="8" w:color="FB4E0B"/>
            </w:tcBorders>
          </w:tcPr>
          <w:p>
            <w:pPr>
              <w:jc w:val="center"/>
              <w:spacing w:after="0" w:line="346" w:lineRule="exact"/>
              <w:rPr>
                <w:sz w:val="20"/>
                <w:szCs w:val="20"/>
                <w:color w:val="auto"/>
              </w:rPr>
            </w:pPr>
            <w:r>
              <w:rPr>
                <w:rFonts w:ascii="Calibri" w:cs="Calibri" w:eastAsia="Calibri" w:hAnsi="Calibri"/>
                <w:sz w:val="34"/>
                <w:szCs w:val="34"/>
                <w:b w:val="1"/>
                <w:bCs w:val="1"/>
                <w:color w:val="FB4E0B"/>
                <w:w w:val="84"/>
                <w:vertAlign w:val="subscript"/>
              </w:rPr>
              <w:t>($)</w:t>
            </w:r>
            <w:r>
              <w:rPr>
                <w:rFonts w:ascii="Calibri" w:cs="Calibri" w:eastAsia="Calibri" w:hAnsi="Calibri"/>
                <w:sz w:val="13"/>
                <w:szCs w:val="13"/>
                <w:b w:val="1"/>
                <w:bCs w:val="1"/>
                <w:color w:val="FB4E0B"/>
                <w:w w:val="84"/>
              </w:rPr>
              <w:t>(4)</w:t>
            </w:r>
          </w:p>
        </w:tc>
        <w:tc>
          <w:tcPr>
            <w:tcW w:w="1580" w:type="dxa"/>
            <w:vAlign w:val="bottom"/>
            <w:tcBorders>
              <w:bottom w:val="single" w:sz="8" w:color="FB4E0B"/>
            </w:tcBorders>
          </w:tcPr>
          <w:p>
            <w:pPr>
              <w:jc w:val="center"/>
              <w:spacing w:after="0" w:line="206" w:lineRule="exact"/>
              <w:rPr>
                <w:sz w:val="20"/>
                <w:szCs w:val="20"/>
                <w:color w:val="auto"/>
              </w:rPr>
            </w:pPr>
            <w:r>
              <w:rPr>
                <w:rFonts w:ascii="Calibri" w:cs="Calibri" w:eastAsia="Calibri" w:hAnsi="Calibri"/>
                <w:sz w:val="17"/>
                <w:szCs w:val="17"/>
                <w:b w:val="1"/>
                <w:bCs w:val="1"/>
                <w:color w:val="FB4E0B"/>
                <w:w w:val="93"/>
              </w:rPr>
              <w:t>($)</w:t>
            </w:r>
          </w:p>
        </w:tc>
      </w:tr>
      <w:tr>
        <w:trPr>
          <w:trHeight w:val="276"/>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Anne Minto</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85,000</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13,058</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230,623</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Som Mital</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85,000</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2,218</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277,218</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Clyde Ostler</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87,083</w:t>
            </w:r>
            <w:r>
              <w:rPr>
                <w:rFonts w:ascii="Calibri" w:cs="Calibri" w:eastAsia="Calibri" w:hAnsi="Calibri"/>
                <w:sz w:val="13"/>
                <w:szCs w:val="13"/>
                <w:color w:val="auto"/>
              </w:rPr>
              <w:t>(5)</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277,083</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Vikram Pandit</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85,000</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340,000</w:t>
            </w:r>
            <w:r>
              <w:rPr>
                <w:rFonts w:ascii="Calibri" w:cs="Calibri" w:eastAsia="Calibri" w:hAnsi="Calibri"/>
                <w:sz w:val="13"/>
                <w:szCs w:val="13"/>
                <w:color w:val="auto"/>
              </w:rPr>
              <w:t>(6)</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425,000</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95,417</w:t>
            </w:r>
            <w:r>
              <w:rPr>
                <w:rFonts w:ascii="Calibri" w:cs="Calibri" w:eastAsia="Calibri" w:hAnsi="Calibri"/>
                <w:sz w:val="13"/>
                <w:szCs w:val="13"/>
                <w:color w:val="auto"/>
              </w:rPr>
              <w:t>(5)</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285,417</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95,000</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285,000</w:t>
            </w:r>
          </w:p>
        </w:tc>
      </w:tr>
      <w:tr>
        <w:trPr>
          <w:trHeight w:val="127"/>
        </w:trPr>
        <w:tc>
          <w:tcPr>
            <w:tcW w:w="350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r>
      <w:tr>
        <w:trPr>
          <w:trHeight w:val="269"/>
        </w:trPr>
        <w:tc>
          <w:tcPr>
            <w:tcW w:w="35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Jaynie Studenmund</w:t>
            </w:r>
          </w:p>
        </w:tc>
        <w:tc>
          <w:tcPr>
            <w:tcW w:w="1800" w:type="dxa"/>
            <w:vAlign w:val="bottom"/>
            <w:tcBorders>
              <w:right w:val="single" w:sz="8" w:color="auto"/>
            </w:tcBorders>
          </w:tcPr>
          <w:p>
            <w:pPr>
              <w:ind w:left="940"/>
              <w:spacing w:after="0"/>
              <w:rPr>
                <w:sz w:val="20"/>
                <w:szCs w:val="20"/>
                <w:color w:val="auto"/>
              </w:rPr>
            </w:pPr>
            <w:r>
              <w:rPr>
                <w:rFonts w:ascii="Calibri" w:cs="Calibri" w:eastAsia="Calibri" w:hAnsi="Calibri"/>
                <w:sz w:val="17"/>
                <w:szCs w:val="17"/>
                <w:color w:val="auto"/>
              </w:rPr>
              <w:t>95,000</w:t>
            </w:r>
          </w:p>
        </w:tc>
        <w:tc>
          <w:tcPr>
            <w:tcW w:w="1840" w:type="dxa"/>
            <w:vAlign w:val="bottom"/>
            <w:tcBorders>
              <w:right w:val="single" w:sz="8" w:color="auto"/>
            </w:tcBorders>
          </w:tcPr>
          <w:p>
            <w:pPr>
              <w:ind w:left="820"/>
              <w:spacing w:after="0"/>
              <w:rPr>
                <w:sz w:val="20"/>
                <w:szCs w:val="20"/>
                <w:color w:val="auto"/>
              </w:rPr>
            </w:pPr>
            <w:r>
              <w:rPr>
                <w:rFonts w:ascii="Calibri" w:cs="Calibri" w:eastAsia="Calibri" w:hAnsi="Calibri"/>
                <w:sz w:val="17"/>
                <w:szCs w:val="17"/>
                <w:color w:val="auto"/>
              </w:rPr>
              <w:t>190,000</w:t>
            </w:r>
          </w:p>
        </w:tc>
        <w:tc>
          <w:tcPr>
            <w:tcW w:w="1900" w:type="dxa"/>
            <w:vAlign w:val="bottom"/>
            <w:tcBorders>
              <w:right w:val="single" w:sz="8" w:color="auto"/>
            </w:tcBorders>
          </w:tcPr>
          <w:p>
            <w:pPr>
              <w:jc w:val="right"/>
              <w:ind w:right="355"/>
              <w:spacing w:after="0"/>
              <w:rPr>
                <w:sz w:val="20"/>
                <w:szCs w:val="20"/>
                <w:color w:val="auto"/>
              </w:rPr>
            </w:pPr>
            <w:r>
              <w:rPr>
                <w:rFonts w:ascii="Calibri" w:cs="Calibri" w:eastAsia="Calibri" w:hAnsi="Calibri"/>
                <w:sz w:val="17"/>
                <w:szCs w:val="17"/>
                <w:color w:val="auto"/>
              </w:rPr>
              <w:t>—</w:t>
            </w:r>
          </w:p>
        </w:tc>
        <w:tc>
          <w:tcPr>
            <w:tcW w:w="1580" w:type="dxa"/>
            <w:vAlign w:val="bottom"/>
          </w:tcPr>
          <w:p>
            <w:pPr>
              <w:jc w:val="center"/>
              <w:spacing w:after="0"/>
              <w:rPr>
                <w:sz w:val="20"/>
                <w:szCs w:val="20"/>
                <w:color w:val="auto"/>
              </w:rPr>
            </w:pPr>
            <w:r>
              <w:rPr>
                <w:rFonts w:ascii="Calibri" w:cs="Calibri" w:eastAsia="Calibri" w:hAnsi="Calibri"/>
                <w:sz w:val="17"/>
                <w:szCs w:val="17"/>
                <w:color w:val="auto"/>
                <w:w w:val="99"/>
              </w:rPr>
              <w:t>285,000</w:t>
            </w:r>
          </w:p>
        </w:tc>
      </w:tr>
      <w:tr>
        <w:trPr>
          <w:trHeight w:val="133"/>
        </w:trPr>
        <w:tc>
          <w:tcPr>
            <w:tcW w:w="3500" w:type="dxa"/>
            <w:vAlign w:val="bottom"/>
            <w:tcBorders>
              <w:bottom w:val="single" w:sz="8" w:color="FB4E0B"/>
              <w:right w:val="single" w:sz="8" w:color="auto"/>
            </w:tcBorders>
          </w:tcPr>
          <w:p>
            <w:pPr>
              <w:spacing w:after="0"/>
              <w:rPr>
                <w:sz w:val="11"/>
                <w:szCs w:val="11"/>
                <w:color w:val="auto"/>
              </w:rPr>
            </w:pPr>
          </w:p>
        </w:tc>
        <w:tc>
          <w:tcPr>
            <w:tcW w:w="1800" w:type="dxa"/>
            <w:vAlign w:val="bottom"/>
            <w:tcBorders>
              <w:bottom w:val="single" w:sz="8" w:color="FB4E0B"/>
              <w:right w:val="single" w:sz="8" w:color="auto"/>
            </w:tcBorders>
          </w:tcPr>
          <w:p>
            <w:pPr>
              <w:spacing w:after="0"/>
              <w:rPr>
                <w:sz w:val="11"/>
                <w:szCs w:val="11"/>
                <w:color w:val="auto"/>
              </w:rPr>
            </w:pPr>
          </w:p>
        </w:tc>
        <w:tc>
          <w:tcPr>
            <w:tcW w:w="1840" w:type="dxa"/>
            <w:vAlign w:val="bottom"/>
            <w:tcBorders>
              <w:bottom w:val="single" w:sz="8" w:color="FB4E0B"/>
              <w:right w:val="single" w:sz="8" w:color="auto"/>
            </w:tcBorders>
          </w:tcPr>
          <w:p>
            <w:pPr>
              <w:spacing w:after="0"/>
              <w:rPr>
                <w:sz w:val="11"/>
                <w:szCs w:val="11"/>
                <w:color w:val="auto"/>
              </w:rPr>
            </w:pPr>
          </w:p>
        </w:tc>
        <w:tc>
          <w:tcPr>
            <w:tcW w:w="1900" w:type="dxa"/>
            <w:vAlign w:val="bottom"/>
            <w:tcBorders>
              <w:bottom w:val="single" w:sz="8" w:color="FB4E0B"/>
              <w:right w:val="single" w:sz="8" w:color="auto"/>
            </w:tcBorders>
          </w:tcPr>
          <w:p>
            <w:pPr>
              <w:spacing w:after="0"/>
              <w:rPr>
                <w:sz w:val="11"/>
                <w:szCs w:val="11"/>
                <w:color w:val="auto"/>
              </w:rPr>
            </w:pPr>
          </w:p>
        </w:tc>
        <w:tc>
          <w:tcPr>
            <w:tcW w:w="1580" w:type="dxa"/>
            <w:vAlign w:val="bottom"/>
            <w:tcBorders>
              <w:bottom w:val="single" w:sz="8" w:color="FB4E0B"/>
            </w:tcBorders>
          </w:tcPr>
          <w:p>
            <w:pPr>
              <w:spacing w:after="0"/>
              <w:rPr>
                <w:sz w:val="11"/>
                <w:szCs w:val="11"/>
                <w:color w:val="auto"/>
              </w:rPr>
            </w:pPr>
          </w:p>
        </w:tc>
      </w:tr>
    </w:tbl>
    <w:p>
      <w:pPr>
        <w:ind w:left="320" w:right="80" w:hanging="4"/>
        <w:spacing w:after="0" w:line="248"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Mr. Kapoor’s compensaton during 2022 was based solely on his role as CEO, as disclosed in the “Summary compensaton table for fscal year 2022” beginning on page 87 and discussed in “Compensaton Discussion and Analysis” beginning on page 63. He does not receive any additonal compensaton for his services as a director. Mr. Fibig, a current non-executve director, was appointed to the board of directors efectve January 10, 2023.</w:t>
      </w:r>
    </w:p>
    <w:p>
      <w:pPr>
        <w:spacing w:after="0" w:line="8" w:lineRule="exact"/>
        <w:rPr>
          <w:rFonts w:ascii="Calibri" w:cs="Calibri" w:eastAsia="Calibri" w:hAnsi="Calibri"/>
          <w:sz w:val="13"/>
          <w:szCs w:val="13"/>
          <w:color w:val="auto"/>
        </w:rPr>
      </w:pPr>
    </w:p>
    <w:p>
      <w:pPr>
        <w:ind w:left="320" w:right="100" w:hanging="4"/>
        <w:spacing w:after="0" w:line="251" w:lineRule="auto"/>
        <w:tabs>
          <w:tab w:leader="none" w:pos="494" w:val="left"/>
        </w:tabs>
        <w:numPr>
          <w:ilvl w:val="0"/>
          <w:numId w:val="43"/>
        </w:numPr>
        <w:rPr>
          <w:rFonts w:ascii="Calibri" w:cs="Calibri" w:eastAsia="Calibri" w:hAnsi="Calibri"/>
          <w:sz w:val="13"/>
          <w:szCs w:val="13"/>
          <w:color w:val="auto"/>
        </w:rPr>
      </w:pPr>
      <w:r>
        <w:rPr>
          <w:rFonts w:ascii="Calibri" w:cs="Calibri" w:eastAsia="Calibri" w:hAnsi="Calibri"/>
          <w:sz w:val="13"/>
          <w:szCs w:val="13"/>
          <w:color w:val="auto"/>
        </w:rPr>
        <w:t>Amounts refect the aggregate grant date fair value of stock awards recognized for fnancial statement reportng purposes for the fscal year ended December 31, 2022, in accordance with FASB ASC Topic 718 (disregarding any forfeiture assumptons). Assumptons used in the calculaton of these amounts are included in footnotes 2 and 23 to our audited fnancial statements for the fscal year ended December 31, 2022 included in the 2022 Form 10-K.</w:t>
      </w:r>
    </w:p>
    <w:p>
      <w:pPr>
        <w:ind w:left="500" w:hanging="184"/>
        <w:spacing w:after="0"/>
        <w:tabs>
          <w:tab w:leader="none" w:pos="500" w:val="left"/>
        </w:tabs>
        <w:numPr>
          <w:ilvl w:val="0"/>
          <w:numId w:val="43"/>
        </w:numPr>
        <w:rPr>
          <w:rFonts w:ascii="Calibri" w:cs="Calibri" w:eastAsia="Calibri" w:hAnsi="Calibri"/>
          <w:sz w:val="14"/>
          <w:szCs w:val="14"/>
          <w:color w:val="auto"/>
        </w:rPr>
      </w:pPr>
      <w:r>
        <w:rPr>
          <w:rFonts w:ascii="Calibri" w:cs="Calibri" w:eastAsia="Calibri" w:hAnsi="Calibri"/>
          <w:sz w:val="14"/>
          <w:szCs w:val="14"/>
          <w:color w:val="auto"/>
        </w:rPr>
        <w:t>The outstanding equity awards held by our non-employee directors on December 31, 2022 is set forth on the table below:</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8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Calibri" w:cs="Calibri" w:eastAsia="Calibri" w:hAnsi="Calibri"/>
                <w:sz w:val="17"/>
                <w:szCs w:val="17"/>
                <w:b w:val="1"/>
                <w:bCs w:val="1"/>
                <w:color w:val="FB4E0B"/>
              </w:rPr>
              <w:t>No. of securites</w:t>
            </w:r>
          </w:p>
        </w:tc>
        <w:tc>
          <w:tcPr>
            <w:tcW w:w="2780" w:type="dxa"/>
            <w:vAlign w:val="bottom"/>
          </w:tcPr>
          <w:p>
            <w:pPr>
              <w:jc w:val="right"/>
              <w:ind w:right="753"/>
              <w:spacing w:after="0"/>
              <w:rPr>
                <w:sz w:val="20"/>
                <w:szCs w:val="20"/>
                <w:color w:val="auto"/>
              </w:rPr>
            </w:pPr>
            <w:r>
              <w:rPr>
                <w:rFonts w:ascii="Calibri" w:cs="Calibri" w:eastAsia="Calibri" w:hAnsi="Calibri"/>
                <w:sz w:val="17"/>
                <w:szCs w:val="17"/>
                <w:b w:val="1"/>
                <w:bCs w:val="1"/>
                <w:color w:val="FB4E0B"/>
              </w:rPr>
              <w:t>No. of securites</w:t>
            </w:r>
          </w:p>
        </w:tc>
        <w:tc>
          <w:tcPr>
            <w:tcW w:w="2480" w:type="dxa"/>
            <w:vAlign w:val="bottom"/>
          </w:tcPr>
          <w:p>
            <w:pPr>
              <w:jc w:val="right"/>
              <w:ind w:right="613"/>
              <w:spacing w:after="0"/>
              <w:rPr>
                <w:sz w:val="20"/>
                <w:szCs w:val="20"/>
                <w:color w:val="auto"/>
              </w:rPr>
            </w:pPr>
            <w:r>
              <w:rPr>
                <w:rFonts w:ascii="Calibri" w:cs="Calibri" w:eastAsia="Calibri" w:hAnsi="Calibri"/>
                <w:sz w:val="17"/>
                <w:szCs w:val="17"/>
                <w:b w:val="1"/>
                <w:bCs w:val="1"/>
                <w:color w:val="FB4E0B"/>
              </w:rPr>
              <w:t>No. of shares or</w:t>
            </w:r>
          </w:p>
        </w:tc>
      </w:tr>
      <w:tr>
        <w:trPr>
          <w:trHeight w:val="208"/>
        </w:trPr>
        <w:tc>
          <w:tcPr>
            <w:tcW w:w="282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underlying unexercised</w:t>
            </w:r>
          </w:p>
        </w:tc>
        <w:tc>
          <w:tcPr>
            <w:tcW w:w="2780" w:type="dxa"/>
            <w:vAlign w:val="bottom"/>
          </w:tcPr>
          <w:p>
            <w:pPr>
              <w:jc w:val="right"/>
              <w:ind w:right="513"/>
              <w:spacing w:after="0"/>
              <w:rPr>
                <w:sz w:val="20"/>
                <w:szCs w:val="20"/>
                <w:color w:val="auto"/>
              </w:rPr>
            </w:pPr>
            <w:r>
              <w:rPr>
                <w:rFonts w:ascii="Calibri" w:cs="Calibri" w:eastAsia="Calibri" w:hAnsi="Calibri"/>
                <w:sz w:val="17"/>
                <w:szCs w:val="17"/>
                <w:b w:val="1"/>
                <w:bCs w:val="1"/>
                <w:color w:val="FB4E0B"/>
              </w:rPr>
              <w:t>underlying unexercised</w:t>
            </w:r>
          </w:p>
        </w:tc>
        <w:tc>
          <w:tcPr>
            <w:tcW w:w="2480" w:type="dxa"/>
            <w:vAlign w:val="bottom"/>
          </w:tcPr>
          <w:p>
            <w:pPr>
              <w:jc w:val="right"/>
              <w:ind w:right="713"/>
              <w:spacing w:after="0"/>
              <w:rPr>
                <w:sz w:val="20"/>
                <w:szCs w:val="20"/>
                <w:color w:val="auto"/>
              </w:rPr>
            </w:pPr>
            <w:r>
              <w:rPr>
                <w:rFonts w:ascii="Calibri" w:cs="Calibri" w:eastAsia="Calibri" w:hAnsi="Calibri"/>
                <w:sz w:val="17"/>
                <w:szCs w:val="17"/>
                <w:b w:val="1"/>
                <w:bCs w:val="1"/>
                <w:color w:val="FB4E0B"/>
              </w:rPr>
              <w:t>units of stock</w:t>
            </w:r>
          </w:p>
        </w:tc>
      </w:tr>
      <w:tr>
        <w:trPr>
          <w:trHeight w:val="208"/>
        </w:trPr>
        <w:tc>
          <w:tcPr>
            <w:tcW w:w="282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2540" w:type="dxa"/>
            <w:vAlign w:val="bottom"/>
          </w:tcPr>
          <w:p>
            <w:pPr>
              <w:jc w:val="center"/>
              <w:spacing w:after="0"/>
              <w:rPr>
                <w:sz w:val="20"/>
                <w:szCs w:val="20"/>
                <w:color w:val="auto"/>
              </w:rPr>
            </w:pPr>
            <w:r>
              <w:rPr>
                <w:rFonts w:ascii="Calibri" w:cs="Calibri" w:eastAsia="Calibri" w:hAnsi="Calibri"/>
                <w:sz w:val="17"/>
                <w:szCs w:val="17"/>
                <w:b w:val="1"/>
                <w:bCs w:val="1"/>
                <w:color w:val="FB4E0B"/>
              </w:rPr>
              <w:t>optons (#) exercisable</w:t>
            </w:r>
          </w:p>
        </w:tc>
        <w:tc>
          <w:tcPr>
            <w:tcW w:w="2780" w:type="dxa"/>
            <w:vAlign w:val="bottom"/>
          </w:tcPr>
          <w:p>
            <w:pPr>
              <w:jc w:val="right"/>
              <w:ind w:right="453"/>
              <w:spacing w:after="0"/>
              <w:rPr>
                <w:sz w:val="20"/>
                <w:szCs w:val="20"/>
                <w:color w:val="auto"/>
              </w:rPr>
            </w:pPr>
            <w:r>
              <w:rPr>
                <w:rFonts w:ascii="Calibri" w:cs="Calibri" w:eastAsia="Calibri" w:hAnsi="Calibri"/>
                <w:sz w:val="17"/>
                <w:szCs w:val="17"/>
                <w:b w:val="1"/>
                <w:bCs w:val="1"/>
                <w:color w:val="FB4E0B"/>
              </w:rPr>
              <w:t>optons (#) unexercisable</w:t>
            </w:r>
          </w:p>
        </w:tc>
        <w:tc>
          <w:tcPr>
            <w:tcW w:w="2480" w:type="dxa"/>
            <w:vAlign w:val="bottom"/>
          </w:tcPr>
          <w:p>
            <w:pPr>
              <w:jc w:val="right"/>
              <w:ind w:right="453"/>
              <w:spacing w:after="0"/>
              <w:rPr>
                <w:sz w:val="20"/>
                <w:szCs w:val="20"/>
                <w:color w:val="auto"/>
              </w:rPr>
            </w:pPr>
            <w:r>
              <w:rPr>
                <w:rFonts w:ascii="Calibri" w:cs="Calibri" w:eastAsia="Calibri" w:hAnsi="Calibri"/>
                <w:sz w:val="17"/>
                <w:szCs w:val="17"/>
                <w:b w:val="1"/>
                <w:bCs w:val="1"/>
                <w:color w:val="FB4E0B"/>
              </w:rPr>
              <w:t>that have not vested</w:t>
            </w:r>
          </w:p>
        </w:tc>
      </w:tr>
      <w:tr>
        <w:trPr>
          <w:trHeight w:val="133"/>
        </w:trPr>
        <w:tc>
          <w:tcPr>
            <w:tcW w:w="2820" w:type="dxa"/>
            <w:vAlign w:val="bottom"/>
            <w:tcBorders>
              <w:bottom w:val="single" w:sz="8" w:color="FB4E0B"/>
            </w:tcBorders>
          </w:tcPr>
          <w:p>
            <w:pPr>
              <w:spacing w:after="0"/>
              <w:rPr>
                <w:sz w:val="11"/>
                <w:szCs w:val="11"/>
                <w:color w:val="auto"/>
              </w:rPr>
            </w:pPr>
          </w:p>
        </w:tc>
        <w:tc>
          <w:tcPr>
            <w:tcW w:w="2540" w:type="dxa"/>
            <w:vAlign w:val="bottom"/>
            <w:tcBorders>
              <w:bottom w:val="single" w:sz="8" w:color="FB4E0B"/>
            </w:tcBorders>
          </w:tcPr>
          <w:p>
            <w:pPr>
              <w:spacing w:after="0"/>
              <w:rPr>
                <w:sz w:val="11"/>
                <w:szCs w:val="11"/>
                <w:color w:val="auto"/>
              </w:rPr>
            </w:pPr>
          </w:p>
        </w:tc>
        <w:tc>
          <w:tcPr>
            <w:tcW w:w="2780" w:type="dxa"/>
            <w:vAlign w:val="bottom"/>
            <w:tcBorders>
              <w:bottom w:val="single" w:sz="8" w:color="FB4E0B"/>
            </w:tcBorders>
          </w:tcPr>
          <w:p>
            <w:pPr>
              <w:spacing w:after="0"/>
              <w:rPr>
                <w:sz w:val="11"/>
                <w:szCs w:val="11"/>
                <w:color w:val="auto"/>
              </w:rPr>
            </w:pPr>
          </w:p>
        </w:tc>
        <w:tc>
          <w:tcPr>
            <w:tcW w:w="2480" w:type="dxa"/>
            <w:vAlign w:val="bottom"/>
            <w:tcBorders>
              <w:bottom w:val="single" w:sz="8" w:color="FB4E0B"/>
            </w:tcBorders>
          </w:tcPr>
          <w:p>
            <w:pPr>
              <w:spacing w:after="0"/>
              <w:rPr>
                <w:sz w:val="11"/>
                <w:szCs w:val="11"/>
                <w:color w:val="auto"/>
              </w:rPr>
            </w:pPr>
          </w:p>
        </w:tc>
      </w:tr>
      <w:tr>
        <w:trPr>
          <w:trHeight w:val="276"/>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Anne Minto</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3,093</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Som Mital</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Clyde Ostler</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Vikram Pandit</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2,494</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27"/>
        </w:trPr>
        <w:tc>
          <w:tcPr>
            <w:tcW w:w="2820" w:type="dxa"/>
            <w:vAlign w:val="bottom"/>
            <w:tcBorders>
              <w:bottom w:val="single" w:sz="8" w:color="auto"/>
              <w:right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r>
      <w:tr>
        <w:trPr>
          <w:trHeight w:val="269"/>
        </w:trPr>
        <w:tc>
          <w:tcPr>
            <w:tcW w:w="282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Jaynie Studenmund</w:t>
            </w:r>
          </w:p>
        </w:tc>
        <w:tc>
          <w:tcPr>
            <w:tcW w:w="2540" w:type="dxa"/>
            <w:vAlign w:val="bottom"/>
            <w:tcBorders>
              <w:right w:val="single" w:sz="8" w:color="auto"/>
            </w:tcBorders>
          </w:tcPr>
          <w:p>
            <w:pPr>
              <w:jc w:val="right"/>
              <w:ind w:right="393"/>
              <w:spacing w:after="0"/>
              <w:rPr>
                <w:sz w:val="20"/>
                <w:szCs w:val="20"/>
                <w:color w:val="auto"/>
              </w:rPr>
            </w:pPr>
            <w:r>
              <w:rPr>
                <w:rFonts w:ascii="Calibri" w:cs="Calibri" w:eastAsia="Calibri" w:hAnsi="Calibri"/>
                <w:sz w:val="17"/>
                <w:szCs w:val="17"/>
                <w:color w:val="auto"/>
              </w:rPr>
              <w:t>0</w:t>
            </w:r>
          </w:p>
        </w:tc>
        <w:tc>
          <w:tcPr>
            <w:tcW w:w="278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480" w:type="dxa"/>
            <w:vAlign w:val="bottom"/>
          </w:tcPr>
          <w:p>
            <w:pPr>
              <w:jc w:val="right"/>
              <w:ind w:right="453"/>
              <w:spacing w:after="0"/>
              <w:rPr>
                <w:sz w:val="20"/>
                <w:szCs w:val="20"/>
                <w:color w:val="auto"/>
              </w:rPr>
            </w:pPr>
            <w:r>
              <w:rPr>
                <w:rFonts w:ascii="Calibri" w:cs="Calibri" w:eastAsia="Calibri" w:hAnsi="Calibri"/>
                <w:sz w:val="17"/>
                <w:szCs w:val="17"/>
                <w:color w:val="auto"/>
              </w:rPr>
              <w:t>1,411</w:t>
            </w:r>
          </w:p>
        </w:tc>
      </w:tr>
      <w:tr>
        <w:trPr>
          <w:trHeight w:val="133"/>
        </w:trPr>
        <w:tc>
          <w:tcPr>
            <w:tcW w:w="2820" w:type="dxa"/>
            <w:vAlign w:val="bottom"/>
            <w:tcBorders>
              <w:bottom w:val="single" w:sz="8" w:color="FB4E0B"/>
              <w:right w:val="single" w:sz="8" w:color="auto"/>
            </w:tcBorders>
          </w:tcPr>
          <w:p>
            <w:pPr>
              <w:spacing w:after="0"/>
              <w:rPr>
                <w:sz w:val="11"/>
                <w:szCs w:val="11"/>
                <w:color w:val="auto"/>
              </w:rPr>
            </w:pPr>
          </w:p>
        </w:tc>
        <w:tc>
          <w:tcPr>
            <w:tcW w:w="2540" w:type="dxa"/>
            <w:vAlign w:val="bottom"/>
            <w:tcBorders>
              <w:bottom w:val="single" w:sz="8" w:color="FB4E0B"/>
              <w:right w:val="single" w:sz="8" w:color="auto"/>
            </w:tcBorders>
          </w:tcPr>
          <w:p>
            <w:pPr>
              <w:spacing w:after="0"/>
              <w:rPr>
                <w:sz w:val="11"/>
                <w:szCs w:val="11"/>
                <w:color w:val="auto"/>
              </w:rPr>
            </w:pPr>
          </w:p>
        </w:tc>
        <w:tc>
          <w:tcPr>
            <w:tcW w:w="2780" w:type="dxa"/>
            <w:vAlign w:val="bottom"/>
            <w:tcBorders>
              <w:bottom w:val="single" w:sz="8" w:color="FB4E0B"/>
              <w:right w:val="single" w:sz="8" w:color="auto"/>
            </w:tcBorders>
          </w:tcPr>
          <w:p>
            <w:pPr>
              <w:spacing w:after="0"/>
              <w:rPr>
                <w:sz w:val="11"/>
                <w:szCs w:val="11"/>
                <w:color w:val="auto"/>
              </w:rPr>
            </w:pPr>
          </w:p>
        </w:tc>
        <w:tc>
          <w:tcPr>
            <w:tcW w:w="2480" w:type="dxa"/>
            <w:vAlign w:val="bottom"/>
            <w:tcBorders>
              <w:bottom w:val="single" w:sz="8" w:color="FB4E0B"/>
            </w:tcBorders>
          </w:tcPr>
          <w:p>
            <w:pPr>
              <w:spacing w:after="0"/>
              <w:rPr>
                <w:sz w:val="11"/>
                <w:szCs w:val="11"/>
                <w:color w:val="auto"/>
              </w:rPr>
            </w:pPr>
          </w:p>
        </w:tc>
      </w:tr>
    </w:tbl>
    <w:p>
      <w:pPr>
        <w:ind w:left="500" w:hanging="184"/>
        <w:spacing w:after="0" w:line="225" w:lineRule="auto"/>
        <w:tabs>
          <w:tab w:leader="none" w:pos="500"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For Ms. Minto and Mr. Mital, amount refects our reimbursement to the director for fees associated with tax preparer services.</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Amounts refect a change in the Audit Commitee Chair role from Mr. Ostler to Ms. Pipes in March 2022.</w:t>
      </w:r>
    </w:p>
    <w:p>
      <w:pPr>
        <w:spacing w:after="0" w:line="13" w:lineRule="exact"/>
        <w:rPr>
          <w:rFonts w:ascii="Calibri" w:cs="Calibri" w:eastAsia="Calibri" w:hAnsi="Calibri"/>
          <w:sz w:val="13"/>
          <w:szCs w:val="13"/>
          <w:color w:val="auto"/>
        </w:rPr>
      </w:pPr>
    </w:p>
    <w:p>
      <w:pPr>
        <w:ind w:left="320" w:right="40" w:hanging="4"/>
        <w:spacing w:after="0" w:line="251"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Mr. Pandit became Chairman on January 1, 2022. This amount refects a prorated grant for the six-month interim period from such date through the Company’s 2022 annual meetng of stockholders, the annual Chairman grant for 2022-2023, and the standard annual director equity grant.</w:t>
      </w:r>
    </w:p>
    <w:p>
      <w:pPr>
        <w:spacing w:after="0" w:line="200"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For 2022, non-executve directors were eligible to receive an annual retainer fee in the amount of $85,000 in cash and $190,000 in equity valued at the tme of grant. The non-executve Chairman of our board was eligible to receive an additonal $100,000 in equity valued at the tme of grant. New non-employee directors who join our board of directors during a calendar quarter are</w:t>
      </w:r>
    </w:p>
    <w:p>
      <w:pPr>
        <w:sectPr>
          <w:pgSz w:w="11900" w:h="16838" w:orient="portrait"/>
          <w:cols w:equalWidth="0" w:num="1">
            <w:col w:w="10940"/>
          </w:cols>
          <w:pgMar w:left="320" w:top="471" w:right="639" w:bottom="1440" w:gutter="0" w:footer="0" w:header="0"/>
        </w:sectPr>
      </w:pPr>
    </w:p>
    <w:p>
      <w:pPr>
        <w:spacing w:after="0" w:line="298"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109</w:t>
      </w:r>
    </w:p>
    <w:p>
      <w:pPr>
        <w:sectPr>
          <w:pgSz w:w="11900" w:h="16838" w:orient="portrait"/>
          <w:cols w:equalWidth="0" w:num="1">
            <w:col w:w="10940"/>
          </w:cols>
          <w:pgMar w:left="320" w:top="471" w:right="6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348"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eligible to receive the full cash fee for such calendar quarter and a pro-rated equity grant. The chair of our Audit Commitee was eligible to receive an additonal annual fee of $12,500 in cash, and the chairs of our Compensaton and Talent Management Commitee and Nominatng and Governance Commitee were each eligible to receive an additonal annual fee of $10,000 in cash.</w:t>
      </w:r>
    </w:p>
    <w:p>
      <w:pPr>
        <w:spacing w:after="0" w:line="213"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There are no additonal fees payable for atendance at our board or commitee meetngs (whether in person, telephonic or otherwise). We make quarterly cash payments in respect of the director fees to our directors.</w:t>
      </w:r>
    </w:p>
    <w:p>
      <w:pPr>
        <w:spacing w:after="0" w:line="211" w:lineRule="exact"/>
        <w:rPr>
          <w:sz w:val="20"/>
          <w:szCs w:val="20"/>
          <w:color w:val="auto"/>
        </w:rPr>
      </w:pPr>
    </w:p>
    <w:p>
      <w:pPr>
        <w:ind w:left="320" w:right="360"/>
        <w:spacing w:after="0" w:line="239" w:lineRule="auto"/>
        <w:rPr>
          <w:sz w:val="20"/>
          <w:szCs w:val="20"/>
          <w:color w:val="auto"/>
        </w:rPr>
      </w:pPr>
      <w:r>
        <w:rPr>
          <w:rFonts w:ascii="Calibri" w:cs="Calibri" w:eastAsia="Calibri" w:hAnsi="Calibri"/>
          <w:sz w:val="17"/>
          <w:szCs w:val="17"/>
          <w:color w:val="auto"/>
        </w:rPr>
        <w:t>Holders of restricted stock units do not receive the underlying shares of common stock untl the units have vested and are setled. Unless the director elects otherwise, the restricted stock units issued to each of our non-employee directors will setle on the earliest of:</w:t>
      </w:r>
    </w:p>
    <w:p>
      <w:pPr>
        <w:spacing w:after="0" w:line="119" w:lineRule="exact"/>
        <w:rPr>
          <w:sz w:val="20"/>
          <w:szCs w:val="20"/>
          <w:color w:val="auto"/>
        </w:rPr>
      </w:pPr>
    </w:p>
    <w:p>
      <w:pPr>
        <w:ind w:left="1140" w:hanging="407"/>
        <w:spacing w:after="0"/>
        <w:tabs>
          <w:tab w:leader="none" w:pos="114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such director’s death;</w:t>
      </w:r>
    </w:p>
    <w:p>
      <w:pPr>
        <w:spacing w:after="0" w:line="119" w:lineRule="exact"/>
        <w:rPr>
          <w:rFonts w:ascii="Calibri" w:cs="Calibri" w:eastAsia="Calibri" w:hAnsi="Calibri"/>
          <w:sz w:val="17"/>
          <w:szCs w:val="17"/>
          <w:color w:val="auto"/>
        </w:rPr>
      </w:pPr>
    </w:p>
    <w:p>
      <w:pPr>
        <w:ind w:left="1140" w:right="20" w:hanging="407"/>
        <w:spacing w:after="0" w:line="239" w:lineRule="auto"/>
        <w:tabs>
          <w:tab w:leader="none" w:pos="114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180 days following the end of such director’s term on our board of directors, or if the director has satsfed our stock ownership guidelines and made an electon prior to the grant, the vestng date of the award; and</w:t>
      </w:r>
    </w:p>
    <w:p>
      <w:pPr>
        <w:spacing w:after="0" w:line="120" w:lineRule="exact"/>
        <w:rPr>
          <w:rFonts w:ascii="Calibri" w:cs="Calibri" w:eastAsia="Calibri" w:hAnsi="Calibri"/>
          <w:sz w:val="17"/>
          <w:szCs w:val="17"/>
          <w:color w:val="auto"/>
        </w:rPr>
      </w:pPr>
    </w:p>
    <w:p>
      <w:pPr>
        <w:ind w:left="1140" w:right="160" w:hanging="407"/>
        <w:spacing w:after="0" w:line="239" w:lineRule="auto"/>
        <w:tabs>
          <w:tab w:leader="none" w:pos="1140" w:val="left"/>
        </w:tabs>
        <w:numPr>
          <w:ilvl w:val="0"/>
          <w:numId w:val="45"/>
        </w:numPr>
        <w:rPr>
          <w:rFonts w:ascii="Calibri" w:cs="Calibri" w:eastAsia="Calibri" w:hAnsi="Calibri"/>
          <w:sz w:val="17"/>
          <w:szCs w:val="17"/>
          <w:color w:val="auto"/>
        </w:rPr>
      </w:pPr>
      <w:r>
        <w:rPr>
          <w:rFonts w:ascii="Calibri" w:cs="Calibri" w:eastAsia="Calibri" w:hAnsi="Calibri"/>
          <w:sz w:val="17"/>
          <w:szCs w:val="17"/>
          <w:color w:val="auto"/>
        </w:rPr>
        <w:t>the occurrence of a “change in control,” as defned in the 2006 Plan, 2015 Plan or 2018 Plan, as applicable, that satsfes the requirements of Secton 409A of the Code.</w:t>
      </w:r>
    </w:p>
    <w:p>
      <w:pPr>
        <w:spacing w:after="0" w:line="127"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110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Stock ownership of directors, executve ofcers and certain benefcial owners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Stock ownership of directors, executve ofcers and certain benefcial owners</w:t>
      </w: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Unless otherwise indicated, the table below sets forth informaton with respect to the benefcial ownership of our common stock by:</w:t>
      </w:r>
    </w:p>
    <w:p>
      <w:pPr>
        <w:spacing w:after="0" w:line="235" w:lineRule="exact"/>
        <w:rPr>
          <w:sz w:val="20"/>
          <w:szCs w:val="20"/>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each of our directors and each of our named executve ofcers individually;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each person who is known to be the benefcial owner of more than 5% of our common stock;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all of our current directors and current executve ofcers (i.e., not just named executve ofcers) as a group.</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amounts and percentages of common stock benefcially owned below are as of March 31, 2023 (the “Determinaton Date”) and are reported on the basis of the regulatons of the SEC governing the determinaton of benefcial ownership of securites. Under these rules, a person is deemed to be a benefcial owner of a security if that person has or shares votng power, which includes the power to vote or to direct the votng of such security, or investment power, which includes the power to dispose of or to direct the dispositon of such security. A person is also deemed to be a benefcial owner of any securites of which that person has a right to acquire benefcial ownership within 60 days of the Determinaton Date. Under these rules, more than one person may be deemed to be a benefcial owner of the same securites. Except as otherwise indicated below, each of the persons named in the table has sole votng and investment power with respect to the securites benefcially owned by such person as set forth opposite such person’s name.</w:t>
      </w: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5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80" w:type="dxa"/>
            <w:vAlign w:val="bottom"/>
          </w:tcPr>
          <w:p>
            <w:pPr>
              <w:jc w:val="right"/>
              <w:ind w:right="322"/>
              <w:spacing w:after="0"/>
              <w:rPr>
                <w:sz w:val="20"/>
                <w:szCs w:val="20"/>
                <w:color w:val="auto"/>
              </w:rPr>
            </w:pPr>
            <w:r>
              <w:rPr>
                <w:rFonts w:ascii="Calibri" w:cs="Calibri" w:eastAsia="Calibri" w:hAnsi="Calibri"/>
                <w:sz w:val="17"/>
                <w:szCs w:val="17"/>
                <w:b w:val="1"/>
                <w:bCs w:val="1"/>
                <w:color w:val="auto"/>
              </w:rPr>
              <w:t>Vested but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41"/>
        </w:trPr>
        <w:tc>
          <w:tcPr>
            <w:tcW w:w="5300" w:type="dxa"/>
            <w:vAlign w:val="bottom"/>
            <w:tcBorders>
              <w:bottom w:val="single" w:sz="8" w:color="FB4E0B"/>
            </w:tcBorders>
          </w:tcPr>
          <w:p>
            <w:pPr>
              <w:ind w:left="340"/>
              <w:spacing w:after="0"/>
              <w:rPr>
                <w:sz w:val="20"/>
                <w:szCs w:val="20"/>
                <w:color w:val="auto"/>
              </w:rPr>
            </w:pPr>
            <w:r>
              <w:rPr>
                <w:rFonts w:ascii="Calibri" w:cs="Calibri" w:eastAsia="Calibri" w:hAnsi="Calibri"/>
                <w:sz w:val="17"/>
                <w:szCs w:val="17"/>
                <w:b w:val="1"/>
                <w:bCs w:val="1"/>
                <w:color w:val="auto"/>
              </w:rPr>
              <w:t>Name and address</w:t>
            </w:r>
            <w:r>
              <w:rPr>
                <w:rFonts w:ascii="Calibri" w:cs="Calibri" w:eastAsia="Calibri" w:hAnsi="Calibri"/>
                <w:sz w:val="13"/>
                <w:szCs w:val="13"/>
                <w:b w:val="1"/>
                <w:bCs w:val="1"/>
                <w:color w:val="auto"/>
              </w:rPr>
              <w:t>(1)</w:t>
            </w:r>
          </w:p>
        </w:tc>
        <w:tc>
          <w:tcPr>
            <w:tcW w:w="1580" w:type="dxa"/>
            <w:vAlign w:val="bottom"/>
            <w:tcBorders>
              <w:bottom w:val="single" w:sz="8" w:color="FB4E0B"/>
            </w:tcBorders>
          </w:tcPr>
          <w:p>
            <w:pPr>
              <w:jc w:val="right"/>
              <w:ind w:right="341"/>
              <w:spacing w:after="0"/>
              <w:rPr>
                <w:sz w:val="20"/>
                <w:szCs w:val="20"/>
                <w:color w:val="auto"/>
              </w:rPr>
            </w:pPr>
            <w:r>
              <w:rPr>
                <w:rFonts w:ascii="Calibri" w:cs="Calibri" w:eastAsia="Calibri" w:hAnsi="Calibri"/>
                <w:sz w:val="17"/>
                <w:szCs w:val="17"/>
                <w:b w:val="1"/>
                <w:bCs w:val="1"/>
                <w:color w:val="auto"/>
              </w:rPr>
              <w:t>Shares</w:t>
            </w:r>
          </w:p>
        </w:tc>
        <w:tc>
          <w:tcPr>
            <w:tcW w:w="620" w:type="dxa"/>
            <w:vAlign w:val="bottom"/>
            <w:tcBorders>
              <w:bottom w:val="single" w:sz="8" w:color="FB4E0B"/>
            </w:tcBorders>
          </w:tcPr>
          <w:p>
            <w:pPr>
              <w:jc w:val="right"/>
              <w:ind w:right="43"/>
              <w:spacing w:after="0" w:line="334" w:lineRule="exact"/>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c>
          <w:tcPr>
            <w:tcW w:w="1780" w:type="dxa"/>
            <w:vAlign w:val="bottom"/>
            <w:tcBorders>
              <w:bottom w:val="single" w:sz="8" w:color="FB4E0B"/>
            </w:tcBorders>
          </w:tcPr>
          <w:p>
            <w:pPr>
              <w:jc w:val="right"/>
              <w:ind w:right="102"/>
              <w:spacing w:after="0"/>
              <w:rPr>
                <w:sz w:val="20"/>
                <w:szCs w:val="20"/>
                <w:color w:val="auto"/>
              </w:rPr>
            </w:pPr>
            <w:r>
              <w:rPr>
                <w:rFonts w:ascii="Calibri" w:cs="Calibri" w:eastAsia="Calibri" w:hAnsi="Calibri"/>
                <w:sz w:val="17"/>
                <w:szCs w:val="17"/>
                <w:b w:val="1"/>
                <w:bCs w:val="1"/>
                <w:color w:val="auto"/>
              </w:rPr>
              <w:t>unsetled RSUs</w:t>
            </w:r>
            <w:r>
              <w:rPr>
                <w:rFonts w:ascii="Calibri" w:cs="Calibri" w:eastAsia="Calibri" w:hAnsi="Calibri"/>
                <w:sz w:val="13"/>
                <w:szCs w:val="13"/>
                <w:b w:val="1"/>
                <w:bCs w:val="1"/>
                <w:color w:val="auto"/>
              </w:rPr>
              <w:t>(3)</w:t>
            </w:r>
          </w:p>
        </w:tc>
        <w:tc>
          <w:tcPr>
            <w:tcW w:w="900" w:type="dxa"/>
            <w:vAlign w:val="bottom"/>
            <w:tcBorders>
              <w:bottom w:val="single" w:sz="8" w:color="FB4E0B"/>
            </w:tcBorders>
            <w:gridSpan w:val="2"/>
          </w:tcPr>
          <w:p>
            <w:pPr>
              <w:ind w:left="260"/>
              <w:spacing w:after="0"/>
              <w:rPr>
                <w:sz w:val="20"/>
                <w:szCs w:val="20"/>
                <w:color w:val="auto"/>
              </w:rPr>
            </w:pPr>
            <w:r>
              <w:rPr>
                <w:rFonts w:ascii="Calibri" w:cs="Calibri" w:eastAsia="Calibri" w:hAnsi="Calibri"/>
                <w:sz w:val="17"/>
                <w:szCs w:val="17"/>
                <w:b w:val="1"/>
                <w:bCs w:val="1"/>
                <w:color w:val="auto"/>
              </w:rPr>
              <w:t>Total</w:t>
            </w:r>
          </w:p>
        </w:tc>
      </w:tr>
      <w:tr>
        <w:trPr>
          <w:trHeight w:val="259"/>
        </w:trPr>
        <w:tc>
          <w:tcPr>
            <w:tcW w:w="5300" w:type="dxa"/>
            <w:vAlign w:val="bottom"/>
          </w:tcPr>
          <w:p>
            <w:pPr>
              <w:ind w:left="340"/>
              <w:spacing w:after="0"/>
              <w:rPr>
                <w:sz w:val="20"/>
                <w:szCs w:val="20"/>
                <w:color w:val="auto"/>
              </w:rPr>
            </w:pPr>
            <w:r>
              <w:rPr>
                <w:rFonts w:ascii="Calibri" w:cs="Calibri" w:eastAsia="Calibri" w:hAnsi="Calibri"/>
                <w:sz w:val="16"/>
                <w:szCs w:val="16"/>
                <w:b w:val="1"/>
                <w:bCs w:val="1"/>
                <w:color w:val="FB4E0B"/>
              </w:rPr>
              <w:t>Named Executve Ofcers</w:t>
            </w:r>
          </w:p>
        </w:tc>
        <w:tc>
          <w:tcPr>
            <w:tcW w:w="1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05"/>
        </w:trPr>
        <w:tc>
          <w:tcPr>
            <w:tcW w:w="53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r>
      <w:tr>
        <w:trPr>
          <w:trHeight w:val="348"/>
        </w:trPr>
        <w:tc>
          <w:tcPr>
            <w:tcW w:w="5300" w:type="dxa"/>
            <w:vAlign w:val="bottom"/>
          </w:tcPr>
          <w:p>
            <w:pPr>
              <w:ind w:left="340"/>
              <w:spacing w:after="0"/>
              <w:rPr>
                <w:sz w:val="20"/>
                <w:szCs w:val="20"/>
                <w:color w:val="auto"/>
              </w:rPr>
            </w:pPr>
            <w:r>
              <w:rPr>
                <w:rFonts w:ascii="Calibri" w:cs="Calibri" w:eastAsia="Calibri" w:hAnsi="Calibri"/>
                <w:sz w:val="16"/>
                <w:szCs w:val="16"/>
                <w:color w:val="auto"/>
              </w:rPr>
              <w:t>Rohit Kapoor</w:t>
            </w:r>
          </w:p>
        </w:tc>
        <w:tc>
          <w:tcPr>
            <w:tcW w:w="1580" w:type="dxa"/>
            <w:vAlign w:val="bottom"/>
          </w:tcPr>
          <w:p>
            <w:pPr>
              <w:jc w:val="right"/>
              <w:ind w:right="101"/>
              <w:spacing w:after="0"/>
              <w:rPr>
                <w:sz w:val="20"/>
                <w:szCs w:val="20"/>
                <w:color w:val="auto"/>
              </w:rPr>
            </w:pPr>
            <w:r>
              <w:rPr>
                <w:rFonts w:ascii="Calibri" w:cs="Calibri" w:eastAsia="Calibri" w:hAnsi="Calibri"/>
                <w:sz w:val="16"/>
                <w:szCs w:val="16"/>
                <w:color w:val="auto"/>
              </w:rPr>
              <w:t>748,106</w:t>
            </w:r>
            <w:r>
              <w:rPr>
                <w:rFonts w:ascii="Calibri" w:cs="Calibri" w:eastAsia="Calibri" w:hAnsi="Calibri"/>
                <w:sz w:val="23"/>
                <w:szCs w:val="23"/>
                <w:color w:val="auto"/>
                <w:vertAlign w:val="superscript"/>
              </w:rPr>
              <w:t>(4)</w:t>
            </w:r>
          </w:p>
        </w:tc>
        <w:tc>
          <w:tcPr>
            <w:tcW w:w="620" w:type="dxa"/>
            <w:vAlign w:val="bottom"/>
          </w:tcPr>
          <w:p>
            <w:pPr>
              <w:jc w:val="right"/>
              <w:spacing w:after="0"/>
              <w:rPr>
                <w:sz w:val="20"/>
                <w:szCs w:val="20"/>
                <w:color w:val="auto"/>
              </w:rPr>
            </w:pPr>
            <w:r>
              <w:rPr>
                <w:rFonts w:ascii="Calibri" w:cs="Calibri" w:eastAsia="Calibri" w:hAnsi="Calibri"/>
                <w:sz w:val="16"/>
                <w:szCs w:val="16"/>
                <w:color w:val="auto"/>
              </w:rPr>
              <w:t>2.25%</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748,106</w:t>
            </w:r>
          </w:p>
        </w:tc>
      </w:tr>
      <w:tr>
        <w:trPr>
          <w:trHeight w:val="256"/>
        </w:trPr>
        <w:tc>
          <w:tcPr>
            <w:tcW w:w="5300" w:type="dxa"/>
            <w:vAlign w:val="bottom"/>
          </w:tcPr>
          <w:p>
            <w:pPr>
              <w:ind w:left="340"/>
              <w:spacing w:after="0"/>
              <w:rPr>
                <w:sz w:val="20"/>
                <w:szCs w:val="20"/>
                <w:color w:val="auto"/>
              </w:rPr>
            </w:pPr>
            <w:r>
              <w:rPr>
                <w:rFonts w:ascii="Calibri" w:cs="Calibri" w:eastAsia="Calibri" w:hAnsi="Calibri"/>
                <w:sz w:val="16"/>
                <w:szCs w:val="16"/>
                <w:color w:val="auto"/>
              </w:rPr>
              <w:t>Maurizio Nicolelli</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16,382</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16,382</w:t>
            </w:r>
          </w:p>
        </w:tc>
      </w:tr>
      <w:tr>
        <w:trPr>
          <w:trHeight w:val="351"/>
        </w:trPr>
        <w:tc>
          <w:tcPr>
            <w:tcW w:w="5300" w:type="dxa"/>
            <w:vAlign w:val="bottom"/>
          </w:tcPr>
          <w:p>
            <w:pPr>
              <w:ind w:left="340"/>
              <w:spacing w:after="0"/>
              <w:rPr>
                <w:sz w:val="20"/>
                <w:szCs w:val="20"/>
                <w:color w:val="auto"/>
              </w:rPr>
            </w:pPr>
            <w:r>
              <w:rPr>
                <w:rFonts w:ascii="Calibri" w:cs="Calibri" w:eastAsia="Calibri" w:hAnsi="Calibri"/>
                <w:sz w:val="16"/>
                <w:szCs w:val="16"/>
                <w:color w:val="auto"/>
              </w:rPr>
              <w:t>Vikas Bhalla</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20,345</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20,345</w:t>
            </w:r>
          </w:p>
        </w:tc>
      </w:tr>
      <w:tr>
        <w:trPr>
          <w:trHeight w:val="351"/>
        </w:trPr>
        <w:tc>
          <w:tcPr>
            <w:tcW w:w="5300" w:type="dxa"/>
            <w:vAlign w:val="bottom"/>
          </w:tcPr>
          <w:p>
            <w:pPr>
              <w:ind w:left="340"/>
              <w:spacing w:after="0"/>
              <w:rPr>
                <w:sz w:val="20"/>
                <w:szCs w:val="20"/>
                <w:color w:val="auto"/>
              </w:rPr>
            </w:pPr>
            <w:r>
              <w:rPr>
                <w:rFonts w:ascii="Calibri" w:cs="Calibri" w:eastAsia="Calibri" w:hAnsi="Calibri"/>
                <w:sz w:val="16"/>
                <w:szCs w:val="16"/>
                <w:color w:val="auto"/>
              </w:rPr>
              <w:t>Vivek Jetley</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57,421</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57,421</w:t>
            </w:r>
          </w:p>
        </w:tc>
      </w:tr>
      <w:tr>
        <w:trPr>
          <w:trHeight w:val="447"/>
        </w:trPr>
        <w:tc>
          <w:tcPr>
            <w:tcW w:w="5300" w:type="dxa"/>
            <w:vAlign w:val="bottom"/>
          </w:tcPr>
          <w:p>
            <w:pPr>
              <w:ind w:left="340"/>
              <w:spacing w:after="0"/>
              <w:rPr>
                <w:sz w:val="20"/>
                <w:szCs w:val="20"/>
                <w:color w:val="auto"/>
              </w:rPr>
            </w:pPr>
            <w:r>
              <w:rPr>
                <w:rFonts w:ascii="Calibri" w:cs="Calibri" w:eastAsia="Calibri" w:hAnsi="Calibri"/>
                <w:sz w:val="16"/>
                <w:szCs w:val="16"/>
                <w:color w:val="auto"/>
              </w:rPr>
              <w:t>Ankor Rai</w:t>
            </w:r>
            <w:r>
              <w:rPr>
                <w:rFonts w:ascii="Calibri" w:cs="Calibri" w:eastAsia="Calibri" w:hAnsi="Calibri"/>
                <w:sz w:val="23"/>
                <w:szCs w:val="23"/>
                <w:color w:val="auto"/>
                <w:vertAlign w:val="superscript"/>
              </w:rPr>
              <w:t>(5)</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14,391</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14,391</w:t>
            </w:r>
          </w:p>
        </w:tc>
      </w:tr>
      <w:tr>
        <w:trPr>
          <w:trHeight w:val="282"/>
        </w:trPr>
        <w:tc>
          <w:tcPr>
            <w:tcW w:w="5300" w:type="dxa"/>
            <w:vAlign w:val="bottom"/>
          </w:tcPr>
          <w:p>
            <w:pPr>
              <w:ind w:left="340"/>
              <w:spacing w:after="0"/>
              <w:rPr>
                <w:sz w:val="20"/>
                <w:szCs w:val="20"/>
                <w:color w:val="auto"/>
              </w:rPr>
            </w:pPr>
            <w:r>
              <w:rPr>
                <w:rFonts w:ascii="Calibri" w:cs="Calibri" w:eastAsia="Calibri" w:hAnsi="Calibri"/>
                <w:sz w:val="16"/>
                <w:szCs w:val="16"/>
                <w:b w:val="1"/>
                <w:bCs w:val="1"/>
                <w:color w:val="FB4E0B"/>
              </w:rPr>
              <w:t>Directors</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05"/>
        </w:trPr>
        <w:tc>
          <w:tcPr>
            <w:tcW w:w="53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252"/>
        </w:trPr>
        <w:tc>
          <w:tcPr>
            <w:tcW w:w="5300" w:type="dxa"/>
            <w:vAlign w:val="bottom"/>
          </w:tcPr>
          <w:p>
            <w:pPr>
              <w:ind w:left="340"/>
              <w:spacing w:after="0"/>
              <w:rPr>
                <w:sz w:val="20"/>
                <w:szCs w:val="20"/>
                <w:color w:val="auto"/>
              </w:rPr>
            </w:pPr>
            <w:r>
              <w:rPr>
                <w:rFonts w:ascii="Calibri" w:cs="Calibri" w:eastAsia="Calibri" w:hAnsi="Calibri"/>
                <w:sz w:val="16"/>
                <w:szCs w:val="16"/>
                <w:color w:val="auto"/>
              </w:rPr>
              <w:t>Andreas Fibig</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600</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w:t>
            </w:r>
          </w:p>
        </w:tc>
        <w:tc>
          <w:tcPr>
            <w:tcW w:w="360" w:type="dxa"/>
            <w:vAlign w:val="bottom"/>
          </w:tcPr>
          <w:p>
            <w:pPr>
              <w:spacing w:after="0"/>
              <w:rPr>
                <w:sz w:val="21"/>
                <w:szCs w:val="21"/>
                <w:color w:val="auto"/>
              </w:rPr>
            </w:pPr>
          </w:p>
        </w:tc>
        <w:tc>
          <w:tcPr>
            <w:tcW w:w="540" w:type="dxa"/>
            <w:vAlign w:val="bottom"/>
          </w:tcPr>
          <w:p>
            <w:pPr>
              <w:jc w:val="right"/>
              <w:ind w:right="99"/>
              <w:spacing w:after="0"/>
              <w:rPr>
                <w:sz w:val="20"/>
                <w:szCs w:val="20"/>
                <w:color w:val="auto"/>
              </w:rPr>
            </w:pPr>
            <w:r>
              <w:rPr>
                <w:rFonts w:ascii="Calibri" w:cs="Calibri" w:eastAsia="Calibri" w:hAnsi="Calibri"/>
                <w:sz w:val="16"/>
                <w:szCs w:val="16"/>
                <w:color w:val="auto"/>
              </w:rPr>
              <w:t>600</w:t>
            </w:r>
          </w:p>
        </w:tc>
      </w:tr>
      <w:tr>
        <w:trPr>
          <w:trHeight w:val="447"/>
        </w:trPr>
        <w:tc>
          <w:tcPr>
            <w:tcW w:w="5300" w:type="dxa"/>
            <w:vAlign w:val="bottom"/>
          </w:tcPr>
          <w:p>
            <w:pPr>
              <w:ind w:left="340"/>
              <w:spacing w:after="0"/>
              <w:rPr>
                <w:sz w:val="20"/>
                <w:szCs w:val="20"/>
                <w:color w:val="auto"/>
              </w:rPr>
            </w:pPr>
            <w:r>
              <w:rPr>
                <w:rFonts w:ascii="Calibri" w:cs="Calibri" w:eastAsia="Calibri" w:hAnsi="Calibri"/>
                <w:sz w:val="16"/>
                <w:szCs w:val="16"/>
                <w:color w:val="auto"/>
              </w:rPr>
              <w:t>Anne E. Minto</w:t>
            </w:r>
          </w:p>
        </w:tc>
        <w:tc>
          <w:tcPr>
            <w:tcW w:w="1580" w:type="dxa"/>
            <w:vAlign w:val="bottom"/>
          </w:tcPr>
          <w:p>
            <w:pPr>
              <w:jc w:val="right"/>
              <w:ind w:right="101"/>
              <w:spacing w:after="0"/>
              <w:rPr>
                <w:sz w:val="20"/>
                <w:szCs w:val="20"/>
                <w:color w:val="auto"/>
              </w:rPr>
            </w:pPr>
            <w:r>
              <w:rPr>
                <w:rFonts w:ascii="Calibri" w:cs="Calibri" w:eastAsia="Calibri" w:hAnsi="Calibri"/>
                <w:sz w:val="16"/>
                <w:szCs w:val="16"/>
                <w:color w:val="auto"/>
              </w:rPr>
              <w:t>3,093</w:t>
            </w:r>
            <w:r>
              <w:rPr>
                <w:rFonts w:ascii="Calibri" w:cs="Calibri" w:eastAsia="Calibri" w:hAnsi="Calibri"/>
                <w:sz w:val="23"/>
                <w:szCs w:val="23"/>
                <w:color w:val="auto"/>
                <w:vertAlign w:val="superscript"/>
              </w:rPr>
              <w:t>(6)</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22,857</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25,950</w:t>
            </w:r>
          </w:p>
        </w:tc>
      </w:tr>
      <w:tr>
        <w:trPr>
          <w:trHeight w:val="256"/>
        </w:trPr>
        <w:tc>
          <w:tcPr>
            <w:tcW w:w="5300" w:type="dxa"/>
            <w:vAlign w:val="bottom"/>
          </w:tcPr>
          <w:p>
            <w:pPr>
              <w:ind w:left="340"/>
              <w:spacing w:after="0"/>
              <w:rPr>
                <w:sz w:val="20"/>
                <w:szCs w:val="20"/>
                <w:color w:val="auto"/>
              </w:rPr>
            </w:pPr>
            <w:r>
              <w:rPr>
                <w:rFonts w:ascii="Calibri" w:cs="Calibri" w:eastAsia="Calibri" w:hAnsi="Calibri"/>
                <w:sz w:val="16"/>
                <w:szCs w:val="16"/>
                <w:color w:val="auto"/>
              </w:rPr>
              <w:t>Som Mital</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14,453</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14,453</w:t>
            </w:r>
          </w:p>
        </w:tc>
      </w:tr>
      <w:tr>
        <w:trPr>
          <w:trHeight w:val="351"/>
        </w:trPr>
        <w:tc>
          <w:tcPr>
            <w:tcW w:w="5300" w:type="dxa"/>
            <w:vAlign w:val="bottom"/>
          </w:tcPr>
          <w:p>
            <w:pPr>
              <w:ind w:left="340"/>
              <w:spacing w:after="0"/>
              <w:rPr>
                <w:sz w:val="20"/>
                <w:szCs w:val="20"/>
                <w:color w:val="auto"/>
              </w:rPr>
            </w:pPr>
            <w:r>
              <w:rPr>
                <w:rFonts w:ascii="Calibri" w:cs="Calibri" w:eastAsia="Calibri" w:hAnsi="Calibri"/>
                <w:sz w:val="16"/>
                <w:szCs w:val="16"/>
                <w:color w:val="auto"/>
              </w:rPr>
              <w:t>Clyde W. Ostler</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17,245</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40,024</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57,269</w:t>
            </w:r>
          </w:p>
        </w:tc>
      </w:tr>
      <w:tr>
        <w:trPr>
          <w:trHeight w:val="447"/>
        </w:trPr>
        <w:tc>
          <w:tcPr>
            <w:tcW w:w="5300" w:type="dxa"/>
            <w:vAlign w:val="bottom"/>
          </w:tcPr>
          <w:p>
            <w:pPr>
              <w:ind w:left="340"/>
              <w:spacing w:after="0"/>
              <w:rPr>
                <w:sz w:val="20"/>
                <w:szCs w:val="20"/>
                <w:color w:val="auto"/>
              </w:rPr>
            </w:pPr>
            <w:r>
              <w:rPr>
                <w:rFonts w:ascii="Calibri" w:cs="Calibri" w:eastAsia="Calibri" w:hAnsi="Calibri"/>
                <w:sz w:val="16"/>
                <w:szCs w:val="16"/>
                <w:color w:val="auto"/>
              </w:rPr>
              <w:t>Vikram S. Pandit</w:t>
            </w:r>
          </w:p>
        </w:tc>
        <w:tc>
          <w:tcPr>
            <w:tcW w:w="1580" w:type="dxa"/>
            <w:vAlign w:val="bottom"/>
          </w:tcPr>
          <w:p>
            <w:pPr>
              <w:jc w:val="right"/>
              <w:ind w:right="101"/>
              <w:spacing w:after="0"/>
              <w:rPr>
                <w:sz w:val="20"/>
                <w:szCs w:val="20"/>
                <w:color w:val="auto"/>
              </w:rPr>
            </w:pPr>
            <w:r>
              <w:rPr>
                <w:rFonts w:ascii="Calibri" w:cs="Calibri" w:eastAsia="Calibri" w:hAnsi="Calibri"/>
                <w:sz w:val="16"/>
                <w:szCs w:val="16"/>
                <w:color w:val="auto"/>
              </w:rPr>
              <w:t>310,394</w:t>
            </w:r>
            <w:r>
              <w:rPr>
                <w:rFonts w:ascii="Calibri" w:cs="Calibri" w:eastAsia="Calibri" w:hAnsi="Calibri"/>
                <w:sz w:val="23"/>
                <w:szCs w:val="23"/>
                <w:color w:val="auto"/>
                <w:vertAlign w:val="superscript"/>
              </w:rPr>
              <w:t>(7)</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7,118</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317,512</w:t>
            </w:r>
          </w:p>
        </w:tc>
      </w:tr>
      <w:tr>
        <w:trPr>
          <w:trHeight w:val="256"/>
        </w:trPr>
        <w:tc>
          <w:tcPr>
            <w:tcW w:w="5300" w:type="dxa"/>
            <w:vAlign w:val="bottom"/>
          </w:tcPr>
          <w:p>
            <w:pPr>
              <w:ind w:left="340"/>
              <w:spacing w:after="0"/>
              <w:rPr>
                <w:sz w:val="20"/>
                <w:szCs w:val="20"/>
                <w:color w:val="auto"/>
              </w:rPr>
            </w:pPr>
            <w:r>
              <w:rPr>
                <w:rFonts w:ascii="Calibri" w:cs="Calibri" w:eastAsia="Calibri" w:hAnsi="Calibri"/>
                <w:sz w:val="16"/>
                <w:szCs w:val="16"/>
                <w:color w:val="auto"/>
              </w:rPr>
              <w:t>Kristy Pipes</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2,069</w:t>
            </w:r>
          </w:p>
        </w:tc>
        <w:tc>
          <w:tcPr>
            <w:tcW w:w="360" w:type="dxa"/>
            <w:vAlign w:val="bottom"/>
          </w:tcPr>
          <w:p>
            <w:pPr>
              <w:spacing w:after="0"/>
              <w:rPr>
                <w:sz w:val="22"/>
                <w:szCs w:val="22"/>
                <w:color w:val="auto"/>
              </w:rPr>
            </w:pPr>
          </w:p>
        </w:tc>
        <w:tc>
          <w:tcPr>
            <w:tcW w:w="540" w:type="dxa"/>
            <w:vAlign w:val="bottom"/>
          </w:tcPr>
          <w:p>
            <w:pPr>
              <w:jc w:val="right"/>
              <w:ind w:right="99"/>
              <w:spacing w:after="0"/>
              <w:rPr>
                <w:sz w:val="20"/>
                <w:szCs w:val="20"/>
                <w:color w:val="auto"/>
              </w:rPr>
            </w:pPr>
            <w:r>
              <w:rPr>
                <w:rFonts w:ascii="Calibri" w:cs="Calibri" w:eastAsia="Calibri" w:hAnsi="Calibri"/>
                <w:sz w:val="16"/>
                <w:szCs w:val="16"/>
                <w:color w:val="auto"/>
                <w:w w:val="93"/>
              </w:rPr>
              <w:t>2,069</w:t>
            </w:r>
          </w:p>
        </w:tc>
      </w:tr>
      <w:tr>
        <w:trPr>
          <w:trHeight w:val="351"/>
        </w:trPr>
        <w:tc>
          <w:tcPr>
            <w:tcW w:w="5300" w:type="dxa"/>
            <w:vAlign w:val="bottom"/>
          </w:tcPr>
          <w:p>
            <w:pPr>
              <w:ind w:left="340"/>
              <w:spacing w:after="0"/>
              <w:rPr>
                <w:sz w:val="20"/>
                <w:szCs w:val="20"/>
                <w:color w:val="auto"/>
              </w:rPr>
            </w:pPr>
            <w:r>
              <w:rPr>
                <w:rFonts w:ascii="Calibri" w:cs="Calibri" w:eastAsia="Calibri" w:hAnsi="Calibri"/>
                <w:sz w:val="16"/>
                <w:szCs w:val="16"/>
                <w:color w:val="auto"/>
              </w:rPr>
              <w:t>Nitn Sahney</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12,282</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12,282</w:t>
            </w:r>
          </w:p>
        </w:tc>
      </w:tr>
      <w:tr>
        <w:trPr>
          <w:trHeight w:val="351"/>
        </w:trPr>
        <w:tc>
          <w:tcPr>
            <w:tcW w:w="5300" w:type="dxa"/>
            <w:vAlign w:val="bottom"/>
          </w:tcPr>
          <w:p>
            <w:pPr>
              <w:ind w:left="340"/>
              <w:spacing w:after="0"/>
              <w:rPr>
                <w:sz w:val="20"/>
                <w:szCs w:val="20"/>
                <w:color w:val="auto"/>
              </w:rPr>
            </w:pPr>
            <w:r>
              <w:rPr>
                <w:rFonts w:ascii="Calibri" w:cs="Calibri" w:eastAsia="Calibri" w:hAnsi="Calibri"/>
                <w:sz w:val="16"/>
                <w:szCs w:val="16"/>
                <w:color w:val="auto"/>
              </w:rPr>
              <w:t>Jaynie M. Studenmund</w:t>
            </w:r>
          </w:p>
        </w:tc>
        <w:tc>
          <w:tcPr>
            <w:tcW w:w="1580" w:type="dxa"/>
            <w:vAlign w:val="bottom"/>
          </w:tcPr>
          <w:p>
            <w:pPr>
              <w:jc w:val="right"/>
              <w:ind w:right="221"/>
              <w:spacing w:after="0"/>
              <w:rPr>
                <w:sz w:val="20"/>
                <w:szCs w:val="20"/>
                <w:color w:val="auto"/>
              </w:rPr>
            </w:pPr>
            <w:r>
              <w:rPr>
                <w:rFonts w:ascii="Calibri" w:cs="Calibri" w:eastAsia="Calibri" w:hAnsi="Calibri"/>
                <w:sz w:val="16"/>
                <w:szCs w:val="16"/>
                <w:color w:val="auto"/>
              </w:rPr>
              <w:t>3,645</w:t>
            </w:r>
          </w:p>
        </w:tc>
        <w:tc>
          <w:tcPr>
            <w:tcW w:w="620" w:type="dxa"/>
            <w:vAlign w:val="bottom"/>
          </w:tcPr>
          <w:p>
            <w:pPr>
              <w:jc w:val="center"/>
              <w:ind w:left="83"/>
              <w:spacing w:after="0"/>
              <w:rPr>
                <w:sz w:val="20"/>
                <w:szCs w:val="20"/>
                <w:color w:val="auto"/>
              </w:rPr>
            </w:pPr>
            <w:r>
              <w:rPr>
                <w:rFonts w:ascii="Calibri" w:cs="Calibri" w:eastAsia="Calibri" w:hAnsi="Calibri"/>
                <w:sz w:val="16"/>
                <w:szCs w:val="16"/>
                <w:color w:val="auto"/>
                <w:w w:val="74"/>
              </w:rPr>
              <w:t>*</w:t>
            </w:r>
          </w:p>
        </w:tc>
        <w:tc>
          <w:tcPr>
            <w:tcW w:w="1780" w:type="dxa"/>
            <w:vAlign w:val="bottom"/>
          </w:tcPr>
          <w:p>
            <w:pPr>
              <w:jc w:val="right"/>
              <w:ind w:right="102"/>
              <w:spacing w:after="0"/>
              <w:rPr>
                <w:sz w:val="20"/>
                <w:szCs w:val="20"/>
                <w:color w:val="auto"/>
              </w:rPr>
            </w:pPr>
            <w:r>
              <w:rPr>
                <w:rFonts w:ascii="Calibri" w:cs="Calibri" w:eastAsia="Calibri" w:hAnsi="Calibri"/>
                <w:sz w:val="16"/>
                <w:szCs w:val="16"/>
                <w:color w:val="auto"/>
              </w:rPr>
              <w:t>6,819</w:t>
            </w:r>
          </w:p>
        </w:tc>
        <w:tc>
          <w:tcPr>
            <w:tcW w:w="900" w:type="dxa"/>
            <w:vAlign w:val="bottom"/>
            <w:gridSpan w:val="2"/>
          </w:tcPr>
          <w:p>
            <w:pPr>
              <w:jc w:val="right"/>
              <w:ind w:right="99"/>
              <w:spacing w:after="0"/>
              <w:rPr>
                <w:sz w:val="20"/>
                <w:szCs w:val="20"/>
                <w:color w:val="auto"/>
              </w:rPr>
            </w:pPr>
            <w:r>
              <w:rPr>
                <w:rFonts w:ascii="Calibri" w:cs="Calibri" w:eastAsia="Calibri" w:hAnsi="Calibri"/>
                <w:sz w:val="16"/>
                <w:szCs w:val="16"/>
                <w:color w:val="auto"/>
              </w:rPr>
              <w:t>10,464</w:t>
            </w:r>
          </w:p>
        </w:tc>
      </w:tr>
      <w:tr>
        <w:trPr>
          <w:trHeight w:val="105"/>
        </w:trPr>
        <w:tc>
          <w:tcPr>
            <w:tcW w:w="53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37"/>
        </w:trPr>
        <w:tc>
          <w:tcPr>
            <w:tcW w:w="5300" w:type="dxa"/>
            <w:vAlign w:val="bottom"/>
            <w:tcBorders>
              <w:bottom w:val="single" w:sz="8" w:color="FB4E0B"/>
            </w:tcBorders>
          </w:tcPr>
          <w:p>
            <w:pPr>
              <w:ind w:left="340"/>
              <w:spacing w:after="0"/>
              <w:rPr>
                <w:sz w:val="20"/>
                <w:szCs w:val="20"/>
                <w:color w:val="auto"/>
              </w:rPr>
            </w:pPr>
            <w:r>
              <w:rPr>
                <w:rFonts w:ascii="Calibri" w:cs="Calibri" w:eastAsia="Calibri" w:hAnsi="Calibri"/>
                <w:sz w:val="16"/>
                <w:szCs w:val="16"/>
                <w:b w:val="1"/>
                <w:bCs w:val="1"/>
                <w:color w:val="auto"/>
              </w:rPr>
              <w:t>All current directors and executve ofcers as a group (17 people)</w:t>
            </w:r>
            <w:r>
              <w:rPr>
                <w:rFonts w:ascii="Calibri" w:cs="Calibri" w:eastAsia="Calibri" w:hAnsi="Calibri"/>
                <w:sz w:val="23"/>
                <w:szCs w:val="23"/>
                <w:b w:val="1"/>
                <w:bCs w:val="1"/>
                <w:color w:val="auto"/>
                <w:vertAlign w:val="superscript"/>
              </w:rPr>
              <w:t>(8)</w:t>
            </w:r>
          </w:p>
        </w:tc>
        <w:tc>
          <w:tcPr>
            <w:tcW w:w="1580" w:type="dxa"/>
            <w:vAlign w:val="bottom"/>
            <w:tcBorders>
              <w:bottom w:val="single" w:sz="8" w:color="FB4E0B"/>
            </w:tcBorders>
          </w:tcPr>
          <w:p>
            <w:pPr>
              <w:jc w:val="right"/>
              <w:ind w:right="101"/>
              <w:spacing w:after="0"/>
              <w:rPr>
                <w:sz w:val="20"/>
                <w:szCs w:val="20"/>
                <w:color w:val="auto"/>
              </w:rPr>
            </w:pPr>
            <w:r>
              <w:rPr>
                <w:rFonts w:ascii="Calibri" w:cs="Calibri" w:eastAsia="Calibri" w:hAnsi="Calibri"/>
                <w:sz w:val="16"/>
                <w:szCs w:val="16"/>
                <w:b w:val="1"/>
                <w:bCs w:val="1"/>
                <w:color w:val="auto"/>
              </w:rPr>
              <w:t>1,249,693</w:t>
            </w:r>
            <w:r>
              <w:rPr>
                <w:rFonts w:ascii="Calibri" w:cs="Calibri" w:eastAsia="Calibri" w:hAnsi="Calibri"/>
                <w:sz w:val="23"/>
                <w:szCs w:val="23"/>
                <w:b w:val="1"/>
                <w:bCs w:val="1"/>
                <w:color w:val="auto"/>
                <w:vertAlign w:val="superscript"/>
              </w:rPr>
              <w:t>(9)</w:t>
            </w:r>
          </w:p>
        </w:tc>
        <w:tc>
          <w:tcPr>
            <w:tcW w:w="620" w:type="dxa"/>
            <w:vAlign w:val="bottom"/>
            <w:tcBorders>
              <w:bottom w:val="single" w:sz="8" w:color="FB4E0B"/>
            </w:tcBorders>
          </w:tcPr>
          <w:p>
            <w:pPr>
              <w:jc w:val="center"/>
              <w:ind w:left="83"/>
              <w:spacing w:after="0"/>
              <w:rPr>
                <w:sz w:val="20"/>
                <w:szCs w:val="20"/>
                <w:color w:val="auto"/>
              </w:rPr>
            </w:pPr>
            <w:r>
              <w:rPr>
                <w:rFonts w:ascii="Calibri" w:cs="Calibri" w:eastAsia="Calibri" w:hAnsi="Calibri"/>
                <w:sz w:val="16"/>
                <w:szCs w:val="16"/>
                <w:b w:val="1"/>
                <w:bCs w:val="1"/>
                <w:color w:val="auto"/>
                <w:w w:val="94"/>
              </w:rPr>
              <w:t>3.75%</w:t>
            </w:r>
          </w:p>
        </w:tc>
        <w:tc>
          <w:tcPr>
            <w:tcW w:w="1780" w:type="dxa"/>
            <w:vAlign w:val="bottom"/>
            <w:tcBorders>
              <w:bottom w:val="single" w:sz="8" w:color="FB4E0B"/>
            </w:tcBorders>
          </w:tcPr>
          <w:p>
            <w:pPr>
              <w:spacing w:after="0"/>
              <w:rPr>
                <w:sz w:val="24"/>
                <w:szCs w:val="24"/>
                <w:color w:val="auto"/>
              </w:rPr>
            </w:pPr>
          </w:p>
        </w:tc>
        <w:tc>
          <w:tcPr>
            <w:tcW w:w="360" w:type="dxa"/>
            <w:vAlign w:val="bottom"/>
            <w:tcBorders>
              <w:bottom w:val="single" w:sz="8" w:color="FB4E0B"/>
            </w:tcBorders>
          </w:tcPr>
          <w:p>
            <w:pPr>
              <w:spacing w:after="0"/>
              <w:rPr>
                <w:sz w:val="24"/>
                <w:szCs w:val="24"/>
                <w:color w:val="auto"/>
              </w:rPr>
            </w:pPr>
          </w:p>
        </w:tc>
        <w:tc>
          <w:tcPr>
            <w:tcW w:w="540" w:type="dxa"/>
            <w:vAlign w:val="bottom"/>
            <w:tcBorders>
              <w:bottom w:val="single" w:sz="8" w:color="FB4E0B"/>
            </w:tcBorders>
          </w:tcPr>
          <w:p>
            <w:pPr>
              <w:spacing w:after="0"/>
              <w:rPr>
                <w:sz w:val="24"/>
                <w:szCs w:val="24"/>
                <w:color w:val="auto"/>
              </w:rPr>
            </w:pPr>
          </w:p>
        </w:tc>
      </w:tr>
      <w:tr>
        <w:trPr>
          <w:trHeight w:val="823"/>
        </w:trPr>
        <w:tc>
          <w:tcPr>
            <w:tcW w:w="5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jc w:val="right"/>
              <w:ind w:right="302"/>
              <w:spacing w:after="0"/>
              <w:rPr>
                <w:sz w:val="20"/>
                <w:szCs w:val="20"/>
                <w:color w:val="auto"/>
              </w:rPr>
            </w:pPr>
            <w:r>
              <w:rPr>
                <w:rFonts w:ascii="Calibri" w:cs="Calibri" w:eastAsia="Calibri" w:hAnsi="Calibri"/>
                <w:sz w:val="13"/>
                <w:szCs w:val="13"/>
                <w:color w:val="auto"/>
                <w:w w:val="99"/>
              </w:rPr>
              <w:t>EXL 2023 Proxy Statement</w:t>
            </w:r>
          </w:p>
        </w:tc>
        <w:tc>
          <w:tcPr>
            <w:tcW w:w="360" w:type="dxa"/>
            <w:vAlign w:val="bottom"/>
          </w:tcPr>
          <w:p>
            <w:pPr>
              <w:ind w:left="240"/>
              <w:spacing w:after="0"/>
              <w:rPr>
                <w:sz w:val="20"/>
                <w:szCs w:val="20"/>
                <w:color w:val="auto"/>
              </w:rPr>
            </w:pPr>
            <w:r>
              <w:rPr>
                <w:rFonts w:ascii="Calibri" w:cs="Calibri" w:eastAsia="Calibri" w:hAnsi="Calibri"/>
                <w:sz w:val="28"/>
                <w:szCs w:val="28"/>
                <w:b w:val="1"/>
                <w:bCs w:val="1"/>
                <w:color w:val="FB4E0B"/>
                <w:w w:val="82"/>
              </w:rPr>
              <w:t>/</w:t>
            </w:r>
          </w:p>
        </w:tc>
        <w:tc>
          <w:tcPr>
            <w:tcW w:w="540" w:type="dxa"/>
            <w:vAlign w:val="bottom"/>
          </w:tcPr>
          <w:p>
            <w:pPr>
              <w:jc w:val="right"/>
              <w:spacing w:after="0"/>
              <w:rPr>
                <w:sz w:val="20"/>
                <w:szCs w:val="20"/>
                <w:color w:val="auto"/>
              </w:rPr>
            </w:pPr>
            <w:r>
              <w:rPr>
                <w:rFonts w:ascii="Calibri" w:cs="Calibri" w:eastAsia="Calibri" w:hAnsi="Calibri"/>
                <w:sz w:val="17"/>
                <w:szCs w:val="17"/>
                <w:b w:val="1"/>
                <w:bCs w:val="1"/>
                <w:color w:val="auto"/>
              </w:rPr>
              <w:t>111</w:t>
            </w:r>
          </w:p>
        </w:tc>
      </w:tr>
    </w:tbl>
    <w:p>
      <w:pPr>
        <w:sectPr>
          <w:pgSz w:w="11900" w:h="16838" w:orient="portrait"/>
          <w:cols w:equalWidth="0" w:num="1">
            <w:col w:w="10940"/>
          </w:cols>
          <w:pgMar w:left="320" w:top="471" w:right="6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Stock ownership of directors, executve ofcers and certain benefcial owners</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4160" w:type="dxa"/>
            <w:vAlign w:val="bottom"/>
          </w:tcPr>
          <w:p>
            <w:pPr>
              <w:jc w:val="right"/>
              <w:ind w:right="1919"/>
              <w:spacing w:after="0"/>
              <w:rPr>
                <w:sz w:val="20"/>
                <w:szCs w:val="20"/>
                <w:color w:val="auto"/>
              </w:rPr>
            </w:pPr>
            <w:r>
              <w:rPr>
                <w:rFonts w:ascii="Calibri" w:cs="Calibri" w:eastAsia="Calibri" w:hAnsi="Calibri"/>
                <w:sz w:val="17"/>
                <w:szCs w:val="17"/>
                <w:b w:val="1"/>
                <w:bCs w:val="1"/>
                <w:color w:val="auto"/>
              </w:rPr>
              <w:t>Benefcial ownership</w:t>
            </w:r>
          </w:p>
        </w:tc>
        <w:tc>
          <w:tcPr>
            <w:tcW w:w="920" w:type="dxa"/>
            <w:vAlign w:val="bottom"/>
          </w:tcPr>
          <w:p>
            <w:pPr>
              <w:spacing w:after="0"/>
              <w:rPr>
                <w:sz w:val="18"/>
                <w:szCs w:val="18"/>
                <w:color w:val="auto"/>
              </w:rPr>
            </w:pPr>
          </w:p>
        </w:tc>
      </w:tr>
      <w:tr>
        <w:trPr>
          <w:trHeight w:val="442"/>
        </w:trPr>
        <w:tc>
          <w:tcPr>
            <w:tcW w:w="3620" w:type="dxa"/>
            <w:vAlign w:val="bottom"/>
          </w:tcPr>
          <w:p>
            <w:pPr>
              <w:ind w:left="480"/>
              <w:spacing w:after="0"/>
              <w:rPr>
                <w:sz w:val="20"/>
                <w:szCs w:val="20"/>
                <w:color w:val="auto"/>
              </w:rPr>
            </w:pPr>
            <w:r>
              <w:rPr>
                <w:rFonts w:ascii="Calibri" w:cs="Calibri" w:eastAsia="Calibri" w:hAnsi="Calibri"/>
                <w:sz w:val="17"/>
                <w:szCs w:val="17"/>
                <w:b w:val="1"/>
                <w:bCs w:val="1"/>
                <w:color w:val="auto"/>
              </w:rPr>
              <w:t>Name and address</w:t>
            </w:r>
            <w:r>
              <w:rPr>
                <w:rFonts w:ascii="Calibri" w:cs="Calibri" w:eastAsia="Calibri" w:hAnsi="Calibri"/>
                <w:sz w:val="13"/>
                <w:szCs w:val="13"/>
                <w:b w:val="1"/>
                <w:bCs w:val="1"/>
                <w:color w:val="auto"/>
              </w:rPr>
              <w:t>(1)</w:t>
            </w:r>
          </w:p>
        </w:tc>
        <w:tc>
          <w:tcPr>
            <w:tcW w:w="4160" w:type="dxa"/>
            <w:vAlign w:val="bottom"/>
          </w:tcPr>
          <w:p>
            <w:pPr>
              <w:jc w:val="right"/>
              <w:ind w:right="439"/>
              <w:spacing w:after="0"/>
              <w:rPr>
                <w:sz w:val="20"/>
                <w:szCs w:val="20"/>
                <w:color w:val="auto"/>
              </w:rPr>
            </w:pPr>
            <w:r>
              <w:rPr>
                <w:rFonts w:ascii="Calibri" w:cs="Calibri" w:eastAsia="Calibri" w:hAnsi="Calibri"/>
                <w:sz w:val="17"/>
                <w:szCs w:val="17"/>
                <w:b w:val="1"/>
                <w:bCs w:val="1"/>
                <w:color w:val="auto"/>
              </w:rPr>
              <w:t>Shares</w:t>
            </w:r>
          </w:p>
        </w:tc>
        <w:tc>
          <w:tcPr>
            <w:tcW w:w="920" w:type="dxa"/>
            <w:vAlign w:val="bottom"/>
          </w:tcPr>
          <w:p>
            <w:pPr>
              <w:jc w:val="right"/>
              <w:ind w:right="105"/>
              <w:spacing w:after="0"/>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3"/>
                <w:szCs w:val="13"/>
                <w:b w:val="1"/>
                <w:bCs w:val="1"/>
                <w:color w:val="auto"/>
              </w:rPr>
              <w:t>(2)</w:t>
            </w:r>
          </w:p>
        </w:tc>
      </w:tr>
      <w:tr>
        <w:trPr>
          <w:trHeight w:val="133"/>
        </w:trPr>
        <w:tc>
          <w:tcPr>
            <w:tcW w:w="3620" w:type="dxa"/>
            <w:vAlign w:val="bottom"/>
            <w:tcBorders>
              <w:bottom w:val="single" w:sz="8" w:color="FB4E0B"/>
            </w:tcBorders>
          </w:tcPr>
          <w:p>
            <w:pPr>
              <w:spacing w:after="0"/>
              <w:rPr>
                <w:sz w:val="11"/>
                <w:szCs w:val="11"/>
                <w:color w:val="auto"/>
              </w:rPr>
            </w:pPr>
          </w:p>
        </w:tc>
        <w:tc>
          <w:tcPr>
            <w:tcW w:w="4160" w:type="dxa"/>
            <w:vAlign w:val="bottom"/>
            <w:tcBorders>
              <w:bottom w:val="single" w:sz="8" w:color="FB4E0B"/>
            </w:tcBorders>
          </w:tcPr>
          <w:p>
            <w:pPr>
              <w:spacing w:after="0"/>
              <w:rPr>
                <w:sz w:val="11"/>
                <w:szCs w:val="11"/>
                <w:color w:val="auto"/>
              </w:rPr>
            </w:pPr>
          </w:p>
        </w:tc>
        <w:tc>
          <w:tcPr>
            <w:tcW w:w="920" w:type="dxa"/>
            <w:vAlign w:val="bottom"/>
            <w:tcBorders>
              <w:bottom w:val="single" w:sz="8" w:color="FB4E0B"/>
            </w:tcBorders>
          </w:tcPr>
          <w:p>
            <w:pPr>
              <w:spacing w:after="0"/>
              <w:rPr>
                <w:sz w:val="11"/>
                <w:szCs w:val="11"/>
                <w:color w:val="auto"/>
              </w:rPr>
            </w:pPr>
          </w:p>
        </w:tc>
      </w:tr>
      <w:tr>
        <w:trPr>
          <w:trHeight w:val="259"/>
        </w:trPr>
        <w:tc>
          <w:tcPr>
            <w:tcW w:w="3620" w:type="dxa"/>
            <w:vAlign w:val="bottom"/>
          </w:tcPr>
          <w:p>
            <w:pPr>
              <w:ind w:left="480"/>
              <w:spacing w:after="0"/>
              <w:rPr>
                <w:sz w:val="20"/>
                <w:szCs w:val="20"/>
                <w:color w:val="auto"/>
              </w:rPr>
            </w:pPr>
            <w:r>
              <w:rPr>
                <w:rFonts w:ascii="Calibri" w:cs="Calibri" w:eastAsia="Calibri" w:hAnsi="Calibri"/>
                <w:sz w:val="16"/>
                <w:szCs w:val="16"/>
                <w:b w:val="1"/>
                <w:bCs w:val="1"/>
                <w:color w:val="FB4E0B"/>
              </w:rPr>
              <w:t>5% Benefcial owners</w:t>
            </w:r>
          </w:p>
        </w:tc>
        <w:tc>
          <w:tcPr>
            <w:tcW w:w="41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05"/>
        </w:trPr>
        <w:tc>
          <w:tcPr>
            <w:tcW w:w="36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348"/>
        </w:trPr>
        <w:tc>
          <w:tcPr>
            <w:tcW w:w="3620" w:type="dxa"/>
            <w:vAlign w:val="bottom"/>
          </w:tcPr>
          <w:p>
            <w:pPr>
              <w:ind w:left="480"/>
              <w:spacing w:after="0"/>
              <w:rPr>
                <w:sz w:val="20"/>
                <w:szCs w:val="20"/>
                <w:color w:val="auto"/>
              </w:rPr>
            </w:pPr>
            <w:r>
              <w:rPr>
                <w:rFonts w:ascii="Calibri" w:cs="Calibri" w:eastAsia="Calibri" w:hAnsi="Calibri"/>
                <w:sz w:val="16"/>
                <w:szCs w:val="16"/>
                <w:color w:val="auto"/>
              </w:rPr>
              <w:t>Blackrock Inc.</w:t>
            </w:r>
            <w:r>
              <w:rPr>
                <w:rFonts w:ascii="Calibri" w:cs="Calibri" w:eastAsia="Calibri" w:hAnsi="Calibri"/>
                <w:sz w:val="23"/>
                <w:szCs w:val="23"/>
                <w:color w:val="auto"/>
                <w:vertAlign w:val="superscript"/>
              </w:rPr>
              <w:t>(10)</w:t>
            </w:r>
          </w:p>
        </w:tc>
        <w:tc>
          <w:tcPr>
            <w:tcW w:w="4160" w:type="dxa"/>
            <w:vAlign w:val="bottom"/>
          </w:tcPr>
          <w:p>
            <w:pPr>
              <w:jc w:val="right"/>
              <w:ind w:right="319"/>
              <w:spacing w:after="0"/>
              <w:rPr>
                <w:sz w:val="20"/>
                <w:szCs w:val="20"/>
                <w:color w:val="auto"/>
              </w:rPr>
            </w:pPr>
            <w:r>
              <w:rPr>
                <w:rFonts w:ascii="Calibri" w:cs="Calibri" w:eastAsia="Calibri" w:hAnsi="Calibri"/>
                <w:sz w:val="16"/>
                <w:szCs w:val="16"/>
                <w:color w:val="auto"/>
              </w:rPr>
              <w:t>3,963,940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11.90%</w:t>
            </w:r>
          </w:p>
        </w:tc>
      </w:tr>
      <w:tr>
        <w:trPr>
          <w:trHeight w:val="351"/>
        </w:trPr>
        <w:tc>
          <w:tcPr>
            <w:tcW w:w="3620" w:type="dxa"/>
            <w:vAlign w:val="bottom"/>
          </w:tcPr>
          <w:p>
            <w:pPr>
              <w:ind w:left="480"/>
              <w:spacing w:after="0"/>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23"/>
                <w:szCs w:val="23"/>
                <w:color w:val="auto"/>
                <w:vertAlign w:val="superscript"/>
              </w:rPr>
              <w:t>(11)</w:t>
            </w:r>
          </w:p>
        </w:tc>
        <w:tc>
          <w:tcPr>
            <w:tcW w:w="4160" w:type="dxa"/>
            <w:vAlign w:val="bottom"/>
          </w:tcPr>
          <w:p>
            <w:pPr>
              <w:jc w:val="right"/>
              <w:ind w:right="319"/>
              <w:spacing w:after="0"/>
              <w:rPr>
                <w:sz w:val="20"/>
                <w:szCs w:val="20"/>
                <w:color w:val="auto"/>
              </w:rPr>
            </w:pPr>
            <w:r>
              <w:rPr>
                <w:rFonts w:ascii="Calibri" w:cs="Calibri" w:eastAsia="Calibri" w:hAnsi="Calibri"/>
                <w:sz w:val="16"/>
                <w:szCs w:val="16"/>
                <w:color w:val="auto"/>
              </w:rPr>
              <w:t>3,350,593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10.06%</w:t>
            </w:r>
          </w:p>
        </w:tc>
      </w:tr>
      <w:tr>
        <w:trPr>
          <w:trHeight w:val="351"/>
        </w:trPr>
        <w:tc>
          <w:tcPr>
            <w:tcW w:w="3620" w:type="dxa"/>
            <w:vAlign w:val="bottom"/>
          </w:tcPr>
          <w:p>
            <w:pPr>
              <w:ind w:left="480"/>
              <w:spacing w:after="0"/>
              <w:rPr>
                <w:sz w:val="20"/>
                <w:szCs w:val="20"/>
                <w:color w:val="auto"/>
              </w:rPr>
            </w:pPr>
            <w:r>
              <w:rPr>
                <w:rFonts w:ascii="Calibri" w:cs="Calibri" w:eastAsia="Calibri" w:hAnsi="Calibri"/>
                <w:sz w:val="16"/>
                <w:szCs w:val="16"/>
                <w:color w:val="auto"/>
              </w:rPr>
              <w:t>FMR LLC</w:t>
            </w:r>
            <w:r>
              <w:rPr>
                <w:rFonts w:ascii="Calibri" w:cs="Calibri" w:eastAsia="Calibri" w:hAnsi="Calibri"/>
                <w:sz w:val="23"/>
                <w:szCs w:val="23"/>
                <w:color w:val="auto"/>
                <w:vertAlign w:val="superscript"/>
              </w:rPr>
              <w:t>(12)</w:t>
            </w:r>
          </w:p>
        </w:tc>
        <w:tc>
          <w:tcPr>
            <w:tcW w:w="4160" w:type="dxa"/>
            <w:vAlign w:val="bottom"/>
          </w:tcPr>
          <w:p>
            <w:pPr>
              <w:jc w:val="right"/>
              <w:ind w:right="319"/>
              <w:spacing w:after="0"/>
              <w:rPr>
                <w:sz w:val="20"/>
                <w:szCs w:val="20"/>
                <w:color w:val="auto"/>
              </w:rPr>
            </w:pPr>
            <w:r>
              <w:rPr>
                <w:rFonts w:ascii="Calibri" w:cs="Calibri" w:eastAsia="Calibri" w:hAnsi="Calibri"/>
                <w:sz w:val="16"/>
                <w:szCs w:val="16"/>
                <w:color w:val="auto"/>
              </w:rPr>
              <w:t>2,510,025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7.53%</w:t>
            </w:r>
          </w:p>
        </w:tc>
      </w:tr>
      <w:tr>
        <w:trPr>
          <w:trHeight w:val="341"/>
        </w:trPr>
        <w:tc>
          <w:tcPr>
            <w:tcW w:w="3620" w:type="dxa"/>
            <w:vAlign w:val="bottom"/>
            <w:tcBorders>
              <w:bottom w:val="single" w:sz="8" w:color="FB4E0B"/>
            </w:tcBorders>
          </w:tcPr>
          <w:p>
            <w:pPr>
              <w:ind w:left="480"/>
              <w:spacing w:after="0"/>
              <w:rPr>
                <w:sz w:val="20"/>
                <w:szCs w:val="20"/>
                <w:color w:val="auto"/>
              </w:rPr>
            </w:pPr>
            <w:r>
              <w:rPr>
                <w:rFonts w:ascii="Calibri" w:cs="Calibri" w:eastAsia="Calibri" w:hAnsi="Calibri"/>
                <w:sz w:val="16"/>
                <w:szCs w:val="16"/>
                <w:color w:val="auto"/>
              </w:rPr>
              <w:t>Wellington Management Group LLP</w:t>
            </w:r>
            <w:r>
              <w:rPr>
                <w:rFonts w:ascii="Calibri" w:cs="Calibri" w:eastAsia="Calibri" w:hAnsi="Calibri"/>
                <w:sz w:val="23"/>
                <w:szCs w:val="23"/>
                <w:color w:val="auto"/>
                <w:vertAlign w:val="superscript"/>
              </w:rPr>
              <w:t>(13)</w:t>
            </w:r>
          </w:p>
        </w:tc>
        <w:tc>
          <w:tcPr>
            <w:tcW w:w="4160" w:type="dxa"/>
            <w:vAlign w:val="bottom"/>
            <w:tcBorders>
              <w:bottom w:val="single" w:sz="8" w:color="FB4E0B"/>
            </w:tcBorders>
          </w:tcPr>
          <w:p>
            <w:pPr>
              <w:jc w:val="right"/>
              <w:ind w:right="319"/>
              <w:spacing w:after="0"/>
              <w:rPr>
                <w:sz w:val="20"/>
                <w:szCs w:val="20"/>
                <w:color w:val="auto"/>
              </w:rPr>
            </w:pPr>
            <w:r>
              <w:rPr>
                <w:rFonts w:ascii="Calibri" w:cs="Calibri" w:eastAsia="Calibri" w:hAnsi="Calibri"/>
                <w:sz w:val="16"/>
                <w:szCs w:val="16"/>
                <w:color w:val="auto"/>
              </w:rPr>
              <w:t>1,759,889</w:t>
            </w:r>
          </w:p>
        </w:tc>
        <w:tc>
          <w:tcPr>
            <w:tcW w:w="920" w:type="dxa"/>
            <w:vAlign w:val="bottom"/>
            <w:tcBorders>
              <w:bottom w:val="single" w:sz="8" w:color="FB4E0B"/>
            </w:tcBorders>
          </w:tcPr>
          <w:p>
            <w:pPr>
              <w:jc w:val="right"/>
              <w:spacing w:after="0"/>
              <w:rPr>
                <w:sz w:val="20"/>
                <w:szCs w:val="20"/>
                <w:color w:val="auto"/>
              </w:rPr>
            </w:pPr>
            <w:r>
              <w:rPr>
                <w:rFonts w:ascii="Calibri" w:cs="Calibri" w:eastAsia="Calibri" w:hAnsi="Calibri"/>
                <w:sz w:val="16"/>
                <w:szCs w:val="16"/>
                <w:color w:val="auto"/>
              </w:rPr>
              <w:t>5.28%</w:t>
            </w:r>
          </w:p>
        </w:tc>
      </w:tr>
    </w:tbl>
    <w:p>
      <w:pPr>
        <w:spacing w:after="0" w:line="13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*Less than 1%.</w:t>
      </w:r>
    </w:p>
    <w:p>
      <w:pPr>
        <w:spacing w:after="0" w:line="154" w:lineRule="exact"/>
        <w:rPr>
          <w:sz w:val="20"/>
          <w:szCs w:val="20"/>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Unless otherwise noted, the business address of each benefcial owner is c/o ExlService Holdings, Inc., 320 Park Avenue, 29th Floor, New York, New York 10022.</w:t>
      </w:r>
    </w:p>
    <w:p>
      <w:pPr>
        <w:spacing w:after="0" w:line="140" w:lineRule="exact"/>
        <w:rPr>
          <w:rFonts w:ascii="Calibri" w:cs="Calibri" w:eastAsia="Calibri" w:hAnsi="Calibri"/>
          <w:sz w:val="13"/>
          <w:szCs w:val="13"/>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Based on 33,321,455 shares outstanding as of the Determinaton Date.</w:t>
      </w:r>
    </w:p>
    <w:p>
      <w:pPr>
        <w:spacing w:after="0" w:line="156" w:lineRule="exact"/>
        <w:rPr>
          <w:rFonts w:ascii="Calibri" w:cs="Calibri" w:eastAsia="Calibri" w:hAnsi="Calibri"/>
          <w:sz w:val="13"/>
          <w:szCs w:val="13"/>
          <w:color w:val="auto"/>
        </w:rPr>
      </w:pPr>
    </w:p>
    <w:p>
      <w:pPr>
        <w:ind w:left="320" w:right="60" w:hanging="4"/>
        <w:spacing w:after="0" w:line="254" w:lineRule="auto"/>
        <w:tabs>
          <w:tab w:leader="none" w:pos="494"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For non-management directors, this column includes restricted stock units (previously granted for service on the Board) that have vested but are unsetled. Because vested restricted stock units generally setle 180 days following the director’s term of service (see “Director compensaton for fscal year 2022” for additonal details on setlement), the units are not treated as benefcially owned under SEC rules because the holder does not have the right to acquire the underlying stock within 60 days of the Determinaton Date. However, restricted stock units that are vested but unsetled provide a meaningful alignment with the Company’s stockholders, and they count towards our stock ownership policy for non-employee directors, which requires directors to maintain stock ownership of at least fve tmes their respectve annual retainers.</w:t>
      </w:r>
    </w:p>
    <w:p>
      <w:pPr>
        <w:spacing w:after="0" w:line="145" w:lineRule="exact"/>
        <w:rPr>
          <w:rFonts w:ascii="Calibri" w:cs="Calibri" w:eastAsia="Calibri" w:hAnsi="Calibri"/>
          <w:sz w:val="13"/>
          <w:szCs w:val="13"/>
          <w:color w:val="auto"/>
        </w:rPr>
      </w:pPr>
    </w:p>
    <w:p>
      <w:pPr>
        <w:ind w:left="500" w:hanging="184"/>
        <w:spacing w:after="0"/>
        <w:tabs>
          <w:tab w:leader="none" w:pos="500" w:val="left"/>
        </w:tabs>
        <w:numPr>
          <w:ilvl w:val="0"/>
          <w:numId w:val="47"/>
        </w:numPr>
        <w:rPr>
          <w:rFonts w:ascii="Calibri" w:cs="Calibri" w:eastAsia="Calibri" w:hAnsi="Calibri"/>
          <w:sz w:val="13"/>
          <w:szCs w:val="13"/>
          <w:color w:val="auto"/>
        </w:rPr>
      </w:pPr>
      <w:r>
        <w:rPr>
          <w:rFonts w:ascii="Calibri" w:cs="Calibri" w:eastAsia="Calibri" w:hAnsi="Calibri"/>
          <w:sz w:val="13"/>
          <w:szCs w:val="13"/>
          <w:color w:val="auto"/>
        </w:rPr>
        <w:t>The amount includes: (a) 177,134 shares of our common stock owned indirectly by Mr. Kapoor through a family trust created in 2016 under a 2005 grantor-retained annuity trust, for which</w:t>
      </w:r>
    </w:p>
    <w:p>
      <w:pPr>
        <w:spacing w:after="0" w:line="14" w:lineRule="exact"/>
        <w:rPr>
          <w:sz w:val="20"/>
          <w:szCs w:val="20"/>
          <w:color w:val="auto"/>
        </w:rPr>
      </w:pPr>
    </w:p>
    <w:p>
      <w:pPr>
        <w:ind w:left="320"/>
        <w:spacing w:after="0" w:line="254" w:lineRule="auto"/>
        <w:rPr>
          <w:sz w:val="20"/>
          <w:szCs w:val="20"/>
          <w:color w:val="auto"/>
        </w:rPr>
      </w:pPr>
      <w:r>
        <w:rPr>
          <w:rFonts w:ascii="Calibri" w:cs="Calibri" w:eastAsia="Calibri" w:hAnsi="Calibri"/>
          <w:sz w:val="13"/>
          <w:szCs w:val="13"/>
          <w:color w:val="auto"/>
        </w:rPr>
        <w:t>Mr. Kapoor’s spouse and Mr. Kapoor’s brother are the co-trustees and share dispositve and votng control over the shares in the trust, (b) 40,219 shares of our common stock owned indirectly by Mr. Kapoor through a family trust created in 2016 under a 2013 grantor retained annuity trust, for which Mr. Kapoor’s spouse and Mr. Kapoor’s brother are the co-trustees and share dispositve and votng control over the shares in the trust, (c) 84,000 shares of our common stock owned indirectly by Mr. Kapoor through a spousal lifetme access trust, for which Mr. Kapoor’s spouse and Mr. Kapoor’s brother are the co-trustees and share dispositve and votng control over the shares in the trust, (d) 84,000 shares of our common stock owned indirectly by Mr. Kapoor through a spousal lifetme access trust for Mr. Kapoor’s spouse, for which Mr. Kapoor and Mr. Kapoor’s brother are the co-trustees and share dispositve and votng control over the shares in the trust, and (e) 133,185 shares of our common stock owned indirectly by Mr. Kapoor through a family trust created in 2016 for which Mr. Kapoor is the investment advisor to Commonwealth Trust Company, the trustee.</w:t>
      </w:r>
    </w:p>
    <w:p>
      <w:pPr>
        <w:spacing w:after="0" w:line="134" w:lineRule="exact"/>
        <w:rPr>
          <w:sz w:val="20"/>
          <w:szCs w:val="20"/>
          <w:color w:val="auto"/>
        </w:rPr>
      </w:pPr>
    </w:p>
    <w:p>
      <w:pPr>
        <w:ind w:left="500" w:hanging="184"/>
        <w:spacing w:after="0"/>
        <w:tabs>
          <w:tab w:leader="none" w:pos="50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Mr. Rai resigned from the Company efectve April 2023.</w:t>
      </w:r>
    </w:p>
    <w:p>
      <w:pPr>
        <w:spacing w:after="0" w:line="156" w:lineRule="exact"/>
        <w:rPr>
          <w:rFonts w:ascii="Calibri" w:cs="Calibri" w:eastAsia="Calibri" w:hAnsi="Calibri"/>
          <w:sz w:val="13"/>
          <w:szCs w:val="13"/>
          <w:color w:val="auto"/>
        </w:rPr>
      </w:pPr>
    </w:p>
    <w:p>
      <w:pPr>
        <w:ind w:left="320" w:right="180" w:hanging="4"/>
        <w:spacing w:after="0" w:line="251" w:lineRule="auto"/>
        <w:tabs>
          <w:tab w:leader="none" w:pos="494"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This amount consists of 3,093 shares of our common stock of which Ms. Minto has the right to acquire benefcial ownership within 60 days of the Determinaton Date pursuant to currently vested and exercisable stock optons.</w:t>
      </w:r>
    </w:p>
    <w:p>
      <w:pPr>
        <w:spacing w:after="0" w:line="146" w:lineRule="exact"/>
        <w:rPr>
          <w:rFonts w:ascii="Calibri" w:cs="Calibri" w:eastAsia="Calibri" w:hAnsi="Calibri"/>
          <w:sz w:val="13"/>
          <w:szCs w:val="13"/>
          <w:color w:val="auto"/>
        </w:rPr>
      </w:pPr>
    </w:p>
    <w:p>
      <w:pPr>
        <w:ind w:left="500" w:hanging="184"/>
        <w:spacing w:after="0"/>
        <w:tabs>
          <w:tab w:leader="none" w:pos="500" w:val="left"/>
        </w:tabs>
        <w:numPr>
          <w:ilvl w:val="0"/>
          <w:numId w:val="48"/>
        </w:numPr>
        <w:rPr>
          <w:rFonts w:ascii="Calibri" w:cs="Calibri" w:eastAsia="Calibri" w:hAnsi="Calibri"/>
          <w:sz w:val="13"/>
          <w:szCs w:val="13"/>
          <w:color w:val="auto"/>
        </w:rPr>
      </w:pPr>
      <w:r>
        <w:rPr>
          <w:rFonts w:ascii="Calibri" w:cs="Calibri" w:eastAsia="Calibri" w:hAnsi="Calibri"/>
          <w:sz w:val="13"/>
          <w:szCs w:val="13"/>
          <w:color w:val="auto"/>
        </w:rPr>
        <w:t>Mr. Pandit has shared dispositve and votng control over the reported securites, which are held by Orogen Echo LLC (“OE”). The Orogen Group LLC (“Orogen”) is the sole member of OE and</w:t>
      </w:r>
    </w:p>
    <w:p>
      <w:pPr>
        <w:spacing w:after="0" w:line="14" w:lineRule="exact"/>
        <w:rPr>
          <w:sz w:val="20"/>
          <w:szCs w:val="20"/>
          <w:color w:val="auto"/>
        </w:rPr>
      </w:pPr>
    </w:p>
    <w:p>
      <w:pPr>
        <w:ind w:left="320" w:right="160"/>
        <w:spacing w:after="0" w:line="251" w:lineRule="auto"/>
        <w:rPr>
          <w:sz w:val="20"/>
          <w:szCs w:val="20"/>
          <w:color w:val="auto"/>
        </w:rPr>
      </w:pPr>
      <w:r>
        <w:rPr>
          <w:rFonts w:ascii="Calibri" w:cs="Calibri" w:eastAsia="Calibri" w:hAnsi="Calibri"/>
          <w:sz w:val="13"/>
          <w:szCs w:val="13"/>
          <w:color w:val="auto"/>
        </w:rPr>
        <w:t>Mr. Pandit is the Chairman and Chief Executve Ofcer of Orogen. Orogen Holdings LLC and Atairos-Orogen Holdings, LLC are the sole members with joint investment control of Orogen. Mr. Pandit has majority votng control of Orogen Holdings LLC.</w:t>
      </w:r>
    </w:p>
    <w:p>
      <w:pPr>
        <w:spacing w:after="0" w:line="133" w:lineRule="exact"/>
        <w:rPr>
          <w:sz w:val="20"/>
          <w:szCs w:val="20"/>
          <w:color w:val="auto"/>
        </w:rPr>
      </w:pPr>
    </w:p>
    <w:p>
      <w:pPr>
        <w:ind w:left="500" w:hanging="184"/>
        <w:spacing w:after="0"/>
        <w:tabs>
          <w:tab w:leader="none" w:pos="50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Includes all eight current non-employee directors and our nine current executve ofcers as of the Determinaton Date.</w:t>
      </w:r>
    </w:p>
    <w:p>
      <w:pPr>
        <w:spacing w:after="0" w:line="156" w:lineRule="exact"/>
        <w:rPr>
          <w:rFonts w:ascii="Calibri" w:cs="Calibri" w:eastAsia="Calibri" w:hAnsi="Calibri"/>
          <w:sz w:val="13"/>
          <w:szCs w:val="13"/>
          <w:color w:val="auto"/>
        </w:rPr>
      </w:pPr>
    </w:p>
    <w:p>
      <w:pPr>
        <w:ind w:left="320" w:right="40" w:hanging="4"/>
        <w:spacing w:after="0" w:line="251" w:lineRule="auto"/>
        <w:tabs>
          <w:tab w:leader="none" w:pos="494"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This amount includes an aggregate of 3,093 shares of our common stock of which our current directors and current executve ofcers have the right to acquire benefcial ownership within 60 days of the Determinaton Date pursuant to currently vested and exercisable stock optons.</w:t>
      </w:r>
    </w:p>
    <w:p>
      <w:pPr>
        <w:spacing w:after="0" w:line="149" w:lineRule="exact"/>
        <w:rPr>
          <w:rFonts w:ascii="Calibri" w:cs="Calibri" w:eastAsia="Calibri" w:hAnsi="Calibri"/>
          <w:sz w:val="13"/>
          <w:szCs w:val="13"/>
          <w:color w:val="auto"/>
        </w:rPr>
      </w:pPr>
    </w:p>
    <w:p>
      <w:pPr>
        <w:ind w:left="320" w:right="220" w:hanging="4"/>
        <w:spacing w:after="0" w:line="251" w:lineRule="auto"/>
        <w:tabs>
          <w:tab w:leader="none" w:pos="56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January 26, 2023, BlackRock, Inc. had sole votng power with respect to 3,897,236 shares and sole dispositve power with respect to 3,963,940 shares. The business address of Blackrock, Inc. is 55 East 52nd Street, New York, New York 10022.</w:t>
      </w:r>
    </w:p>
    <w:p>
      <w:pPr>
        <w:spacing w:after="0" w:line="136" w:lineRule="exact"/>
        <w:rPr>
          <w:rFonts w:ascii="Calibri" w:cs="Calibri" w:eastAsia="Calibri" w:hAnsi="Calibri"/>
          <w:sz w:val="13"/>
          <w:szCs w:val="13"/>
          <w:color w:val="auto"/>
        </w:rPr>
      </w:pPr>
    </w:p>
    <w:p>
      <w:pPr>
        <w:ind w:left="320" w:right="140" w:hanging="4"/>
        <w:spacing w:after="0" w:line="251" w:lineRule="auto"/>
        <w:tabs>
          <w:tab w:leader="none" w:pos="56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February 9, 2023, The Vanguard Group, Inc. had shared votng power with respect to 55,300 shares, sole dispositve power with respect to 3,262,882 shares and shared dispositve power with respect to 87,711 shares. The business address of The Vanguard Group, Inc. is 100 Vanguard Boulevard, Malvern, PA 19355.</w:t>
      </w:r>
    </w:p>
    <w:p>
      <w:pPr>
        <w:spacing w:after="0" w:line="149" w:lineRule="exact"/>
        <w:rPr>
          <w:rFonts w:ascii="Calibri" w:cs="Calibri" w:eastAsia="Calibri" w:hAnsi="Calibri"/>
          <w:sz w:val="13"/>
          <w:szCs w:val="13"/>
          <w:color w:val="auto"/>
        </w:rPr>
      </w:pPr>
    </w:p>
    <w:p>
      <w:pPr>
        <w:ind w:left="320" w:right="80" w:hanging="4"/>
        <w:spacing w:after="0" w:line="251" w:lineRule="auto"/>
        <w:tabs>
          <w:tab w:leader="none" w:pos="56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February 9, 2023, FMR LLC had sole votng power with respect to 2,508,574 shares and sole dispositve power with respect to 2,510,025 shares. The business address of FMR LLC is 245 Summer Street, Boston, Massachusets 02210.</w:t>
      </w:r>
    </w:p>
    <w:p>
      <w:pPr>
        <w:spacing w:after="0" w:line="149" w:lineRule="exact"/>
        <w:rPr>
          <w:rFonts w:ascii="Calibri" w:cs="Calibri" w:eastAsia="Calibri" w:hAnsi="Calibri"/>
          <w:sz w:val="13"/>
          <w:szCs w:val="13"/>
          <w:color w:val="auto"/>
        </w:rPr>
      </w:pPr>
    </w:p>
    <w:p>
      <w:pPr>
        <w:ind w:left="320" w:right="140" w:hanging="4"/>
        <w:spacing w:after="0" w:line="251" w:lineRule="auto"/>
        <w:tabs>
          <w:tab w:leader="none" w:pos="560" w:val="left"/>
        </w:tabs>
        <w:numPr>
          <w:ilvl w:val="0"/>
          <w:numId w:val="49"/>
        </w:numPr>
        <w:rPr>
          <w:rFonts w:ascii="Calibri" w:cs="Calibri" w:eastAsia="Calibri" w:hAnsi="Calibri"/>
          <w:sz w:val="13"/>
          <w:szCs w:val="13"/>
          <w:color w:val="auto"/>
        </w:rPr>
      </w:pPr>
      <w:r>
        <w:rPr>
          <w:rFonts w:ascii="Calibri" w:cs="Calibri" w:eastAsia="Calibri" w:hAnsi="Calibri"/>
          <w:sz w:val="13"/>
          <w:szCs w:val="13"/>
          <w:color w:val="auto"/>
        </w:rPr>
        <w:t>Based on the Schedule 13G fled on February 6, 2023, Wellington Management Group LLP had shared votng power with respect to 1,546,097 shares and shared dispositve power with respect to 1,759,889 shares. The business address of Wellington Management Group LLP is c/o Wellington Management Company LLP, 280 Congress Street, Boston, Massachusets 02210.</w:t>
      </w:r>
    </w:p>
    <w:p>
      <w:pPr>
        <w:spacing w:after="0" w:line="116"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112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Certain relatonships and related person transactons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Certain relatonships and related person transactons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280670</wp:posOffset>
            </wp:positionV>
            <wp:extent cx="2693035" cy="1817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93035" cy="18173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7240" w:type="dxa"/>
        <w:tblCellMar>
          <w:top w:w="0" w:type="dxa"/>
          <w:left w:w="0" w:type="dxa"/>
          <w:bottom w:w="0" w:type="dxa"/>
          <w:right w:w="0" w:type="dxa"/>
        </w:tblCellMar>
      </w:tblPr>
      <w:tr>
        <w:trPr>
          <w:trHeight w:val="232"/>
        </w:trPr>
        <w:tc>
          <w:tcPr>
            <w:tcW w:w="20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9"/>
                <w:szCs w:val="19"/>
                <w:b w:val="1"/>
                <w:bCs w:val="1"/>
                <w:color w:val="FB4E0B"/>
              </w:rPr>
              <w:t>Factors used in assessing related party</w:t>
            </w:r>
          </w:p>
        </w:tc>
      </w:tr>
      <w:tr>
        <w:trPr>
          <w:trHeight w:val="234"/>
        </w:trPr>
        <w:tc>
          <w:tcPr>
            <w:tcW w:w="20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Calibri" w:cs="Calibri" w:eastAsia="Calibri" w:hAnsi="Calibri"/>
                <w:sz w:val="19"/>
                <w:szCs w:val="19"/>
                <w:b w:val="1"/>
                <w:bCs w:val="1"/>
                <w:color w:val="FB4E0B"/>
              </w:rPr>
              <w:t>transactons</w:t>
            </w:r>
          </w:p>
        </w:tc>
      </w:tr>
      <w:tr>
        <w:trPr>
          <w:trHeight w:val="317"/>
        </w:trPr>
        <w:tc>
          <w:tcPr>
            <w:tcW w:w="200" w:type="dxa"/>
            <w:vAlign w:val="bottom"/>
          </w:tcPr>
          <w:p>
            <w:pPr>
              <w:spacing w:after="0"/>
              <w:rPr>
                <w:sz w:val="24"/>
                <w:szCs w:val="24"/>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•     The nature of the related party transacton</w:t>
            </w:r>
          </w:p>
        </w:tc>
      </w:tr>
      <w:tr>
        <w:trPr>
          <w:trHeight w:val="273"/>
        </w:trPr>
        <w:tc>
          <w:tcPr>
            <w:tcW w:w="200" w:type="dxa"/>
            <w:vAlign w:val="bottom"/>
          </w:tcPr>
          <w:p>
            <w:pPr>
              <w:spacing w:after="0"/>
              <w:rPr>
                <w:sz w:val="23"/>
                <w:szCs w:val="23"/>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•     The related party’s interest in the transacton</w:t>
            </w:r>
          </w:p>
        </w:tc>
      </w:tr>
      <w:tr>
        <w:trPr>
          <w:trHeight w:val="273"/>
        </w:trPr>
        <w:tc>
          <w:tcPr>
            <w:tcW w:w="200" w:type="dxa"/>
            <w:vAlign w:val="bottom"/>
          </w:tcPr>
          <w:p>
            <w:pPr>
              <w:spacing w:after="0"/>
              <w:rPr>
                <w:sz w:val="20"/>
                <w:szCs w:val="20"/>
                <w:color w:val="auto"/>
              </w:rPr>
            </w:pPr>
            <w:r>
              <w:rPr>
                <w:rFonts w:ascii="Calibri" w:cs="Calibri" w:eastAsia="Calibri" w:hAnsi="Calibri"/>
                <w:sz w:val="16"/>
                <w:szCs w:val="16"/>
                <w:color w:val="auto"/>
                <w:w w:val="74"/>
              </w:rPr>
              <w:t>• </w:t>
            </w:r>
          </w:p>
        </w:tc>
        <w:tc>
          <w:tcPr>
            <w:tcW w:w="3360" w:type="dxa"/>
            <w:vAlign w:val="bottom"/>
          </w:tcPr>
          <w:p>
            <w:pPr>
              <w:jc w:val="right"/>
              <w:spacing w:after="0"/>
              <w:rPr>
                <w:sz w:val="20"/>
                <w:szCs w:val="20"/>
                <w:color w:val="auto"/>
              </w:rPr>
            </w:pPr>
            <w:r>
              <w:rPr>
                <w:rFonts w:ascii="Calibri" w:cs="Calibri" w:eastAsia="Calibri" w:hAnsi="Calibri"/>
                <w:sz w:val="16"/>
                <w:szCs w:val="16"/>
                <w:color w:val="auto"/>
                <w:w w:val="98"/>
              </w:rPr>
              <w:t>  The material terms of the transacton, including the</w:t>
            </w:r>
          </w:p>
        </w:tc>
      </w:tr>
      <w:tr>
        <w:trPr>
          <w:trHeight w:val="195"/>
        </w:trPr>
        <w:tc>
          <w:tcPr>
            <w:tcW w:w="200" w:type="dxa"/>
            <w:vAlign w:val="bottom"/>
          </w:tcPr>
          <w:p>
            <w:pPr>
              <w:spacing w:after="0"/>
              <w:rPr>
                <w:sz w:val="16"/>
                <w:szCs w:val="16"/>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amount involved and type of transacton</w:t>
            </w:r>
          </w:p>
        </w:tc>
      </w:tr>
      <w:tr>
        <w:trPr>
          <w:trHeight w:val="273"/>
        </w:trPr>
        <w:tc>
          <w:tcPr>
            <w:tcW w:w="200" w:type="dxa"/>
            <w:vAlign w:val="bottom"/>
          </w:tcPr>
          <w:p>
            <w:pPr>
              <w:ind w:left="60"/>
              <w:spacing w:after="0"/>
              <w:rPr>
                <w:sz w:val="20"/>
                <w:szCs w:val="20"/>
                <w:color w:val="auto"/>
              </w:rPr>
            </w:pPr>
            <w:r>
              <w:rPr>
                <w:rFonts w:ascii="Calibri" w:cs="Calibri" w:eastAsia="Calibri" w:hAnsi="Calibri"/>
                <w:sz w:val="11"/>
                <w:szCs w:val="11"/>
                <w:color w:val="auto"/>
                <w:w w:val="72"/>
              </w:rPr>
              <w:t>• </w:t>
            </w:r>
          </w:p>
        </w:tc>
        <w:tc>
          <w:tcPr>
            <w:tcW w:w="3360" w:type="dxa"/>
            <w:vAlign w:val="bottom"/>
          </w:tcPr>
          <w:p>
            <w:pPr>
              <w:jc w:val="right"/>
              <w:spacing w:after="0"/>
              <w:rPr>
                <w:sz w:val="20"/>
                <w:szCs w:val="20"/>
                <w:color w:val="auto"/>
              </w:rPr>
            </w:pPr>
            <w:r>
              <w:rPr>
                <w:rFonts w:ascii="Calibri" w:cs="Calibri" w:eastAsia="Calibri" w:hAnsi="Calibri"/>
                <w:sz w:val="16"/>
                <w:szCs w:val="16"/>
                <w:color w:val="auto"/>
              </w:rPr>
              <w:t>  The importance of the transacton to us and to the</w:t>
            </w:r>
          </w:p>
        </w:tc>
      </w:tr>
      <w:tr>
        <w:trPr>
          <w:trHeight w:val="195"/>
        </w:trPr>
        <w:tc>
          <w:tcPr>
            <w:tcW w:w="200" w:type="dxa"/>
            <w:vAlign w:val="bottom"/>
          </w:tcPr>
          <w:p>
            <w:pPr>
              <w:spacing w:after="0"/>
              <w:rPr>
                <w:sz w:val="16"/>
                <w:szCs w:val="16"/>
                <w:color w:val="auto"/>
              </w:rPr>
            </w:pPr>
          </w:p>
        </w:tc>
        <w:tc>
          <w:tcPr>
            <w:tcW w:w="3360" w:type="dxa"/>
            <w:vAlign w:val="bottom"/>
          </w:tcPr>
          <w:p>
            <w:pPr>
              <w:jc w:val="right"/>
              <w:spacing w:after="0"/>
              <w:rPr>
                <w:sz w:val="20"/>
                <w:szCs w:val="20"/>
                <w:color w:val="auto"/>
              </w:rPr>
            </w:pPr>
            <w:r>
              <w:rPr>
                <w:rFonts w:ascii="Calibri" w:cs="Calibri" w:eastAsia="Calibri" w:hAnsi="Calibri"/>
                <w:sz w:val="16"/>
                <w:szCs w:val="16"/>
                <w:color w:val="auto"/>
              </w:rPr>
              <w:t>related party</w:t>
            </w:r>
          </w:p>
        </w:tc>
      </w:tr>
    </w:tbl>
    <w:p>
      <w:pPr>
        <w:spacing w:after="0" w:line="78" w:lineRule="exact"/>
        <w:rPr>
          <w:sz w:val="20"/>
          <w:szCs w:val="20"/>
          <w:color w:val="auto"/>
        </w:rPr>
      </w:pPr>
    </w:p>
    <w:p>
      <w:pPr>
        <w:jc w:val="right"/>
        <w:ind w:right="140"/>
        <w:spacing w:after="0"/>
        <w:tabs>
          <w:tab w:leader="none" w:pos="368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Whether the transacton would impair the judgment of</w:t>
      </w:r>
    </w:p>
    <w:p>
      <w:pPr>
        <w:jc w:val="right"/>
        <w:ind w:right="140"/>
        <w:spacing w:after="0"/>
        <w:rPr>
          <w:sz w:val="20"/>
          <w:szCs w:val="20"/>
          <w:color w:val="auto"/>
        </w:rPr>
      </w:pPr>
      <w:r>
        <w:rPr>
          <w:rFonts w:ascii="Calibri" w:cs="Calibri" w:eastAsia="Calibri" w:hAnsi="Calibri"/>
          <w:sz w:val="16"/>
          <w:szCs w:val="16"/>
          <w:color w:val="auto"/>
        </w:rPr>
        <w:t>a director or executve ofcer to act in our best</w:t>
      </w:r>
    </w:p>
    <w:p>
      <w:pPr>
        <w:jc w:val="right"/>
        <w:ind w:right="140"/>
        <w:spacing w:after="0"/>
        <w:rPr>
          <w:sz w:val="20"/>
          <w:szCs w:val="20"/>
          <w:color w:val="auto"/>
        </w:rPr>
      </w:pPr>
      <w:r>
        <w:rPr>
          <w:rFonts w:ascii="Calibri" w:cs="Calibri" w:eastAsia="Calibri" w:hAnsi="Calibri"/>
          <w:sz w:val="16"/>
          <w:szCs w:val="16"/>
          <w:color w:val="auto"/>
        </w:rPr>
        <w:t>interest</w:t>
      </w:r>
    </w:p>
    <w:p>
      <w:pPr>
        <w:spacing w:after="0" w:line="13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Review and approval of related party transactons</w:t>
      </w:r>
    </w:p>
    <w:p>
      <w:pPr>
        <w:spacing w:after="0" w:line="15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review all relatonships and transactons in which we, our directors and executve ofcers or their immediate family members and our 5% stockholders</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are partcipants to determine whether such persons have a direct or indirect material interest in such transactons. Our Code of Conduct and Ethics</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instructs our directors, ofcers and employees to report the facts and circumstances of any such transacton or potental transacton to our General</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Counsel or our Audit Commitee. Our board of directors has adopted a policy regarding the review of potental related party transactons. Under this</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policy, our General Counsel will review the facts and circumstances of any covered transacton. If our General Counsel determines that the transacton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involves a related party transacton and the amount involved does not equal or exceed $120,000, our General Counsel will approve or disapprove the</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transacton. If our General Counsel determines that the transacton involves a related party transacton and the amount involved equals or exceeds</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$120,000, our General Counsel will refer the transacton to our Audit Commitee for consideraton. In the course of reviewing, approving or ratfying a</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disclosable related party transacton, our General Counsel and Audit Commitee considers all factors it considers appropriate, including but not limited to</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factors in the box to the right.</w:t>
      </w:r>
    </w:p>
    <w:p>
      <w:pPr>
        <w:spacing w:after="0" w:line="349"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Related party transactons</w:t>
      </w:r>
    </w:p>
    <w:p>
      <w:pPr>
        <w:spacing w:after="0" w:line="114" w:lineRule="exact"/>
        <w:rPr>
          <w:sz w:val="20"/>
          <w:szCs w:val="20"/>
          <w:color w:val="auto"/>
        </w:rPr>
      </w:pPr>
    </w:p>
    <w:p>
      <w:pPr>
        <w:ind w:left="320" w:right="340"/>
        <w:spacing w:after="0" w:line="268" w:lineRule="auto"/>
        <w:rPr>
          <w:sz w:val="20"/>
          <w:szCs w:val="20"/>
          <w:color w:val="auto"/>
        </w:rPr>
      </w:pPr>
      <w:r>
        <w:rPr>
          <w:rFonts w:ascii="Calibri" w:cs="Calibri" w:eastAsia="Calibri" w:hAnsi="Calibri"/>
          <w:sz w:val="16"/>
          <w:szCs w:val="16"/>
          <w:color w:val="auto"/>
        </w:rPr>
        <w:t>As required under SEC rules, transactons that are determined to be directly or indirectly material to us or a related person and which involve amounts exceeding $120,000 in the previous fscal year are disclosed in our Proxy Statement. There were no related person transactons in fscal year 2022.</w:t>
      </w:r>
    </w:p>
    <w:p>
      <w:pPr>
        <w:spacing w:after="0" w:line="274"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113</w:t>
      </w:r>
    </w:p>
    <w:p>
      <w:pPr>
        <w:sectPr>
          <w:pgSz w:w="11900" w:h="16838" w:orient="portrait"/>
          <w:cols w:equalWidth="0" w:num="1">
            <w:col w:w="10940"/>
          </w:cols>
          <w:pgMar w:left="320" w:top="471" w:right="6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Audit Commitee Report</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Audit Commitee Report</w:t>
      </w:r>
    </w:p>
    <w:p>
      <w:pPr>
        <w:spacing w:after="0" w:line="330"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The Audit Commitee of the board of directors of ExlService Holdings, Inc. assists our board of directors in fulflling its oversight responsibilites with respect to the following:</w:t>
      </w:r>
    </w:p>
    <w:p>
      <w:pPr>
        <w:spacing w:after="0" w:line="354" w:lineRule="exact"/>
        <w:rPr>
          <w:sz w:val="20"/>
          <w:szCs w:val="20"/>
          <w:color w:val="auto"/>
        </w:rPr>
      </w:pPr>
    </w:p>
    <w:p>
      <w:pPr>
        <w:ind w:left="1140" w:right="60" w:hanging="407"/>
        <w:spacing w:after="0" w:line="239" w:lineRule="auto"/>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accountng and fnancial reportng processes, including the integrity of the fnancial statements and other fnancial informaton provided by us to our stockholders, the public, stock exchanges and others;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compliance with legal and regulatory requirements;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our registered independent public accountng frm’s qualifcatons and independence;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the audit of our fnancial statements;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the performance of our internal audit functon and independent registered public accountng frm.</w:t>
      </w:r>
    </w:p>
    <w:p>
      <w:pPr>
        <w:spacing w:after="0" w:line="314" w:lineRule="exact"/>
        <w:rPr>
          <w:sz w:val="20"/>
          <w:szCs w:val="20"/>
          <w:color w:val="auto"/>
        </w:rPr>
      </w:pPr>
    </w:p>
    <w:p>
      <w:pPr>
        <w:jc w:val="both"/>
        <w:ind w:left="320" w:right="20"/>
        <w:spacing w:after="0"/>
        <w:rPr>
          <w:sz w:val="20"/>
          <w:szCs w:val="20"/>
          <w:color w:val="auto"/>
        </w:rPr>
      </w:pPr>
      <w:r>
        <w:rPr>
          <w:rFonts w:ascii="Calibri" w:cs="Calibri" w:eastAsia="Calibri" w:hAnsi="Calibri"/>
          <w:sz w:val="17"/>
          <w:szCs w:val="17"/>
          <w:color w:val="auto"/>
        </w:rPr>
        <w:t>In connecton with these responsibilites, the Audit Commitee met with management and Deloite &amp; Touche LLP to review and discuss the December 31, 2022 audited consolidated fnancial statements. The Audit Commitee also discussed with Deloite &amp; Touche LLP the maters required to be discussed by the applicable requirements of the Public Company Accountng Oversight Board and the SEC. The Audit Commitee also received writen disclosures and the leter from Deloite &amp; Touche LLP required by Rule 3526 of the Public Company Accountng Oversight Board (Communicatons with Audit Commitees Concerning Independence), and the Audit Commitee discussed with Deloite &amp; Touche LLP the frm’s independence.</w:t>
      </w:r>
    </w:p>
    <w:p>
      <w:pPr>
        <w:spacing w:after="0" w:line="3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Based on the review and discussions referred to above, the Audit Commitee approved the inclusion of the audited fnancial statements in the Company’s Annual Report on Form 10-K for the fscal year ended December 31, 2022.</w:t>
      </w:r>
    </w:p>
    <w:p>
      <w:pPr>
        <w:spacing w:after="0" w:line="39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Audit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Andreas Fibig</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Clyde W. Ostler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Nitn Sahney</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w:t>
      </w:r>
    </w:p>
    <w:p>
      <w:pPr>
        <w:spacing w:after="0" w:line="127"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114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20"/>
          </w:cols>
          <w:pgMar w:left="320" w:top="471" w:right="7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1 — Electon of directors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1 — Electon of directors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The nominees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Nominatng and Governance Commitee has nominated, and our board of directors has designated, Mses. Pipes and Studenmund and Messrs. Fibig, Kapoor, Mital, Pandit, and Sahney to stand for electon as directors at the Annual Meetng. Two of our current directors, Ms. Minto and Mr. Ostler, will not be standing for re-electon at the Annual Meetng. Mr. Fibig was identfed and recommended to the Nominatng and Governance Commitee by a third-party search frm.</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Term of ofce</w:t>
      </w:r>
    </w:p>
    <w:p>
      <w:pPr>
        <w:spacing w:after="0" w:line="114"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If elected, each of the director nominees will serve a term of one year on our board of directors, untl our 2024 Annual Meetng of Stockholders or untl their respectve successors are duly elected and qualifed in accordance with our By-laws.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Votng instructons and substtutes</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The proxies given to the proxy holders will be voted or not voted as directed and, if no directon is given, will be voted FOR these seven nominees. Our board of directors knows of no reason why any of these nominees should be unable or unwilling to serve. However, if for any reason any nominee should be unable or unwilling to stand for electon, the shares represented by proxies will be voted for the electon of any substtute nominee designated by our board of directors to fll the vacancy.</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General informaton about nominees</w:t>
      </w:r>
    </w:p>
    <w:p>
      <w:pPr>
        <w:spacing w:after="0" w:line="114"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The age as of the date of this Proxy Statement, tenure on our board of directors and commitee membership, if any, of each nominee appears below. Informaton regarding the business experience during at least the last fve years and directorships of other publicly owned corporatons of each nominee can be found above under “Our board of directors.” Other informaton required with respect to any solicitaton of proxies in connecton with the electon of directors is found elsewhere in this Proxy Statement.</w:t>
      </w:r>
    </w:p>
    <w:p>
      <w:pPr>
        <w:spacing w:after="0" w:line="296"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115</w:t>
      </w:r>
    </w:p>
    <w:p>
      <w:pPr>
        <w:sectPr>
          <w:pgSz w:w="11900" w:h="16838" w:orient="portrait"/>
          <w:cols w:equalWidth="0" w:num="1">
            <w:col w:w="10940"/>
          </w:cols>
          <w:pgMar w:left="320" w:top="471" w:right="6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1—Electon of directors</w:t>
      </w:r>
    </w:p>
    <w:p>
      <w:pPr>
        <w:spacing w:after="0" w:line="34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ind w:left="100"/>
              <w:spacing w:after="0"/>
              <w:rPr>
                <w:sz w:val="20"/>
                <w:szCs w:val="20"/>
                <w:color w:val="auto"/>
              </w:rPr>
            </w:pPr>
            <w:r>
              <w:rPr>
                <w:rFonts w:ascii="Calibri" w:cs="Calibri" w:eastAsia="Calibri" w:hAnsi="Calibri"/>
                <w:sz w:val="17"/>
                <w:szCs w:val="17"/>
                <w:b w:val="1"/>
                <w:bCs w:val="1"/>
                <w:color w:val="FB4E0B"/>
              </w:rPr>
              <w:t>Name</w:t>
            </w:r>
          </w:p>
        </w:tc>
        <w:tc>
          <w:tcPr>
            <w:tcW w:w="900" w:type="dxa"/>
            <w:vAlign w:val="bottom"/>
          </w:tcPr>
          <w:p>
            <w:pPr>
              <w:jc w:val="center"/>
              <w:spacing w:after="0"/>
              <w:rPr>
                <w:sz w:val="20"/>
                <w:szCs w:val="20"/>
                <w:color w:val="auto"/>
              </w:rPr>
            </w:pPr>
            <w:r>
              <w:rPr>
                <w:rFonts w:ascii="Calibri" w:cs="Calibri" w:eastAsia="Calibri" w:hAnsi="Calibri"/>
                <w:sz w:val="17"/>
                <w:szCs w:val="17"/>
                <w:b w:val="1"/>
                <w:bCs w:val="1"/>
                <w:color w:val="FB4E0B"/>
              </w:rPr>
              <w:t>Age</w:t>
            </w:r>
          </w:p>
        </w:tc>
        <w:tc>
          <w:tcPr>
            <w:tcW w:w="19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Director since</w:t>
            </w:r>
          </w:p>
        </w:tc>
        <w:tc>
          <w:tcPr>
            <w:tcW w:w="17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Independent</w:t>
            </w:r>
          </w:p>
        </w:tc>
        <w:tc>
          <w:tcPr>
            <w:tcW w:w="3220" w:type="dxa"/>
            <w:vAlign w:val="bottom"/>
          </w:tcPr>
          <w:p>
            <w:pPr>
              <w:ind w:left="140"/>
              <w:spacing w:after="0"/>
              <w:rPr>
                <w:sz w:val="20"/>
                <w:szCs w:val="20"/>
                <w:color w:val="auto"/>
              </w:rPr>
            </w:pPr>
            <w:r>
              <w:rPr>
                <w:rFonts w:ascii="Calibri" w:cs="Calibri" w:eastAsia="Calibri" w:hAnsi="Calibri"/>
                <w:sz w:val="17"/>
                <w:szCs w:val="17"/>
                <w:b w:val="1"/>
                <w:bCs w:val="1"/>
                <w:color w:val="FB4E0B"/>
              </w:rPr>
              <w:t>Commitee membership</w:t>
            </w:r>
          </w:p>
        </w:tc>
        <w:tc>
          <w:tcPr>
            <w:tcW w:w="0" w:type="dxa"/>
            <w:vAlign w:val="bottom"/>
          </w:tcPr>
          <w:p>
            <w:pPr>
              <w:spacing w:after="0"/>
              <w:rPr>
                <w:sz w:val="1"/>
                <w:szCs w:val="1"/>
                <w:color w:val="auto"/>
              </w:rPr>
            </w:pPr>
          </w:p>
        </w:tc>
      </w:tr>
      <w:tr>
        <w:trPr>
          <w:trHeight w:val="133"/>
        </w:trPr>
        <w:tc>
          <w:tcPr>
            <w:tcW w:w="2780" w:type="dxa"/>
            <w:vAlign w:val="bottom"/>
            <w:tcBorders>
              <w:bottom w:val="single" w:sz="8" w:color="FB4E0B"/>
            </w:tcBorders>
          </w:tcPr>
          <w:p>
            <w:pPr>
              <w:spacing w:after="0"/>
              <w:rPr>
                <w:sz w:val="11"/>
                <w:szCs w:val="11"/>
                <w:color w:val="auto"/>
              </w:rPr>
            </w:pPr>
          </w:p>
        </w:tc>
        <w:tc>
          <w:tcPr>
            <w:tcW w:w="900" w:type="dxa"/>
            <w:vAlign w:val="bottom"/>
            <w:tcBorders>
              <w:bottom w:val="single" w:sz="8" w:color="FB4E0B"/>
            </w:tcBorders>
          </w:tcPr>
          <w:p>
            <w:pPr>
              <w:spacing w:after="0"/>
              <w:rPr>
                <w:sz w:val="11"/>
                <w:szCs w:val="11"/>
                <w:color w:val="auto"/>
              </w:rPr>
            </w:pPr>
          </w:p>
        </w:tc>
        <w:tc>
          <w:tcPr>
            <w:tcW w:w="1960" w:type="dxa"/>
            <w:vAlign w:val="bottom"/>
            <w:tcBorders>
              <w:bottom w:val="single" w:sz="8" w:color="FB4E0B"/>
            </w:tcBorders>
          </w:tcPr>
          <w:p>
            <w:pPr>
              <w:spacing w:after="0"/>
              <w:rPr>
                <w:sz w:val="11"/>
                <w:szCs w:val="11"/>
                <w:color w:val="auto"/>
              </w:rPr>
            </w:pPr>
          </w:p>
        </w:tc>
        <w:tc>
          <w:tcPr>
            <w:tcW w:w="1760" w:type="dxa"/>
            <w:vAlign w:val="bottom"/>
            <w:tcBorders>
              <w:bottom w:val="single" w:sz="8" w:color="FB4E0B"/>
            </w:tcBorders>
          </w:tcPr>
          <w:p>
            <w:pPr>
              <w:spacing w:after="0"/>
              <w:rPr>
                <w:sz w:val="11"/>
                <w:szCs w:val="11"/>
                <w:color w:val="auto"/>
              </w:rPr>
            </w:pPr>
          </w:p>
        </w:tc>
        <w:tc>
          <w:tcPr>
            <w:tcW w:w="32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278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b w:val="1"/>
                <w:bCs w:val="1"/>
                <w:color w:val="auto"/>
              </w:rPr>
              <w:t>Vikram Pandit</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66</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October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tcPr>
          <w:p>
            <w:pPr>
              <w:ind w:left="140"/>
              <w:spacing w:after="0"/>
              <w:rPr>
                <w:sz w:val="20"/>
                <w:szCs w:val="20"/>
                <w:color w:val="auto"/>
              </w:rPr>
            </w:pPr>
            <w:r>
              <w:rPr>
                <w:rFonts w:ascii="Calibri" w:cs="Calibri" w:eastAsia="Calibri" w:hAnsi="Calibri"/>
                <w:sz w:val="17"/>
                <w:szCs w:val="17"/>
                <w:color w:val="auto"/>
              </w:rPr>
              <w:t>Compensaton and Talent Management;</w:t>
            </w:r>
          </w:p>
        </w:tc>
        <w:tc>
          <w:tcPr>
            <w:tcW w:w="0" w:type="dxa"/>
            <w:vAlign w:val="bottom"/>
          </w:tcPr>
          <w:p>
            <w:pPr>
              <w:spacing w:after="0"/>
              <w:rPr>
                <w:sz w:val="1"/>
                <w:szCs w:val="1"/>
                <w:color w:val="auto"/>
              </w:rPr>
            </w:pPr>
          </w:p>
        </w:tc>
      </w:tr>
      <w:tr>
        <w:trPr>
          <w:trHeight w:val="102"/>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i w:val="1"/>
                <w:iCs w:val="1"/>
                <w:color w:val="auto"/>
              </w:rPr>
              <w:t>Chairman</w:t>
            </w:r>
          </w:p>
        </w:tc>
        <w:tc>
          <w:tcPr>
            <w:tcW w:w="90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6" w:lineRule="exact"/>
              <w:rPr>
                <w:sz w:val="20"/>
                <w:szCs w:val="20"/>
                <w:color w:val="auto"/>
              </w:rPr>
            </w:pPr>
            <w:r>
              <w:rPr>
                <w:rFonts w:ascii="Calibri" w:cs="Calibri" w:eastAsia="Calibri" w:hAnsi="Calibri"/>
                <w:sz w:val="17"/>
                <w:szCs w:val="17"/>
                <w:color w:val="auto"/>
                <w:w w:val="98"/>
              </w:rPr>
              <w:t>2018</w:t>
            </w:r>
          </w:p>
        </w:tc>
        <w:tc>
          <w:tcPr>
            <w:tcW w:w="1760" w:type="dxa"/>
            <w:vAlign w:val="bottom"/>
            <w:tcBorders>
              <w:right w:val="single" w:sz="8" w:color="auto"/>
            </w:tcBorders>
            <w:vMerge w:val="continue"/>
          </w:tcPr>
          <w:p>
            <w:pPr>
              <w:spacing w:after="0"/>
              <w:rPr>
                <w:sz w:val="8"/>
                <w:szCs w:val="8"/>
                <w:color w:val="auto"/>
              </w:rPr>
            </w:pPr>
          </w:p>
        </w:tc>
        <w:tc>
          <w:tcPr>
            <w:tcW w:w="3220" w:type="dxa"/>
            <w:vAlign w:val="bottom"/>
            <w:vMerge w:val="restart"/>
          </w:tcPr>
          <w:p>
            <w:pPr>
              <w:ind w:left="140"/>
              <w:spacing w:after="0" w:line="206" w:lineRule="exact"/>
              <w:rPr>
                <w:sz w:val="20"/>
                <w:szCs w:val="20"/>
                <w:color w:val="auto"/>
              </w:rPr>
            </w:pPr>
            <w:r>
              <w:rPr>
                <w:rFonts w:ascii="Calibri" w:cs="Calibri" w:eastAsia="Calibri" w:hAnsi="Calibri"/>
                <w:sz w:val="17"/>
                <w:szCs w:val="17"/>
                <w:color w:val="auto"/>
              </w:rPr>
              <w:t>Nominatng and Governance</w:t>
            </w:r>
          </w:p>
        </w:tc>
        <w:tc>
          <w:tcPr>
            <w:tcW w:w="0" w:type="dxa"/>
            <w:vAlign w:val="bottom"/>
          </w:tcPr>
          <w:p>
            <w:pPr>
              <w:spacing w:after="0"/>
              <w:rPr>
                <w:sz w:val="1"/>
                <w:szCs w:val="1"/>
                <w:color w:val="auto"/>
              </w:rPr>
            </w:pPr>
          </w:p>
        </w:tc>
      </w:tr>
      <w:tr>
        <w:trPr>
          <w:trHeight w:val="143"/>
        </w:trPr>
        <w:tc>
          <w:tcPr>
            <w:tcW w:w="278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b w:val="1"/>
                <w:bCs w:val="1"/>
                <w:color w:val="auto"/>
              </w:rPr>
              <w:t>Rohit Kapoor</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58</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November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No</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None</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i w:val="1"/>
                <w:iCs w:val="1"/>
                <w:color w:val="auto"/>
              </w:rPr>
              <w:t>Vice Chairman and CEO</w:t>
            </w: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2002</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Andreas Fibig</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61</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January</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Audit; Nominatng and Governance</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2023</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Som Mital</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71</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December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tcPr>
          <w:p>
            <w:pPr>
              <w:ind w:left="140"/>
              <w:spacing w:after="0"/>
              <w:rPr>
                <w:sz w:val="20"/>
                <w:szCs w:val="20"/>
                <w:color w:val="auto"/>
              </w:rPr>
            </w:pPr>
            <w:r>
              <w:rPr>
                <w:rFonts w:ascii="Calibri" w:cs="Calibri" w:eastAsia="Calibri" w:hAnsi="Calibri"/>
                <w:sz w:val="17"/>
                <w:szCs w:val="17"/>
                <w:color w:val="auto"/>
              </w:rPr>
              <w:t>Compensaton and Talent Management;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2013</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Nominatng and Governance</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Kristy Pipes</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64</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January</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tcPr>
          <w:p>
            <w:pPr>
              <w:ind w:left="140"/>
              <w:spacing w:after="0"/>
              <w:rPr>
                <w:sz w:val="20"/>
                <w:szCs w:val="20"/>
                <w:color w:val="auto"/>
              </w:rPr>
            </w:pPr>
            <w:r>
              <w:rPr>
                <w:rFonts w:ascii="Calibri" w:cs="Calibri" w:eastAsia="Calibri" w:hAnsi="Calibri"/>
                <w:sz w:val="17"/>
                <w:szCs w:val="17"/>
                <w:color w:val="auto"/>
              </w:rPr>
              <w:t>Audit (Chair); Compensaton and Talent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2021</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Management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Nitn Sahney</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60</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January</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Nominatng and Governance (Chair); Audit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2016</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Jaynie Studenmund</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68</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September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tcPr>
          <w:p>
            <w:pPr>
              <w:ind w:left="140"/>
              <w:spacing w:after="0"/>
              <w:rPr>
                <w:sz w:val="20"/>
                <w:szCs w:val="20"/>
                <w:color w:val="auto"/>
              </w:rPr>
            </w:pPr>
            <w:r>
              <w:rPr>
                <w:rFonts w:ascii="Calibri" w:cs="Calibri" w:eastAsia="Calibri" w:hAnsi="Calibri"/>
                <w:sz w:val="17"/>
                <w:szCs w:val="17"/>
                <w:color w:val="auto"/>
              </w:rPr>
              <w:t>Compensaton and Talent Management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2018</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(Chair); Audit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780" w:type="dxa"/>
            <w:vAlign w:val="bottom"/>
            <w:tcBorders>
              <w:bottom w:val="single" w:sz="8" w:color="FB4E0B"/>
              <w:right w:val="single" w:sz="8" w:color="auto"/>
            </w:tcBorders>
          </w:tcPr>
          <w:p>
            <w:pPr>
              <w:spacing w:after="0"/>
              <w:rPr>
                <w:sz w:val="12"/>
                <w:szCs w:val="12"/>
                <w:color w:val="auto"/>
              </w:rPr>
            </w:pPr>
          </w:p>
        </w:tc>
        <w:tc>
          <w:tcPr>
            <w:tcW w:w="900" w:type="dxa"/>
            <w:vAlign w:val="bottom"/>
            <w:tcBorders>
              <w:bottom w:val="single" w:sz="8" w:color="FB4E0B"/>
              <w:right w:val="single" w:sz="8" w:color="auto"/>
            </w:tcBorders>
          </w:tcPr>
          <w:p>
            <w:pPr>
              <w:spacing w:after="0"/>
              <w:rPr>
                <w:sz w:val="12"/>
                <w:szCs w:val="12"/>
                <w:color w:val="auto"/>
              </w:rPr>
            </w:pPr>
          </w:p>
        </w:tc>
        <w:tc>
          <w:tcPr>
            <w:tcW w:w="1960" w:type="dxa"/>
            <w:vAlign w:val="bottom"/>
            <w:tcBorders>
              <w:bottom w:val="single" w:sz="8" w:color="FB4E0B"/>
              <w:right w:val="single" w:sz="8" w:color="auto"/>
            </w:tcBorders>
          </w:tcPr>
          <w:p>
            <w:pPr>
              <w:spacing w:after="0"/>
              <w:rPr>
                <w:sz w:val="12"/>
                <w:szCs w:val="12"/>
                <w:color w:val="auto"/>
              </w:rPr>
            </w:pPr>
          </w:p>
        </w:tc>
        <w:tc>
          <w:tcPr>
            <w:tcW w:w="1760" w:type="dxa"/>
            <w:vAlign w:val="bottom"/>
            <w:tcBorders>
              <w:bottom w:val="single" w:sz="8" w:color="FB4E0B"/>
              <w:right w:val="single" w:sz="8" w:color="auto"/>
            </w:tcBorders>
          </w:tcPr>
          <w:p>
            <w:pPr>
              <w:spacing w:after="0"/>
              <w:rPr>
                <w:sz w:val="12"/>
                <w:szCs w:val="12"/>
                <w:color w:val="auto"/>
              </w:rPr>
            </w:pPr>
          </w:p>
        </w:tc>
        <w:tc>
          <w:tcPr>
            <w:tcW w:w="322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21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afrmatve vote of a majority of votes cast (meaning the number of shares voted “for” a nominee must exceed the number of shares voted “against” such nominee) at the Annual Meetng will elect the seven nominees as directors for a term of one year. If any nominee for director receives a greater number of votes “against” his or her electon than votes “for” such electon, our By-laws provide that such person will tender to the board of directors his or her resignaton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163830</wp:posOffset>
            </wp:positionV>
            <wp:extent cx="4865370" cy="3797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65370" cy="379730"/>
                    </a:xfrm>
                    <a:prstGeom prst="rect">
                      <a:avLst/>
                    </a:prstGeom>
                    <a:noFill/>
                  </pic:spPr>
                </pic:pic>
              </a:graphicData>
            </a:graphic>
          </wp:anchor>
        </w:drawing>
      </w:r>
    </w:p>
    <w:p>
      <w:pPr>
        <w:spacing w:after="0" w:line="359"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196" w:lineRule="exact"/>
        <w:rPr>
          <w:sz w:val="20"/>
          <w:szCs w:val="20"/>
          <w:color w:val="auto"/>
        </w:rPr>
      </w:pPr>
    </w:p>
    <w:p>
      <w:pPr>
        <w:jc w:val="center"/>
        <w:ind w:left="1240"/>
        <w:spacing w:after="0"/>
        <w:rPr>
          <w:sz w:val="20"/>
          <w:szCs w:val="20"/>
          <w:color w:val="auto"/>
        </w:rPr>
      </w:pPr>
      <w:r>
        <w:rPr>
          <w:rFonts w:ascii="Calibri" w:cs="Calibri" w:eastAsia="Calibri" w:hAnsi="Calibri"/>
          <w:sz w:val="17"/>
          <w:szCs w:val="17"/>
          <w:b w:val="1"/>
          <w:bCs w:val="1"/>
          <w:color w:val="auto"/>
        </w:rPr>
        <w:t>the electon of Mses. Pipes and Studenmund and Messrs.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-90170</wp:posOffset>
            </wp:positionV>
            <wp:extent cx="4865370" cy="387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865370" cy="387985"/>
                    </a:xfrm>
                    <a:prstGeom prst="rect">
                      <a:avLst/>
                    </a:prstGeom>
                    <a:noFill/>
                  </pic:spPr>
                </pic:pic>
              </a:graphicData>
            </a:graphic>
          </wp:anchor>
        </w:drawing>
      </w:r>
    </w:p>
    <w:p>
      <w:pPr>
        <w:jc w:val="center"/>
        <w:ind w:left="400"/>
        <w:spacing w:after="0" w:line="184" w:lineRule="auto"/>
        <w:tabs>
          <w:tab w:leader="none" w:pos="320" w:val="left"/>
        </w:tabs>
        <w:rPr>
          <w:sz w:val="20"/>
          <w:szCs w:val="20"/>
          <w:color w:val="auto"/>
        </w:rPr>
      </w:pPr>
      <w:r>
        <w:rPr>
          <w:rFonts w:ascii="Calibri" w:cs="Calibri" w:eastAsia="Calibri" w:hAnsi="Calibri"/>
          <w:sz w:val="22"/>
          <w:szCs w:val="22"/>
          <w:b w:val="1"/>
          <w:bCs w:val="1"/>
          <w:color w:val="FFFFFF"/>
        </w:rPr>
        <w:t>FOR</w:t>
      </w:r>
      <w:r>
        <w:rPr>
          <w:sz w:val="20"/>
          <w:szCs w:val="20"/>
          <w:color w:val="auto"/>
        </w:rPr>
        <w:tab/>
      </w:r>
      <w:r>
        <w:rPr>
          <w:rFonts w:ascii="Calibri" w:cs="Calibri" w:eastAsia="Calibri" w:hAnsi="Calibri"/>
          <w:sz w:val="13"/>
          <w:szCs w:val="13"/>
          <w:b w:val="1"/>
          <w:bCs w:val="1"/>
          <w:color w:val="auto"/>
        </w:rPr>
        <w:t>Fibig, Pandit, Kapoor, Mital, and Sahney as directors of the Company</w:t>
      </w:r>
    </w:p>
    <w:p>
      <w:pPr>
        <w:spacing w:after="0" w:line="366"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116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40"/>
          </w:cols>
          <w:pgMar w:left="320" w:top="471" w:right="6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2 — Ratfcaton of the appointment of independent registered public accountng frm</w:t>
      </w:r>
    </w:p>
    <w:p>
      <w:pPr>
        <w:spacing w:after="0" w:line="333" w:lineRule="exact"/>
        <w:rPr>
          <w:sz w:val="20"/>
          <w:szCs w:val="20"/>
          <w:color w:val="auto"/>
        </w:rPr>
      </w:pPr>
    </w:p>
    <w:p>
      <w:pPr>
        <w:ind w:left="320" w:right="680"/>
        <w:spacing w:after="0" w:line="238" w:lineRule="auto"/>
        <w:rPr>
          <w:sz w:val="20"/>
          <w:szCs w:val="20"/>
          <w:color w:val="auto"/>
        </w:rPr>
      </w:pPr>
      <w:r>
        <w:rPr>
          <w:rFonts w:ascii="Calibri" w:cs="Calibri" w:eastAsia="Calibri" w:hAnsi="Calibri"/>
          <w:sz w:val="31"/>
          <w:szCs w:val="31"/>
          <w:color w:val="FB4E0B"/>
        </w:rPr>
        <w:t>Proposal 2 — Ratfcaton of the appointment of independent registered public accountng frm</w:t>
      </w:r>
    </w:p>
    <w:p>
      <w:pPr>
        <w:spacing w:after="0" w:line="33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Audit Commitee has appointed Deloite &amp; Touche LLP (“Deloite”) as the independent registered public accountng frm to audit the Company’s and its subsidiaries’ books, records and accounts for the fscal year 2023. Our board of directors has endorsed this appointment. Ratfcaton of the appointment of Deloite by our stockholders is not required by law. However, as a mater of good corporate practce, such appointment is being submited to our stockholders for ratfcaton at the Annual Meetng. If our stockholders do not ratfy the appointment, our board of directors and our Audit Commitee will reconsider whether or not to retain Deloite, but may nonetheless retain Deloite. Even if the appointment is ratfed, the Audit Commitee in its discreton may change such appointment at any tme during the year if it determines that such change would be in the best interests of the Company and our stockholders.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retaining Deloite as the Company’s independent registered public accountng frm, the Audit Commitee considered whether the provision of non-audit services by Deloite was compatble with maintaining Deloite’s independence and concluded that it was. Representatves of Deloite are expected to be present at the Annual Meetng. They will have an opportunity to make a statement, if they desire to do so, and will be available to respond to appropriate questons. Deloite has served as our independent registered public accountng frm since February 28, 2018.</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Audit and non-audit fees</w:t>
      </w:r>
    </w:p>
    <w:p>
      <w:pPr>
        <w:spacing w:after="0" w:line="114" w:lineRule="exact"/>
        <w:rPr>
          <w:sz w:val="20"/>
          <w:szCs w:val="20"/>
          <w:color w:val="auto"/>
        </w:rPr>
      </w:pPr>
    </w:p>
    <w:p>
      <w:pPr>
        <w:ind w:left="320" w:right="820"/>
        <w:spacing w:after="0" w:line="239" w:lineRule="auto"/>
        <w:rPr>
          <w:sz w:val="20"/>
          <w:szCs w:val="20"/>
          <w:color w:val="auto"/>
        </w:rPr>
      </w:pPr>
      <w:r>
        <w:rPr>
          <w:rFonts w:ascii="Calibri" w:cs="Calibri" w:eastAsia="Calibri" w:hAnsi="Calibri"/>
          <w:sz w:val="17"/>
          <w:szCs w:val="17"/>
          <w:color w:val="auto"/>
        </w:rPr>
        <w:t>The following is a summary of the fees billed or expected to be billed to us by the Company’s independent registered public accountng frm for professional services rendered in each of the last two fscal years:</w:t>
      </w:r>
    </w:p>
    <w:p>
      <w:pPr>
        <w:spacing w:after="0" w:line="200" w:lineRule="exact"/>
        <w:rPr>
          <w:sz w:val="20"/>
          <w:szCs w:val="20"/>
          <w:color w:val="auto"/>
        </w:rPr>
      </w:pPr>
    </w:p>
    <w:p>
      <w:pPr>
        <w:spacing w:after="0" w:line="283" w:lineRule="exact"/>
        <w:rPr>
          <w:sz w:val="20"/>
          <w:szCs w:val="20"/>
          <w:color w:val="auto"/>
        </w:rPr>
      </w:pPr>
    </w:p>
    <w:tbl>
      <w:tblPr>
        <w:tblLayout w:type="fixed"/>
        <w:tblInd w:w="222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1960" w:type="dxa"/>
            <w:vAlign w:val="bottom"/>
          </w:tcPr>
          <w:p>
            <w:pPr>
              <w:jc w:val="right"/>
              <w:ind w:right="153"/>
              <w:spacing w:after="0"/>
              <w:rPr>
                <w:sz w:val="20"/>
                <w:szCs w:val="20"/>
                <w:color w:val="auto"/>
              </w:rPr>
            </w:pPr>
            <w:r>
              <w:rPr>
                <w:rFonts w:ascii="Calibri" w:cs="Calibri" w:eastAsia="Calibri" w:hAnsi="Calibri"/>
                <w:sz w:val="17"/>
                <w:szCs w:val="17"/>
                <w:b w:val="1"/>
                <w:bCs w:val="1"/>
                <w:color w:val="FB4E0B"/>
              </w:rPr>
              <w:t>Fiscal</w:t>
            </w:r>
          </w:p>
        </w:tc>
        <w:tc>
          <w:tcPr>
            <w:tcW w:w="2820" w:type="dxa"/>
            <w:vAlign w:val="bottom"/>
            <w:gridSpan w:val="2"/>
          </w:tcPr>
          <w:p>
            <w:pPr>
              <w:ind w:left="1480"/>
              <w:spacing w:after="0"/>
              <w:rPr>
                <w:sz w:val="20"/>
                <w:szCs w:val="20"/>
                <w:color w:val="auto"/>
              </w:rPr>
            </w:pPr>
            <w:r>
              <w:rPr>
                <w:rFonts w:ascii="Calibri" w:cs="Calibri" w:eastAsia="Calibri" w:hAnsi="Calibri"/>
                <w:sz w:val="17"/>
                <w:szCs w:val="17"/>
                <w:b w:val="1"/>
                <w:bCs w:val="1"/>
                <w:color w:val="FB4E0B"/>
              </w:rPr>
              <w:t>Fiscal</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21"/>
        </w:trPr>
        <w:tc>
          <w:tcPr>
            <w:tcW w:w="2740" w:type="dxa"/>
            <w:vAlign w:val="bottom"/>
          </w:tcPr>
          <w:p>
            <w:pPr>
              <w:ind w:left="220"/>
              <w:spacing w:after="0"/>
              <w:rPr>
                <w:sz w:val="20"/>
                <w:szCs w:val="20"/>
                <w:color w:val="auto"/>
              </w:rPr>
            </w:pPr>
            <w:r>
              <w:rPr>
                <w:rFonts w:ascii="Calibri" w:cs="Calibri" w:eastAsia="Calibri" w:hAnsi="Calibri"/>
                <w:sz w:val="17"/>
                <w:szCs w:val="17"/>
                <w:b w:val="1"/>
                <w:bCs w:val="1"/>
                <w:color w:val="FB4E0B"/>
              </w:rPr>
              <w:t>Fee category</w:t>
            </w:r>
          </w:p>
        </w:tc>
        <w:tc>
          <w:tcPr>
            <w:tcW w:w="1960" w:type="dxa"/>
            <w:vAlign w:val="bottom"/>
          </w:tcPr>
          <w:p>
            <w:pPr>
              <w:jc w:val="right"/>
              <w:ind w:right="173"/>
              <w:spacing w:after="0"/>
              <w:rPr>
                <w:sz w:val="20"/>
                <w:szCs w:val="20"/>
                <w:color w:val="auto"/>
              </w:rPr>
            </w:pPr>
            <w:r>
              <w:rPr>
                <w:rFonts w:ascii="Calibri" w:cs="Calibri" w:eastAsia="Calibri" w:hAnsi="Calibri"/>
                <w:sz w:val="17"/>
                <w:szCs w:val="17"/>
                <w:b w:val="1"/>
                <w:bCs w:val="1"/>
                <w:color w:val="FB4E0B"/>
              </w:rPr>
              <w:t>2022</w:t>
            </w:r>
          </w:p>
        </w:tc>
        <w:tc>
          <w:tcPr>
            <w:tcW w:w="2100" w:type="dxa"/>
            <w:vAlign w:val="bottom"/>
          </w:tcPr>
          <w:p>
            <w:pPr>
              <w:jc w:val="right"/>
              <w:ind w:right="178"/>
              <w:spacing w:after="0"/>
              <w:rPr>
                <w:sz w:val="20"/>
                <w:szCs w:val="20"/>
                <w:color w:val="auto"/>
              </w:rPr>
            </w:pPr>
            <w:r>
              <w:rPr>
                <w:rFonts w:ascii="Calibri" w:cs="Calibri" w:eastAsia="Calibri" w:hAnsi="Calibri"/>
                <w:sz w:val="17"/>
                <w:szCs w:val="17"/>
                <w:b w:val="1"/>
                <w:bCs w:val="1"/>
                <w:color w:val="FB4E0B"/>
              </w:rPr>
              <w:t>2021</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04"/>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20" w:type="dxa"/>
            <w:vAlign w:val="bottom"/>
            <w:gridSpan w:val="2"/>
          </w:tcPr>
          <w:p>
            <w:pPr>
              <w:ind w:left="200"/>
              <w:spacing w:after="0"/>
              <w:rPr>
                <w:sz w:val="20"/>
                <w:szCs w:val="20"/>
                <w:color w:val="auto"/>
              </w:rPr>
            </w:pPr>
            <w:r>
              <w:rPr>
                <w:rFonts w:ascii="Calibri" w:cs="Calibri" w:eastAsia="Calibri" w:hAnsi="Calibri"/>
                <w:sz w:val="14"/>
                <w:szCs w:val="14"/>
                <w:b w:val="1"/>
                <w:bCs w:val="1"/>
                <w:color w:val="FB4E0B"/>
              </w:rPr>
              <w:t>(in thousands)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67"/>
        </w:trPr>
        <w:tc>
          <w:tcPr>
            <w:tcW w:w="2740" w:type="dxa"/>
            <w:vAlign w:val="bottom"/>
            <w:tcBorders>
              <w:bottom w:val="single" w:sz="8" w:color="FB4E0B"/>
            </w:tcBorders>
          </w:tcPr>
          <w:p>
            <w:pPr>
              <w:spacing w:after="0"/>
              <w:rPr>
                <w:sz w:val="14"/>
                <w:szCs w:val="14"/>
                <w:color w:val="auto"/>
              </w:rPr>
            </w:pPr>
          </w:p>
        </w:tc>
        <w:tc>
          <w:tcPr>
            <w:tcW w:w="1960" w:type="dxa"/>
            <w:vAlign w:val="bottom"/>
            <w:tcBorders>
              <w:bottom w:val="single" w:sz="8" w:color="FB4E0B"/>
            </w:tcBorders>
          </w:tcPr>
          <w:p>
            <w:pPr>
              <w:spacing w:after="0"/>
              <w:rPr>
                <w:sz w:val="14"/>
                <w:szCs w:val="14"/>
                <w:color w:val="auto"/>
              </w:rPr>
            </w:pPr>
          </w:p>
        </w:tc>
        <w:tc>
          <w:tcPr>
            <w:tcW w:w="2100" w:type="dxa"/>
            <w:vAlign w:val="bottom"/>
            <w:tcBorders>
              <w:bottom w:val="single" w:sz="8" w:color="FB4E0B"/>
            </w:tcBorders>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02"/>
        </w:trPr>
        <w:tc>
          <w:tcPr>
            <w:tcW w:w="2740" w:type="dxa"/>
            <w:vAlign w:val="bottom"/>
          </w:tcPr>
          <w:p>
            <w:pPr>
              <w:ind w:left="220"/>
              <w:spacing w:after="0"/>
              <w:rPr>
                <w:sz w:val="20"/>
                <w:szCs w:val="20"/>
                <w:color w:val="auto"/>
              </w:rPr>
            </w:pPr>
            <w:r>
              <w:rPr>
                <w:rFonts w:ascii="Calibri" w:cs="Calibri" w:eastAsia="Calibri" w:hAnsi="Calibri"/>
                <w:sz w:val="17"/>
                <w:szCs w:val="17"/>
                <w:color w:val="auto"/>
              </w:rPr>
              <w:t>Audit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$1,529</w:t>
            </w:r>
          </w:p>
        </w:tc>
        <w:tc>
          <w:tcPr>
            <w:tcW w:w="2100" w:type="dxa"/>
            <w:vAlign w:val="bottom"/>
          </w:tcPr>
          <w:p>
            <w:pPr>
              <w:jc w:val="right"/>
              <w:ind w:right="118"/>
              <w:spacing w:after="0"/>
              <w:rPr>
                <w:sz w:val="20"/>
                <w:szCs w:val="20"/>
                <w:color w:val="auto"/>
              </w:rPr>
            </w:pPr>
            <w:r>
              <w:rPr>
                <w:rFonts w:ascii="Calibri" w:cs="Calibri" w:eastAsia="Calibri" w:hAnsi="Calibri"/>
                <w:sz w:val="17"/>
                <w:szCs w:val="17"/>
                <w:color w:val="auto"/>
              </w:rPr>
              <w:t>$1,601</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Audit-related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w:t>
            </w:r>
          </w:p>
        </w:tc>
        <w:tc>
          <w:tcPr>
            <w:tcW w:w="2820" w:type="dxa"/>
            <w:vAlign w:val="bottom"/>
            <w:gridSpan w:val="2"/>
          </w:tcPr>
          <w:p>
            <w:pPr>
              <w:jc w:val="right"/>
              <w:ind w:right="920"/>
              <w:spacing w:after="0"/>
              <w:rPr>
                <w:sz w:val="20"/>
                <w:szCs w:val="20"/>
                <w:color w:val="auto"/>
              </w:rPr>
            </w:pPr>
            <w:r>
              <w:rPr>
                <w:rFonts w:ascii="Calibri" w:cs="Calibri" w:eastAsia="Calibri" w:hAnsi="Calibri"/>
                <w:sz w:val="17"/>
                <w:szCs w:val="17"/>
                <w:color w:val="auto"/>
              </w:rPr>
              <w:t>—</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Tax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45</w:t>
            </w:r>
          </w:p>
        </w:tc>
        <w:tc>
          <w:tcPr>
            <w:tcW w:w="2100" w:type="dxa"/>
            <w:vAlign w:val="bottom"/>
          </w:tcPr>
          <w:p>
            <w:pPr>
              <w:jc w:val="right"/>
              <w:ind w:right="118"/>
              <w:spacing w:after="0"/>
              <w:rPr>
                <w:sz w:val="20"/>
                <w:szCs w:val="20"/>
                <w:color w:val="auto"/>
              </w:rPr>
            </w:pPr>
            <w:r>
              <w:rPr>
                <w:rFonts w:ascii="Calibri" w:cs="Calibri" w:eastAsia="Calibri" w:hAnsi="Calibri"/>
                <w:sz w:val="17"/>
                <w:szCs w:val="17"/>
                <w:color w:val="auto"/>
              </w:rPr>
              <w:t>80</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All other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33</w:t>
            </w:r>
          </w:p>
        </w:tc>
        <w:tc>
          <w:tcPr>
            <w:tcW w:w="2100" w:type="dxa"/>
            <w:vAlign w:val="bottom"/>
          </w:tcPr>
          <w:p>
            <w:pPr>
              <w:jc w:val="right"/>
              <w:ind w:right="118"/>
              <w:spacing w:after="0"/>
              <w:rPr>
                <w:sz w:val="20"/>
                <w:szCs w:val="20"/>
                <w:color w:val="auto"/>
              </w:rPr>
            </w:pPr>
            <w:r>
              <w:rPr>
                <w:rFonts w:ascii="Calibri" w:cs="Calibri" w:eastAsia="Calibri" w:hAnsi="Calibri"/>
                <w:sz w:val="17"/>
                <w:szCs w:val="17"/>
                <w:color w:val="auto"/>
              </w:rPr>
              <w:t>34</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59"/>
        </w:trPr>
        <w:tc>
          <w:tcPr>
            <w:tcW w:w="2740" w:type="dxa"/>
            <w:vAlign w:val="bottom"/>
            <w:tcBorders>
              <w:bottom w:val="single" w:sz="8" w:color="FB4E0B"/>
            </w:tcBorders>
          </w:tcPr>
          <w:p>
            <w:pPr>
              <w:spacing w:after="0"/>
              <w:rPr>
                <w:sz w:val="13"/>
                <w:szCs w:val="13"/>
                <w:color w:val="auto"/>
              </w:rPr>
            </w:pPr>
          </w:p>
        </w:tc>
        <w:tc>
          <w:tcPr>
            <w:tcW w:w="1960" w:type="dxa"/>
            <w:vAlign w:val="bottom"/>
            <w:tcBorders>
              <w:bottom w:val="single" w:sz="8" w:color="FB4E0B"/>
            </w:tcBorders>
          </w:tcPr>
          <w:p>
            <w:pPr>
              <w:spacing w:after="0"/>
              <w:rPr>
                <w:sz w:val="13"/>
                <w:szCs w:val="13"/>
                <w:color w:val="auto"/>
              </w:rPr>
            </w:pPr>
          </w:p>
        </w:tc>
        <w:tc>
          <w:tcPr>
            <w:tcW w:w="2100" w:type="dxa"/>
            <w:vAlign w:val="bottom"/>
            <w:tcBorders>
              <w:bottom w:val="single" w:sz="8" w:color="FB4E0B"/>
            </w:tcBorders>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02"/>
        </w:trPr>
        <w:tc>
          <w:tcPr>
            <w:tcW w:w="2740" w:type="dxa"/>
            <w:vAlign w:val="bottom"/>
          </w:tcPr>
          <w:p>
            <w:pPr>
              <w:ind w:left="220"/>
              <w:spacing w:after="0"/>
              <w:rPr>
                <w:sz w:val="20"/>
                <w:szCs w:val="20"/>
                <w:color w:val="auto"/>
              </w:rPr>
            </w:pPr>
            <w:r>
              <w:rPr>
                <w:rFonts w:ascii="Calibri" w:cs="Calibri" w:eastAsia="Calibri" w:hAnsi="Calibri"/>
                <w:sz w:val="17"/>
                <w:szCs w:val="17"/>
                <w:b w:val="1"/>
                <w:bCs w:val="1"/>
                <w:color w:val="auto"/>
              </w:rPr>
              <w:t>Total fees</w:t>
            </w:r>
          </w:p>
        </w:tc>
        <w:tc>
          <w:tcPr>
            <w:tcW w:w="1960" w:type="dxa"/>
            <w:vAlign w:val="bottom"/>
          </w:tcPr>
          <w:p>
            <w:pPr>
              <w:jc w:val="right"/>
              <w:ind w:right="93"/>
              <w:spacing w:after="0"/>
              <w:rPr>
                <w:sz w:val="20"/>
                <w:szCs w:val="20"/>
                <w:color w:val="auto"/>
              </w:rPr>
            </w:pPr>
            <w:r>
              <w:rPr>
                <w:rFonts w:ascii="Calibri" w:cs="Calibri" w:eastAsia="Calibri" w:hAnsi="Calibri"/>
                <w:sz w:val="17"/>
                <w:szCs w:val="17"/>
                <w:b w:val="1"/>
                <w:bCs w:val="1"/>
                <w:color w:val="auto"/>
              </w:rPr>
              <w:t>$1,607</w:t>
            </w:r>
          </w:p>
        </w:tc>
        <w:tc>
          <w:tcPr>
            <w:tcW w:w="2100" w:type="dxa"/>
            <w:vAlign w:val="bottom"/>
          </w:tcPr>
          <w:p>
            <w:pPr>
              <w:jc w:val="right"/>
              <w:ind w:right="118"/>
              <w:spacing w:after="0"/>
              <w:rPr>
                <w:sz w:val="20"/>
                <w:szCs w:val="20"/>
                <w:color w:val="auto"/>
              </w:rPr>
            </w:pPr>
            <w:r>
              <w:rPr>
                <w:rFonts w:ascii="Calibri" w:cs="Calibri" w:eastAsia="Calibri" w:hAnsi="Calibri"/>
                <w:sz w:val="17"/>
                <w:szCs w:val="17"/>
                <w:b w:val="1"/>
                <w:bCs w:val="1"/>
                <w:color w:val="auto"/>
              </w:rPr>
              <w:t>$1,715</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741"/>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20" w:type="dxa"/>
            <w:vAlign w:val="bottom"/>
            <w:gridSpan w:val="2"/>
          </w:tcPr>
          <w:p>
            <w:pPr>
              <w:ind w:left="1140"/>
              <w:spacing w:after="0"/>
              <w:rPr>
                <w:sz w:val="20"/>
                <w:szCs w:val="20"/>
                <w:color w:val="auto"/>
              </w:rPr>
            </w:pPr>
            <w:r>
              <w:rPr>
                <w:rFonts w:ascii="Calibri" w:cs="Calibri" w:eastAsia="Calibri" w:hAnsi="Calibri"/>
                <w:sz w:val="13"/>
                <w:szCs w:val="13"/>
                <w:color w:val="auto"/>
              </w:rPr>
              <w:t>EXL 2023 Proxy Statement</w:t>
            </w:r>
          </w:p>
        </w:tc>
        <w:tc>
          <w:tcPr>
            <w:tcW w:w="580" w:type="dxa"/>
            <w:vAlign w:val="bottom"/>
          </w:tcPr>
          <w:p>
            <w:pPr>
              <w:jc w:val="right"/>
              <w:ind w:right="1"/>
              <w:spacing w:after="0"/>
              <w:rPr>
                <w:sz w:val="20"/>
                <w:szCs w:val="20"/>
                <w:color w:val="auto"/>
              </w:rPr>
            </w:pPr>
            <w:r>
              <w:rPr>
                <w:rFonts w:ascii="Calibri" w:cs="Calibri" w:eastAsia="Calibri" w:hAnsi="Calibri"/>
                <w:sz w:val="28"/>
                <w:szCs w:val="28"/>
                <w:b w:val="1"/>
                <w:bCs w:val="1"/>
                <w:color w:val="FB4E0B"/>
              </w:rPr>
              <w:t>/</w:t>
            </w:r>
          </w:p>
        </w:tc>
        <w:tc>
          <w:tcPr>
            <w:tcW w:w="380" w:type="dxa"/>
            <w:vAlign w:val="bottom"/>
          </w:tcPr>
          <w:p>
            <w:pPr>
              <w:jc w:val="right"/>
              <w:spacing w:after="0"/>
              <w:rPr>
                <w:sz w:val="20"/>
                <w:szCs w:val="20"/>
                <w:color w:val="auto"/>
              </w:rPr>
            </w:pPr>
            <w:r>
              <w:rPr>
                <w:rFonts w:ascii="Calibri" w:cs="Calibri" w:eastAsia="Calibri" w:hAnsi="Calibri"/>
                <w:sz w:val="17"/>
                <w:szCs w:val="17"/>
                <w:b w:val="1"/>
                <w:bCs w:val="1"/>
                <w:color w:val="auto"/>
              </w:rPr>
              <w:t>117</w:t>
            </w:r>
          </w:p>
        </w:tc>
      </w:tr>
    </w:tbl>
    <w:p>
      <w:pPr>
        <w:sectPr>
          <w:pgSz w:w="11900" w:h="16838" w:orient="portrait"/>
          <w:cols w:equalWidth="0" w:num="1">
            <w:col w:w="10940"/>
          </w:cols>
          <w:pgMar w:left="320" w:top="471" w:right="6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2 — Ratfcaton of the appointment of independent registered public accountng frm</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fees:</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Consist of fees billed or expected to be billed for professional services rendered for the audit of our consolidated fnancial statements, including (i) the audit of efectveness of internal control over fnancial reportng, (ii) review of our consolidated fnancial statements included in our quarterly reports, and</w:t>
      </w:r>
    </w:p>
    <w:p>
      <w:pPr>
        <w:spacing w:after="0" w:line="3" w:lineRule="exact"/>
        <w:rPr>
          <w:sz w:val="20"/>
          <w:szCs w:val="20"/>
          <w:color w:val="auto"/>
        </w:rPr>
      </w:pPr>
    </w:p>
    <w:p>
      <w:pPr>
        <w:ind w:left="320" w:right="280" w:hanging="4"/>
        <w:spacing w:after="0" w:line="239" w:lineRule="auto"/>
        <w:tabs>
          <w:tab w:leader="none" w:pos="577"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services that are normally provided by our independent registered public accountants including services in connecton with statutory or regulatory flings or engagements for those fscal years.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Audit-related fees: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Consist of fees billed for assurance and related services that are reasonably related to the performance of the audit or review of our consolidated fnancial statements and are not reported under “Audit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Tax fees: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Consist primarily of fees billed or expected to be billed for other tax fling and advisory projects.</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fees:</w:t>
      </w:r>
    </w:p>
    <w:p>
      <w:pPr>
        <w:spacing w:after="0" w:line="115"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Consist of fees billed or expected to be billed for other permissible work performed by our independent registered public accountng frm that does not meet the above category descriptons.</w:t>
      </w:r>
    </w:p>
    <w:p>
      <w:pPr>
        <w:spacing w:after="0" w:line="3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pre-approves and is responsible for the engagement of all auditng services provided by our independent registered public accountants and all non-auditng services to be provided by such accountants to the extent permited under Secton 10A of the Exchange Act, including all fees and other terms of engagement. Our Audit Commitee may delegate the authority to pre-approve audit and permited non-audit services between meetngs of our Audit Commitee to a designated member of our Audit Commitee, provided that the decisions made by such member are presented to our full Audit Commitee for ratfcaton at its next scheduled meetng.</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of the fees paid to Deloite in fscal year 2022 were pre-approved by the Audit Commitee.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ratfcaton of the appointment of Deloite as our independent registered public accountng frm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239395</wp:posOffset>
            </wp:positionV>
            <wp:extent cx="4733290" cy="3797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33290" cy="379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1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39" w:lineRule="exact"/>
        <w:rPr>
          <w:sz w:val="20"/>
          <w:szCs w:val="20"/>
          <w:color w:val="auto"/>
        </w:rPr>
      </w:pPr>
    </w:p>
    <w:p>
      <w:pPr>
        <w:ind w:left="2360" w:right="1780" w:firstLine="904"/>
        <w:spacing w:after="0" w:line="184" w:lineRule="auto"/>
        <w:rPr>
          <w:sz w:val="20"/>
          <w:szCs w:val="20"/>
          <w:color w:val="auto"/>
        </w:rPr>
      </w:pPr>
      <w:r>
        <w:rPr>
          <w:rFonts w:ascii="Calibri" w:cs="Calibri" w:eastAsia="Calibri" w:hAnsi="Calibri"/>
          <w:sz w:val="17"/>
          <w:szCs w:val="17"/>
          <w:b w:val="1"/>
          <w:bCs w:val="1"/>
          <w:color w:val="auto"/>
        </w:rPr>
        <w:t xml:space="preserve">the ratfcaton of the appointment of Deloite as our independent registered public </w:t>
      </w:r>
      <w:r>
        <w:rPr>
          <w:rFonts w:ascii="Calibri" w:cs="Calibri" w:eastAsia="Calibri" w:hAnsi="Calibri"/>
          <w:sz w:val="31"/>
          <w:szCs w:val="31"/>
          <w:b w:val="1"/>
          <w:bCs w:val="1"/>
          <w:color w:val="FFFFFF"/>
        </w:rPr>
        <w:t xml:space="preserve">FOR </w:t>
      </w:r>
      <w:r>
        <w:rPr>
          <w:rFonts w:ascii="Calibri" w:cs="Calibri" w:eastAsia="Calibri" w:hAnsi="Calibri"/>
          <w:sz w:val="17"/>
          <w:szCs w:val="17"/>
          <w:b w:val="1"/>
          <w:bCs w:val="1"/>
          <w:color w:val="000000"/>
        </w:rPr>
        <w:t>accountng frm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-271145</wp:posOffset>
            </wp:positionV>
            <wp:extent cx="4733290" cy="387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733290" cy="387985"/>
                    </a:xfrm>
                    <a:prstGeom prst="rect">
                      <a:avLst/>
                    </a:prstGeom>
                    <a:noFill/>
                  </pic:spPr>
                </pic:pic>
              </a:graphicData>
            </a:graphic>
          </wp:anchor>
        </w:drawing>
      </w:r>
    </w:p>
    <w:p>
      <w:pPr>
        <w:spacing w:after="0" w:line="267"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118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80"/>
          </w:cols>
          <w:pgMar w:left="320" w:top="471" w:right="6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3 — Advisory (non-binding) vote on executve compensaton</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3 — Advisory (non-binding) vote to approve executve compensaton</w:t>
      </w:r>
    </w:p>
    <w:p>
      <w:pPr>
        <w:spacing w:after="0" w:line="33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Proposal 3 is a vote, on a non-binding advisory basis, to approve the compensaton of our executve ofcers as described in this Proxy Statement. Although the vote is advisory and is not binding on the board of directors, our Compensaton and Talent Management Commitee will take into account the outcome of the vote when considering future executve compensaton decisions. We refer to this vote as the “say-on-pay” vote.</w:t>
      </w:r>
    </w:p>
    <w:p>
      <w:pPr>
        <w:spacing w:after="0" w:line="317"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At the 2017 Annual Meetng of Stockholders, our stockholders voted on a proposal relatng to the frequency of the “say-on-pay” vote. We recommended, and our stockholders approved on a non-binding advisory basis, an annual say-on-pay vote. Accordingly, we include the say-on-pay vote each year as a regular part of each Annual Meetng of Stockholders, and the next such say-on-pay vote will occur at next year’s Annual Meetng of Stockholders. A vote on the frequency of the “say-on-pay” vote is being held at the Annual Meetng.</w:t>
      </w:r>
    </w:p>
    <w:p>
      <w:pPr>
        <w:spacing w:after="0" w:line="354" w:lineRule="exact"/>
        <w:rPr>
          <w:sz w:val="20"/>
          <w:szCs w:val="20"/>
          <w:color w:val="auto"/>
        </w:rPr>
      </w:pPr>
    </w:p>
    <w:p>
      <w:pPr>
        <w:ind w:left="1140" w:right="60" w:hanging="407"/>
        <w:spacing w:after="0" w:line="239" w:lineRule="auto"/>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is commited to corporate governance best practces and recognizes the signifcant interest of stockholders in executve compensaton maters.</w:t>
      </w:r>
    </w:p>
    <w:p>
      <w:pPr>
        <w:spacing w:after="0" w:line="120" w:lineRule="exact"/>
        <w:rPr>
          <w:rFonts w:ascii="Calibri" w:cs="Calibri" w:eastAsia="Calibri" w:hAnsi="Calibri"/>
          <w:sz w:val="17"/>
          <w:szCs w:val="17"/>
          <w:color w:val="auto"/>
        </w:rPr>
      </w:pPr>
    </w:p>
    <w:p>
      <w:pPr>
        <w:ind w:left="1140" w:right="60" w:hanging="407"/>
        <w:spacing w:after="0"/>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believes that our current executve compensaton program directly links executve compensaton to our performance and aligns the interests of our executve ofcers with those of our stockholders. For example, the bulk of our annual incentve awards are earned based on achievement of two core fnancial metrics: revenues and AOPM. As we discuss in greater detail in our Compensaton Discussion and Analysis, these fnancial metrics focus our named executve ofcers on top-line revenues and botom-line earnings that are likely to make meaningful contributons to our future fnancial performance. We believe rewarding our executves with incentve pay based on achievement of these three fnancial metrics closely aligns management with the interests of our stockholders.</w:t>
      </w:r>
    </w:p>
    <w:p>
      <w:pPr>
        <w:spacing w:after="0" w:line="108"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In additon, our philosophy places more emphasis on variable elements of compensaton (such as annual incentves and equity-based compensaton) than fxed remuneraton.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stockholders have the opportunity to vote for, against or abstain from votng on the following resoluton:</w:t>
      </w:r>
    </w:p>
    <w:p>
      <w:pPr>
        <w:spacing w:after="0" w:line="314" w:lineRule="exact"/>
        <w:rPr>
          <w:sz w:val="20"/>
          <w:szCs w:val="20"/>
          <w:color w:val="auto"/>
        </w:rPr>
      </w:pPr>
    </w:p>
    <w:p>
      <w:pPr>
        <w:ind w:left="740" w:right="40"/>
        <w:spacing w:after="0" w:line="239" w:lineRule="auto"/>
        <w:rPr>
          <w:sz w:val="20"/>
          <w:szCs w:val="20"/>
          <w:color w:val="auto"/>
        </w:rPr>
      </w:pPr>
      <w:r>
        <w:rPr>
          <w:rFonts w:ascii="Calibri" w:cs="Calibri" w:eastAsia="Calibri" w:hAnsi="Calibri"/>
          <w:sz w:val="17"/>
          <w:szCs w:val="17"/>
          <w:b w:val="1"/>
          <w:bCs w:val="1"/>
          <w:color w:val="auto"/>
        </w:rPr>
        <w:t>“Resolved, that the stockholders approve on an advisory basis the compensaton of our named executve ofcers, as disclosed pursuant to the compensaton disclosure rules of the SEC (which disclosure shall include the Compensaton Discussion and Analysis, the compensaton tables and any related material disclosed in this Proxy Statement).”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above-referenced disclosures related to the compensaton of our named executve ofcers appear beginning at page 60 of this Proxy Statement.</w:t>
      </w:r>
    </w:p>
    <w:p>
      <w:pPr>
        <w:spacing w:after="0" w:line="296"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119</w:t>
      </w:r>
    </w:p>
    <w:p>
      <w:pPr>
        <w:sectPr>
          <w:pgSz w:w="11900" w:h="16838" w:orient="portrait"/>
          <w:cols w:equalWidth="0" w:num="1">
            <w:col w:w="10940"/>
          </w:cols>
          <w:pgMar w:left="320" w:top="471" w:right="6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3 — Advisory (non-binding) vote on executve compensaton</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The approval, on an advisory (non-binding) basis, of the compensaton of our named executve ofcers requires the afrmatve vote of a majority of shares present in person or represented by proxy and enttled to vote at the Annual Meetng. Unless marked to the contrary, proxies received will be voted “FOR” the approval of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165100</wp:posOffset>
            </wp:positionV>
            <wp:extent cx="4865370" cy="3797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865370" cy="379730"/>
                    </a:xfrm>
                    <a:prstGeom prst="rect">
                      <a:avLst/>
                    </a:prstGeom>
                    <a:noFill/>
                  </pic:spPr>
                </pic:pic>
              </a:graphicData>
            </a:graphic>
          </wp:anchor>
        </w:drawing>
      </w:r>
    </w:p>
    <w:p>
      <w:pPr>
        <w:spacing w:after="0" w:line="360"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39" w:lineRule="exact"/>
        <w:rPr>
          <w:sz w:val="20"/>
          <w:szCs w:val="20"/>
          <w:color w:val="auto"/>
        </w:rPr>
      </w:pPr>
    </w:p>
    <w:p>
      <w:pPr>
        <w:ind w:left="3100" w:right="1680"/>
        <w:spacing w:after="0" w:line="239" w:lineRule="auto"/>
        <w:rPr>
          <w:sz w:val="20"/>
          <w:szCs w:val="20"/>
          <w:color w:val="auto"/>
        </w:rPr>
      </w:pPr>
      <w:r>
        <w:rPr>
          <w:rFonts w:ascii="Calibri" w:cs="Calibri" w:eastAsia="Calibri" w:hAnsi="Calibri"/>
          <w:sz w:val="17"/>
          <w:szCs w:val="17"/>
          <w:b w:val="1"/>
          <w:bCs w:val="1"/>
          <w:color w:val="auto"/>
        </w:rPr>
        <w:t>the approval, on an advisory (non-binding) basis, of the compensaton of our named executve ofcers as disclosed pursuant to the compensaton disclosure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-248285</wp:posOffset>
            </wp:positionV>
            <wp:extent cx="4865370" cy="6527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65370" cy="652780"/>
                    </a:xfrm>
                    <a:prstGeom prst="rect">
                      <a:avLst/>
                    </a:prstGeom>
                    <a:noFill/>
                  </pic:spPr>
                </pic:pic>
              </a:graphicData>
            </a:graphic>
          </wp:anchor>
        </w:drawing>
      </w:r>
    </w:p>
    <w:p>
      <w:pPr>
        <w:ind w:left="3100" w:right="1680" w:hanging="879"/>
        <w:spacing w:after="0" w:line="185" w:lineRule="auto"/>
        <w:tabs>
          <w:tab w:leader="none" w:pos="3080" w:val="left"/>
        </w:tabs>
        <w:rPr>
          <w:sz w:val="20"/>
          <w:szCs w:val="20"/>
          <w:color w:val="auto"/>
        </w:rPr>
      </w:pPr>
      <w:r>
        <w:rPr>
          <w:rFonts w:ascii="Calibri" w:cs="Calibri" w:eastAsia="Calibri" w:hAnsi="Calibri"/>
          <w:sz w:val="31"/>
          <w:szCs w:val="31"/>
          <w:b w:val="1"/>
          <w:bCs w:val="1"/>
          <w:color w:val="FFFFFF"/>
          <w:vertAlign w:val="subscript"/>
        </w:rPr>
        <w:t>FOR</w:t>
      </w:r>
      <w:r>
        <w:rPr>
          <w:sz w:val="20"/>
          <w:szCs w:val="20"/>
          <w:color w:val="auto"/>
        </w:rPr>
        <w:tab/>
      </w:r>
      <w:r>
        <w:rPr>
          <w:rFonts w:ascii="Calibri" w:cs="Calibri" w:eastAsia="Calibri" w:hAnsi="Calibri"/>
          <w:sz w:val="13"/>
          <w:szCs w:val="13"/>
          <w:b w:val="1"/>
          <w:bCs w:val="1"/>
          <w:color w:val="auto"/>
        </w:rPr>
        <w:t>(including the Compensaton Discussion and Analysis, the compensaton tables and any related material disclosed in this Proxy Statement)</w:t>
      </w:r>
    </w:p>
    <w:p>
      <w:pPr>
        <w:spacing w:after="0" w:line="324"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120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4 — Advisory (non-binding) vote on how frequently stockholders should vote to approve compensaton of the named executve ofcers</w:t>
      </w:r>
    </w:p>
    <w:p>
      <w:pPr>
        <w:spacing w:after="0" w:line="333" w:lineRule="exact"/>
        <w:rPr>
          <w:sz w:val="20"/>
          <w:szCs w:val="20"/>
          <w:color w:val="auto"/>
        </w:rPr>
      </w:pPr>
    </w:p>
    <w:p>
      <w:pPr>
        <w:ind w:left="320" w:right="340"/>
        <w:spacing w:after="0" w:line="238" w:lineRule="auto"/>
        <w:rPr>
          <w:sz w:val="20"/>
          <w:szCs w:val="20"/>
          <w:color w:val="auto"/>
        </w:rPr>
      </w:pPr>
      <w:r>
        <w:rPr>
          <w:rFonts w:ascii="Calibri" w:cs="Calibri" w:eastAsia="Calibri" w:hAnsi="Calibri"/>
          <w:sz w:val="31"/>
          <w:szCs w:val="31"/>
          <w:color w:val="FB4E0B"/>
        </w:rPr>
        <w:t>Proposal 4 — Advisory (non-binding) vote on how frequently stockholders should vote to approve compensaton of the named executve ofcers</w:t>
      </w:r>
    </w:p>
    <w:p>
      <w:pPr>
        <w:spacing w:after="0" w:line="33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Proposal 4 is a vote, on a non-binding advisory basis, to determine how frequently stockholders should vote to approve compensaton of the named executve ofcers. Although the vote is advisory and is not binding on the board of directors, our Compensaton and Talent Management Commitee will take into account the outcome of the vote when considering how frequently to hold say-on-pay votes. We refer to this as the “say-on-frequency” vote. You may choose from the following alternatves: every year, every two years, every three years or you may abstain.</w:t>
      </w:r>
    </w:p>
    <w:p>
      <w:pPr>
        <w:spacing w:after="0" w:line="315"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The say-on-frequency vote was last held at our 2017 annual meetng of stockholders and is required at least once every six years thereafer. The next such vote will occur at our annual meetng of stockholders to be held in 2029.</w:t>
      </w:r>
    </w:p>
    <w:p>
      <w:pPr>
        <w:spacing w:after="0" w:line="3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board of directors believes that an annual say-on-pay vote to approve the compensaton of our named executve ofcers is appropriate because it will permit our board of directors to receive current feedback on a tmely basis from our stockholders regarding our compensaton program for our executve ofcers. Receiving such feedback every year will enable us to implement more quickly any modifcatons that our board of directors determines to be appropriate.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opton, if any, that receives the afrmatve vote of a majority of shares present in person or represented by proxy and enttled to vote at the Annual Meetng. Because this proposal has multple optons, if none of the optons receives the afrmatve vote of a majority of the shares present in person or represented by proxy and enttled to vote at the Annual Meetng, then we will consider the stockholders to have chosen the opton selected by the holders of a plurality of the shares present in person or represented by proxy and enttled to vote at the Annual Meetng. Unless marked to the contrary, proxies received will be voted “EVERY YEAR” to approve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163830</wp:posOffset>
            </wp:positionV>
            <wp:extent cx="4865370" cy="3797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65370" cy="379730"/>
                    </a:xfrm>
                    <a:prstGeom prst="rect">
                      <a:avLst/>
                    </a:prstGeom>
                    <a:noFill/>
                  </pic:spPr>
                </pic:pic>
              </a:graphicData>
            </a:graphic>
          </wp:anchor>
        </w:drawing>
      </w:r>
    </w:p>
    <w:p>
      <w:pPr>
        <w:spacing w:after="0" w:line="359" w:lineRule="exact"/>
        <w:rPr>
          <w:sz w:val="20"/>
          <w:szCs w:val="20"/>
          <w:color w:val="auto"/>
        </w:rPr>
      </w:pPr>
    </w:p>
    <w:p>
      <w:pPr>
        <w:ind w:left="20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165100</wp:posOffset>
            </wp:positionV>
            <wp:extent cx="4865370" cy="7600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65370" cy="76009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80"/>
        <w:spacing w:after="0"/>
        <w:rPr>
          <w:sz w:val="20"/>
          <w:szCs w:val="20"/>
          <w:color w:val="auto"/>
        </w:rPr>
      </w:pPr>
      <w:r>
        <w:rPr>
          <w:rFonts w:ascii="Calibri" w:cs="Calibri" w:eastAsia="Calibri" w:hAnsi="Calibri"/>
          <w:sz w:val="30"/>
          <w:szCs w:val="30"/>
          <w:b w:val="1"/>
          <w:bCs w:val="1"/>
          <w:color w:val="FFFFFF"/>
        </w:rPr>
        <w:t>EVERY</w:t>
      </w:r>
    </w:p>
    <w:p>
      <w:pPr>
        <w:spacing w:after="0" w:line="7" w:lineRule="exact"/>
        <w:rPr>
          <w:sz w:val="20"/>
          <w:szCs w:val="20"/>
          <w:color w:val="auto"/>
        </w:rPr>
      </w:pPr>
    </w:p>
    <w:p>
      <w:pPr>
        <w:ind w:left="2160"/>
        <w:spacing w:after="0"/>
        <w:rPr>
          <w:sz w:val="20"/>
          <w:szCs w:val="20"/>
          <w:color w:val="auto"/>
        </w:rPr>
      </w:pPr>
      <w:r>
        <w:rPr>
          <w:rFonts w:ascii="Calibri" w:cs="Calibri" w:eastAsia="Calibri" w:hAnsi="Calibri"/>
          <w:sz w:val="31"/>
          <w:szCs w:val="31"/>
          <w:b w:val="1"/>
          <w:bCs w:val="1"/>
          <w:color w:val="FFFFFF"/>
        </w:rPr>
        <w:t>YEAR</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1560"/>
        <w:spacing w:after="0"/>
        <w:rPr>
          <w:sz w:val="20"/>
          <w:szCs w:val="20"/>
          <w:color w:val="auto"/>
        </w:rPr>
      </w:pPr>
      <w:r>
        <w:rPr>
          <w:rFonts w:ascii="Calibri" w:cs="Calibri" w:eastAsia="Calibri" w:hAnsi="Calibri"/>
          <w:sz w:val="17"/>
          <w:szCs w:val="17"/>
          <w:b w:val="1"/>
          <w:bCs w:val="1"/>
          <w:color w:val="auto"/>
        </w:rPr>
        <w:t>To approve the compensaton of our named executve ofcers as disclosed pursuant to the compensaton disclosure rules of the SEC (including the Compensaton Discussion and Analysis, the compensaton tables and any related material disclosed in the relevant proxy statement)</w:t>
      </w:r>
    </w:p>
    <w:p>
      <w:pPr>
        <w:spacing w:after="0" w:line="340" w:lineRule="exact"/>
        <w:rPr>
          <w:sz w:val="20"/>
          <w:szCs w:val="20"/>
          <w:color w:val="auto"/>
        </w:rPr>
      </w:pPr>
    </w:p>
    <w:p>
      <w:pPr>
        <w:sectPr>
          <w:pgSz w:w="11900" w:h="16838" w:orient="portrait"/>
          <w:cols w:equalWidth="0" w:num="2">
            <w:col w:w="2900" w:space="200"/>
            <w:col w:w="7840"/>
          </w:cols>
          <w:pgMar w:left="320" w:top="471" w:right="639" w:bottom="1440" w:gutter="0" w:footer="0" w:header="0"/>
          <w:type w:val="continuous"/>
        </w:sectPr>
      </w:pPr>
    </w:p>
    <w:p>
      <w:pPr>
        <w:spacing w:after="0" w:line="151"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121</w:t>
      </w:r>
    </w:p>
    <w:p>
      <w:pPr>
        <w:sectPr>
          <w:pgSz w:w="11900" w:h="16838" w:orient="portrait"/>
          <w:cols w:equalWidth="0" w:num="1">
            <w:col w:w="10940"/>
          </w:cols>
          <w:pgMar w:left="320" w:top="471" w:right="6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5 — Charter amendment to efect stock split</w:t>
      </w:r>
    </w:p>
    <w:p>
      <w:pPr>
        <w:spacing w:after="0" w:line="333" w:lineRule="exact"/>
        <w:rPr>
          <w:sz w:val="20"/>
          <w:szCs w:val="20"/>
          <w:color w:val="auto"/>
        </w:rPr>
      </w:pPr>
    </w:p>
    <w:p>
      <w:pPr>
        <w:ind w:left="320" w:right="100"/>
        <w:spacing w:after="0" w:line="238" w:lineRule="auto"/>
        <w:rPr>
          <w:sz w:val="20"/>
          <w:szCs w:val="20"/>
          <w:color w:val="auto"/>
        </w:rPr>
      </w:pPr>
      <w:r>
        <w:rPr>
          <w:rFonts w:ascii="Calibri" w:cs="Calibri" w:eastAsia="Calibri" w:hAnsi="Calibri"/>
          <w:sz w:val="31"/>
          <w:szCs w:val="31"/>
          <w:color w:val="FB4E0B"/>
        </w:rPr>
        <w:t>Proposal 5 — Approval of an Amendment to our Amended and Restated Certfcate of Incorporaton to efect a 5-for-1 “forward” stock split with a corresponding increase in the authorized number of shares of our common stock</w:t>
      </w:r>
    </w:p>
    <w:p>
      <w:pPr>
        <w:spacing w:after="0" w:line="333"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The board of directors has unanimously deemed it is advisable, and in the best interests of the Company and its stockholders, to amend the Company’s Amended and Restated Certfcate of Incorporaton to efect a 5-for-1 split of our common stock. The trading price of our common stock has experienced signifcant growth over the past few years. The board of directors regularly evaluates the efect of such growth on liquidity and marketability of our common stock and believes the considerable appreciaton in the trading price of our common stock makes our common stock less afordable on a per-share basis to certain of our investors and employees. The board of directors believes efectng a 5-for-1 stock split would make our shares more afordable, atract a broader group of potental investors and employees and increase liquidity in the trading of shares of our common stock.</w:t>
      </w:r>
    </w:p>
    <w:p>
      <w:pPr>
        <w:spacing w:after="0" w:line="31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At present, our Amended and Restated Certfcate of Incorporaton authorizes the issuance of up to 100,000,000 shares of common stock, par value $0.001 per share, and 15,000,000 shares of preferred stock, par value $0.001 per share. As of March 31, 2023, 33,321,455 shares of common stock were issued and outstanding, and, of the unissued shares, approximately 792,364 shares of common stock were reserved for issuance under the Company’s 2022 Employee Stock Purchase Plan (the “ESPP”) and approximately 952,074 shares of common stock were reserved for issuance pursuant to awards under our 2018 Plan.</w:t>
      </w:r>
    </w:p>
    <w:p>
      <w:pPr>
        <w:spacing w:after="0" w:line="315"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 xml:space="preserve">On April 12, 2023, subject to approval by our stockholders, the board of directors approved an amendment to the Amended and Restated Certfcate of Incorporaton set forth on </w:t>
      </w:r>
      <w:r>
        <w:rPr>
          <w:rFonts w:ascii="Calibri" w:cs="Calibri" w:eastAsia="Calibri" w:hAnsi="Calibri"/>
          <w:sz w:val="17"/>
          <w:szCs w:val="17"/>
          <w:u w:val="single" w:color="auto"/>
          <w:color w:val="auto"/>
        </w:rPr>
        <w:t>Annex A</w:t>
      </w:r>
      <w:r>
        <w:rPr>
          <w:rFonts w:ascii="Calibri" w:cs="Calibri" w:eastAsia="Calibri" w:hAnsi="Calibri"/>
          <w:sz w:val="17"/>
          <w:szCs w:val="17"/>
          <w:color w:val="auto"/>
        </w:rPr>
        <w:t xml:space="preserve"> atached hereto (the “Stock Split Amendment”), which upon fling would efect a 5-for-1 forward stock split of our common stock (the “Stock Split”) and increase the number of authorized shares of our common stock from 100,000,000 to 275,000,000 (the “Share Increase”). Other than this Proposal 5 and Proposal 6 below, the board of directors has not approved any other changes to the Amended and Restated Certfcate of Incorporaton.</w:t>
      </w:r>
    </w:p>
    <w:p>
      <w:pPr>
        <w:spacing w:after="0" w:line="3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If our stockholders approve the Stock Split Amendment, the Stock Split and Share Increase would become efectve, without any further acton by stockholders, upon the fling of the Stock Split Amendment with the Secretary of State of the State of Delaware, subject to the efectve date set forth therein. The exact tming of the fling of the Stock Split Amendment will be determined by us based on our evaluaton as to when such acton will be the most advantageous to us and our stockholders. If we fail to implement the Stock Split by the next Annual Meetng of Stockholders, stockholder approval would be required again prior to implementng any stock split. However, the board of directors or, to the extent delegated, the Company’s management, reserves the right, notwithstanding stockholder approval and without any further acton by our stockholders, to elect not to proceed with the Stock Split and the Share Increase if, at any tme prior to fling the Stock Split Amendment, the board of directors or, to the extent delegated, the Company’s management, in its sole discreton, determines that it is no longer in our best interest and the best interests of our stockholders to proceed with the Stock Split and Share Increase.</w:t>
      </w:r>
    </w:p>
    <w:p>
      <w:pPr>
        <w:spacing w:after="0" w:line="318"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Book-entries dated as of a date prior to the efectve tme of the Stock Split representng outstanding shares of common stock shall, immediately afer the efectve tme of the stock split, represent a number of shares equal to the same number of shares of common stock as is refected on the book-entries, multplied by fve.</w:t>
      </w:r>
    </w:p>
    <w:p>
      <w:pPr>
        <w:spacing w:after="0" w:line="129"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122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5 — Charter amendment to efect stock split</w:t>
      </w:r>
    </w:p>
    <w:p>
      <w:pPr>
        <w:spacing w:after="0" w:line="348"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Following the Stock Split, if ultmately implemented, we currently estmate that we will have approximately 166,607,275 shares of common stock outstanding, based on the number of shares of common stock that were issued and outstanding as of March 31, 2023. As of March 31, 2023, we also will have a total of 3,961,820 shares of common stock reserved for issuance under the ESPP, and a total of 4,760,370 shares of common stock reserved for issuance under the 2018 Plan, which refects an increase in the number of shares of common stock reserved for issuance under such plans based on the Stock Split rato.</w:t>
      </w:r>
    </w:p>
    <w:p>
      <w:pPr>
        <w:spacing w:after="0" w:line="315"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In connecton with the Stock Split, we will be required to increase the number of authorized shares of our common stock so as to accommodate the increased number of shares that would be outstanding following the Stock Split, and the number of authorized but unissued shares available for issuance by the board of directors in connecton with any future stock dividends or splits, grants under the ESPP, 2018 Plan or other equity compensaton plans, fnancings, mergers or acquisitons and for other general corporate purposes, without the delay and expense associated with convening a special stockholders’ meetng or solicitng stockholders’ writen consents. Aside from the shares currently reserved or to be reserved for issuance under the ESPP, the 2018 Plan, or any other equity compensaton plans, the board of directors has not authorized the issuance of any additonal shares of common stock, and there are no current agreements or commitments for the issuance of additonal shares.</w:t>
      </w:r>
    </w:p>
    <w:p>
      <w:pPr>
        <w:spacing w:after="0" w:line="317"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Stockholders’ current ownership of common stock will not give them automatc rights to purchase any of the additonal authorized shares of common stock as a result of the Stock Split. If the Stock Split Amendment is approved, the additonal authorized shares of common stock will be available for issuance from tme to tme at the discreton of the board of directors without further acton by the stockholders, except where stockholder approval is required by Nasdaq or as otherwise provided under applicable laws. Secton 5.2 of our Amended and Restated Certfcate of Incorporaton authorizes the board of directors, without further stockholder approval, to issue preferred stock having such designatons, preferences and rights as may be determined by the board of directors. Any future issuance of additonal authorized shares of common stock may, among other things, dilute the earnings per share of the common stock and the equity and votng rights of those holding common stock at the tme the additonal shares are issued. Issuance of shares of preferred stock would dilute the earnings per share and book value per share of existng shares of common stock. Holders of preferred stock would have such votng rights as may be provided for by law and as determined by the board of directors.</w:t>
      </w:r>
    </w:p>
    <w:p>
      <w:pPr>
        <w:spacing w:after="0" w:line="318"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Although an increase in the authorized shares of common stock could, under certain circumstances, be construed as having an ant-takeover efect (for example, by dilutng the stock ownership of a person seeking to efect a change in the compositon of the board of directors or contemplatng a tender ofer or other transacton for the combinaton of our company with another company), the board of directors is not proposing to adopt the Stock Split Amendment in response to any efort to accumulate our stock or obtain control of the Company by means of a merger, tender ofer or solicitaton in oppositon of management. Instead, the increase in authorized shares is directly related to the proposal to efect the Stock Split. The increase is less than the proportonal amount that would have resulted based on the Stock Split rato, efectvely reducing amount of post-Stock Split shares authorized for issuance, but our board of directors believes this efectve reducton is appropriate based on our prior and forecasted usage.</w:t>
      </w:r>
    </w:p>
    <w:p>
      <w:pPr>
        <w:spacing w:after="0" w:line="298"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123</w:t>
      </w:r>
    </w:p>
    <w:p>
      <w:pPr>
        <w:sectPr>
          <w:pgSz w:w="11900" w:h="16838" w:orient="portrait"/>
          <w:cols w:equalWidth="0" w:num="1">
            <w:col w:w="10940"/>
          </w:cols>
          <w:pgMar w:left="320" w:top="471"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5 — Charter amendment to efect stock split</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approval of the Stock Split Amendment to efect the Stock Split and Share Increase requires the afrmatve vote of the holders of a majority of our outstanding shares of common stock, votng together as a single class. Unless marked to the contrary, proxies received will be voted “FOR” approval of the Stock Split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239395</wp:posOffset>
            </wp:positionV>
            <wp:extent cx="4733290" cy="3797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33290" cy="379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1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38" w:lineRule="exact"/>
        <w:rPr>
          <w:sz w:val="20"/>
          <w:szCs w:val="20"/>
          <w:color w:val="auto"/>
        </w:rPr>
      </w:pPr>
    </w:p>
    <w:p>
      <w:pPr>
        <w:jc w:val="center"/>
        <w:ind w:left="1300"/>
        <w:spacing w:after="0"/>
        <w:rPr>
          <w:sz w:val="20"/>
          <w:szCs w:val="20"/>
          <w:color w:val="auto"/>
        </w:rPr>
      </w:pPr>
      <w:r>
        <w:rPr>
          <w:rFonts w:ascii="Calibri" w:cs="Calibri" w:eastAsia="Calibri" w:hAnsi="Calibri"/>
          <w:sz w:val="17"/>
          <w:szCs w:val="17"/>
          <w:b w:val="1"/>
          <w:bCs w:val="1"/>
          <w:color w:val="auto"/>
        </w:rPr>
        <w:t>approval of the amendment to our Amended and Restated Certfcate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-116840</wp:posOffset>
            </wp:positionV>
            <wp:extent cx="4733290" cy="5207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33290" cy="520700"/>
                    </a:xfrm>
                    <a:prstGeom prst="rect">
                      <a:avLst/>
                    </a:prstGeom>
                    <a:noFill/>
                  </pic:spPr>
                </pic:pic>
              </a:graphicData>
            </a:graphic>
          </wp:anchor>
        </w:drawing>
      </w:r>
    </w:p>
    <w:p>
      <w:pPr>
        <w:ind w:left="3260" w:right="1600" w:hanging="899"/>
        <w:spacing w:after="0" w:line="185" w:lineRule="auto"/>
        <w:tabs>
          <w:tab w:leader="none" w:pos="3240" w:val="left"/>
        </w:tabs>
        <w:rPr>
          <w:sz w:val="20"/>
          <w:szCs w:val="20"/>
          <w:color w:val="auto"/>
        </w:rPr>
      </w:pPr>
      <w:r>
        <w:rPr>
          <w:rFonts w:ascii="Calibri" w:cs="Calibri" w:eastAsia="Calibri" w:hAnsi="Calibri"/>
          <w:sz w:val="31"/>
          <w:szCs w:val="31"/>
          <w:b w:val="1"/>
          <w:bCs w:val="1"/>
          <w:color w:val="FFFFFF"/>
          <w:vertAlign w:val="subscript"/>
        </w:rPr>
        <w:t>FOR</w:t>
      </w:r>
      <w:r>
        <w:rPr>
          <w:sz w:val="20"/>
          <w:szCs w:val="20"/>
          <w:color w:val="auto"/>
        </w:rPr>
        <w:tab/>
      </w:r>
      <w:r>
        <w:rPr>
          <w:rFonts w:ascii="Calibri" w:cs="Calibri" w:eastAsia="Calibri" w:hAnsi="Calibri"/>
          <w:sz w:val="13"/>
          <w:szCs w:val="13"/>
          <w:b w:val="1"/>
          <w:bCs w:val="1"/>
          <w:color w:val="auto"/>
        </w:rPr>
        <w:t>Incorporaton to efect a 5-for-1 “forward” stock split with a corresponding increase in the authorized number of shares of our common stock</w:t>
      </w:r>
    </w:p>
    <w:p>
      <w:pPr>
        <w:spacing w:after="0" w:line="324"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124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80"/>
          </w:cols>
          <w:pgMar w:left="320" w:top="471" w:right="6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6 — Charter amendment to include ability to remove directors with or without cause</w:t>
      </w:r>
    </w:p>
    <w:p>
      <w:pPr>
        <w:spacing w:after="0" w:line="333" w:lineRule="exact"/>
        <w:rPr>
          <w:sz w:val="20"/>
          <w:szCs w:val="20"/>
          <w:color w:val="auto"/>
        </w:rPr>
      </w:pPr>
    </w:p>
    <w:p>
      <w:pPr>
        <w:jc w:val="both"/>
        <w:ind w:left="320" w:right="120"/>
        <w:spacing w:after="0" w:line="238" w:lineRule="auto"/>
        <w:rPr>
          <w:sz w:val="20"/>
          <w:szCs w:val="20"/>
          <w:color w:val="auto"/>
        </w:rPr>
      </w:pPr>
      <w:r>
        <w:rPr>
          <w:rFonts w:ascii="Calibri" w:cs="Calibri" w:eastAsia="Calibri" w:hAnsi="Calibri"/>
          <w:sz w:val="31"/>
          <w:szCs w:val="31"/>
          <w:color w:val="FB4E0B"/>
        </w:rPr>
        <w:t>Proposal 6 — Approval of an Amendment to our Amended and Restated Certfcate of Incorporaton to allow for the removal of directors with or without cause by the afrmatve vote of holders of a majority of the total outstanding shares of common stock</w:t>
      </w:r>
    </w:p>
    <w:p>
      <w:pPr>
        <w:spacing w:after="0" w:line="335" w:lineRule="exact"/>
        <w:rPr>
          <w:sz w:val="20"/>
          <w:szCs w:val="20"/>
          <w:color w:val="auto"/>
        </w:rPr>
      </w:pPr>
    </w:p>
    <w:p>
      <w:pPr>
        <w:jc w:val="both"/>
        <w:ind w:left="320" w:right="200"/>
        <w:spacing w:after="0" w:line="239" w:lineRule="auto"/>
        <w:rPr>
          <w:sz w:val="20"/>
          <w:szCs w:val="20"/>
          <w:color w:val="auto"/>
        </w:rPr>
      </w:pPr>
      <w:r>
        <w:rPr>
          <w:rFonts w:ascii="Calibri" w:cs="Calibri" w:eastAsia="Calibri" w:hAnsi="Calibri"/>
          <w:sz w:val="17"/>
          <w:szCs w:val="17"/>
          <w:color w:val="auto"/>
        </w:rPr>
        <w:t>Under the Company’s current Amended and Restated Certfcate of Incorporaton, a director may be removed from ofce only for cause and only by the afrmatve vote of at least 66 2/3% of the total votng power of the then outstanding shares of capital stock of the Company enttled to vote generally in the electon of our directors, votng together as a single class.</w:t>
      </w:r>
    </w:p>
    <w:p>
      <w:pPr>
        <w:spacing w:after="0" w:line="317"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 xml:space="preserve">The board of directors has unanimously determined that it is advisable, and in the best interests of the Company and its stockholders, to amend the Amended and Restated Certfcate of Incorporaton to allow for the removal of directors with or without cause by the afrmatve vote of holders of a majority of the total outstanding shares of our common stock. The governing documents of many other companies, as well as Secton 141(k) of the Delaware General Corporaton Law, allow for the removal of a director with or without cause by a majority of stockholders. To be consistent with market practce, subject to approval by our stockholders, our board of directors approved an amendment to our Amended and Restated Certfcate of Incorporaton set forth on </w:t>
      </w:r>
      <w:r>
        <w:rPr>
          <w:rFonts w:ascii="Calibri" w:cs="Calibri" w:eastAsia="Calibri" w:hAnsi="Calibri"/>
          <w:sz w:val="17"/>
          <w:szCs w:val="17"/>
          <w:u w:val="single" w:color="auto"/>
          <w:color w:val="auto"/>
        </w:rPr>
        <w:t>Annex B</w:t>
      </w:r>
      <w:r>
        <w:rPr>
          <w:rFonts w:ascii="Calibri" w:cs="Calibri" w:eastAsia="Calibri" w:hAnsi="Calibri"/>
          <w:sz w:val="17"/>
          <w:szCs w:val="17"/>
          <w:color w:val="auto"/>
        </w:rPr>
        <w:t xml:space="preserve"> atached hereto, which allows for the removal of directors with or without cause by the afrmatve vote of holders of a majority of the total outstanding shares of common stock (the “Director Removal Amendment”). Other than this Proposal 6 and Proposal 5 above, the board of directors has not approved any other changes to the Amended and Restated Certfcate of Incorporaton. If this Proposal 6 is approved by our stockholders, the board of directors will adopt a conforming amendment to our by-laws related to the removal of directors with or without cause by the afrmatve vote of holders of a majority of the total outstanding shares of common stock.</w:t>
      </w:r>
    </w:p>
    <w:p>
      <w:pPr>
        <w:spacing w:after="0" w:line="318"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If the Director Removal Amendment is approved by the requisite percentages of stockholders at the Annual Meetng, the Director Removal Amendment would become efectve upon the fling and efectveness of the Director Removal Amendment with the Secretary of State of the State of Delaware, which is expected to take place promptly following the stockholders’ approval of the Director Removal Amendment.</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jc w:val="both"/>
        <w:ind w:left="320" w:right="60"/>
        <w:spacing w:after="0" w:line="239" w:lineRule="auto"/>
        <w:rPr>
          <w:sz w:val="20"/>
          <w:szCs w:val="20"/>
          <w:color w:val="auto"/>
        </w:rPr>
      </w:pPr>
      <w:r>
        <w:rPr>
          <w:rFonts w:ascii="Calibri" w:cs="Calibri" w:eastAsia="Calibri" w:hAnsi="Calibri"/>
          <w:sz w:val="17"/>
          <w:szCs w:val="17"/>
          <w:color w:val="auto"/>
        </w:rPr>
        <w:t>The approval of the Director Removal Amendment requires the afrmatve vote of the holders of at least 66 2/3% of the votng power of the shares of the outstanding votng stock of the Company, votng together as a single class. Unless marked to the contrary, proxies received will be voted “FOR” approval of the Director Removal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239395</wp:posOffset>
            </wp:positionV>
            <wp:extent cx="4733290" cy="3797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33290" cy="379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16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39" w:lineRule="exact"/>
        <w:rPr>
          <w:sz w:val="20"/>
          <w:szCs w:val="20"/>
          <w:color w:val="auto"/>
        </w:rPr>
      </w:pPr>
    </w:p>
    <w:p>
      <w:pPr>
        <w:ind w:left="3260" w:right="2080"/>
        <w:spacing w:after="0" w:line="215" w:lineRule="auto"/>
        <w:rPr>
          <w:sz w:val="20"/>
          <w:szCs w:val="20"/>
          <w:color w:val="auto"/>
        </w:rPr>
      </w:pPr>
      <w:r>
        <w:rPr>
          <w:rFonts w:ascii="Calibri" w:cs="Calibri" w:eastAsia="Calibri" w:hAnsi="Calibri"/>
          <w:sz w:val="17"/>
          <w:szCs w:val="17"/>
          <w:b w:val="1"/>
          <w:bCs w:val="1"/>
          <w:color w:val="auto"/>
        </w:rPr>
        <w:t>approval of the amendment to our Amended and Restated Certfcate of Incorporaton to allow for the removal of directors with or without cause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-222250</wp:posOffset>
            </wp:positionV>
            <wp:extent cx="4733290" cy="6527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33290" cy="652780"/>
                    </a:xfrm>
                    <a:prstGeom prst="rect">
                      <a:avLst/>
                    </a:prstGeom>
                    <a:noFill/>
                  </pic:spPr>
                </pic:pic>
              </a:graphicData>
            </a:graphic>
          </wp:anchor>
        </w:drawing>
      </w:r>
    </w:p>
    <w:p>
      <w:pPr>
        <w:ind w:left="3260" w:right="1840" w:hanging="899"/>
        <w:spacing w:after="0"/>
        <w:tabs>
          <w:tab w:leader="none" w:pos="3240" w:val="left"/>
        </w:tabs>
        <w:rPr>
          <w:sz w:val="20"/>
          <w:szCs w:val="20"/>
          <w:color w:val="auto"/>
        </w:rPr>
      </w:pPr>
      <w:r>
        <w:rPr>
          <w:rFonts w:ascii="Calibri" w:cs="Calibri" w:eastAsia="Calibri" w:hAnsi="Calibri"/>
          <w:sz w:val="29"/>
          <w:szCs w:val="29"/>
          <w:b w:val="1"/>
          <w:bCs w:val="1"/>
          <w:color w:val="FFFFFF"/>
        </w:rPr>
        <w:t>FOR</w:t>
      </w:r>
      <w:r>
        <w:rPr>
          <w:sz w:val="20"/>
          <w:szCs w:val="20"/>
          <w:color w:val="auto"/>
        </w:rPr>
        <w:tab/>
      </w:r>
      <w:r>
        <w:rPr>
          <w:rFonts w:ascii="Calibri" w:cs="Calibri" w:eastAsia="Calibri" w:hAnsi="Calibri"/>
          <w:sz w:val="16"/>
          <w:szCs w:val="16"/>
          <w:b w:val="1"/>
          <w:bCs w:val="1"/>
          <w:color w:val="auto"/>
        </w:rPr>
        <w:t>afrmatve vote of holders of a majority of the total outstanding shares of common stock</w:t>
      </w:r>
    </w:p>
    <w:p>
      <w:pPr>
        <w:spacing w:after="0" w:line="200" w:lineRule="exact"/>
        <w:rPr>
          <w:sz w:val="20"/>
          <w:szCs w:val="20"/>
          <w:color w:val="auto"/>
        </w:rPr>
      </w:pPr>
    </w:p>
    <w:p>
      <w:pPr>
        <w:spacing w:after="0" w:line="369"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125</w:t>
      </w:r>
    </w:p>
    <w:p>
      <w:pPr>
        <w:sectPr>
          <w:pgSz w:w="11900" w:h="16838" w:orient="portrait"/>
          <w:cols w:equalWidth="0" w:num="1">
            <w:col w:w="10940"/>
          </w:cols>
          <w:pgMar w:left="320" w:top="471" w:right="6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Miscellaneous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Miscellaneous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Stockholder proposals and director nominatons for the 2024 Annual Meetng</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 proposals intended to be included in our proxy materials for the 2024 Annual Meetng of Stockholders (“2024 Annual Meetng”) must be received by the deadline calculated in accordance with SEC Rule 14a-8, which is 120 days before the anniversary of the date of this year’s Proxy Statement. This year’s deadline is December 30, 2023. Such proposals must include the informaton required by SEC rules, and should be sent in writng by courier or certfed mail to the Corporate Secretary of the Company at 320 Park Avenue, 29th Floor, New York, New York 10022. Stockholder proposals that are sent to any other person or locaton or by any other means may not be received in a tmely manner and thus may be ineligible for inclusion.</w:t>
      </w:r>
    </w:p>
    <w:p>
      <w:pPr>
        <w:spacing w:after="0" w:line="315"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Stockholders who intend to submit proposals at the 2024 Annual Meetng but whose proposals are not included in the proxy materials for the meetng, and stockholders who intend to submit nominatons for directors at the 2024 Annual Meetng, are required to notfy the Corporate Secretary of the Company (at the address above) of their proposal or nominatons not less than 90 days, nor more than 120 days, before the anniversary of this year’s Annual Meetng of Stockholders, in accordance with our By-laws. Such notces of proposals for the 2024 Annual Meetng must be delivered between February 21, 2024 and March 22, 2024. Special notce provisions apply under the By-laws if the date of the 2024 Annual Meetng is more than 30 days before or 70 days afer the anniversary date of this year’s Annual Meetng of Stockholders.</w:t>
      </w:r>
    </w:p>
    <w:p>
      <w:pPr>
        <w:spacing w:after="0" w:line="31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Any notce of proposed business or nominaton, whether or not included in our Proxy Statement, must include the informaton required under our By-laws, including Secton 2.11.4, in order for the mater to be eligible for consideraton at the 2024 Annual Meetng. In additon, to comply with the universal proxy rules, stockholders who intend to solicit proxies in support of director nominees other than the company’s nominees must provide notce that sets forth the informaton required by</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Rule 14a-19 under the Exchange Act no later than April 20, 2024.</w:t>
      </w:r>
    </w:p>
    <w:p>
      <w:pPr>
        <w:spacing w:after="0" w:line="314"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The presiding ofcer of the 2024 Annual Meetng may refuse to acknowledge any mater or nominaton not made in compliance with the procedures in our By-laws. Our By-laws can be found on our website and the current SEC rules for submitng stockholder proposals can be obtained from the SEC at: Division of Corporaton Finance, 100 F. Street, N.E., Washington, DC 20549, or through the SEC’s Internet website at www.sec.gov.</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Delivery of documents to stockholders sharing an address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 are the benefcial owner, but not the record holder, of shares of our common stock, your broker, bank, trust or other nominee may only deliver one copy of this Proxy Statement and the 2022 Form 10-K, which serves as our Annual Report to Stockholders under Regulaton 14A (the “2022 Annual Report”), to multple stockholders who share an address unless that nominee has received contrary instructons from one or more of the stockholders. We will deliver promptly, upon writen or oral request, a separate copy of this Proxy Statement and the 2022 Annual Report to a stockholder at a shared address to which a single copy of the documents was delivered. A stockholder who wishes to receive a separate copy of the Proxy Statement and annual report, now or in the future, should submit this request to our investor relatons department through the Investor Relatons page</w:t>
      </w:r>
    </w:p>
    <w:p>
      <w:pPr>
        <w:spacing w:after="0" w:line="128"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126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00"/>
          </w:cols>
          <w:pgMar w:left="320" w:top="471" w:right="6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Miscellaneous</w:t>
      </w:r>
    </w:p>
    <w:p>
      <w:pPr>
        <w:spacing w:after="0" w:line="348" w:lineRule="exact"/>
        <w:rPr>
          <w:sz w:val="20"/>
          <w:szCs w:val="20"/>
          <w:color w:val="auto"/>
        </w:rPr>
      </w:pPr>
    </w:p>
    <w:p>
      <w:pPr>
        <w:jc w:val="both"/>
        <w:ind w:left="320" w:right="120"/>
        <w:spacing w:after="0" w:line="239" w:lineRule="auto"/>
        <w:rPr>
          <w:sz w:val="20"/>
          <w:szCs w:val="20"/>
          <w:color w:val="auto"/>
        </w:rPr>
      </w:pPr>
      <w:r>
        <w:rPr>
          <w:rFonts w:ascii="Calibri" w:cs="Calibri" w:eastAsia="Calibri" w:hAnsi="Calibri"/>
          <w:sz w:val="17"/>
          <w:szCs w:val="17"/>
          <w:color w:val="auto"/>
        </w:rPr>
        <w:t>of our website at htps://ir.exlservice.com/. Benefcial owners sharing an address who are receiving multple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Electronic access to Proxy Statement and Annual Report</w:t>
      </w:r>
    </w:p>
    <w:p>
      <w:pPr>
        <w:spacing w:after="0" w:line="114"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This proxy statement and our 2022 Annual Report may be viewed on our website at www.exlservice.com and at www.proxyvote.com by following the instructons provided in the Internet Notce. If you are a stockholder of record, you can elect to access future annual reports and proxy statements electronically by marking the appropriate box on your proxy form. If you choose this opton, you will receive a proxy form in mid-May listng the website locatons and your choice will remain in efect untl you notfy us by mail that you wish to resume mail delivery of these documents. If you hold your common stock through a bank, broker or another holder of record, refer to the informaton provided by that entty for instructons on how to elect this opton.</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Delinquent Secton 16(a) reports</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Secton 16(a) of the Exchange Act requires our directors, executve ofcers and holders of more than 10% of the Company’s common stock to fle reports with the SEC regarding their ownership and changes in ownership of our securites. Based upon our examinaton of the copies of Forms 3, 4, and 5, and amendments thereto fled electronically with the SEC and the writen representatons of our reportng persons, we believe that all reports were fled on a tmely basis during fscal 2022, except that one Form 4 fling for Ms. Studenmund (disclosing a grant of restricted stock units) was fled late due to administratve error.</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Forward-looking statements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This Proxy Statement contains forward-looking statements within the meaning of the United States Private Securites Litgaton Reform Act of 1995. You should not place undue reliance on these statements because they are subject to numerous uncertaintes and factors relatng to our operatons and business environment, all of which are difcult to predict and many of which are beyond our control. These statements ofen include words such as “may,” “will,” “should,” “believe,” “expect,” “antcipate,” “intend,” “plan,” “estmate” or similar expressions. These statements are based on assumptons that we have made in light of our experience in the industry as well as our perceptons of historical trends, current conditons,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uncertaintes and assumptons. Although we believe that these forward-looking statements are based on reasonable assumptons, you should be aware that many factors could afect our actual fnancial results or results of operatons and could cause actual results to difer materially from those in the forward-looking statements. For a more detailed discussion of these factors, see the informaton under “Risk Factors” and “Management’s Discussion and Analysis of Financial Conditon and Results of Operatons” in the 2022 Form 10-K.</w:t>
      </w:r>
    </w:p>
    <w:p>
      <w:pPr>
        <w:spacing w:after="0" w:line="300"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127</w:t>
      </w:r>
    </w:p>
    <w:p>
      <w:pPr>
        <w:sectPr>
          <w:pgSz w:w="11900" w:h="16838" w:orient="portrait"/>
          <w:cols w:equalWidth="0" w:num="1">
            <w:col w:w="10940"/>
          </w:cols>
          <w:pgMar w:left="320" w:top="471" w:right="6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Annual meetng Q&amp;A</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Annual Meetng Q&amp;A</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is providing this Proxy Statement?</w:t>
      </w:r>
    </w:p>
    <w:p>
      <w:pPr>
        <w:spacing w:after="0" w:line="192"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This Proxy Statement is being furnished to you in connecton with the solicitaton by the board of directors of ExlService Holdings, Inc., a Delaware corporaton (“us,” “we,” “our” or the “Company”), of proxies to be used at our 2023 Annual Meetng of Stockholders (the “Annual Meetng”) to be held in virtual format only via live audio webcast at the website www.virtualshareholdermeetng.com/EXLS2023 on June 20, 2023 at 8:30 AM, Eastern Time, and any adjournments or postponements thereof.</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are the proxy materials being made available?</w:t>
      </w:r>
    </w:p>
    <w:p>
      <w:pPr>
        <w:spacing w:after="0" w:line="179" w:lineRule="exact"/>
        <w:rPr>
          <w:sz w:val="20"/>
          <w:szCs w:val="20"/>
          <w:color w:val="auto"/>
        </w:rPr>
      </w:pPr>
    </w:p>
    <w:p>
      <w:pPr>
        <w:jc w:val="both"/>
        <w:ind w:left="320" w:right="180"/>
        <w:spacing w:after="0"/>
        <w:rPr>
          <w:sz w:val="20"/>
          <w:szCs w:val="20"/>
          <w:color w:val="auto"/>
        </w:rPr>
      </w:pPr>
      <w:r>
        <w:rPr>
          <w:rFonts w:ascii="Calibri" w:cs="Calibri" w:eastAsia="Calibri" w:hAnsi="Calibri"/>
          <w:sz w:val="17"/>
          <w:szCs w:val="17"/>
          <w:color w:val="auto"/>
        </w:rPr>
        <w:t>In accordance with rules and regulatons adopted by the Securites and Exchange Commission (the “SEC”), instead of mailing a printed copy of our proxy materials to each stockholder of record, the Company furnishes proxy materials via the Internet. If you received a Notce of Internet Availability of Proxy Materials (the “Internet Notce”) by mail, you will not receive a printed copy of our proxy materials other than as described herein. Instead, the Internet Notce will instruct you as to how you may access and review all of the important informaton contained in the proxy materials. The Internet Notce also instructs you as to how you may submit your proxy over the Internet or by phone. If you received an Internet Notce by mail and would like to receive a printed copy of our proxy materials, you should follow the instructons for requestng proxy materials included in the Internet Notce.</w:t>
      </w:r>
    </w:p>
    <w:p>
      <w:pPr>
        <w:spacing w:after="0" w:line="316"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Our Notce of Annual Meetng, Proxy Statement and form of proxy card are each available at www.proxyvote.com. You may access these materials and provide your proxy by following the instructons provided in the Internet Notce.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When will the internet notce be sent?</w:t>
      </w:r>
    </w:p>
    <w:p>
      <w:pPr>
        <w:spacing w:after="0" w:line="179"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We antcipate the Internet Notce will be sent to stockholders on or about April 28, 2023. This Proxy Statement and the form of proxy relatng to the Annual Meetng will be made available via the Internet to stockholders on or prior to the date that the Internet Notce is frst sent.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can vote?</w:t>
      </w:r>
    </w:p>
    <w:p>
      <w:pPr>
        <w:spacing w:after="0" w:line="192" w:lineRule="exact"/>
        <w:rPr>
          <w:sz w:val="20"/>
          <w:szCs w:val="20"/>
          <w:color w:val="auto"/>
        </w:rPr>
      </w:pPr>
    </w:p>
    <w:p>
      <w:pPr>
        <w:ind w:left="320"/>
        <w:spacing w:after="0"/>
        <w:rPr>
          <w:sz w:val="20"/>
          <w:szCs w:val="20"/>
          <w:color w:val="auto"/>
        </w:rPr>
      </w:pPr>
      <w:r>
        <w:rPr>
          <w:rFonts w:ascii="Calibri" w:cs="Calibri" w:eastAsia="Calibri" w:hAnsi="Calibri"/>
          <w:sz w:val="16"/>
          <w:szCs w:val="16"/>
          <w:color w:val="auto"/>
        </w:rPr>
        <w:t>Only stockholders who own shares of our common stock at the close of business on April 21, 2023, the record date for the Annual Meetng, can vote at the</w:t>
      </w:r>
    </w:p>
    <w:p>
      <w:pPr>
        <w:spacing w:after="0" w:line="13"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Annual Meetng. As of the close of business on April 21, 2023, the record date, we had [ ] shares of common stock outstanding and enttled to vote. Each holder of common stock is enttled to one vote for each share held as of the record date for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Is cumulatve votng applicable in the electon of directors?</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There is no cumulatve votng in the electon of directors.</w:t>
      </w:r>
    </w:p>
    <w:p>
      <w:pPr>
        <w:spacing w:after="0" w:line="127"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128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Annual meetng Q&amp;A</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do I vote my shares?</w:t>
      </w:r>
    </w:p>
    <w:p>
      <w:pPr>
        <w:spacing w:after="0" w:line="1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your shares are registered directly in your name with Computershare Trust Company, N.A., our transfer agent (which means you are a “stockholder of record”), you can vote your proxy by (i) Internet, (ii) by phone or (iii) by requestng that proxy materials be sent to you by mail that will include a proxy card that you can use to vote by completng, signing, datng and returning the proxy card in the prepaid postage envelope provided. Please refer to the specifc instructons set forth in the Internet Notce.</w:t>
      </w:r>
    </w:p>
    <w:p>
      <w:pPr>
        <w:spacing w:after="0" w:line="3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In additon to votng by mail, a number of banks and brokerage frms partcipate in a program provided through Broadridge Financial Solutons, Inc. (“Broadridge”) that ofers telephone and Internet votng optons. Votes submited by telephone or by using the Internet through Broadridge’s program must be received by 11:59 p.m. Eastern Time, on June 19, 2023.</w:t>
      </w:r>
    </w:p>
    <w:p>
      <w:pPr>
        <w:spacing w:after="0" w:line="3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You also have the right to vote electronically at the Annual Meetng if you decide to atend. Our board of directors recommends that you vote by Internet, phone or mail even if you choose to atend the Annual Meetng. If you are a “stockholder of record,” you may vote your shares electronically at the Annual Meetng. If you hold your shares in “street name,” you must obtain a proxy from your broker, bank, trustee or nominee giving you the right to vote the shares electronically at the Annual Meetng or your vote at the Annual Meetng will not be counted.</w:t>
      </w:r>
    </w:p>
    <w:p>
      <w:pPr>
        <w:spacing w:after="0" w:line="315"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You will not be able to vote your shares unless you use one of the methods described above to designate a proxy or you vote electronically at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Can I revoke my proxy?</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You can revoke your proxy at any tme before it is exercised in any of the following ways:</w:t>
      </w:r>
    </w:p>
    <w:p>
      <w:pPr>
        <w:spacing w:after="0" w:line="352" w:lineRule="exact"/>
        <w:rPr>
          <w:sz w:val="20"/>
          <w:szCs w:val="20"/>
          <w:color w:val="auto"/>
        </w:rPr>
      </w:pP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votng at the Annual Meetng;</w:t>
      </w: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submitng writen notce of revocaton to the inspector of electons prior to the Annual Meetng; or</w:t>
      </w: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submitng another properly executed proxy of a later date to the inspector of electons prior to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is a quorum established at the Annual Meetng?</w:t>
      </w:r>
    </w:p>
    <w:p>
      <w:pPr>
        <w:spacing w:after="0" w:line="17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A quorum, which is a majority of the issued and outstanding shares of our common stock as of the record date of April 21, 2023, must be present, in person or by proxy, to conduct business at the Annual Meetng. A quorum is calculated based on the number of shares represented by the stockholders atending the Annual Meetng in person and by their proxy holders. If you indicate an abstenton as your votng preference for all maters to be acted upon at the Annual Meetng, your shares will be counted toward a quorum but they will not be voted on any mater. Virtual atendance at our Annual Meetng consttutes presence in person for purposes of quorum at the Annual Meetng.</w:t>
      </w:r>
    </w:p>
    <w:p>
      <w:pPr>
        <w:spacing w:after="0" w:line="297"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129</w:t>
      </w:r>
    </w:p>
    <w:p>
      <w:pPr>
        <w:sectPr>
          <w:pgSz w:w="11900" w:h="16838" w:orient="portrait"/>
          <w:cols w:equalWidth="0" w:num="1">
            <w:col w:w="10940"/>
          </w:cols>
          <w:pgMar w:left="320" w:top="471" w:right="6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Annual meetng Q&amp;A</w:t>
      </w:r>
    </w:p>
    <w:p>
      <w:pPr>
        <w:spacing w:after="0" w:line="3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is a “broker non-vote”?</w:t>
      </w:r>
    </w:p>
    <w:p>
      <w:pPr>
        <w:spacing w:after="0" w:line="19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 are the benefcial owner of shares held in “street name” by a broker, then your broker, as the record holder of the shares, must vote those shares in accordance with your instructons. If you fail to provide instructons to your broker, under the New York Stock Exchange rules (which apply to brokers even though our shares are listed on the NASDAQ Stock Market), your broker will not be authorized to vote your shares on “non-routne” proposals as described below. As a result, a “broker non-vote” occurs. However, without your instructons, your broker has discretonary authority to vote your shares with respect to “routne” proposals only.</w:t>
      </w:r>
    </w:p>
    <w:p>
      <w:pPr>
        <w:spacing w:after="0" w:line="200" w:lineRule="exact"/>
        <w:rPr>
          <w:sz w:val="20"/>
          <w:szCs w:val="20"/>
          <w:color w:val="auto"/>
        </w:rPr>
      </w:pPr>
    </w:p>
    <w:p>
      <w:pPr>
        <w:spacing w:after="0" w:line="218" w:lineRule="exact"/>
        <w:rPr>
          <w:sz w:val="20"/>
          <w:szCs w:val="20"/>
          <w:color w:val="auto"/>
        </w:rPr>
      </w:pPr>
    </w:p>
    <w:p>
      <w:pPr>
        <w:ind w:left="320" w:right="700"/>
        <w:spacing w:after="0" w:line="242" w:lineRule="auto"/>
        <w:rPr>
          <w:sz w:val="20"/>
          <w:szCs w:val="20"/>
          <w:color w:val="auto"/>
        </w:rPr>
      </w:pPr>
      <w:r>
        <w:rPr>
          <w:rFonts w:ascii="Calibri" w:cs="Calibri" w:eastAsia="Calibri" w:hAnsi="Calibri"/>
          <w:sz w:val="24"/>
          <w:szCs w:val="24"/>
          <w:color w:val="auto"/>
        </w:rPr>
        <w:t>How many votes are needed to approve each proposal and what is the efect of abstentons and/or broker non-votes?</w:t>
      </w:r>
    </w:p>
    <w:p>
      <w:pPr>
        <w:spacing w:after="0" w:line="178"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If you submit your proxy, but do not mark your votng preference, the proxy holders will vote your shares (i) FOR the electon of all seven nominees for director, (ii) FOR the ratfcaton of the appointment of our independent registered public accountng frm, (iii) FOR the approval on an advisory (non-binding) basis of the compensaton of our named executve ofcers, (iv) EVERY YEAR on the determinaton of the frequency of the vote to approve the compensaton of the named executve ofcers of the Company, (v) FOR the approval of the amendment to our Amended and Restated Certfcate of Incorporaton efectng the Stock Split (and a corresponding increase in the authorized shares), (vi) FOR the amendment to our Amended and Restated Certfcate of Incorporaton to allow removal of directors with or without cause and (vii) as described below, in the judgment of the proxy holder on any other maters properly presented at the Annual Meetng.</w:t>
      </w:r>
    </w:p>
    <w:p>
      <w:pPr>
        <w:spacing w:after="0" w:line="129"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130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720"/>
        <w:spacing w:after="0"/>
        <w:rPr>
          <w:sz w:val="20"/>
          <w:szCs w:val="20"/>
          <w:color w:val="auto"/>
        </w:rPr>
      </w:pPr>
      <w:r>
        <w:rPr>
          <w:rFonts w:ascii="Calibri" w:cs="Calibri" w:eastAsia="Calibri" w:hAnsi="Calibri"/>
          <w:sz w:val="14"/>
          <w:szCs w:val="14"/>
          <w:b w:val="1"/>
          <w:bCs w:val="1"/>
          <w:color w:val="D8D8D8"/>
        </w:rPr>
        <w:t>Annual meetng Q&amp;A</w:t>
      </w:r>
    </w:p>
    <w:p>
      <w:pPr>
        <w:spacing w:after="0" w:line="348" w:lineRule="exact"/>
        <w:rPr>
          <w:sz w:val="20"/>
          <w:szCs w:val="20"/>
          <w:color w:val="auto"/>
        </w:rPr>
      </w:pPr>
    </w:p>
    <w:p>
      <w:pPr>
        <w:jc w:val="both"/>
        <w:ind w:left="320" w:right="20"/>
        <w:spacing w:after="0" w:line="239" w:lineRule="auto"/>
        <w:rPr>
          <w:sz w:val="20"/>
          <w:szCs w:val="20"/>
          <w:color w:val="auto"/>
        </w:rPr>
      </w:pPr>
      <w:r>
        <w:rPr>
          <w:rFonts w:ascii="Calibri" w:cs="Calibri" w:eastAsia="Calibri" w:hAnsi="Calibri"/>
          <w:sz w:val="17"/>
          <w:szCs w:val="17"/>
          <w:color w:val="auto"/>
        </w:rPr>
        <w:t>The chart below summarizes, for each proposal described in this Proxy Statement, the Board’s votng recommendaton, the votng approval standard, and the efect of abstentons and broker non-votes. Virtual atendance at our Annual Meetng will consttute presence “in person” for purposes of votng at the Annual Meetng.</w:t>
      </w: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80" w:type="dxa"/>
            <w:vAlign w:val="bottom"/>
            <w:vMerge w:val="restart"/>
          </w:tcPr>
          <w:p>
            <w:pPr>
              <w:jc w:val="center"/>
              <w:spacing w:after="0"/>
              <w:rPr>
                <w:sz w:val="20"/>
                <w:szCs w:val="20"/>
                <w:color w:val="auto"/>
              </w:rPr>
            </w:pPr>
            <w:r>
              <w:rPr>
                <w:rFonts w:ascii="Calibri" w:cs="Calibri" w:eastAsia="Calibri" w:hAnsi="Calibri"/>
                <w:sz w:val="17"/>
                <w:szCs w:val="17"/>
                <w:b w:val="1"/>
                <w:bCs w:val="1"/>
                <w:color w:val="FB4E0B"/>
              </w:rPr>
              <w:t>Votng approval</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Calibri" w:cs="Calibri" w:eastAsia="Calibri" w:hAnsi="Calibri"/>
                <w:sz w:val="17"/>
                <w:szCs w:val="17"/>
                <w:b w:val="1"/>
                <w:bCs w:val="1"/>
                <w:color w:val="FB4E0B"/>
              </w:rPr>
              <w:t>Efect of</w:t>
            </w: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144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Board votng</w:t>
            </w:r>
          </w:p>
        </w:tc>
        <w:tc>
          <w:tcPr>
            <w:tcW w:w="1780" w:type="dxa"/>
            <w:vAlign w:val="bottom"/>
            <w:vMerge w:val="continue"/>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Efect of</w:t>
            </w:r>
          </w:p>
        </w:tc>
        <w:tc>
          <w:tcPr>
            <w:tcW w:w="120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Routne or</w:t>
            </w:r>
          </w:p>
        </w:tc>
        <w:tc>
          <w:tcPr>
            <w:tcW w:w="102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broker non-</w:t>
            </w:r>
          </w:p>
        </w:tc>
        <w:tc>
          <w:tcPr>
            <w:tcW w:w="0" w:type="dxa"/>
            <w:vAlign w:val="bottom"/>
          </w:tcPr>
          <w:p>
            <w:pPr>
              <w:spacing w:after="0"/>
              <w:rPr>
                <w:sz w:val="1"/>
                <w:szCs w:val="1"/>
                <w:color w:val="auto"/>
              </w:rPr>
            </w:pPr>
          </w:p>
        </w:tc>
      </w:tr>
      <w:tr>
        <w:trPr>
          <w:trHeight w:val="219"/>
        </w:trPr>
        <w:tc>
          <w:tcPr>
            <w:tcW w:w="3940" w:type="dxa"/>
            <w:vAlign w:val="bottom"/>
          </w:tcPr>
          <w:p>
            <w:pPr>
              <w:ind w:left="100"/>
              <w:spacing w:after="0"/>
              <w:rPr>
                <w:sz w:val="20"/>
                <w:szCs w:val="20"/>
                <w:color w:val="auto"/>
              </w:rPr>
            </w:pPr>
            <w:r>
              <w:rPr>
                <w:rFonts w:ascii="Calibri" w:cs="Calibri" w:eastAsia="Calibri" w:hAnsi="Calibri"/>
                <w:sz w:val="17"/>
                <w:szCs w:val="17"/>
                <w:b w:val="1"/>
                <w:bCs w:val="1"/>
                <w:color w:val="FB4E0B"/>
              </w:rPr>
              <w:t>Proposal</w:t>
            </w:r>
          </w:p>
        </w:tc>
        <w:tc>
          <w:tcPr>
            <w:tcW w:w="1440" w:type="dxa"/>
            <w:vAlign w:val="bottom"/>
          </w:tcPr>
          <w:p>
            <w:pPr>
              <w:jc w:val="center"/>
              <w:spacing w:after="0"/>
              <w:rPr>
                <w:sz w:val="20"/>
                <w:szCs w:val="20"/>
                <w:color w:val="auto"/>
              </w:rPr>
            </w:pPr>
            <w:r>
              <w:rPr>
                <w:rFonts w:ascii="Calibri" w:cs="Calibri" w:eastAsia="Calibri" w:hAnsi="Calibri"/>
                <w:sz w:val="17"/>
                <w:szCs w:val="17"/>
                <w:b w:val="1"/>
                <w:bCs w:val="1"/>
                <w:color w:val="FB4E0B"/>
              </w:rPr>
              <w:t>recommendaton</w:t>
            </w:r>
          </w:p>
        </w:tc>
        <w:tc>
          <w:tcPr>
            <w:tcW w:w="178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w w:val="98"/>
              </w:rPr>
              <w:t>standard</w:t>
            </w:r>
          </w:p>
        </w:tc>
        <w:tc>
          <w:tcPr>
            <w:tcW w:w="1240" w:type="dxa"/>
            <w:vAlign w:val="bottom"/>
          </w:tcPr>
          <w:p>
            <w:pPr>
              <w:jc w:val="center"/>
              <w:spacing w:after="0"/>
              <w:rPr>
                <w:sz w:val="20"/>
                <w:szCs w:val="20"/>
                <w:color w:val="auto"/>
              </w:rPr>
            </w:pPr>
            <w:r>
              <w:rPr>
                <w:rFonts w:ascii="Calibri" w:cs="Calibri" w:eastAsia="Calibri" w:hAnsi="Calibri"/>
                <w:sz w:val="17"/>
                <w:szCs w:val="17"/>
                <w:b w:val="1"/>
                <w:bCs w:val="1"/>
                <w:color w:val="FB4E0B"/>
              </w:rPr>
              <w:t>abstentons</w:t>
            </w:r>
            <w:r>
              <w:rPr>
                <w:rFonts w:ascii="Calibri" w:cs="Calibri" w:eastAsia="Calibri" w:hAnsi="Calibri"/>
                <w:sz w:val="13"/>
                <w:szCs w:val="13"/>
                <w:b w:val="1"/>
                <w:bCs w:val="1"/>
                <w:color w:val="FB4E0B"/>
              </w:rPr>
              <w:t>(1)</w:t>
            </w:r>
          </w:p>
        </w:tc>
        <w:tc>
          <w:tcPr>
            <w:tcW w:w="1200" w:type="dxa"/>
            <w:vAlign w:val="bottom"/>
          </w:tcPr>
          <w:p>
            <w:pPr>
              <w:jc w:val="center"/>
              <w:spacing w:after="0"/>
              <w:rPr>
                <w:sz w:val="20"/>
                <w:szCs w:val="20"/>
                <w:color w:val="auto"/>
              </w:rPr>
            </w:pPr>
            <w:r>
              <w:rPr>
                <w:rFonts w:ascii="Calibri" w:cs="Calibri" w:eastAsia="Calibri" w:hAnsi="Calibri"/>
                <w:sz w:val="17"/>
                <w:szCs w:val="17"/>
                <w:b w:val="1"/>
                <w:bCs w:val="1"/>
                <w:color w:val="FB4E0B"/>
              </w:rPr>
              <w:t>non-routne</w:t>
            </w:r>
          </w:p>
        </w:tc>
        <w:tc>
          <w:tcPr>
            <w:tcW w:w="102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vote</w:t>
            </w:r>
            <w:r>
              <w:rPr>
                <w:rFonts w:ascii="Calibri" w:cs="Calibri" w:eastAsia="Calibri" w:hAnsi="Calibri"/>
                <w:sz w:val="13"/>
                <w:szCs w:val="13"/>
                <w:b w:val="1"/>
                <w:bCs w:val="1"/>
                <w:color w:val="FB4E0B"/>
                <w:w w:val="99"/>
              </w:rPr>
              <w:t>(2)</w:t>
            </w:r>
          </w:p>
        </w:tc>
        <w:tc>
          <w:tcPr>
            <w:tcW w:w="0" w:type="dxa"/>
            <w:vAlign w:val="bottom"/>
          </w:tcPr>
          <w:p>
            <w:pPr>
              <w:spacing w:after="0"/>
              <w:rPr>
                <w:sz w:val="1"/>
                <w:szCs w:val="1"/>
                <w:color w:val="auto"/>
              </w:rPr>
            </w:pPr>
          </w:p>
        </w:tc>
      </w:tr>
      <w:tr>
        <w:trPr>
          <w:trHeight w:val="133"/>
        </w:trPr>
        <w:tc>
          <w:tcPr>
            <w:tcW w:w="3940" w:type="dxa"/>
            <w:vAlign w:val="bottom"/>
            <w:tcBorders>
              <w:bottom w:val="single" w:sz="8" w:color="FB4E0B"/>
            </w:tcBorders>
          </w:tcPr>
          <w:p>
            <w:pPr>
              <w:spacing w:after="0"/>
              <w:rPr>
                <w:sz w:val="11"/>
                <w:szCs w:val="11"/>
                <w:color w:val="auto"/>
              </w:rPr>
            </w:pPr>
          </w:p>
        </w:tc>
        <w:tc>
          <w:tcPr>
            <w:tcW w:w="1440" w:type="dxa"/>
            <w:vAlign w:val="bottom"/>
            <w:tcBorders>
              <w:bottom w:val="single" w:sz="8" w:color="FB4E0B"/>
            </w:tcBorders>
          </w:tcPr>
          <w:p>
            <w:pPr>
              <w:spacing w:after="0"/>
              <w:rPr>
                <w:sz w:val="11"/>
                <w:szCs w:val="11"/>
                <w:color w:val="auto"/>
              </w:rPr>
            </w:pPr>
          </w:p>
        </w:tc>
        <w:tc>
          <w:tcPr>
            <w:tcW w:w="1780" w:type="dxa"/>
            <w:vAlign w:val="bottom"/>
            <w:tcBorders>
              <w:bottom w:val="single" w:sz="8" w:color="FB4E0B"/>
            </w:tcBorders>
          </w:tcPr>
          <w:p>
            <w:pPr>
              <w:spacing w:after="0"/>
              <w:rPr>
                <w:sz w:val="11"/>
                <w:szCs w:val="11"/>
                <w:color w:val="auto"/>
              </w:rPr>
            </w:pPr>
          </w:p>
        </w:tc>
        <w:tc>
          <w:tcPr>
            <w:tcW w:w="1240" w:type="dxa"/>
            <w:vAlign w:val="bottom"/>
            <w:tcBorders>
              <w:bottom w:val="single" w:sz="8" w:color="FB4E0B"/>
            </w:tcBorders>
          </w:tcPr>
          <w:p>
            <w:pPr>
              <w:spacing w:after="0"/>
              <w:rPr>
                <w:sz w:val="11"/>
                <w:szCs w:val="11"/>
                <w:color w:val="auto"/>
              </w:rPr>
            </w:pPr>
          </w:p>
        </w:tc>
        <w:tc>
          <w:tcPr>
            <w:tcW w:w="1200" w:type="dxa"/>
            <w:vAlign w:val="bottom"/>
            <w:tcBorders>
              <w:bottom w:val="single" w:sz="8" w:color="FB4E0B"/>
            </w:tcBorders>
          </w:tcPr>
          <w:p>
            <w:pPr>
              <w:spacing w:after="0"/>
              <w:rPr>
                <w:sz w:val="11"/>
                <w:szCs w:val="11"/>
                <w:color w:val="auto"/>
              </w:rPr>
            </w:pPr>
          </w:p>
        </w:tc>
        <w:tc>
          <w:tcPr>
            <w:tcW w:w="10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1: Electon of directors</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 xml:space="preserve">FOR </w:t>
            </w:r>
            <w:r>
              <w:rPr>
                <w:rFonts w:ascii="Calibri" w:cs="Calibri" w:eastAsia="Calibri" w:hAnsi="Calibri"/>
                <w:sz w:val="17"/>
                <w:szCs w:val="17"/>
                <w:color w:val="auto"/>
              </w:rPr>
              <w:t>the electon of</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 a</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 efect</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No efect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each nominee</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majority of votes cast</w:t>
            </w:r>
            <w:r>
              <w:rPr>
                <w:rFonts w:ascii="Calibri" w:cs="Calibri" w:eastAsia="Calibri" w:hAnsi="Calibri"/>
                <w:sz w:val="13"/>
                <w:szCs w:val="13"/>
                <w:color w:val="auto"/>
                <w:w w:val="99"/>
              </w:rPr>
              <w:t>(3)</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2: The ratfcaton of the appointment of our</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 against</w:t>
            </w:r>
            <w:r>
              <w:rPr>
                <w:rFonts w:ascii="Calibri" w:cs="Calibri" w:eastAsia="Calibri" w:hAnsi="Calibri"/>
                <w:sz w:val="13"/>
                <w:szCs w:val="13"/>
                <w:color w:val="auto"/>
                <w:w w:val="97"/>
              </w:rPr>
              <w:t>(4)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N/A</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independent registered public accountng frm</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3: The advisory (non-binding) approval of the</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 against</w:t>
            </w:r>
            <w:r>
              <w:rPr>
                <w:rFonts w:ascii="Calibri" w:cs="Calibri" w:eastAsia="Calibri" w:hAnsi="Calibri"/>
                <w:sz w:val="13"/>
                <w:szCs w:val="13"/>
                <w:color w:val="auto"/>
                <w:w w:val="97"/>
              </w:rPr>
              <w:t>(4)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No efect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compensaton of our named executve ofcers</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4: The advisory (non-binding) vote on the frequency of</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7"/>
              </w:rPr>
              <w:t>EVERY YEAR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Majority of shares</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 against</w:t>
            </w:r>
            <w:r>
              <w:rPr>
                <w:rFonts w:ascii="Calibri" w:cs="Calibri" w:eastAsia="Calibri" w:hAnsi="Calibri"/>
                <w:sz w:val="13"/>
                <w:szCs w:val="13"/>
                <w:color w:val="auto"/>
                <w:w w:val="97"/>
              </w:rPr>
              <w:t>(4)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No efect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the say-on-pay vote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present and enttled to</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w w:val="99"/>
              </w:rPr>
              <w:t>5: The approval of an amendment to our Amended and</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 a</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 against</w:t>
            </w:r>
            <w:r>
              <w:rPr>
                <w:rFonts w:ascii="Calibri" w:cs="Calibri" w:eastAsia="Calibri" w:hAnsi="Calibri"/>
                <w:sz w:val="13"/>
                <w:szCs w:val="13"/>
                <w:color w:val="auto"/>
                <w:w w:val="97"/>
              </w:rPr>
              <w:t>(4)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rPr>
              <w:t>N/A</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Restated Certfcate of Incorporaton to efect the Stock</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majority of shares</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Split and Share Increase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outstanding</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3940" w:type="dxa"/>
            <w:vAlign w:val="bottom"/>
            <w:tcBorders>
              <w:bottom w:val="single" w:sz="8" w:color="auto"/>
              <w:right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w w:val="99"/>
              </w:rPr>
              <w:t>6: The approval of an amendment to our Amended and</w:t>
            </w:r>
          </w:p>
        </w:tc>
        <w:tc>
          <w:tcPr>
            <w:tcW w:w="14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6"/>
              </w:rPr>
              <w:t>FOR</w:t>
            </w: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Afrmatve vote of 66</w:t>
            </w:r>
          </w:p>
        </w:tc>
        <w:tc>
          <w:tcPr>
            <w:tcW w:w="12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7"/>
              </w:rPr>
              <w:t>Vote against</w:t>
            </w:r>
            <w:r>
              <w:rPr>
                <w:rFonts w:ascii="Calibri" w:cs="Calibri" w:eastAsia="Calibri" w:hAnsi="Calibri"/>
                <w:sz w:val="13"/>
                <w:szCs w:val="13"/>
                <w:color w:val="auto"/>
                <w:w w:val="97"/>
              </w:rPr>
              <w:t>(4)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Non-routne</w:t>
            </w:r>
          </w:p>
        </w:tc>
        <w:tc>
          <w:tcPr>
            <w:tcW w:w="1020" w:type="dxa"/>
            <w:vAlign w:val="bottom"/>
          </w:tcPr>
          <w:p>
            <w:pPr>
              <w:jc w:val="center"/>
              <w:spacing w:after="0"/>
              <w:rPr>
                <w:sz w:val="20"/>
                <w:szCs w:val="20"/>
                <w:color w:val="auto"/>
              </w:rPr>
            </w:pPr>
            <w:r>
              <w:rPr>
                <w:rFonts w:ascii="Calibri" w:cs="Calibri" w:eastAsia="Calibri" w:hAnsi="Calibri"/>
                <w:sz w:val="17"/>
                <w:szCs w:val="17"/>
                <w:color w:val="auto"/>
                <w:w w:val="97"/>
              </w:rPr>
              <w:t>Vote against</w:t>
            </w: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Restated Certfcate of Incorporaton to allow removal</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2/3% of the shares</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of directors with or without cause by the afrmatve</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outstanding</w:t>
            </w: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vote of holders of a majority of the total outstanding</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Borders>
              <w:right w:val="single" w:sz="8" w:color="auto"/>
            </w:tcBorders>
          </w:tcPr>
          <w:p>
            <w:pPr>
              <w:ind w:left="100"/>
              <w:spacing w:after="0"/>
              <w:rPr>
                <w:sz w:val="20"/>
                <w:szCs w:val="20"/>
                <w:color w:val="auto"/>
              </w:rPr>
            </w:pPr>
            <w:r>
              <w:rPr>
                <w:rFonts w:ascii="Calibri" w:cs="Calibri" w:eastAsia="Calibri" w:hAnsi="Calibri"/>
                <w:sz w:val="17"/>
                <w:szCs w:val="17"/>
                <w:color w:val="auto"/>
              </w:rPr>
              <w:t>shares of common stock</w:t>
            </w:r>
          </w:p>
        </w:tc>
        <w:tc>
          <w:tcPr>
            <w:tcW w:w="14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940" w:type="dxa"/>
            <w:vAlign w:val="bottom"/>
            <w:tcBorders>
              <w:bottom w:val="single" w:sz="8" w:color="FB4E0B"/>
              <w:right w:val="single" w:sz="8" w:color="auto"/>
            </w:tcBorders>
          </w:tcPr>
          <w:p>
            <w:pPr>
              <w:spacing w:after="0"/>
              <w:rPr>
                <w:sz w:val="11"/>
                <w:szCs w:val="11"/>
                <w:color w:val="auto"/>
              </w:rPr>
            </w:pPr>
          </w:p>
        </w:tc>
        <w:tc>
          <w:tcPr>
            <w:tcW w:w="1440" w:type="dxa"/>
            <w:vAlign w:val="bottom"/>
            <w:tcBorders>
              <w:bottom w:val="single" w:sz="8" w:color="FB4E0B"/>
              <w:right w:val="single" w:sz="8" w:color="auto"/>
            </w:tcBorders>
          </w:tcPr>
          <w:p>
            <w:pPr>
              <w:spacing w:after="0"/>
              <w:rPr>
                <w:sz w:val="11"/>
                <w:szCs w:val="11"/>
                <w:color w:val="auto"/>
              </w:rPr>
            </w:pPr>
          </w:p>
        </w:tc>
        <w:tc>
          <w:tcPr>
            <w:tcW w:w="1780" w:type="dxa"/>
            <w:vAlign w:val="bottom"/>
            <w:tcBorders>
              <w:bottom w:val="single" w:sz="8" w:color="FB4E0B"/>
              <w:right w:val="single" w:sz="8" w:color="auto"/>
            </w:tcBorders>
          </w:tcPr>
          <w:p>
            <w:pPr>
              <w:spacing w:after="0"/>
              <w:rPr>
                <w:sz w:val="11"/>
                <w:szCs w:val="11"/>
                <w:color w:val="auto"/>
              </w:rPr>
            </w:pPr>
          </w:p>
        </w:tc>
        <w:tc>
          <w:tcPr>
            <w:tcW w:w="1240" w:type="dxa"/>
            <w:vAlign w:val="bottom"/>
            <w:tcBorders>
              <w:bottom w:val="single" w:sz="8" w:color="FB4E0B"/>
              <w:right w:val="single" w:sz="8" w:color="auto"/>
            </w:tcBorders>
          </w:tcPr>
          <w:p>
            <w:pPr>
              <w:spacing w:after="0"/>
              <w:rPr>
                <w:sz w:val="11"/>
                <w:szCs w:val="11"/>
                <w:color w:val="auto"/>
              </w:rPr>
            </w:pPr>
          </w:p>
        </w:tc>
        <w:tc>
          <w:tcPr>
            <w:tcW w:w="1200" w:type="dxa"/>
            <w:vAlign w:val="bottom"/>
            <w:tcBorders>
              <w:bottom w:val="single" w:sz="8" w:color="FB4E0B"/>
              <w:right w:val="single" w:sz="8" w:color="auto"/>
            </w:tcBorders>
          </w:tcPr>
          <w:p>
            <w:pPr>
              <w:spacing w:after="0"/>
              <w:rPr>
                <w:sz w:val="11"/>
                <w:szCs w:val="11"/>
                <w:color w:val="auto"/>
              </w:rPr>
            </w:pPr>
          </w:p>
        </w:tc>
        <w:tc>
          <w:tcPr>
            <w:tcW w:w="10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320" w:right="60" w:hanging="4"/>
        <w:spacing w:after="0" w:line="251" w:lineRule="auto"/>
        <w:tabs>
          <w:tab w:leader="none" w:pos="494" w:val="left"/>
        </w:tabs>
        <w:numPr>
          <w:ilvl w:val="0"/>
          <w:numId w:val="54"/>
        </w:numPr>
        <w:rPr>
          <w:rFonts w:ascii="Calibri" w:cs="Calibri" w:eastAsia="Calibri" w:hAnsi="Calibri"/>
          <w:sz w:val="13"/>
          <w:szCs w:val="13"/>
          <w:color w:val="auto"/>
        </w:rPr>
      </w:pPr>
      <w:r>
        <w:rPr>
          <w:rFonts w:ascii="Calibri" w:cs="Calibri" w:eastAsia="Calibri" w:hAnsi="Calibri"/>
          <w:sz w:val="13"/>
          <w:szCs w:val="13"/>
          <w:color w:val="auto"/>
        </w:rPr>
        <w:t>If you wish to abstain from votng on a proposal, you must indicate, or mark ABSTAIN, while votng. If a proxy is submited with no directon given, the proxies given to the proxy holders will be voted in accordance with the Board recommendatons.</w:t>
      </w:r>
    </w:p>
    <w:p>
      <w:pPr>
        <w:spacing w:after="0" w:line="146" w:lineRule="exact"/>
        <w:rPr>
          <w:rFonts w:ascii="Calibri" w:cs="Calibri" w:eastAsia="Calibri" w:hAnsi="Calibri"/>
          <w:sz w:val="13"/>
          <w:szCs w:val="13"/>
          <w:color w:val="auto"/>
        </w:rPr>
      </w:pPr>
    </w:p>
    <w:p>
      <w:pPr>
        <w:ind w:left="500" w:hanging="184"/>
        <w:spacing w:after="0"/>
        <w:tabs>
          <w:tab w:leader="none" w:pos="500" w:val="left"/>
        </w:tabs>
        <w:numPr>
          <w:ilvl w:val="0"/>
          <w:numId w:val="54"/>
        </w:numPr>
        <w:rPr>
          <w:rFonts w:ascii="Calibri" w:cs="Calibri" w:eastAsia="Calibri" w:hAnsi="Calibri"/>
          <w:sz w:val="13"/>
          <w:szCs w:val="13"/>
          <w:color w:val="auto"/>
        </w:rPr>
      </w:pPr>
      <w:r>
        <w:rPr>
          <w:rFonts w:ascii="Calibri" w:cs="Calibri" w:eastAsia="Calibri" w:hAnsi="Calibri"/>
          <w:sz w:val="13"/>
          <w:szCs w:val="13"/>
          <w:color w:val="auto"/>
        </w:rPr>
        <w:t>As discussed above under “What is a broker non-vote?,” brokers will not be enttled to vote on “non-routne” proposals unless benefcial owners provide votng instructons.</w:t>
      </w:r>
    </w:p>
    <w:p>
      <w:pPr>
        <w:spacing w:after="0" w:line="143" w:lineRule="exact"/>
        <w:rPr>
          <w:rFonts w:ascii="Calibri" w:cs="Calibri" w:eastAsia="Calibri" w:hAnsi="Calibri"/>
          <w:sz w:val="13"/>
          <w:szCs w:val="13"/>
          <w:color w:val="auto"/>
        </w:rPr>
      </w:pPr>
    </w:p>
    <w:p>
      <w:pPr>
        <w:ind w:left="320" w:right="20" w:hanging="4"/>
        <w:spacing w:after="0" w:line="254" w:lineRule="auto"/>
        <w:tabs>
          <w:tab w:leader="none" w:pos="494" w:val="left"/>
        </w:tabs>
        <w:numPr>
          <w:ilvl w:val="0"/>
          <w:numId w:val="54"/>
        </w:numPr>
        <w:rPr>
          <w:rFonts w:ascii="Calibri" w:cs="Calibri" w:eastAsia="Calibri" w:hAnsi="Calibri"/>
          <w:sz w:val="13"/>
          <w:szCs w:val="13"/>
          <w:color w:val="auto"/>
        </w:rPr>
      </w:pPr>
      <w:r>
        <w:rPr>
          <w:rFonts w:ascii="Calibri" w:cs="Calibri" w:eastAsia="Calibri" w:hAnsi="Calibri"/>
          <w:sz w:val="13"/>
          <w:szCs w:val="13"/>
          <w:color w:val="auto"/>
        </w:rPr>
        <w:t>Under our By-Laws, directors who are standing for electon at the Annual Meetng will be elected by the afrmatve vote of a majority of votes cast (meaning the number of shares voted “for” a nominee must exceed the number of shares voted “against” such nominee) by stockholders in person or represented by proxy and enttled to vote at the Annual Meetng. If any incumbent nominee for director receives a greater number of votes “against” his or her electon than votes “for” such electon, our By-laws provide that such person will tender to the board of directors his or her resignaton as a director. You may cast your vote in favor of electng all of the nominees as directors, against one or more nominees, or abstain from votng your shares.</w:t>
      </w:r>
    </w:p>
    <w:p>
      <w:pPr>
        <w:spacing w:after="0" w:line="147" w:lineRule="exact"/>
        <w:rPr>
          <w:rFonts w:ascii="Calibri" w:cs="Calibri" w:eastAsia="Calibri" w:hAnsi="Calibri"/>
          <w:sz w:val="13"/>
          <w:szCs w:val="13"/>
          <w:color w:val="auto"/>
        </w:rPr>
      </w:pPr>
    </w:p>
    <w:p>
      <w:pPr>
        <w:ind w:left="320" w:right="280" w:hanging="4"/>
        <w:spacing w:after="0" w:line="251" w:lineRule="auto"/>
        <w:tabs>
          <w:tab w:leader="none" w:pos="494" w:val="left"/>
        </w:tabs>
        <w:numPr>
          <w:ilvl w:val="0"/>
          <w:numId w:val="54"/>
        </w:numPr>
        <w:rPr>
          <w:rFonts w:ascii="Calibri" w:cs="Calibri" w:eastAsia="Calibri" w:hAnsi="Calibri"/>
          <w:sz w:val="13"/>
          <w:szCs w:val="13"/>
          <w:color w:val="auto"/>
        </w:rPr>
      </w:pPr>
      <w:r>
        <w:rPr>
          <w:rFonts w:ascii="Calibri" w:cs="Calibri" w:eastAsia="Calibri" w:hAnsi="Calibri"/>
          <w:sz w:val="13"/>
          <w:szCs w:val="13"/>
          <w:color w:val="auto"/>
        </w:rPr>
        <w:t>Under the Delaware General Corporaton Law, shares that abstain consttute shares that are present and enttled to vote and, accordingly, have the practcal efect of being voted “against” these proposals requiring a majority of shares present and enttled to vote or those based on total shares outstanding).</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Are there other maters to be acted upon at the meetng?</w:t>
      </w:r>
    </w:p>
    <w:p>
      <w:pPr>
        <w:spacing w:after="0" w:line="179" w:lineRule="exact"/>
        <w:rPr>
          <w:sz w:val="20"/>
          <w:szCs w:val="20"/>
          <w:color w:val="auto"/>
        </w:rPr>
      </w:pPr>
    </w:p>
    <w:p>
      <w:pPr>
        <w:ind w:left="320" w:right="660"/>
        <w:spacing w:after="0" w:line="239" w:lineRule="auto"/>
        <w:rPr>
          <w:sz w:val="20"/>
          <w:szCs w:val="20"/>
          <w:color w:val="auto"/>
        </w:rPr>
      </w:pPr>
      <w:r>
        <w:rPr>
          <w:rFonts w:ascii="Calibri" w:cs="Calibri" w:eastAsia="Calibri" w:hAnsi="Calibri"/>
          <w:sz w:val="17"/>
          <w:szCs w:val="17"/>
          <w:color w:val="auto"/>
        </w:rPr>
        <w:t>Our board of directors presently is not aware of any maters, other than those specifcally stated in the Notce of Annual Meetng, which are to be presented for acton at the Annual Meetng. If any mater other than those described in this Proxy Statement is</w:t>
      </w:r>
    </w:p>
    <w:p>
      <w:pPr>
        <w:spacing w:after="0" w:line="297"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131</w:t>
      </w:r>
    </w:p>
    <w:p>
      <w:pPr>
        <w:sectPr>
          <w:pgSz w:w="11900" w:h="16838" w:orient="portrait"/>
          <w:cols w:equalWidth="0" w:num="1">
            <w:col w:w="10940"/>
          </w:cols>
          <w:pgMar w:left="320" w:top="471" w:right="6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Annual meetng Q&amp;A</w:t>
      </w:r>
    </w:p>
    <w:p>
      <w:pPr>
        <w:spacing w:after="0" w:line="348"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presented at the Annual Meetng on which a vote may properly be taken, the shares represented by proxies will be voted in accordance with the judgment of the person or persons votng those shares.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about adjournments and postponements?</w:t>
      </w:r>
    </w:p>
    <w:p>
      <w:pPr>
        <w:spacing w:after="0" w:line="192"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Any acton on the items of business described above may be considered at the Annual Meetng at the tme and on the date specifed above or at any tme and date to which the Annual Meetng is properly adjourned or postponed.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pays for solicitaton of proxies?</w:t>
      </w:r>
    </w:p>
    <w:p>
      <w:pPr>
        <w:spacing w:after="0" w:line="179" w:lineRule="exact"/>
        <w:rPr>
          <w:sz w:val="20"/>
          <w:szCs w:val="20"/>
          <w:color w:val="auto"/>
        </w:rPr>
      </w:pPr>
    </w:p>
    <w:p>
      <w:pPr>
        <w:ind w:left="320"/>
        <w:spacing w:after="0" w:line="268" w:lineRule="auto"/>
        <w:rPr>
          <w:sz w:val="20"/>
          <w:szCs w:val="20"/>
          <w:color w:val="auto"/>
        </w:rPr>
      </w:pPr>
      <w:r>
        <w:rPr>
          <w:rFonts w:ascii="Calibri" w:cs="Calibri" w:eastAsia="Calibri" w:hAnsi="Calibri"/>
          <w:sz w:val="16"/>
          <w:szCs w:val="16"/>
          <w:color w:val="auto"/>
        </w:rPr>
        <w:t>We will pay the cost of printng and mailing proxy materials and postng them on the Internet. Upon request, we will reimburse brokers, dealers, banks and trustees, or their nominees, for reasonable expenses incurred by them in forwarding proxy materials to benefcial owners of shares of our common stock.</w:t>
      </w:r>
    </w:p>
    <w:p>
      <w:pPr>
        <w:spacing w:after="0" w:line="395" w:lineRule="exact"/>
        <w:rPr>
          <w:sz w:val="20"/>
          <w:szCs w:val="20"/>
          <w:color w:val="auto"/>
        </w:rPr>
      </w:pPr>
    </w:p>
    <w:p>
      <w:pPr>
        <w:ind w:left="320" w:right="380"/>
        <w:spacing w:after="0" w:line="242" w:lineRule="auto"/>
        <w:rPr>
          <w:sz w:val="20"/>
          <w:szCs w:val="20"/>
          <w:color w:val="auto"/>
        </w:rPr>
      </w:pPr>
      <w:r>
        <w:rPr>
          <w:rFonts w:ascii="Calibri" w:cs="Calibri" w:eastAsia="Calibri" w:hAnsi="Calibri"/>
          <w:sz w:val="24"/>
          <w:szCs w:val="24"/>
          <w:color w:val="auto"/>
        </w:rPr>
        <w:t>How can I atend the Annual Meetng and why is the Company holding the Annual Meetng in a virtual only format?</w:t>
      </w:r>
    </w:p>
    <w:p>
      <w:pPr>
        <w:spacing w:after="0" w:line="178"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As we have done in recent years, we will hold a virtual Annual Meetng rather than a meetng at any physical locaton. We believe that holding a meetng in a virtual format provides an opportunity for broader stockholder partcipaton.</w:t>
      </w:r>
    </w:p>
    <w:p>
      <w:pPr>
        <w:spacing w:after="0" w:line="3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To atend and partcipate in the Virtual Annual Meetng, stockholders will need to access the live audio webcast of the meetng. To do so, stockholders of record will need to visit www.virtualshareholdermeetng.com/EXLS2023 and use their 16-digit Control Numbers provided in the Internet Notce to log in to this website, and benefcial owners of shares held in street name will need to follow the instructons provided by the broker, bank or other nominee that holds their shares. We encourage stockholders to log in to this website and access the webcast before the Annual Meetng’s start tme. Further instructons on how to atend, partcipate in and vote at the Annual Meetng, including how to demonstrate your ownership of our stock as of the record date, are available at www.virtualshareholdermeetng.com/EXLS2023. Please note you will only be able to atend, partcipate and vote in the meetng using this website. All references to atending the Annual Meetng “in person” in this Proxy Statement shall mean atending the live webcast at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do I submit questons at the Annual Meetng?</w:t>
      </w:r>
    </w:p>
    <w:p>
      <w:pPr>
        <w:spacing w:after="0" w:line="1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are commited to ensuring that our stockholders will be aforded the same rights and opportunites to partcipate in a virtual Annual Meetng as they would at a meetng held at a physical locaton. You will be able to submit questons during our Annual Meetng by visitng www.virtualshareholdermeetng.com/EXLS2023. We will try to answer as many stockholder-submited questons as tme permits that comply with the meetng rules of conduct as determined by the chair of the meetng. However, we reserve the right to edit profanity or other inappropriate language, or to exclude questons that are not pertnent to meetng</w:t>
      </w:r>
    </w:p>
    <w:p>
      <w:pPr>
        <w:spacing w:after="0" w:line="128"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132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920"/>
          </w:cols>
          <w:pgMar w:left="320" w:top="471" w:right="6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Annual meetng Q&amp;A</w:t>
      </w:r>
    </w:p>
    <w:p>
      <w:pPr>
        <w:spacing w:after="0" w:line="348"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maters or that are otherwise inappropriate. If we receive substantally similar questons, we will group such questons together and provide a single response to avoid repetton.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Will the Annual Meetng be recorded?</w:t>
      </w:r>
    </w:p>
    <w:p>
      <w:pPr>
        <w:spacing w:after="0" w:line="1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recording of the Annual Meetng will be available online at htp://ir.exlservice.com for approximately 12 months following the meetng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if I have technical difcultes or trouble accessing the virtual Annual Meetng?</w:t>
      </w:r>
    </w:p>
    <w:p>
      <w:pPr>
        <w:spacing w:after="0" w:line="179"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We will have technicians ready to assist you with any technical difcultes you may have accessing the live webcast of the Annual Meetng. A technical support phone number will be posted on www.virtualshareholdermeetng.com/EXLS2023 that you may call if you experience technical difcultes during the check-in process or during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if I have further questons?</w:t>
      </w:r>
    </w:p>
    <w:p>
      <w:pPr>
        <w:spacing w:after="0" w:line="179" w:lineRule="exact"/>
        <w:rPr>
          <w:sz w:val="20"/>
          <w:szCs w:val="20"/>
          <w:color w:val="auto"/>
        </w:rPr>
      </w:pPr>
    </w:p>
    <w:p>
      <w:pPr>
        <w:ind w:left="320" w:right="560"/>
        <w:spacing w:after="0" w:line="239" w:lineRule="auto"/>
        <w:rPr>
          <w:sz w:val="20"/>
          <w:szCs w:val="20"/>
          <w:color w:val="auto"/>
        </w:rPr>
      </w:pPr>
      <w:r>
        <w:rPr>
          <w:rFonts w:ascii="Calibri" w:cs="Calibri" w:eastAsia="Calibri" w:hAnsi="Calibri"/>
          <w:sz w:val="17"/>
          <w:szCs w:val="17"/>
          <w:color w:val="auto"/>
        </w:rPr>
        <w:t>If you have any further questons about votng your shares or atending the Annual Meetng, please call our Investor Relatons Department at (212) 624-5913 or email at ir@exlservice.com.</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Important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Please promptly vote and submit your proxy before the Annual Meetng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This will not limit your right to atend or vote at the Annual Meetng.</w:t>
      </w:r>
    </w:p>
    <w:p>
      <w:pPr>
        <w:spacing w:after="0" w:line="296"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133</w:t>
      </w:r>
    </w:p>
    <w:p>
      <w:pPr>
        <w:sectPr>
          <w:pgSz w:w="11900" w:h="16838" w:orient="portrait"/>
          <w:cols w:equalWidth="0" w:num="1">
            <w:col w:w="10940"/>
          </w:cols>
          <w:pgMar w:left="320" w:top="471" w:right="6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Other maters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Other maters</w:t>
      </w:r>
    </w:p>
    <w:p>
      <w:pPr>
        <w:spacing w:after="0" w:line="33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board of directors does not know of any other business that will be presented at the Annual Meetng. If any other business is properly brought before the Annual Meetng, your proxy holders will vote on it as they think best unless you direct them otherwise in your proxy instructons.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intend to be present at the Annual Meetng, we urge you to submit your signed proxy promptly.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858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Executve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28, 2023</w:t>
      </w:r>
    </w:p>
    <w:p>
      <w:pPr>
        <w:spacing w:after="0" w:line="314" w:lineRule="exact"/>
        <w:rPr>
          <w:sz w:val="20"/>
          <w:szCs w:val="20"/>
          <w:color w:val="auto"/>
        </w:rPr>
      </w:pPr>
    </w:p>
    <w:p>
      <w:pPr>
        <w:ind w:left="320" w:right="120"/>
        <w:spacing w:after="0"/>
        <w:rPr>
          <w:sz w:val="20"/>
          <w:szCs w:val="20"/>
          <w:color w:val="auto"/>
        </w:rPr>
      </w:pPr>
      <w:r>
        <w:rPr>
          <w:rFonts w:ascii="Calibri" w:cs="Calibri" w:eastAsia="Calibri" w:hAnsi="Calibri"/>
          <w:sz w:val="17"/>
          <w:szCs w:val="17"/>
          <w:b w:val="1"/>
          <w:bCs w:val="1"/>
          <w:color w:val="auto"/>
        </w:rPr>
        <w:t>We will furnish without charge to each person whose proxy is being solicited, upon the writen request of any such person, a copy of the 2022 Form 10-K, as fled with the SEC, as well as copies of exhibits to the 2022 Form 10-K, but for copies of exhibits will charge a reasonable fee per page to any requestng stockholder. Stockholders may make such request in writng to ExlService Holdings, Inc., 320 Park Avenue, 29th Floor, New York, New York 10022, Atenton: Investor Relatons. The request must include a representaton by the stockholder that as of April 21, 2023, the stockholder was enttled to vote at the Annual Meetng.</w:t>
      </w:r>
    </w:p>
    <w:p>
      <w:pPr>
        <w:spacing w:after="0" w:line="128" w:lineRule="exact"/>
        <w:rPr>
          <w:sz w:val="20"/>
          <w:szCs w:val="20"/>
          <w:color w:val="auto"/>
        </w:rPr>
      </w:pPr>
    </w:p>
    <w:p>
      <w:pPr>
        <w:ind w:left="420"/>
        <w:spacing w:after="0"/>
        <w:tabs>
          <w:tab w:leader="none" w:pos="1020" w:val="left"/>
          <w:tab w:leader="none" w:pos="1380" w:val="left"/>
        </w:tabs>
        <w:rPr>
          <w:sz w:val="20"/>
          <w:szCs w:val="20"/>
          <w:color w:val="auto"/>
        </w:rPr>
      </w:pPr>
      <w:r>
        <w:rPr>
          <w:rFonts w:ascii="Calibri" w:cs="Calibri" w:eastAsia="Calibri" w:hAnsi="Calibri"/>
          <w:sz w:val="17"/>
          <w:szCs w:val="17"/>
          <w:b w:val="1"/>
          <w:bCs w:val="1"/>
          <w:color w:val="auto"/>
        </w:rPr>
        <w:t>134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2023 Proxy Statement</w:t>
      </w:r>
    </w:p>
    <w:p>
      <w:pPr>
        <w:sectPr>
          <w:pgSz w:w="11900" w:h="16838" w:orient="portrait"/>
          <w:cols w:equalWidth="0" w:num="1">
            <w:col w:w="10860"/>
          </w:cols>
          <w:pgMar w:left="320" w:top="471" w:right="7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Annex A</w:t>
      </w: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CERTIFICATE OF AMENDMENT</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TO AMENDED AND RESTATED CERTIFICATE OF INCORPORATION</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OF</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EXLSERVICE HOLDINGS, INC.</w:t>
      </w:r>
    </w:p>
    <w:p>
      <w:pPr>
        <w:spacing w:after="0" w:line="218"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I, the undersigned, being the ofcer designated by the board of directors to execute this Certfcate of Amendment to the Amended and Restated Certfcate of Incorporaton, as amended (the “Amended and Restated Certfcate of Incorporaton”), of ExlService Holdings, Inc. (the “Corporaton”), a corporaton organized and existng under and by virtue of the General Corporaton Law of the State of Delaware do hereby certfy:</w:t>
      </w:r>
    </w:p>
    <w:p>
      <w:pPr>
        <w:spacing w:after="0" w:line="317"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b w:val="1"/>
          <w:bCs w:val="1"/>
          <w:color w:val="auto"/>
        </w:rPr>
        <w:t xml:space="preserve">FIRST: </w:t>
      </w:r>
      <w:r>
        <w:rPr>
          <w:rFonts w:ascii="Calibri" w:cs="Calibri" w:eastAsia="Calibri" w:hAnsi="Calibri"/>
          <w:sz w:val="17"/>
          <w:szCs w:val="17"/>
          <w:color w:val="auto"/>
        </w:rPr>
        <w:t>By unanimous writen consent of the Corporaton’s Board of Directors, resolutons were duly adopted setng forth a proposed amendment to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Amended and Restated Certfcate of Incorporaton, declaring said amendment to be advisable and directng that the amendment be considered at the next annual meetng of the stockholders of the Corporaton.</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amendments to the Amended and Restated Certfcate of Incorporaton as set forth in such resolutons, are as follows: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1. </w:t>
      </w:r>
      <w:r>
        <w:rPr>
          <w:rFonts w:ascii="Calibri" w:cs="Calibri" w:eastAsia="Calibri" w:hAnsi="Calibri"/>
          <w:sz w:val="17"/>
          <w:szCs w:val="17"/>
          <w:u w:val="single" w:color="auto"/>
          <w:color w:val="auto"/>
        </w:rPr>
        <w:t>Secton 4.1</w:t>
      </w:r>
      <w:r>
        <w:rPr>
          <w:rFonts w:ascii="Calibri" w:cs="Calibri" w:eastAsia="Calibri" w:hAnsi="Calibri"/>
          <w:sz w:val="17"/>
          <w:szCs w:val="17"/>
          <w:color w:val="auto"/>
        </w:rPr>
        <w:t xml:space="preserve"> of the Amended and Restated Certfcate of Incorporaton is hereby amended and restated in its entrety to read as follows:</w:t>
      </w:r>
    </w:p>
    <w:p>
      <w:pPr>
        <w:spacing w:after="0" w:line="314" w:lineRule="exact"/>
        <w:rPr>
          <w:sz w:val="20"/>
          <w:szCs w:val="20"/>
          <w:color w:val="auto"/>
        </w:rPr>
      </w:pPr>
    </w:p>
    <w:p>
      <w:pPr>
        <w:ind w:left="740" w:right="180" w:firstLine="407"/>
        <w:spacing w:after="0" w:line="260" w:lineRule="auto"/>
        <w:rPr>
          <w:sz w:val="20"/>
          <w:szCs w:val="20"/>
          <w:color w:val="auto"/>
        </w:rPr>
      </w:pPr>
      <w:r>
        <w:rPr>
          <w:rFonts w:ascii="Calibri" w:cs="Calibri" w:eastAsia="Calibri" w:hAnsi="Calibri"/>
          <w:sz w:val="16"/>
          <w:szCs w:val="16"/>
          <w:color w:val="auto"/>
        </w:rPr>
        <w:t xml:space="preserve">“4.1 </w:t>
      </w:r>
      <w:r>
        <w:rPr>
          <w:rFonts w:ascii="Calibri" w:cs="Calibri" w:eastAsia="Calibri" w:hAnsi="Calibri"/>
          <w:sz w:val="16"/>
          <w:szCs w:val="16"/>
          <w:u w:val="single" w:color="auto"/>
          <w:color w:val="auto"/>
        </w:rPr>
        <w:t>Number of Shares</w:t>
      </w:r>
      <w:r>
        <w:rPr>
          <w:rFonts w:ascii="Calibri" w:cs="Calibri" w:eastAsia="Calibri" w:hAnsi="Calibri"/>
          <w:sz w:val="16"/>
          <w:szCs w:val="16"/>
          <w:color w:val="auto"/>
        </w:rPr>
        <w:t>. The Corporaton is authorized to issue two classes of stock to be designated, respectvely, “Common Stock” and “Preferred Stock.” The total number of shares of all classes of stock which the Corporaton shall have authority to issue is 290,000,000 shares, consistng of (i) 275,000,000 shares of Common Stock, $0.001 par value per share (“</w:t>
      </w:r>
      <w:r>
        <w:rPr>
          <w:rFonts w:ascii="Calibri" w:cs="Calibri" w:eastAsia="Calibri" w:hAnsi="Calibri"/>
          <w:sz w:val="16"/>
          <w:szCs w:val="16"/>
          <w:u w:val="single" w:color="auto"/>
          <w:color w:val="auto"/>
        </w:rPr>
        <w:t>Common Stock</w:t>
      </w:r>
      <w:r>
        <w:rPr>
          <w:rFonts w:ascii="Calibri" w:cs="Calibri" w:eastAsia="Calibri" w:hAnsi="Calibri"/>
          <w:sz w:val="16"/>
          <w:szCs w:val="16"/>
          <w:color w:val="auto"/>
        </w:rPr>
        <w:t>”) and (ii) 15,000,000 shares of Preferred Stock, $0.001 par value per share (“</w:t>
      </w:r>
      <w:r>
        <w:rPr>
          <w:rFonts w:ascii="Calibri" w:cs="Calibri" w:eastAsia="Calibri" w:hAnsi="Calibri"/>
          <w:sz w:val="16"/>
          <w:szCs w:val="16"/>
          <w:u w:val="single" w:color="auto"/>
          <w:color w:val="auto"/>
        </w:rPr>
        <w:t>Preferred Stock</w:t>
      </w:r>
      <w:r>
        <w:rPr>
          <w:rFonts w:ascii="Calibri" w:cs="Calibri" w:eastAsia="Calibri" w:hAnsi="Calibri"/>
          <w:sz w:val="16"/>
          <w:szCs w:val="16"/>
          <w:color w:val="auto"/>
        </w:rPr>
        <w:t>”), of which 45,833.36 are designated as Series A Preferred Stock (“</w:t>
      </w:r>
      <w:r>
        <w:rPr>
          <w:rFonts w:ascii="Calibri" w:cs="Calibri" w:eastAsia="Calibri" w:hAnsi="Calibri"/>
          <w:sz w:val="16"/>
          <w:szCs w:val="16"/>
          <w:u w:val="single" w:color="auto"/>
          <w:color w:val="auto"/>
        </w:rPr>
        <w:t>Series A Preferred Stock</w:t>
      </w:r>
      <w:r>
        <w:rPr>
          <w:rFonts w:ascii="Calibri" w:cs="Calibri" w:eastAsia="Calibri" w:hAnsi="Calibri"/>
          <w:sz w:val="16"/>
          <w:szCs w:val="16"/>
          <w:color w:val="auto"/>
        </w:rPr>
        <w:t>”).”</w:t>
      </w:r>
    </w:p>
    <w:p>
      <w:pPr>
        <w:spacing w:after="0" w:line="29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2. </w:t>
      </w:r>
      <w:r>
        <w:rPr>
          <w:rFonts w:ascii="Calibri" w:cs="Calibri" w:eastAsia="Calibri" w:hAnsi="Calibri"/>
          <w:sz w:val="17"/>
          <w:szCs w:val="17"/>
          <w:u w:val="single" w:color="auto"/>
          <w:color w:val="auto"/>
        </w:rPr>
        <w:t>Secton 4.2</w:t>
      </w:r>
      <w:r>
        <w:rPr>
          <w:rFonts w:ascii="Calibri" w:cs="Calibri" w:eastAsia="Calibri" w:hAnsi="Calibri"/>
          <w:sz w:val="17"/>
          <w:szCs w:val="17"/>
          <w:color w:val="auto"/>
        </w:rPr>
        <w:t xml:space="preserve"> of the Amended and Restated Certfcate of Incorporaton is hereby amended and restated in its entrety to read as follows:</w:t>
      </w:r>
    </w:p>
    <w:p>
      <w:pPr>
        <w:spacing w:after="0" w:line="314" w:lineRule="exact"/>
        <w:rPr>
          <w:sz w:val="20"/>
          <w:szCs w:val="20"/>
          <w:color w:val="auto"/>
        </w:rPr>
      </w:pPr>
    </w:p>
    <w:p>
      <w:pPr>
        <w:ind w:left="740" w:right="60" w:firstLine="407"/>
        <w:spacing w:after="0"/>
        <w:rPr>
          <w:sz w:val="20"/>
          <w:szCs w:val="20"/>
          <w:color w:val="auto"/>
        </w:rPr>
      </w:pPr>
      <w:r>
        <w:rPr>
          <w:rFonts w:ascii="Calibri" w:cs="Calibri" w:eastAsia="Calibri" w:hAnsi="Calibri"/>
          <w:sz w:val="17"/>
          <w:szCs w:val="17"/>
          <w:color w:val="auto"/>
        </w:rPr>
        <w:t xml:space="preserve">“4.2 </w:t>
      </w:r>
      <w:r>
        <w:rPr>
          <w:rFonts w:ascii="Calibri" w:cs="Calibri" w:eastAsia="Calibri" w:hAnsi="Calibri"/>
          <w:sz w:val="17"/>
          <w:szCs w:val="17"/>
          <w:u w:val="single" w:color="auto"/>
          <w:color w:val="auto"/>
        </w:rPr>
        <w:t>Stock Split</w:t>
      </w:r>
      <w:r>
        <w:rPr>
          <w:rFonts w:ascii="Calibri" w:cs="Calibri" w:eastAsia="Calibri" w:hAnsi="Calibri"/>
          <w:sz w:val="17"/>
          <w:szCs w:val="17"/>
          <w:color w:val="auto"/>
        </w:rPr>
        <w:t>. Without any other acton on the part of the Corporaton or any other person, efectve (the “</w:t>
      </w:r>
      <w:r>
        <w:rPr>
          <w:rFonts w:ascii="Calibri" w:cs="Calibri" w:eastAsia="Calibri" w:hAnsi="Calibri"/>
          <w:sz w:val="17"/>
          <w:szCs w:val="17"/>
          <w:u w:val="single" w:color="auto"/>
          <w:color w:val="auto"/>
        </w:rPr>
        <w:t>Efectve Time</w:t>
      </w:r>
      <w:r>
        <w:rPr>
          <w:rFonts w:ascii="Calibri" w:cs="Calibri" w:eastAsia="Calibri" w:hAnsi="Calibri"/>
          <w:sz w:val="17"/>
          <w:szCs w:val="17"/>
          <w:color w:val="auto"/>
        </w:rPr>
        <w:t>”), (i) each share of Common Stock issued and outstanding, and each share of Common Stock held as treasury stock, as of such tme (the “</w:t>
      </w:r>
      <w:r>
        <w:rPr>
          <w:rFonts w:ascii="Calibri" w:cs="Calibri" w:eastAsia="Calibri" w:hAnsi="Calibri"/>
          <w:sz w:val="17"/>
          <w:szCs w:val="17"/>
          <w:u w:val="single" w:color="auto"/>
          <w:color w:val="auto"/>
        </w:rPr>
        <w:t>Pre-Split</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Common Stock</w:t>
      </w:r>
      <w:r>
        <w:rPr>
          <w:rFonts w:ascii="Calibri" w:cs="Calibri" w:eastAsia="Calibri" w:hAnsi="Calibri"/>
          <w:sz w:val="17"/>
          <w:szCs w:val="17"/>
          <w:color w:val="auto"/>
        </w:rPr>
        <w:t>”) shall automatcally, without further acton on the part of the Corporaton or any holder of Pre-Split Common Stock, convert into fve fully paid and nonassessable shares of Common Stock, $0.001 par value per share, refectng a 5-for-1 stock split. The conversion described in the foregoing sentence shall be referred to herein as the “</w:t>
      </w:r>
      <w:r>
        <w:rPr>
          <w:rFonts w:ascii="Calibri" w:cs="Calibri" w:eastAsia="Calibri" w:hAnsi="Calibri"/>
          <w:sz w:val="17"/>
          <w:szCs w:val="17"/>
          <w:u w:val="single" w:color="auto"/>
          <w:color w:val="auto"/>
        </w:rPr>
        <w:t>Stock Split</w:t>
      </w:r>
      <w:r>
        <w:rPr>
          <w:rFonts w:ascii="Calibri" w:cs="Calibri" w:eastAsia="Calibri" w:hAnsi="Calibri"/>
          <w:sz w:val="17"/>
          <w:szCs w:val="17"/>
          <w:color w:val="auto"/>
        </w:rPr>
        <w:t>”. No script or fractonal shares of Common Stock shall be issued upon the Stock Split, and the par value of the Common Stock shall not be afected. At the Efectve Time, each holder of Common Stock shall automatcally hold the number of</w:t>
      </w:r>
    </w:p>
    <w:p>
      <w:pPr>
        <w:spacing w:after="0" w:line="200" w:lineRule="exact"/>
        <w:rPr>
          <w:sz w:val="20"/>
          <w:szCs w:val="20"/>
          <w:color w:val="auto"/>
        </w:rPr>
      </w:pPr>
    </w:p>
    <w:p>
      <w:pPr>
        <w:spacing w:after="0" w:line="305"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135</w:t>
      </w:r>
    </w:p>
    <w:p>
      <w:pPr>
        <w:sectPr>
          <w:pgSz w:w="11900" w:h="16838" w:orient="portrait"/>
          <w:cols w:equalWidth="0" w:num="1">
            <w:col w:w="10940"/>
          </w:cols>
          <w:pgMar w:left="320" w:top="471" w:right="6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348" w:lineRule="exact"/>
        <w:rPr>
          <w:sz w:val="20"/>
          <w:szCs w:val="20"/>
          <w:color w:val="auto"/>
        </w:rPr>
      </w:pPr>
    </w:p>
    <w:p>
      <w:pPr>
        <w:ind w:left="740" w:right="40"/>
        <w:spacing w:after="0"/>
        <w:rPr>
          <w:sz w:val="20"/>
          <w:szCs w:val="20"/>
          <w:color w:val="auto"/>
        </w:rPr>
      </w:pPr>
      <w:r>
        <w:rPr>
          <w:rFonts w:ascii="Calibri" w:cs="Calibri" w:eastAsia="Calibri" w:hAnsi="Calibri"/>
          <w:sz w:val="17"/>
          <w:szCs w:val="17"/>
          <w:color w:val="auto"/>
        </w:rPr>
        <w:t>Pre-Split Common Stock shares held by such holder multplied by fve. From and afer the Efectve Time, any stock certfcates that, immediately prior to the Efectve Time, represented the shares of Pre-Split Common Stock shall, from and afer the Efectve Time, automatcally and without the necessity of presentng the same for exchange, represent the number of shares of Common Stock into which such Pre-Split Common Stock has been converted in the Stock Split. Whenever any fractonal shares of Common Stock would otherwise be required to be issued or distributed, the actual issuance or distributon shall refect a rounding of such fracton to the nearest whole share of Common Stock (rounded down).”</w:t>
      </w:r>
    </w:p>
    <w:p>
      <w:pPr>
        <w:spacing w:after="0" w:line="315"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b w:val="1"/>
          <w:bCs w:val="1"/>
          <w:color w:val="auto"/>
        </w:rPr>
        <w:t xml:space="preserve">SECOND: </w:t>
      </w:r>
      <w:r>
        <w:rPr>
          <w:rFonts w:ascii="Calibri" w:cs="Calibri" w:eastAsia="Calibri" w:hAnsi="Calibri"/>
          <w:sz w:val="17"/>
          <w:szCs w:val="17"/>
          <w:color w:val="auto"/>
        </w:rPr>
        <w:t>That said amendments were duly adopted in accordance with the provisions of Secton 242 of the General Corporaton Law of the State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Delaware. The foregoing amendments shall be efectve upon fling with the Secretary of State of the State of Delaware.</w:t>
      </w:r>
    </w:p>
    <w:p>
      <w:pPr>
        <w:spacing w:after="0" w:line="315" w:lineRule="exact"/>
        <w:rPr>
          <w:sz w:val="20"/>
          <w:szCs w:val="20"/>
          <w:color w:val="auto"/>
        </w:rPr>
      </w:pPr>
    </w:p>
    <w:p>
      <w:pPr>
        <w:ind w:left="320" w:right="100" w:firstLine="425"/>
        <w:spacing w:after="0" w:line="239" w:lineRule="auto"/>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Corporaton has caused this Certfcate of Amendment to be signed by a duly authorized ofcer of the Corporaton as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this ___ day of _______, 2023.</w:t>
      </w:r>
    </w:p>
    <w:p>
      <w:pPr>
        <w:spacing w:after="0" w:line="353" w:lineRule="exact"/>
        <w:rPr>
          <w:sz w:val="20"/>
          <w:szCs w:val="20"/>
          <w:color w:val="auto"/>
        </w:rPr>
      </w:pPr>
    </w:p>
    <w:tbl>
      <w:tblPr>
        <w:tblLayout w:type="fixed"/>
        <w:tblInd w:w="420" w:type="dxa"/>
        <w:tblCellMar>
          <w:top w:w="0" w:type="dxa"/>
          <w:left w:w="0" w:type="dxa"/>
          <w:bottom w:w="0" w:type="dxa"/>
          <w:right w:w="0" w:type="dxa"/>
        </w:tblCellMar>
      </w:tblPr>
      <w:tr>
        <w:trPr>
          <w:trHeight w:val="208"/>
        </w:trPr>
        <w:tc>
          <w:tcPr>
            <w:tcW w:w="440" w:type="dxa"/>
            <w:vAlign w:val="bottom"/>
          </w:tcPr>
          <w:p>
            <w:pPr>
              <w:spacing w:after="0"/>
              <w:rPr>
                <w:sz w:val="18"/>
                <w:szCs w:val="18"/>
                <w:color w:val="auto"/>
              </w:rPr>
            </w:pPr>
          </w:p>
        </w:tc>
        <w:tc>
          <w:tcPr>
            <w:tcW w:w="10080" w:type="dxa"/>
            <w:vAlign w:val="bottom"/>
            <w:gridSpan w:val="2"/>
          </w:tcPr>
          <w:p>
            <w:pPr>
              <w:ind w:left="5840"/>
              <w:spacing w:after="0"/>
              <w:rPr>
                <w:sz w:val="20"/>
                <w:szCs w:val="20"/>
                <w:color w:val="auto"/>
              </w:rPr>
            </w:pPr>
            <w:r>
              <w:rPr>
                <w:rFonts w:ascii="Calibri" w:cs="Calibri" w:eastAsia="Calibri" w:hAnsi="Calibri"/>
                <w:sz w:val="17"/>
                <w:szCs w:val="17"/>
                <w:color w:val="auto"/>
              </w:rPr>
              <w:t>EXLSERVICE HOLDINGS, INC.</w:t>
            </w:r>
          </w:p>
        </w:tc>
        <w:tc>
          <w:tcPr>
            <w:tcW w:w="0" w:type="dxa"/>
            <w:vAlign w:val="bottom"/>
          </w:tcPr>
          <w:p>
            <w:pPr>
              <w:spacing w:after="0"/>
              <w:rPr>
                <w:sz w:val="1"/>
                <w:szCs w:val="1"/>
                <w:color w:val="auto"/>
              </w:rPr>
            </w:pPr>
          </w:p>
        </w:tc>
      </w:tr>
      <w:tr>
        <w:trPr>
          <w:trHeight w:val="416"/>
        </w:trPr>
        <w:tc>
          <w:tcPr>
            <w:tcW w:w="440" w:type="dxa"/>
            <w:vAlign w:val="bottom"/>
          </w:tcPr>
          <w:p>
            <w:pPr>
              <w:spacing w:after="0"/>
              <w:rPr>
                <w:sz w:val="24"/>
                <w:szCs w:val="24"/>
                <w:color w:val="auto"/>
              </w:rPr>
            </w:pPr>
          </w:p>
        </w:tc>
        <w:tc>
          <w:tcPr>
            <w:tcW w:w="10080" w:type="dxa"/>
            <w:vAlign w:val="bottom"/>
            <w:gridSpan w:val="2"/>
          </w:tcPr>
          <w:p>
            <w:pPr>
              <w:ind w:left="5840"/>
              <w:spacing w:after="0"/>
              <w:rPr>
                <w:sz w:val="20"/>
                <w:szCs w:val="20"/>
                <w:color w:val="auto"/>
              </w:rPr>
            </w:pPr>
            <w:r>
              <w:rPr>
                <w:rFonts w:ascii="Calibri" w:cs="Calibri" w:eastAsia="Calibri" w:hAnsi="Calibri"/>
                <w:sz w:val="17"/>
                <w:szCs w:val="17"/>
                <w:color w:val="auto"/>
              </w:rPr>
              <w:t>By:</w:t>
            </w:r>
          </w:p>
        </w:tc>
        <w:tc>
          <w:tcPr>
            <w:tcW w:w="0" w:type="dxa"/>
            <w:vAlign w:val="bottom"/>
          </w:tcPr>
          <w:p>
            <w:pPr>
              <w:spacing w:after="0"/>
              <w:rPr>
                <w:sz w:val="1"/>
                <w:szCs w:val="1"/>
                <w:color w:val="auto"/>
              </w:rPr>
            </w:pPr>
          </w:p>
        </w:tc>
      </w:tr>
      <w:tr>
        <w:trPr>
          <w:trHeight w:val="23"/>
        </w:trPr>
        <w:tc>
          <w:tcPr>
            <w:tcW w:w="440" w:type="dxa"/>
            <w:vAlign w:val="bottom"/>
          </w:tcPr>
          <w:p>
            <w:pPr>
              <w:spacing w:after="0"/>
              <w:rPr>
                <w:sz w:val="2"/>
                <w:szCs w:val="2"/>
                <w:color w:val="auto"/>
              </w:rPr>
            </w:pPr>
          </w:p>
        </w:tc>
        <w:tc>
          <w:tcPr>
            <w:tcW w:w="6340" w:type="dxa"/>
            <w:vAlign w:val="bottom"/>
            <w:vMerge w:val="restart"/>
          </w:tcPr>
          <w:p>
            <w:pPr>
              <w:ind w:left="5840"/>
              <w:spacing w:after="0"/>
              <w:rPr>
                <w:sz w:val="20"/>
                <w:szCs w:val="20"/>
                <w:color w:val="auto"/>
              </w:rPr>
            </w:pPr>
            <w:r>
              <w:rPr>
                <w:rFonts w:ascii="Calibri" w:cs="Calibri" w:eastAsia="Calibri" w:hAnsi="Calibri"/>
                <w:sz w:val="17"/>
                <w:szCs w:val="17"/>
                <w:color w:val="auto"/>
              </w:rPr>
              <w:t>Name:</w:t>
            </w: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3740" w:type="dxa"/>
            <w:vAlign w:val="bottom"/>
          </w:tcPr>
          <w:p>
            <w:pPr>
              <w:ind w:left="60"/>
              <w:spacing w:after="0" w:line="180" w:lineRule="exact"/>
              <w:rPr>
                <w:sz w:val="20"/>
                <w:szCs w:val="20"/>
                <w:color w:val="auto"/>
              </w:rPr>
            </w:pPr>
            <w:r>
              <w:rPr>
                <w:rFonts w:ascii="Calibri" w:cs="Calibri" w:eastAsia="Calibri" w:hAnsi="Calibri"/>
                <w:sz w:val="17"/>
                <w:szCs w:val="17"/>
                <w:color w:val="auto"/>
              </w:rPr>
              <w:t>Rohit Kapoor</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10080" w:type="dxa"/>
            <w:vAlign w:val="bottom"/>
            <w:gridSpan w:val="2"/>
          </w:tcPr>
          <w:p>
            <w:pPr>
              <w:ind w:left="5840"/>
              <w:spacing w:after="0" w:line="206" w:lineRule="exact"/>
              <w:rPr>
                <w:sz w:val="20"/>
                <w:szCs w:val="20"/>
                <w:color w:val="auto"/>
              </w:rPr>
            </w:pPr>
            <w:r>
              <w:rPr>
                <w:rFonts w:ascii="Calibri" w:cs="Calibri" w:eastAsia="Calibri" w:hAnsi="Calibri"/>
                <w:sz w:val="17"/>
                <w:szCs w:val="17"/>
                <w:color w:val="auto"/>
              </w:rPr>
              <w:t>Title:   Chief Executve Ofcer, Vice-Chairman and Director</w:t>
            </w:r>
          </w:p>
        </w:tc>
        <w:tc>
          <w:tcPr>
            <w:tcW w:w="0" w:type="dxa"/>
            <w:vAlign w:val="bottom"/>
          </w:tcPr>
          <w:p>
            <w:pPr>
              <w:spacing w:after="0"/>
              <w:rPr>
                <w:sz w:val="1"/>
                <w:szCs w:val="1"/>
                <w:color w:val="auto"/>
              </w:rPr>
            </w:pPr>
          </w:p>
        </w:tc>
      </w:tr>
      <w:tr>
        <w:trPr>
          <w:trHeight w:val="468"/>
        </w:trPr>
        <w:tc>
          <w:tcPr>
            <w:tcW w:w="440" w:type="dxa"/>
            <w:vAlign w:val="bottom"/>
          </w:tcPr>
          <w:p>
            <w:pPr>
              <w:jc w:val="right"/>
              <w:ind w:right="93"/>
              <w:spacing w:after="0"/>
              <w:rPr>
                <w:sz w:val="20"/>
                <w:szCs w:val="20"/>
                <w:color w:val="auto"/>
              </w:rPr>
            </w:pPr>
            <w:r>
              <w:rPr>
                <w:rFonts w:ascii="Calibri" w:cs="Calibri" w:eastAsia="Calibri" w:hAnsi="Calibri"/>
                <w:sz w:val="17"/>
                <w:szCs w:val="17"/>
                <w:b w:val="1"/>
                <w:bCs w:val="1"/>
                <w:color w:val="auto"/>
                <w:w w:val="92"/>
              </w:rPr>
              <w:t>136</w:t>
            </w:r>
          </w:p>
        </w:tc>
        <w:tc>
          <w:tcPr>
            <w:tcW w:w="10080" w:type="dxa"/>
            <w:vAlign w:val="bottom"/>
            <w:gridSpan w:val="2"/>
          </w:tcPr>
          <w:p>
            <w:pPr>
              <w:ind w:left="18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2023 Proxy Statement</w:t>
            </w:r>
          </w:p>
        </w:tc>
        <w:tc>
          <w:tcPr>
            <w:tcW w:w="0" w:type="dxa"/>
            <w:vAlign w:val="bottom"/>
          </w:tcPr>
          <w:p>
            <w:pPr>
              <w:spacing w:after="0"/>
              <w:rPr>
                <w:sz w:val="1"/>
                <w:szCs w:val="1"/>
                <w:color w:val="auto"/>
              </w:rPr>
            </w:pPr>
          </w:p>
        </w:tc>
      </w:tr>
    </w:tbl>
    <w:p>
      <w:pPr>
        <w:sectPr>
          <w:pgSz w:w="11900" w:h="16838" w:orient="portrait"/>
          <w:cols w:equalWidth="0" w:num="1">
            <w:col w:w="10940"/>
          </w:cols>
          <w:pgMar w:left="320" w:top="471"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B</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Annex B</w:t>
      </w: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CERTIFICATE OF AMENDMENT</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TO AMENDED AND RESTATED CERTIFICATE OF INCORPORATION</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OF</w:t>
      </w:r>
    </w:p>
    <w:p>
      <w:pPr>
        <w:spacing w:after="0" w:line="6" w:lineRule="exact"/>
        <w:rPr>
          <w:sz w:val="20"/>
          <w:szCs w:val="20"/>
          <w:color w:val="auto"/>
        </w:rPr>
      </w:pPr>
    </w:p>
    <w:p>
      <w:pPr>
        <w:jc w:val="center"/>
        <w:ind w:right="-319"/>
        <w:spacing w:after="0"/>
        <w:rPr>
          <w:sz w:val="20"/>
          <w:szCs w:val="20"/>
          <w:color w:val="auto"/>
        </w:rPr>
      </w:pPr>
      <w:r>
        <w:rPr>
          <w:rFonts w:ascii="Calibri" w:cs="Calibri" w:eastAsia="Calibri" w:hAnsi="Calibri"/>
          <w:sz w:val="24"/>
          <w:szCs w:val="24"/>
          <w:color w:val="auto"/>
        </w:rPr>
        <w:t>EXLSERVICE HOLDINGS, INC.</w:t>
      </w:r>
    </w:p>
    <w:p>
      <w:pPr>
        <w:spacing w:after="0" w:line="218" w:lineRule="exact"/>
        <w:rPr>
          <w:sz w:val="20"/>
          <w:szCs w:val="20"/>
          <w:color w:val="auto"/>
        </w:rPr>
      </w:pPr>
    </w:p>
    <w:p>
      <w:pPr>
        <w:ind w:left="320" w:right="380"/>
        <w:spacing w:after="0" w:line="239" w:lineRule="auto"/>
        <w:rPr>
          <w:sz w:val="20"/>
          <w:szCs w:val="20"/>
          <w:color w:val="auto"/>
        </w:rPr>
      </w:pPr>
      <w:r>
        <w:rPr>
          <w:rFonts w:ascii="Calibri" w:cs="Calibri" w:eastAsia="Calibri" w:hAnsi="Calibri"/>
          <w:sz w:val="17"/>
          <w:szCs w:val="17"/>
          <w:color w:val="auto"/>
        </w:rPr>
        <w:t>I, the undersigned, being the ofcer designated by the board of directors to execute this Certfcate of Amendment to the Amended and Restated Certfcate of Incorporaton, as amended (the “Amended and Restated Certfcate of Incorporaton”), of ExlService Holdings, Inc. (the “Corporaton”), a corporaton organized and existng under and by virtue of the General Corporaton Law of the State of Delaware do hereby certfy:</w:t>
      </w:r>
    </w:p>
    <w:p>
      <w:pPr>
        <w:spacing w:after="0" w:line="317"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b w:val="1"/>
          <w:bCs w:val="1"/>
          <w:color w:val="auto"/>
        </w:rPr>
        <w:t xml:space="preserve">FIRST: </w:t>
      </w:r>
      <w:r>
        <w:rPr>
          <w:rFonts w:ascii="Calibri" w:cs="Calibri" w:eastAsia="Calibri" w:hAnsi="Calibri"/>
          <w:sz w:val="17"/>
          <w:szCs w:val="17"/>
          <w:color w:val="auto"/>
        </w:rPr>
        <w:t>By unanimous writen consent of the Corporaton’s Board of Directors, resolutons were duly adopted setng forth a proposed amendment to the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Amended and Restated Certfcate of Incorporaton, declaring said amendment to be advisable and directng that the amendment be considered at the next annual meetng of the stockholders of the Corporaton.</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amendments to the Amended and Restated Certfcate of Incorporaton as set forth in such resolutons, is as follows: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 xml:space="preserve">1. </w:t>
      </w:r>
      <w:r>
        <w:rPr>
          <w:rFonts w:ascii="Calibri" w:cs="Calibri" w:eastAsia="Calibri" w:hAnsi="Calibri"/>
          <w:sz w:val="17"/>
          <w:szCs w:val="17"/>
          <w:u w:val="single" w:color="auto"/>
          <w:color w:val="auto"/>
        </w:rPr>
        <w:t>Secton 6.4</w:t>
      </w:r>
      <w:r>
        <w:rPr>
          <w:rFonts w:ascii="Calibri" w:cs="Calibri" w:eastAsia="Calibri" w:hAnsi="Calibri"/>
          <w:sz w:val="17"/>
          <w:szCs w:val="17"/>
          <w:color w:val="auto"/>
        </w:rPr>
        <w:t xml:space="preserve"> of the Amended and Restated Certfcate of Incorporaton, as amended, is hereby amended and restated in its entrety to read as follows:</w:t>
      </w:r>
    </w:p>
    <w:p>
      <w:pPr>
        <w:spacing w:after="0" w:line="314" w:lineRule="exact"/>
        <w:rPr>
          <w:sz w:val="20"/>
          <w:szCs w:val="20"/>
          <w:color w:val="auto"/>
        </w:rPr>
      </w:pPr>
    </w:p>
    <w:p>
      <w:pPr>
        <w:ind w:left="740" w:right="20"/>
        <w:spacing w:after="0"/>
        <w:rPr>
          <w:sz w:val="20"/>
          <w:szCs w:val="20"/>
          <w:color w:val="auto"/>
        </w:rPr>
      </w:pPr>
      <w:r>
        <w:rPr>
          <w:rFonts w:ascii="Calibri" w:cs="Calibri" w:eastAsia="Calibri" w:hAnsi="Calibri"/>
          <w:sz w:val="17"/>
          <w:szCs w:val="17"/>
          <w:color w:val="auto"/>
        </w:rPr>
        <w:t xml:space="preserve">“6.4 </w:t>
      </w:r>
      <w:r>
        <w:rPr>
          <w:rFonts w:ascii="Calibri" w:cs="Calibri" w:eastAsia="Calibri" w:hAnsi="Calibri"/>
          <w:sz w:val="17"/>
          <w:szCs w:val="17"/>
          <w:u w:val="single" w:color="auto"/>
          <w:color w:val="auto"/>
        </w:rPr>
        <w:t>Removal of Directors</w:t>
      </w:r>
      <w:r>
        <w:rPr>
          <w:rFonts w:ascii="Calibri" w:cs="Calibri" w:eastAsia="Calibri" w:hAnsi="Calibri"/>
          <w:sz w:val="17"/>
          <w:szCs w:val="17"/>
          <w:color w:val="auto"/>
        </w:rPr>
        <w:t>. Unless otherwise restricted by applicable law and except for such additonal Directors, if any, as are elected by the holders of any series of Preferred Stock as provided for or fxed pursuant to the provisions of Secton 5 hereof, any Director, or the entre Board, may be removed from ofce at any tme, with or without cause, by the afrmatve vote of at least a majority of the total votng power of the outstanding shares of capital stock of the Corporaton enttled to vote generally in the electon of Directors, votng together as a single class.”</w:t>
      </w:r>
    </w:p>
    <w:p>
      <w:pPr>
        <w:spacing w:after="0" w:line="315"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b w:val="1"/>
          <w:bCs w:val="1"/>
          <w:color w:val="auto"/>
        </w:rPr>
        <w:t xml:space="preserve">SECOND: </w:t>
      </w:r>
      <w:r>
        <w:rPr>
          <w:rFonts w:ascii="Calibri" w:cs="Calibri" w:eastAsia="Calibri" w:hAnsi="Calibri"/>
          <w:sz w:val="17"/>
          <w:szCs w:val="17"/>
          <w:color w:val="auto"/>
        </w:rPr>
        <w:t>That said amendments were duly adopted in accordance with the provisions of Secton 242 of the General Corporaton Law of the State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Delaware. The foregoing amendments shall be efectve upon fling with the Secretary of State of the State of Delaware.</w:t>
      </w:r>
    </w:p>
    <w:p>
      <w:pPr>
        <w:spacing w:after="0" w:line="315" w:lineRule="exact"/>
        <w:rPr>
          <w:sz w:val="20"/>
          <w:szCs w:val="20"/>
          <w:color w:val="auto"/>
        </w:rPr>
      </w:pPr>
    </w:p>
    <w:p>
      <w:pPr>
        <w:ind w:left="320" w:right="100" w:firstLine="425"/>
        <w:spacing w:after="0" w:line="239" w:lineRule="auto"/>
        <w:rPr>
          <w:sz w:val="20"/>
          <w:szCs w:val="20"/>
          <w:color w:val="auto"/>
        </w:rPr>
      </w:pPr>
      <w:r>
        <w:rPr>
          <w:rFonts w:ascii="Calibri" w:cs="Calibri" w:eastAsia="Calibri" w:hAnsi="Calibri"/>
          <w:sz w:val="17"/>
          <w:szCs w:val="17"/>
          <w:b w:val="1"/>
          <w:bCs w:val="1"/>
          <w:color w:val="auto"/>
        </w:rPr>
        <w:t>IN WITNESS WHEREOF</w:t>
      </w:r>
      <w:r>
        <w:rPr>
          <w:rFonts w:ascii="Calibri" w:cs="Calibri" w:eastAsia="Calibri" w:hAnsi="Calibri"/>
          <w:sz w:val="17"/>
          <w:szCs w:val="17"/>
          <w:color w:val="auto"/>
        </w:rPr>
        <w:t>, the Corporaton has caused this Certfcate of Amendment to be signed by a duly authorized ofcer of the Corporaton as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this ___ day of June, 2023.</w:t>
      </w:r>
    </w:p>
    <w:p>
      <w:pPr>
        <w:spacing w:after="0" w:line="353" w:lineRule="exact"/>
        <w:rPr>
          <w:sz w:val="20"/>
          <w:szCs w:val="20"/>
          <w:color w:val="auto"/>
        </w:rPr>
      </w:pPr>
    </w:p>
    <w:p>
      <w:pPr>
        <w:ind w:left="6700"/>
        <w:spacing w:after="0"/>
        <w:rPr>
          <w:sz w:val="20"/>
          <w:szCs w:val="20"/>
          <w:color w:val="auto"/>
        </w:rPr>
      </w:pPr>
      <w:r>
        <w:rPr>
          <w:rFonts w:ascii="Calibri" w:cs="Calibri" w:eastAsia="Calibri" w:hAnsi="Calibri"/>
          <w:sz w:val="17"/>
          <w:szCs w:val="17"/>
          <w:color w:val="auto"/>
        </w:rPr>
        <w:t>EXLSERVICE HOLDINGS, INC.</w:t>
      </w:r>
    </w:p>
    <w:p>
      <w:pPr>
        <w:spacing w:after="0" w:line="209" w:lineRule="exact"/>
        <w:rPr>
          <w:sz w:val="20"/>
          <w:szCs w:val="20"/>
          <w:color w:val="auto"/>
        </w:rPr>
      </w:pPr>
    </w:p>
    <w:p>
      <w:pPr>
        <w:ind w:left="6700"/>
        <w:spacing w:after="0"/>
        <w:rPr>
          <w:sz w:val="20"/>
          <w:szCs w:val="20"/>
          <w:color w:val="auto"/>
        </w:rPr>
      </w:pPr>
      <w:r>
        <w:rPr>
          <w:rFonts w:ascii="Calibri" w:cs="Calibri" w:eastAsia="Calibri" w:hAnsi="Calibri"/>
          <w:sz w:val="17"/>
          <w:szCs w:val="17"/>
          <w:color w:val="auto"/>
        </w:rPr>
        <w:t>By:</w:t>
      </w:r>
    </w:p>
    <w:p>
      <w:pPr>
        <w:spacing w:after="0" w:line="2" w:lineRule="exact"/>
        <w:rPr>
          <w:sz w:val="20"/>
          <w:szCs w:val="20"/>
          <w:color w:val="auto"/>
        </w:rPr>
      </w:pPr>
    </w:p>
    <w:p>
      <w:pPr>
        <w:ind w:left="6700"/>
        <w:spacing w:after="0"/>
        <w:rPr>
          <w:sz w:val="20"/>
          <w:szCs w:val="20"/>
          <w:color w:val="auto"/>
        </w:rPr>
      </w:pPr>
      <w:r>
        <w:rPr>
          <w:rFonts w:ascii="Calibri" w:cs="Calibri" w:eastAsia="Calibri" w:hAnsi="Calibri"/>
          <w:sz w:val="17"/>
          <w:szCs w:val="17"/>
          <w:color w:val="auto"/>
        </w:rPr>
        <w:t>Name: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-118110</wp:posOffset>
            </wp:positionV>
            <wp:extent cx="23710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ind w:left="6700"/>
        <w:spacing w:after="0"/>
        <w:tabs>
          <w:tab w:leader="none" w:pos="7240" w:val="left"/>
        </w:tabs>
        <w:rPr>
          <w:sz w:val="20"/>
          <w:szCs w:val="20"/>
          <w:color w:val="auto"/>
        </w:rPr>
      </w:pPr>
      <w:r>
        <w:rPr>
          <w:rFonts w:ascii="Calibri" w:cs="Calibri" w:eastAsia="Calibri" w:hAnsi="Calibri"/>
          <w:sz w:val="17"/>
          <w:szCs w:val="17"/>
          <w:color w:val="auto"/>
        </w:rPr>
        <w:t>Title:</w:t>
        <w:tab/>
        <w:t>Chief Executve Ofcer, Vice-Chairman and Director</w:t>
      </w:r>
    </w:p>
    <w:p>
      <w:pPr>
        <w:spacing w:after="0" w:line="296" w:lineRule="exact"/>
        <w:rPr>
          <w:sz w:val="20"/>
          <w:szCs w:val="20"/>
          <w:color w:val="auto"/>
        </w:rPr>
      </w:pPr>
    </w:p>
    <w:p>
      <w:pPr>
        <w:ind w:left="8060"/>
        <w:spacing w:after="0"/>
        <w:tabs>
          <w:tab w:leader="none" w:pos="10040" w:val="left"/>
          <w:tab w:leader="none" w:pos="10420" w:val="left"/>
        </w:tabs>
        <w:rPr>
          <w:sz w:val="20"/>
          <w:szCs w:val="20"/>
          <w:color w:val="auto"/>
        </w:rPr>
      </w:pPr>
      <w:r>
        <w:rPr>
          <w:rFonts w:ascii="Calibri" w:cs="Calibri" w:eastAsia="Calibri" w:hAnsi="Calibri"/>
          <w:sz w:val="13"/>
          <w:szCs w:val="13"/>
          <w:color w:val="auto"/>
        </w:rPr>
        <w:t>EXL 2023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137</w:t>
      </w:r>
    </w:p>
    <w:p>
      <w:pPr>
        <w:sectPr>
          <w:pgSz w:w="11900" w:h="16838" w:orient="portrait"/>
          <w:cols w:equalWidth="0" w:num="1">
            <w:col w:w="10940"/>
          </w:cols>
          <w:pgMar w:left="320" w:top="471" w:right="6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87649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87649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sectPr>
      <w:pgSz w:w="11900" w:h="16838" w:orient="portrait"/>
      <w:cols w:equalWidth="0" w:num="1">
        <w:col w:w="10139"/>
      </w:cols>
      <w:pgMar w:left="3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lvl w:ilvl="1">
      <w:lvlJc w:val="left"/>
      <w:lvlText w:val="\endash "/>
      <w:numFmt w:val="bullet"/>
      <w:start w:val="1"/>
    </w:lvl>
  </w:abstractNum>
  <w:abstractNum w:abstractNumId="9">
    <w:nsid w:val="6CEAF087"/>
    <w:multiLevelType w:val="hybridMultilevel"/>
    <w:lvl w:ilvl="0">
      <w:lvlJc w:val="left"/>
      <w:lvlText w:val=" "/>
      <w:numFmt w:val="bullet"/>
      <w:start w:val="1"/>
    </w:lvl>
  </w:abstractNum>
  <w:abstractNum w:abstractNumId="10">
    <w:nsid w:val="22221A70"/>
    <w:multiLevelType w:val="hybridMultilevel"/>
    <w:lvl w:ilvl="0">
      <w:lvlJc w:val="left"/>
      <w:lvlText w:val=" "/>
      <w:numFmt w:val="bullet"/>
      <w:start w:val="1"/>
    </w:lvl>
  </w:abstractNum>
  <w:abstractNum w:abstractNumId="11">
    <w:nsid w:val="4516DDE9"/>
    <w:multiLevelType w:val="hybridMultilevel"/>
    <w:lvl w:ilvl="0">
      <w:lvlJc w:val="left"/>
      <w:lvlText w:val=" "/>
      <w:numFmt w:val="bullet"/>
      <w:start w:val="1"/>
    </w:lvl>
  </w:abstractNum>
  <w:abstractNum w:abstractNumId="12">
    <w:nsid w:val="3006C83E"/>
    <w:multiLevelType w:val="hybridMultilevel"/>
    <w:lvl w:ilvl="0">
      <w:lvlJc w:val="left"/>
      <w:lvlText w:val=" "/>
      <w:numFmt w:val="bullet"/>
      <w:start w:val="1"/>
    </w:lvl>
  </w:abstractNum>
  <w:abstractNum w:abstractNumId="13">
    <w:nsid w:val="614FD4A1"/>
    <w:multiLevelType w:val="hybridMultilevel"/>
    <w:lvl w:ilvl="0">
      <w:lvlJc w:val="left"/>
      <w:lvlText w:val="(%1)"/>
      <w:numFmt w:val="lowerRoman"/>
      <w:start w:val="1"/>
    </w:lvl>
  </w:abstractNum>
  <w:abstractNum w:abstractNumId="14">
    <w:nsid w:val="419AC241"/>
    <w:multiLevelType w:val="hybridMultilevel"/>
    <w:lvl w:ilvl="0">
      <w:lvlJc w:val="left"/>
      <w:lvlText w:val="(%1)"/>
      <w:numFmt w:val="lowerRoman"/>
      <w:start w:val="4"/>
    </w:lvl>
  </w:abstractNum>
  <w:abstractNum w:abstractNumId="15">
    <w:nsid w:val="5577F8E1"/>
    <w:multiLevelType w:val="hybridMultilevel"/>
    <w:lvl w:ilvl="0">
      <w:lvlJc w:val="left"/>
      <w:lvlText w:val="1"/>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lvl w:ilvl="1">
      <w:lvlJc w:val="left"/>
      <w:lvlText w:val="\endash "/>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
      <w:numFmt w:val="bullet"/>
      <w:start w:val="1"/>
    </w:lvl>
    <w:lvl w:ilvl="1">
      <w:lvlJc w:val="left"/>
      <w:lvlText w:val="\endash "/>
      <w:numFmt w:val="bullet"/>
      <w:start w:val="1"/>
    </w:lvl>
  </w:abstractNum>
  <w:abstractNum w:abstractNumId="23">
    <w:nsid w:val="5E884ADC"/>
    <w:multiLevelType w:val="hybridMultilevel"/>
    <w:lvl w:ilvl="0">
      <w:lvlJc w:val="left"/>
      <w:lvlText w:val="\endash "/>
      <w:numFmt w:val="bullet"/>
      <w:start w:val="1"/>
    </w:lvl>
  </w:abstractNum>
  <w:abstractNum w:abstractNumId="24">
    <w:nsid w:val="51EAD36B"/>
    <w:multiLevelType w:val="hybridMultilevel"/>
    <w:lvl w:ilvl="0">
      <w:lvlJc w:val="left"/>
      <w:lvlText w:val="\endash "/>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3"/>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lvl w:ilvl="1">
      <w:lvlJc w:val="left"/>
      <w:lvlText w:val="(%2)"/>
      <w:numFmt w:val="lowerLetter"/>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lowerRoman"/>
      <w:start w:val="2"/>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lvl w:ilvl="1">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decimal"/>
      <w:start w:val="8"/>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lowerRoman"/>
      <w:start w:val="3"/>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2023-04-18T16:33:41Z</dcterms:created>
  <dcterms:modified xsi:type="dcterms:W3CDTF">2023-04-18T16:33:41Z</dcterms:modified>
</cp:coreProperties>
</file>