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2280" w:hanging="327"/>
        <w:spacing w:after="0"/>
        <w:tabs>
          <w:tab w:leader="none" w:pos="2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79" w:lineRule="exact"/>
        <w:rPr>
          <w:rFonts w:ascii="Arial" w:cs="Arial" w:eastAsia="Arial" w:hAnsi="Arial"/>
          <w:sz w:val="18"/>
          <w:szCs w:val="18"/>
          <w:color w:val="auto"/>
        </w:rPr>
      </w:pPr>
    </w:p>
    <w:p>
      <w:pPr>
        <w:jc w:val="both"/>
        <w:ind w:left="1960" w:right="8120" w:hanging="7"/>
        <w:spacing w:after="0" w:line="694" w:lineRule="auto"/>
        <w:tabs>
          <w:tab w:leader="none" w:pos="2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x Rule 13d-1(d)</w:t>
      </w:r>
    </w:p>
    <w:p>
      <w:pPr>
        <w:spacing w:after="0" w:line="15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746125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5574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 OR</w:t>
            </w:r>
          </w:p>
        </w:tc>
        <w:tc>
          <w:tcPr>
            <w:tcW w:w="318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I.R.S. IDENTIFICATION NO. OF ABOVE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Rohit Kapoor</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2,075,046</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168,000</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2,075,046</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168,000</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2,243,046</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7.1</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9"/>
        </w:trPr>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7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3 of 5 Pages</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86"/>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ExlService Holdings, Inc.</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72"/>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280 Park Avenue</w:t>
            </w:r>
          </w:p>
        </w:tc>
      </w:tr>
      <w:tr>
        <w:trPr>
          <w:trHeight w:val="230"/>
        </w:trPr>
        <w:tc>
          <w:tcPr>
            <w:tcW w:w="1020" w:type="dxa"/>
            <w:vAlign w:val="bottom"/>
          </w:tcPr>
          <w:p>
            <w:pPr>
              <w:spacing w:after="0"/>
              <w:rPr>
                <w:sz w:val="20"/>
                <w:szCs w:val="20"/>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New York, New York 10017</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486"/>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Rohit Kapoor (“Mr. Kapoor”)</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 of the Reporting Person:</w:t>
            </w:r>
          </w:p>
        </w:tc>
      </w:tr>
      <w:tr>
        <w:trPr>
          <w:trHeight w:val="472"/>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c/o ExlService Holdings, Inc.</w:t>
            </w:r>
          </w:p>
        </w:tc>
      </w:tr>
      <w:tr>
        <w:trPr>
          <w:trHeight w:val="216"/>
        </w:trPr>
        <w:tc>
          <w:tcPr>
            <w:tcW w:w="1020" w:type="dxa"/>
            <w:vAlign w:val="bottom"/>
          </w:tcPr>
          <w:p>
            <w:pPr>
              <w:spacing w:after="0"/>
              <w:rPr>
                <w:sz w:val="18"/>
                <w:szCs w:val="18"/>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280 Park Avenue</w:t>
            </w:r>
          </w:p>
        </w:tc>
      </w:tr>
      <w:tr>
        <w:trPr>
          <w:trHeight w:val="230"/>
        </w:trPr>
        <w:tc>
          <w:tcPr>
            <w:tcW w:w="1020" w:type="dxa"/>
            <w:vAlign w:val="bottom"/>
          </w:tcPr>
          <w:p>
            <w:pPr>
              <w:spacing w:after="0"/>
              <w:rPr>
                <w:sz w:val="20"/>
                <w:szCs w:val="20"/>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New York, New York 10017</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86"/>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United States of America</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86"/>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Common Stock, par value $0.001 per share (the “Common Stock”)</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color w:val="auto"/>
              </w:rPr>
              <w:t>CUSIP Number:</w:t>
            </w:r>
          </w:p>
        </w:tc>
      </w:tr>
      <w:tr>
        <w:trPr>
          <w:trHeight w:val="486"/>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302081104</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400" w:type="dxa"/>
            <w:vAlign w:val="bottom"/>
          </w:tcPr>
          <w:p>
            <w:pPr>
              <w:ind w:left="280"/>
              <w:spacing w:after="0"/>
              <w:rPr>
                <w:sz w:val="20"/>
                <w:szCs w:val="20"/>
                <w:color w:val="auto"/>
              </w:rPr>
            </w:pPr>
            <w:r>
              <w:rPr>
                <w:rFonts w:ascii="Arial" w:cs="Arial" w:eastAsia="Arial" w:hAnsi="Arial"/>
                <w:sz w:val="18"/>
                <w:szCs w:val="18"/>
                <w:color w:val="auto"/>
              </w:rPr>
              <w:t>This Schedule 13G Statement is not being filed pursuant to Rule 13d-1(b) or Rule 13d-2(b) or (c).</w:t>
            </w:r>
          </w:p>
        </w:tc>
      </w:tr>
      <w:tr>
        <w:trPr>
          <w:trHeight w:val="486"/>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0400" w:type="dxa"/>
            <w:vAlign w:val="bottom"/>
          </w:tcPr>
          <w:p>
            <w:pPr>
              <w:ind w:left="280"/>
              <w:spacing w:after="0"/>
              <w:rPr>
                <w:sz w:val="20"/>
                <w:szCs w:val="20"/>
                <w:color w:val="auto"/>
              </w:rPr>
            </w:pPr>
            <w:r>
              <w:rPr>
                <w:rFonts w:ascii="Arial" w:cs="Arial" w:eastAsia="Arial" w:hAnsi="Arial"/>
                <w:sz w:val="18"/>
                <w:szCs w:val="18"/>
                <w:color w:val="auto"/>
              </w:rPr>
              <w:t>Ownership</w:t>
            </w:r>
          </w:p>
        </w:tc>
      </w:tr>
      <w:tr>
        <w:trPr>
          <w:trHeight w:val="472"/>
        </w:trPr>
        <w:tc>
          <w:tcPr>
            <w:tcW w:w="1020" w:type="dxa"/>
            <w:vAlign w:val="bottom"/>
          </w:tcPr>
          <w:p>
            <w:pPr>
              <w:spacing w:after="0"/>
              <w:rPr>
                <w:sz w:val="24"/>
                <w:szCs w:val="24"/>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w w:val="93"/>
              </w:rPr>
              <w:t>Mr. Kapoor directly beneficially owns 1,897,912 shares of Common Stock, including 501,349 shares of Common Stock of which</w:t>
            </w:r>
          </w:p>
        </w:tc>
      </w:tr>
      <w:tr>
        <w:trPr>
          <w:trHeight w:val="216"/>
        </w:trPr>
        <w:tc>
          <w:tcPr>
            <w:tcW w:w="1020" w:type="dxa"/>
            <w:vAlign w:val="bottom"/>
          </w:tcPr>
          <w:p>
            <w:pPr>
              <w:spacing w:after="0"/>
              <w:rPr>
                <w:sz w:val="18"/>
                <w:szCs w:val="18"/>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w w:val="92"/>
              </w:rPr>
              <w:t>Mr. Kapoor has the right to acquire beneficial ownership within 60 days of December 31, 2011. In addition, Mr. Kapoor is the sole</w:t>
            </w:r>
          </w:p>
        </w:tc>
      </w:tr>
      <w:tr>
        <w:trPr>
          <w:trHeight w:val="216"/>
        </w:trPr>
        <w:tc>
          <w:tcPr>
            <w:tcW w:w="1020" w:type="dxa"/>
            <w:vAlign w:val="bottom"/>
          </w:tcPr>
          <w:p>
            <w:pPr>
              <w:spacing w:after="0"/>
              <w:rPr>
                <w:sz w:val="18"/>
                <w:szCs w:val="18"/>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w w:val="97"/>
              </w:rPr>
              <w:t>trustee of the Rohit Kapoor 2005 Grantor Retained Annuity Trust (the “Rohit Kapoor GRAT”), which directly owns 177,134</w:t>
            </w:r>
          </w:p>
        </w:tc>
      </w:tr>
      <w:tr>
        <w:trPr>
          <w:trHeight w:val="216"/>
        </w:trPr>
        <w:tc>
          <w:tcPr>
            <w:tcW w:w="1020" w:type="dxa"/>
            <w:vAlign w:val="bottom"/>
          </w:tcPr>
          <w:p>
            <w:pPr>
              <w:spacing w:after="0"/>
              <w:rPr>
                <w:sz w:val="18"/>
                <w:szCs w:val="18"/>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w w:val="90"/>
              </w:rPr>
              <w:t>shares of Common Stock. As such, Mr. Kapoor has sole dispositive and voting power over the 2,075,046 shares of Common Stock</w:t>
            </w:r>
          </w:p>
        </w:tc>
      </w:tr>
      <w:tr>
        <w:trPr>
          <w:trHeight w:val="230"/>
        </w:trPr>
        <w:tc>
          <w:tcPr>
            <w:tcW w:w="1020" w:type="dxa"/>
            <w:vAlign w:val="bottom"/>
          </w:tcPr>
          <w:p>
            <w:pPr>
              <w:spacing w:after="0"/>
              <w:rPr>
                <w:sz w:val="20"/>
                <w:szCs w:val="20"/>
                <w:color w:val="auto"/>
              </w:rPr>
            </w:pPr>
          </w:p>
        </w:tc>
        <w:tc>
          <w:tcPr>
            <w:tcW w:w="10400" w:type="dxa"/>
            <w:vAlign w:val="bottom"/>
          </w:tcPr>
          <w:p>
            <w:pPr>
              <w:ind w:left="940"/>
              <w:spacing w:after="0"/>
              <w:rPr>
                <w:sz w:val="20"/>
                <w:szCs w:val="20"/>
                <w:color w:val="auto"/>
              </w:rPr>
            </w:pPr>
            <w:r>
              <w:rPr>
                <w:rFonts w:ascii="Arial" w:cs="Arial" w:eastAsia="Arial" w:hAnsi="Arial"/>
                <w:sz w:val="18"/>
                <w:szCs w:val="18"/>
                <w:color w:val="auto"/>
              </w:rPr>
              <w:t>held by him directly and held by the Rohit Kapoor GRAT.</w:t>
            </w:r>
          </w:p>
        </w:tc>
      </w:tr>
      <w:tr>
        <w:trPr>
          <w:trHeight w:val="632"/>
        </w:trPr>
        <w:tc>
          <w:tcPr>
            <w:tcW w:w="1020" w:type="dxa"/>
            <w:vAlign w:val="bottom"/>
            <w:tcBorders>
              <w:bottom w:val="single" w:sz="8" w:color="808080"/>
            </w:tcBorders>
          </w:tcPr>
          <w:p>
            <w:pPr>
              <w:spacing w:after="0"/>
              <w:rPr>
                <w:sz w:val="24"/>
                <w:szCs w:val="24"/>
                <w:color w:val="auto"/>
              </w:rPr>
            </w:pPr>
          </w:p>
        </w:tc>
        <w:tc>
          <w:tcPr>
            <w:tcW w:w="10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4 of 5 Pages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7"/>
              </w:rPr>
              <w:t>Mr. Kapoor may be deemed to beneficially own 84,000 shares of Common Stock directly owned by the Rohit Kapoor 2005</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2"/>
              </w:rPr>
              <w:t>Spousal Lifetime Access Trust (the “Rohit Kapoor SLAT”). Mr. Kapoor’s spouse and Mr. Kapoor’s sister-in-law are co-trustees of</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4"/>
              </w:rPr>
              <w:t>the Rohit Kapoor SLAT and share dispositive and voting power over the 84,000 shares of Common Stock owned by the Rohit</w:t>
            </w:r>
          </w:p>
        </w:tc>
      </w:tr>
      <w:tr>
        <w:trPr>
          <w:trHeight w:val="230"/>
        </w:trPr>
        <w:tc>
          <w:tcPr>
            <w:tcW w:w="960" w:type="dxa"/>
            <w:vAlign w:val="bottom"/>
          </w:tcPr>
          <w:p>
            <w:pPr>
              <w:spacing w:after="0"/>
              <w:rPr>
                <w:sz w:val="20"/>
                <w:szCs w:val="20"/>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6"/>
              </w:rPr>
              <w:t>Kapoor SLAT. Mr. Kapoor disclaims beneficial ownership of any shares of Common Stock held by the Rohit Kapoor SLAT.</w:t>
            </w:r>
          </w:p>
        </w:tc>
      </w:tr>
      <w:tr>
        <w:trPr>
          <w:trHeight w:val="472"/>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5"/>
              </w:rPr>
              <w:t>Mr. Kapoor may be deemed to beneficially own 84,000 shares of Common Stock directly owned by the Shikha Kapoor 2005</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3"/>
              </w:rPr>
              <w:t>Family Trust (the “Shikha Kapoor 2005 Trust”). Mr. Kapoor and Mr. Kapoor’s sister-in-law are co-trustees of the Shikha Kapoor</w:t>
            </w:r>
          </w:p>
        </w:tc>
      </w:tr>
      <w:tr>
        <w:trPr>
          <w:trHeight w:val="216"/>
        </w:trPr>
        <w:tc>
          <w:tcPr>
            <w:tcW w:w="960" w:type="dxa"/>
            <w:vAlign w:val="bottom"/>
          </w:tcPr>
          <w:p>
            <w:pPr>
              <w:spacing w:after="0"/>
              <w:rPr>
                <w:sz w:val="18"/>
                <w:szCs w:val="18"/>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2"/>
              </w:rPr>
              <w:t>2005 Trust and share dispositive and voting power over the 84,000 shares of Common Stock owned by the Shikha Kapoor 2005</w:t>
            </w:r>
          </w:p>
        </w:tc>
      </w:tr>
      <w:tr>
        <w:trPr>
          <w:trHeight w:val="230"/>
        </w:trPr>
        <w:tc>
          <w:tcPr>
            <w:tcW w:w="960" w:type="dxa"/>
            <w:vAlign w:val="bottom"/>
          </w:tcPr>
          <w:p>
            <w:pPr>
              <w:spacing w:after="0"/>
              <w:rPr>
                <w:sz w:val="20"/>
                <w:szCs w:val="20"/>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8"/>
              </w:rPr>
              <w:t>Trust. Mr. Kapoor disclaims beneficial ownership of any shares of Common Stock held by the Shikha Kapoor 2005 Trust.</w:t>
            </w:r>
          </w:p>
        </w:tc>
      </w:tr>
      <w:tr>
        <w:trPr>
          <w:trHeight w:val="472"/>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w w:val="95"/>
              </w:rPr>
              <w:t>In aggregate, Mr. Kapoor beneficially owns 2,243,046 shares of Common Stock, which represents approximately 7.1% of the</w:t>
            </w:r>
          </w:p>
        </w:tc>
      </w:tr>
      <w:tr>
        <w:trPr>
          <w:trHeight w:val="230"/>
        </w:trPr>
        <w:tc>
          <w:tcPr>
            <w:tcW w:w="960" w:type="dxa"/>
            <w:vAlign w:val="bottom"/>
          </w:tcPr>
          <w:p>
            <w:pPr>
              <w:spacing w:after="0"/>
              <w:rPr>
                <w:sz w:val="20"/>
                <w:szCs w:val="20"/>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issued and outstanding shares of Common Stock.</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10460" w:type="dxa"/>
            <w:vAlign w:val="bottom"/>
          </w:tcPr>
          <w:p>
            <w:pPr>
              <w:ind w:left="340"/>
              <w:spacing w:after="0"/>
              <w:rPr>
                <w:sz w:val="20"/>
                <w:szCs w:val="20"/>
                <w:color w:val="auto"/>
              </w:rPr>
            </w:pPr>
            <w:r>
              <w:rPr>
                <w:rFonts w:ascii="Arial" w:cs="Arial" w:eastAsia="Arial" w:hAnsi="Arial"/>
                <w:sz w:val="18"/>
                <w:szCs w:val="18"/>
                <w:color w:val="auto"/>
              </w:rPr>
              <w:t>Ownership of Five Percent or Less of a Class</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0460" w:type="dxa"/>
            <w:vAlign w:val="bottom"/>
          </w:tcPr>
          <w:p>
            <w:pPr>
              <w:ind w:left="3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72"/>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Identification and Classification of the Subsidiary Which Acquired the Security Being Reported on By the Parent Holding Company or</w:t>
            </w:r>
          </w:p>
        </w:tc>
      </w:tr>
      <w:tr>
        <w:trPr>
          <w:trHeight w:val="230"/>
        </w:trPr>
        <w:tc>
          <w:tcPr>
            <w:tcW w:w="96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Control Person</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10460" w:type="dxa"/>
            <w:vAlign w:val="bottom"/>
          </w:tcPr>
          <w:p>
            <w:pPr>
              <w:ind w:left="34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10460" w:type="dxa"/>
            <w:vAlign w:val="bottom"/>
          </w:tcPr>
          <w:p>
            <w:pPr>
              <w:ind w:left="340"/>
              <w:spacing w:after="0"/>
              <w:rPr>
                <w:sz w:val="20"/>
                <w:szCs w:val="20"/>
                <w:color w:val="auto"/>
              </w:rPr>
            </w:pPr>
            <w:r>
              <w:rPr>
                <w:rFonts w:ascii="Arial" w:cs="Arial" w:eastAsia="Arial" w:hAnsi="Arial"/>
                <w:sz w:val="18"/>
                <w:szCs w:val="18"/>
                <w:color w:val="auto"/>
              </w:rPr>
              <w:t>Notice of Dissolution of Group</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10460" w:type="dxa"/>
            <w:vAlign w:val="bottom"/>
          </w:tcPr>
          <w:p>
            <w:pPr>
              <w:ind w:left="340"/>
              <w:spacing w:after="0"/>
              <w:rPr>
                <w:sz w:val="20"/>
                <w:szCs w:val="20"/>
                <w:color w:val="auto"/>
              </w:rPr>
            </w:pPr>
            <w:r>
              <w:rPr>
                <w:rFonts w:ascii="Arial" w:cs="Arial" w:eastAsia="Arial" w:hAnsi="Arial"/>
                <w:sz w:val="18"/>
                <w:szCs w:val="18"/>
                <w:color w:val="auto"/>
              </w:rPr>
              <w:t>Certifications</w:t>
            </w:r>
          </w:p>
        </w:tc>
      </w:tr>
      <w:tr>
        <w:trPr>
          <w:trHeight w:val="486"/>
        </w:trPr>
        <w:tc>
          <w:tcPr>
            <w:tcW w:w="960" w:type="dxa"/>
            <w:vAlign w:val="bottom"/>
          </w:tcPr>
          <w:p>
            <w:pPr>
              <w:spacing w:after="0"/>
              <w:rPr>
                <w:sz w:val="24"/>
                <w:szCs w:val="24"/>
                <w:color w:val="auto"/>
              </w:rPr>
            </w:pPr>
          </w:p>
        </w:tc>
        <w:tc>
          <w:tcPr>
            <w:tcW w:w="10460" w:type="dxa"/>
            <w:vAlign w:val="bottom"/>
          </w:tcPr>
          <w:p>
            <w:pPr>
              <w:ind w:left="1000"/>
              <w:spacing w:after="0"/>
              <w:rPr>
                <w:sz w:val="20"/>
                <w:szCs w:val="20"/>
                <w:color w:val="auto"/>
              </w:rPr>
            </w:pPr>
            <w:r>
              <w:rPr>
                <w:rFonts w:ascii="Arial" w:cs="Arial" w:eastAsia="Arial" w:hAnsi="Arial"/>
                <w:sz w:val="18"/>
                <w:szCs w:val="18"/>
                <w:color w:val="auto"/>
              </w:rPr>
              <w:t>Not Applicable</w:t>
            </w:r>
          </w:p>
        </w:tc>
      </w:tr>
      <w:tr>
        <w:trPr>
          <w:trHeight w:val="1226"/>
        </w:trPr>
        <w:tc>
          <w:tcPr>
            <w:tcW w:w="960" w:type="dxa"/>
            <w:vAlign w:val="bottom"/>
            <w:tcBorders>
              <w:bottom w:val="single" w:sz="8" w:color="808080"/>
            </w:tcBorders>
          </w:tcPr>
          <w:p>
            <w:pPr>
              <w:spacing w:after="0"/>
              <w:rPr>
                <w:sz w:val="24"/>
                <w:szCs w:val="24"/>
                <w:color w:val="auto"/>
              </w:rPr>
            </w:pPr>
          </w:p>
        </w:tc>
        <w:tc>
          <w:tcPr>
            <w:tcW w:w="10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97"/>
        </w:trPr>
        <w:tc>
          <w:tcPr>
            <w:tcW w:w="2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302081104</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13G</w:t>
            </w:r>
          </w:p>
        </w:tc>
        <w:tc>
          <w:tcPr>
            <w:tcW w:w="226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87"/>
              </w:rPr>
              <w:t>Page 5 of 5 Pages</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2012</w:t>
      </w:r>
    </w:p>
    <w:p>
      <w:pPr>
        <w:spacing w:after="0" w:line="27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1864995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4"/>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2019-12-09T17:04:22Z</dcterms:created>
  <dcterms:modified xsi:type="dcterms:W3CDTF">2019-12-09T17:04:22Z</dcterms:modified>
</cp:coreProperties>
</file>