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7829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829550"/>
                    </a:xfrm>
                    <a:prstGeom prst="rect">
                      <a:avLst/>
                    </a:prstGeom>
                    <a:noFill/>
                  </pic:spPr>
                </pic:pic>
              </a:graphicData>
            </a:graphic>
          </wp:anchor>
        </w:drawing>
      </w:r>
    </w:p>
    <w:p>
      <w:pPr>
        <w:spacing w:after="0" w:line="101" w:lineRule="exact"/>
        <w:rPr>
          <w:sz w:val="24"/>
          <w:szCs w:val="24"/>
          <w:color w:val="auto"/>
        </w:rPr>
      </w:pPr>
    </w:p>
    <w:p>
      <w:pPr>
        <w:sectPr>
          <w:pgSz w:w="11900" w:h="16930" w:orient="portrait"/>
          <w:cols w:equalWidth="0" w:num="2">
            <w:col w:w="2260" w:space="300"/>
            <w:col w:w="852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Kapoor Rohit</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320 PARK AVENUE, 29TH FLOOR</w:t>
            </w:r>
          </w:p>
        </w:tc>
      </w:tr>
      <w:tr>
        <w:trPr>
          <w:trHeight w:val="201"/>
        </w:trPr>
        <w:tc>
          <w:tcPr>
            <w:tcW w:w="20" w:type="dxa"/>
            <w:vAlign w:val="bottom"/>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ExlService Holdings,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EXLS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02/17/2024</w:t>
            </w:r>
          </w:p>
        </w:tc>
        <w:tc>
          <w:tcPr>
            <w:tcW w:w="1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200" w:type="dxa"/>
            <w:vAlign w:val="bottom"/>
            <w:gridSpan w:val="3"/>
            <w:vMerge w:val="continue"/>
          </w:tcPr>
          <w:p>
            <w:pPr>
              <w:spacing w:after="0"/>
              <w:rPr>
                <w:sz w:val="10"/>
                <w:szCs w:val="10"/>
                <w:color w:val="auto"/>
              </w:rPr>
            </w:pPr>
          </w:p>
        </w:tc>
        <w:tc>
          <w:tcPr>
            <w:tcW w:w="1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CEO &amp; Vice Chairman</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930" w:orient="portrait"/>
          <w:cols w:equalWidth="0" w:num="2">
            <w:col w:w="3740" w:space="10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86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2"/>
          </w:tcPr>
          <w:p>
            <w:pPr>
              <w:jc w:val="right"/>
              <w:ind w:right="103"/>
              <w:spacing w:after="0"/>
              <w:rPr>
                <w:sz w:val="20"/>
                <w:szCs w:val="20"/>
                <w:color w:val="auto"/>
              </w:rPr>
            </w:pPr>
            <w:r>
              <w:rPr>
                <w:rFonts w:ascii="Times New Roman" w:cs="Times New Roman" w:eastAsia="Times New Roman" w:hAnsi="Times New Roman"/>
                <w:sz w:val="17"/>
                <w:szCs w:val="17"/>
                <w:color w:val="0000FF"/>
              </w:rPr>
              <w:t>02/20/2024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29,400</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1,588,815</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53"/>
              <w:spacing w:after="0" w:line="309" w:lineRule="exact"/>
              <w:rPr>
                <w:sz w:val="20"/>
                <w:szCs w:val="20"/>
                <w:color w:val="auto"/>
              </w:rPr>
            </w:pPr>
            <w:r>
              <w:rPr>
                <w:rFonts w:ascii="Times New Roman" w:cs="Times New Roman" w:eastAsia="Times New Roman" w:hAnsi="Times New Roman"/>
                <w:sz w:val="33"/>
                <w:szCs w:val="33"/>
                <w:color w:val="0000FF"/>
                <w:w w:val="90"/>
                <w:vertAlign w:val="subscript"/>
              </w:rPr>
              <w:t>D</w:t>
            </w:r>
            <w:r>
              <w:rPr>
                <w:rFonts w:ascii="Times New Roman" w:cs="Times New Roman" w:eastAsia="Times New Roman" w:hAnsi="Times New Roman"/>
                <w:sz w:val="11"/>
                <w:szCs w:val="11"/>
                <w:color w:val="008000"/>
                <w:w w:val="90"/>
              </w:rPr>
              <w:t>(2)</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2"/>
          </w:tcPr>
          <w:p>
            <w:pPr>
              <w:jc w:val="right"/>
              <w:ind w:right="103"/>
              <w:spacing w:after="0"/>
              <w:rPr>
                <w:sz w:val="20"/>
                <w:szCs w:val="20"/>
                <w:color w:val="auto"/>
              </w:rPr>
            </w:pPr>
            <w:r>
              <w:rPr>
                <w:rFonts w:ascii="Times New Roman" w:cs="Times New Roman" w:eastAsia="Times New Roman" w:hAnsi="Times New Roman"/>
                <w:sz w:val="17"/>
                <w:szCs w:val="17"/>
                <w:color w:val="0000FF"/>
              </w:rPr>
              <w:t>02/17/2024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44,250</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1,633,065</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53"/>
              <w:spacing w:after="0" w:line="309" w:lineRule="exact"/>
              <w:rPr>
                <w:sz w:val="20"/>
                <w:szCs w:val="20"/>
                <w:color w:val="auto"/>
              </w:rPr>
            </w:pPr>
            <w:r>
              <w:rPr>
                <w:rFonts w:ascii="Times New Roman" w:cs="Times New Roman" w:eastAsia="Times New Roman" w:hAnsi="Times New Roman"/>
                <w:sz w:val="33"/>
                <w:szCs w:val="33"/>
                <w:color w:val="0000FF"/>
                <w:w w:val="90"/>
                <w:vertAlign w:val="subscript"/>
              </w:rPr>
              <w:t>D</w:t>
            </w:r>
            <w:r>
              <w:rPr>
                <w:rFonts w:ascii="Times New Roman" w:cs="Times New Roman" w:eastAsia="Times New Roman" w:hAnsi="Times New Roman"/>
                <w:sz w:val="11"/>
                <w:szCs w:val="11"/>
                <w:color w:val="008000"/>
                <w:w w:val="90"/>
              </w:rPr>
              <w:t>(2)</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885,670</w:t>
            </w:r>
          </w:p>
        </w:tc>
        <w:tc>
          <w:tcPr>
            <w:tcW w:w="280" w:type="dxa"/>
            <w:vAlign w:val="bottom"/>
          </w:tcPr>
          <w:p>
            <w:pPr>
              <w:spacing w:after="0"/>
              <w:rPr>
                <w:sz w:val="21"/>
                <w:szCs w:val="21"/>
                <w:color w:val="auto"/>
              </w:rPr>
            </w:pPr>
          </w:p>
        </w:tc>
        <w:tc>
          <w:tcPr>
            <w:tcW w:w="580" w:type="dxa"/>
            <w:vAlign w:val="bottom"/>
            <w:vMerge w:val="restart"/>
          </w:tcPr>
          <w:p>
            <w:pPr>
              <w:jc w:val="center"/>
              <w:ind w:right="253"/>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420,000</w:t>
            </w:r>
          </w:p>
        </w:tc>
        <w:tc>
          <w:tcPr>
            <w:tcW w:w="280" w:type="dxa"/>
            <w:vAlign w:val="bottom"/>
          </w:tcPr>
          <w:p>
            <w:pPr>
              <w:spacing w:after="0"/>
              <w:rPr>
                <w:sz w:val="21"/>
                <w:szCs w:val="21"/>
                <w:color w:val="auto"/>
              </w:rPr>
            </w:pPr>
          </w:p>
        </w:tc>
        <w:tc>
          <w:tcPr>
            <w:tcW w:w="580" w:type="dxa"/>
            <w:vAlign w:val="bottom"/>
            <w:vMerge w:val="restart"/>
          </w:tcPr>
          <w:p>
            <w:pPr>
              <w:jc w:val="center"/>
              <w:ind w:right="253"/>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420,000</w:t>
            </w:r>
          </w:p>
        </w:tc>
        <w:tc>
          <w:tcPr>
            <w:tcW w:w="280" w:type="dxa"/>
            <w:vAlign w:val="bottom"/>
          </w:tcPr>
          <w:p>
            <w:pPr>
              <w:spacing w:after="0"/>
              <w:rPr>
                <w:sz w:val="21"/>
                <w:szCs w:val="21"/>
                <w:color w:val="auto"/>
              </w:rPr>
            </w:pPr>
          </w:p>
        </w:tc>
        <w:tc>
          <w:tcPr>
            <w:tcW w:w="580" w:type="dxa"/>
            <w:vAlign w:val="bottom"/>
            <w:vMerge w:val="restart"/>
          </w:tcPr>
          <w:p>
            <w:pPr>
              <w:jc w:val="center"/>
              <w:ind w:right="253"/>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665,925</w:t>
            </w:r>
          </w:p>
        </w:tc>
        <w:tc>
          <w:tcPr>
            <w:tcW w:w="280" w:type="dxa"/>
            <w:vAlign w:val="bottom"/>
          </w:tcPr>
          <w:p>
            <w:pPr>
              <w:spacing w:after="0"/>
              <w:rPr>
                <w:sz w:val="21"/>
                <w:szCs w:val="21"/>
                <w:color w:val="auto"/>
              </w:rPr>
            </w:pPr>
          </w:p>
        </w:tc>
        <w:tc>
          <w:tcPr>
            <w:tcW w:w="580" w:type="dxa"/>
            <w:vAlign w:val="bottom"/>
            <w:vMerge w:val="restart"/>
          </w:tcPr>
          <w:p>
            <w:pPr>
              <w:jc w:val="center"/>
              <w:ind w:right="253"/>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201,095</w:t>
            </w:r>
          </w:p>
        </w:tc>
        <w:tc>
          <w:tcPr>
            <w:tcW w:w="280" w:type="dxa"/>
            <w:vAlign w:val="bottom"/>
          </w:tcPr>
          <w:p>
            <w:pPr>
              <w:spacing w:after="0"/>
              <w:rPr>
                <w:sz w:val="21"/>
                <w:szCs w:val="21"/>
                <w:color w:val="auto"/>
              </w:rPr>
            </w:pPr>
          </w:p>
        </w:tc>
        <w:tc>
          <w:tcPr>
            <w:tcW w:w="580" w:type="dxa"/>
            <w:vAlign w:val="bottom"/>
            <w:vMerge w:val="restart"/>
          </w:tcPr>
          <w:p>
            <w:pPr>
              <w:jc w:val="center"/>
              <w:ind w:right="253"/>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2"/>
          </w:tcPr>
          <w:p>
            <w:pPr>
              <w:jc w:val="center"/>
              <w:ind w:right="8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6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1"/>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1"/>
              </w:rPr>
              <w:t>Transaction(s)</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ind w:left="80"/>
              <w:spacing w:after="0" w:line="284"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(8)</w:t>
            </w: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29,400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02/20/2024</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29,400</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4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4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58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restart"/>
          </w:tcPr>
          <w:p>
            <w:pPr>
              <w:ind w:left="80"/>
              <w:spacing w:after="0" w:line="284"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(9)</w:t>
            </w:r>
          </w:p>
        </w:tc>
        <w:tc>
          <w:tcPr>
            <w:tcW w:w="640" w:type="dxa"/>
            <w:vAlign w:val="bottom"/>
          </w:tcPr>
          <w:p>
            <w:pPr>
              <w:jc w:val="center"/>
              <w:ind w:right="56"/>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44,250</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02/17/2024</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44,250</w:t>
            </w: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4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right"/>
              <w:ind w:right="162"/>
              <w:spacing w:after="0" w:line="142" w:lineRule="exact"/>
              <w:rPr>
                <w:sz w:val="20"/>
                <w:szCs w:val="20"/>
                <w:color w:val="auto"/>
              </w:rPr>
            </w:pPr>
            <w:r>
              <w:rPr>
                <w:rFonts w:ascii="Times New Roman" w:cs="Times New Roman" w:eastAsia="Times New Roman" w:hAnsi="Times New Roman"/>
                <w:sz w:val="13"/>
                <w:szCs w:val="13"/>
                <w:color w:val="0000FF"/>
              </w:rPr>
              <w:t>44,250</w:t>
            </w:r>
          </w:p>
        </w:tc>
        <w:tc>
          <w:tcPr>
            <w:tcW w:w="580" w:type="dxa"/>
            <w:vAlign w:val="bottom"/>
          </w:tcPr>
          <w:p>
            <w:pPr>
              <w:ind w:left="40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40"/>
        <w:spacing w:after="0"/>
        <w:rPr>
          <w:sz w:val="20"/>
          <w:szCs w:val="20"/>
          <w:color w:val="auto"/>
        </w:rPr>
      </w:pPr>
      <w:r>
        <w:rPr>
          <w:rFonts w:ascii="Times New Roman" w:cs="Times New Roman" w:eastAsia="Times New Roman" w:hAnsi="Times New Roman"/>
          <w:sz w:val="13"/>
          <w:szCs w:val="13"/>
          <w:color w:val="0000FF"/>
        </w:rPr>
        <w:t>per 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Rohit Kapoor.</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2005 GRAT.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Spousal Lifetime Access Trust.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Shikha Kapoor 2005 Family Trust.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Rohit Kapoor 2016 Family Trust</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the 2016 Kapoor Family Trust Created Under the Rohit Kapoor 2013 GRAT.</w:t>
      </w:r>
    </w:p>
    <w:p>
      <w:pPr>
        <w:spacing w:after="0" w:line="44" w:lineRule="exact"/>
        <w:rPr>
          <w:rFonts w:ascii="Times New Roman" w:cs="Times New Roman" w:eastAsia="Times New Roman" w:hAnsi="Times New Roman"/>
          <w:sz w:val="13"/>
          <w:szCs w:val="13"/>
          <w:color w:val="008000"/>
        </w:rPr>
      </w:pPr>
    </w:p>
    <w:p>
      <w:pPr>
        <w:jc w:val="both"/>
        <w:ind w:left="40" w:right="20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20, 2020, the reporting person was granted 23,520 (pre-split) restricted stock units, vesting in four equal annual installments beginning on the first anniversary of the grant date. 25 percent of the restricted stock units became vested on February 20, 2021, an additional 25 percent of the restricted stock units became vested on February 20, 2022, an additional 25 percent of the restricted stock units became vested on February 20, 2023, and the remaining balance of 25 percent of the restricted stock units became vested on February 20, 2024.</w:t>
      </w:r>
    </w:p>
    <w:p>
      <w:pPr>
        <w:spacing w:after="0" w:line="25" w:lineRule="exact"/>
        <w:rPr>
          <w:rFonts w:ascii="Times New Roman" w:cs="Times New Roman" w:eastAsia="Times New Roman" w:hAnsi="Times New Roman"/>
          <w:sz w:val="13"/>
          <w:szCs w:val="13"/>
          <w:color w:val="008000"/>
        </w:rPr>
      </w:pPr>
    </w:p>
    <w:p>
      <w:pPr>
        <w:jc w:val="both"/>
        <w:ind w:left="40" w:right="20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17, 2021, the reporting person was granted 35,400 (pre-split) restricted stock units, vesting in four equal annual installments beginning on the first anniversary of the grant date. 25 percent of the restricted stock units became vested on February 17, 2022, an additional 25 percent of the restricted stock units became vested on February 17, 2023, an additional 25 percent of the restricted stock units became vested on February 17, 2024, and the remaining balance of 25 percent of the restricted stock units will vest on February 17, 2025.</w:t>
      </w:r>
    </w:p>
    <w:p>
      <w:pPr>
        <w:sectPr>
          <w:pgSz w:w="11900" w:h="16930"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560"/>
        <w:spacing w:after="0" w:line="186"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02/21/2024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-26670</wp:posOffset>
            </wp:positionV>
            <wp:extent cx="1313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-85725</wp:posOffset>
            </wp:positionV>
            <wp:extent cx="485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2024-02-21T19:58:58Z</dcterms:created>
  <dcterms:modified xsi:type="dcterms:W3CDTF">2024-02-21T19:58:58Z</dcterms:modified>
</cp:coreProperties>
</file>