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1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18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STUDENMUND JAYNIE 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020" w:type="dxa"/>
            <w:vAlign w:val="bottom"/>
            <w:tcBorders>
              <w:top w:val="single" w:sz="8" w:color="0000EE"/>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7,060</w:t>
            </w:r>
          </w:p>
        </w:tc>
        <w:tc>
          <w:tcPr>
            <w:tcW w:w="700" w:type="dxa"/>
            <w:vAlign w:val="bottom"/>
          </w:tcPr>
          <w:p>
            <w:pPr>
              <w:spacing w:after="0"/>
              <w:rPr>
                <w:sz w:val="12"/>
                <w:szCs w:val="12"/>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54,260</w:t>
            </w:r>
            <w:r>
              <w:rPr>
                <w:rFonts w:ascii="Times New Roman" w:cs="Times New Roman" w:eastAsia="Times New Roman" w:hAnsi="Times New Roman"/>
                <w:sz w:val="21"/>
                <w:szCs w:val="21"/>
                <w:color w:val="008000"/>
                <w:vertAlign w:val="superscript"/>
              </w:rPr>
              <w:t>(3)</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7,060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has been adjusted to reflect the impact of the 5-for-1 forward stock split effective August 1,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06/24/2024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38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2024-06-24T16:20:41Z</dcterms:created>
  <dcterms:modified xsi:type="dcterms:W3CDTF">2024-06-24T16:20:41Z</dcterms:modified>
</cp:coreProperties>
</file>