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424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92710</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3"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98" w:lineRule="exact"/>
        <w:rPr>
          <w:sz w:val="24"/>
          <w:szCs w:val="24"/>
          <w:color w:val="auto"/>
        </w:rPr>
      </w:pPr>
    </w:p>
    <w:p>
      <w:pPr>
        <w:ind w:left="300" w:hanging="284"/>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SEPTEMBER 30, 2021</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23" w:lineRule="exact"/>
        <w:rPr>
          <w:sz w:val="24"/>
          <w:szCs w:val="24"/>
          <w:color w:val="auto"/>
        </w:rPr>
      </w:pPr>
    </w:p>
    <w:p>
      <w:pPr>
        <w:ind w:left="300" w:hanging="284"/>
        <w:spacing w:after="0"/>
        <w:tabs>
          <w:tab w:leader="none" w:pos="3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83" w:lineRule="exact"/>
        <w:rPr>
          <w:sz w:val="24"/>
          <w:szCs w:val="24"/>
          <w:color w:val="auto"/>
        </w:rPr>
      </w:pPr>
    </w:p>
    <w:p>
      <w:pPr>
        <w:ind w:left="3320"/>
        <w:spacing w:after="0"/>
        <w:tabs>
          <w:tab w:leader="none" w:pos="690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3895725</wp:posOffset>
            </wp:positionH>
            <wp:positionV relativeFrom="paragraph">
              <wp:posOffset>-6350</wp:posOffset>
            </wp:positionV>
            <wp:extent cx="11347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001-33089</w:t>
      </w:r>
    </w:p>
    <w:p>
      <w:pPr>
        <w:spacing w:after="0" w:line="16"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EXLSERVICE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ind w:left="32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15" w:lineRule="exact"/>
        <w:rPr>
          <w:sz w:val="24"/>
          <w:szCs w:val="24"/>
          <w:color w:val="auto"/>
        </w:rPr>
      </w:pPr>
    </w:p>
    <w:tbl>
      <w:tblPr>
        <w:tblLayout w:type="fixed"/>
        <w:tblInd w:w="33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80" w:type="dxa"/>
            <w:vAlign w:val="bottom"/>
            <w:gridSpan w:val="2"/>
          </w:tcPr>
          <w:p>
            <w:pPr>
              <w:jc w:val="center"/>
              <w:ind w:right="1340"/>
              <w:spacing w:after="0"/>
              <w:rPr>
                <w:sz w:val="20"/>
                <w:szCs w:val="20"/>
                <w:color w:val="auto"/>
              </w:rPr>
            </w:pPr>
            <w:r>
              <w:rPr>
                <w:rFonts w:ascii="Arial" w:cs="Arial" w:eastAsia="Arial" w:hAnsi="Arial"/>
                <w:sz w:val="15"/>
                <w:szCs w:val="15"/>
                <w:b w:val="1"/>
                <w:bCs w:val="1"/>
                <w:color w:val="auto"/>
                <w:w w:val="91"/>
              </w:rPr>
              <w:t>Delaware</w:t>
            </w: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2"/>
          </w:tcPr>
          <w:p>
            <w:pPr>
              <w:jc w:val="right"/>
              <w:ind w:right="1969"/>
              <w:spacing w:after="0"/>
              <w:rPr>
                <w:sz w:val="20"/>
                <w:szCs w:val="20"/>
                <w:color w:val="auto"/>
              </w:rPr>
            </w:pPr>
            <w:r>
              <w:rPr>
                <w:rFonts w:ascii="Arial" w:cs="Arial" w:eastAsia="Arial" w:hAnsi="Arial"/>
                <w:sz w:val="15"/>
                <w:szCs w:val="15"/>
                <w:b w:val="1"/>
                <w:bCs w:val="1"/>
                <w:color w:val="auto"/>
              </w:rPr>
              <w:t>82-0572194</w:t>
            </w:r>
          </w:p>
        </w:tc>
        <w:tc>
          <w:tcPr>
            <w:tcW w:w="660" w:type="dxa"/>
            <w:vAlign w:val="bottom"/>
          </w:tcPr>
          <w:p>
            <w:pPr>
              <w:spacing w:after="0"/>
              <w:rPr>
                <w:sz w:val="16"/>
                <w:szCs w:val="16"/>
                <w:color w:val="auto"/>
              </w:rPr>
            </w:pPr>
          </w:p>
        </w:tc>
      </w:tr>
      <w:tr>
        <w:trPr>
          <w:trHeight w:val="133"/>
        </w:trPr>
        <w:tc>
          <w:tcPr>
            <w:tcW w:w="1380" w:type="dxa"/>
            <w:vAlign w:val="bottom"/>
          </w:tcPr>
          <w:p>
            <w:pPr>
              <w:spacing w:after="0"/>
              <w:rPr>
                <w:sz w:val="11"/>
                <w:szCs w:val="11"/>
                <w:color w:val="auto"/>
              </w:rPr>
            </w:pPr>
          </w:p>
        </w:tc>
        <w:tc>
          <w:tcPr>
            <w:tcW w:w="3280" w:type="dxa"/>
            <w:vAlign w:val="bottom"/>
            <w:gridSpan w:val="3"/>
          </w:tcPr>
          <w:p>
            <w:pPr>
              <w:jc w:val="center"/>
              <w:ind w:right="240"/>
              <w:spacing w:after="0" w:line="133" w:lineRule="exact"/>
              <w:rPr>
                <w:sz w:val="20"/>
                <w:szCs w:val="20"/>
                <w:color w:val="auto"/>
              </w:rPr>
            </w:pPr>
            <w:r>
              <w:rPr>
                <w:rFonts w:ascii="Arial" w:cs="Arial" w:eastAsia="Arial" w:hAnsi="Arial"/>
                <w:sz w:val="13"/>
                <w:szCs w:val="13"/>
                <w:b w:val="1"/>
                <w:bCs w:val="1"/>
                <w:color w:val="auto"/>
                <w:w w:val="94"/>
              </w:rPr>
              <w:t>(State or other jurisdiction of</w:t>
            </w: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700" w:type="dxa"/>
            <w:vAlign w:val="bottom"/>
            <w:gridSpan w:val="3"/>
          </w:tcPr>
          <w:p>
            <w:pPr>
              <w:jc w:val="center"/>
              <w:ind w:right="2420"/>
              <w:spacing w:after="0" w:line="133" w:lineRule="exact"/>
              <w:rPr>
                <w:sz w:val="20"/>
                <w:szCs w:val="20"/>
                <w:color w:val="auto"/>
              </w:rPr>
            </w:pPr>
            <w:r>
              <w:rPr>
                <w:rFonts w:ascii="Arial" w:cs="Arial" w:eastAsia="Arial" w:hAnsi="Arial"/>
                <w:sz w:val="13"/>
                <w:szCs w:val="13"/>
                <w:b w:val="1"/>
                <w:bCs w:val="1"/>
                <w:color w:val="auto"/>
                <w:w w:val="96"/>
              </w:rPr>
              <w:t>(I.R.S. Employer</w:t>
            </w:r>
          </w:p>
        </w:tc>
      </w:tr>
      <w:tr>
        <w:trPr>
          <w:trHeight w:val="173"/>
        </w:trPr>
        <w:tc>
          <w:tcPr>
            <w:tcW w:w="1380" w:type="dxa"/>
            <w:vAlign w:val="bottom"/>
          </w:tcPr>
          <w:p>
            <w:pPr>
              <w:spacing w:after="0"/>
              <w:rPr>
                <w:sz w:val="15"/>
                <w:szCs w:val="15"/>
                <w:color w:val="auto"/>
              </w:rPr>
            </w:pPr>
          </w:p>
        </w:tc>
        <w:tc>
          <w:tcPr>
            <w:tcW w:w="32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incorporation or organization)</w:t>
            </w: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00" w:type="dxa"/>
            <w:vAlign w:val="bottom"/>
            <w:gridSpan w:val="3"/>
          </w:tcPr>
          <w:p>
            <w:pPr>
              <w:jc w:val="center"/>
              <w:ind w:right="2420"/>
              <w:spacing w:after="0"/>
              <w:rPr>
                <w:sz w:val="20"/>
                <w:szCs w:val="20"/>
                <w:color w:val="auto"/>
              </w:rPr>
            </w:pPr>
            <w:r>
              <w:rPr>
                <w:rFonts w:ascii="Arial" w:cs="Arial" w:eastAsia="Arial" w:hAnsi="Arial"/>
                <w:sz w:val="13"/>
                <w:szCs w:val="13"/>
                <w:b w:val="1"/>
                <w:bCs w:val="1"/>
                <w:color w:val="auto"/>
                <w:w w:val="94"/>
              </w:rPr>
              <w:t>Identification No.)</w:t>
            </w:r>
          </w:p>
        </w:tc>
      </w:tr>
      <w:tr>
        <w:trPr>
          <w:trHeight w:val="246"/>
        </w:trPr>
        <w:tc>
          <w:tcPr>
            <w:tcW w:w="1380" w:type="dxa"/>
            <w:vAlign w:val="bottom"/>
          </w:tcPr>
          <w:p>
            <w:pPr>
              <w:spacing w:after="0"/>
              <w:rPr>
                <w:sz w:val="21"/>
                <w:szCs w:val="21"/>
                <w:color w:val="auto"/>
              </w:rPr>
            </w:pPr>
          </w:p>
        </w:tc>
        <w:tc>
          <w:tcPr>
            <w:tcW w:w="3280" w:type="dxa"/>
            <w:vAlign w:val="bottom"/>
            <w:gridSpan w:val="3"/>
          </w:tcPr>
          <w:p>
            <w:pPr>
              <w:ind w:left="620"/>
              <w:spacing w:after="0"/>
              <w:rPr>
                <w:sz w:val="20"/>
                <w:szCs w:val="20"/>
                <w:color w:val="auto"/>
              </w:rPr>
            </w:pPr>
            <w:r>
              <w:rPr>
                <w:rFonts w:ascii="Arial" w:cs="Arial" w:eastAsia="Arial" w:hAnsi="Arial"/>
                <w:sz w:val="15"/>
                <w:szCs w:val="15"/>
                <w:b w:val="1"/>
                <w:bCs w:val="1"/>
                <w:color w:val="auto"/>
              </w:rPr>
              <w:t>320 Park Avenue, 29th Floor,</w:t>
            </w: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98"/>
        </w:trPr>
        <w:tc>
          <w:tcPr>
            <w:tcW w:w="1380" w:type="dxa"/>
            <w:vAlign w:val="bottom"/>
          </w:tcPr>
          <w:p>
            <w:pPr>
              <w:spacing w:after="0"/>
              <w:rPr>
                <w:sz w:val="17"/>
                <w:szCs w:val="17"/>
                <w:color w:val="auto"/>
              </w:rPr>
            </w:pPr>
          </w:p>
        </w:tc>
        <w:tc>
          <w:tcPr>
            <w:tcW w:w="3280" w:type="dxa"/>
            <w:vAlign w:val="bottom"/>
            <w:gridSpan w:val="3"/>
          </w:tcPr>
          <w:p>
            <w:pPr>
              <w:ind w:left="1060"/>
              <w:spacing w:after="0"/>
              <w:rPr>
                <w:sz w:val="20"/>
                <w:szCs w:val="20"/>
                <w:color w:val="auto"/>
              </w:rPr>
            </w:pPr>
            <w:r>
              <w:rPr>
                <w:rFonts w:ascii="Arial" w:cs="Arial" w:eastAsia="Arial" w:hAnsi="Arial"/>
                <w:sz w:val="15"/>
                <w:szCs w:val="15"/>
                <w:b w:val="1"/>
                <w:bCs w:val="1"/>
                <w:color w:val="auto"/>
              </w:rPr>
              <w:t>New York, New York</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gridSpan w:val="2"/>
          </w:tcPr>
          <w:p>
            <w:pPr>
              <w:jc w:val="right"/>
              <w:ind w:right="2129"/>
              <w:spacing w:after="0"/>
              <w:rPr>
                <w:sz w:val="20"/>
                <w:szCs w:val="20"/>
                <w:color w:val="auto"/>
              </w:rPr>
            </w:pPr>
            <w:r>
              <w:rPr>
                <w:rFonts w:ascii="Arial" w:cs="Arial" w:eastAsia="Arial" w:hAnsi="Arial"/>
                <w:sz w:val="15"/>
                <w:szCs w:val="15"/>
                <w:b w:val="1"/>
                <w:bCs w:val="1"/>
                <w:color w:val="auto"/>
              </w:rPr>
              <w:t>10022</w:t>
            </w:r>
          </w:p>
        </w:tc>
        <w:tc>
          <w:tcPr>
            <w:tcW w:w="660" w:type="dxa"/>
            <w:vAlign w:val="bottom"/>
          </w:tcPr>
          <w:p>
            <w:pPr>
              <w:spacing w:after="0"/>
              <w:rPr>
                <w:sz w:val="17"/>
                <w:szCs w:val="17"/>
                <w:color w:val="auto"/>
              </w:rPr>
            </w:pPr>
          </w:p>
        </w:tc>
      </w:tr>
      <w:tr>
        <w:trPr>
          <w:trHeight w:val="173"/>
        </w:trPr>
        <w:tc>
          <w:tcPr>
            <w:tcW w:w="1380" w:type="dxa"/>
            <w:vAlign w:val="bottom"/>
          </w:tcPr>
          <w:p>
            <w:pPr>
              <w:spacing w:after="0"/>
              <w:rPr>
                <w:sz w:val="15"/>
                <w:szCs w:val="15"/>
                <w:color w:val="auto"/>
              </w:rPr>
            </w:pPr>
          </w:p>
        </w:tc>
        <w:tc>
          <w:tcPr>
            <w:tcW w:w="32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00" w:type="dxa"/>
            <w:vAlign w:val="bottom"/>
            <w:gridSpan w:val="3"/>
          </w:tcPr>
          <w:p>
            <w:pPr>
              <w:jc w:val="center"/>
              <w:ind w:right="2400"/>
              <w:spacing w:after="0"/>
              <w:rPr>
                <w:sz w:val="20"/>
                <w:szCs w:val="20"/>
                <w:color w:val="auto"/>
              </w:rPr>
            </w:pPr>
            <w:r>
              <w:rPr>
                <w:rFonts w:ascii="Arial" w:cs="Arial" w:eastAsia="Arial" w:hAnsi="Arial"/>
                <w:sz w:val="13"/>
                <w:szCs w:val="13"/>
                <w:b w:val="1"/>
                <w:bCs w:val="1"/>
                <w:color w:val="auto"/>
                <w:w w:val="93"/>
              </w:rPr>
              <w:t>(Zip code)</w:t>
            </w:r>
          </w:p>
        </w:tc>
      </w:tr>
      <w:tr>
        <w:trPr>
          <w:trHeight w:val="279"/>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jc w:val="center"/>
              <w:ind w:left="48"/>
              <w:spacing w:after="0"/>
              <w:rPr>
                <w:sz w:val="20"/>
                <w:szCs w:val="20"/>
                <w:color w:val="auto"/>
              </w:rPr>
            </w:pPr>
            <w:r>
              <w:rPr>
                <w:rFonts w:ascii="Arial" w:cs="Arial" w:eastAsia="Arial" w:hAnsi="Arial"/>
                <w:sz w:val="15"/>
                <w:szCs w:val="15"/>
                <w:b w:val="1"/>
                <w:bCs w:val="1"/>
                <w:color w:val="auto"/>
                <w:w w:val="91"/>
              </w:rPr>
              <w:t>(212) 277-7100</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5"/>
          </w:tcPr>
          <w:p>
            <w:pPr>
              <w:jc w:val="center"/>
              <w:ind w:left="1128"/>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72"/>
        </w:trPr>
        <w:tc>
          <w:tcPr>
            <w:tcW w:w="13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360" w:type="dxa"/>
            <w:vAlign w:val="bottom"/>
            <w:tcBorders>
              <w:bottom w:val="single" w:sz="8" w:color="auto"/>
            </w:tcBorders>
            <w:gridSpan w:val="3"/>
          </w:tcPr>
          <w:p>
            <w:pPr>
              <w:spacing w:after="0"/>
              <w:rPr>
                <w:sz w:val="6"/>
                <w:szCs w:val="6"/>
                <w:color w:val="auto"/>
              </w:rPr>
            </w:pPr>
          </w:p>
        </w:tc>
        <w:tc>
          <w:tcPr>
            <w:tcW w:w="1460" w:type="dxa"/>
            <w:vAlign w:val="bottom"/>
            <w:tcBorders>
              <w:bottom w:val="single" w:sz="8" w:color="auto"/>
            </w:tcBorders>
            <w:gridSpan w:val="3"/>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189"/>
        </w:trPr>
        <w:tc>
          <w:tcPr>
            <w:tcW w:w="1380" w:type="dxa"/>
            <w:vAlign w:val="bottom"/>
            <w:tcBorders>
              <w:left w:val="single" w:sz="8" w:color="auto"/>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140" w:type="dxa"/>
            <w:vAlign w:val="bottom"/>
            <w:tcBorders>
              <w:bottom w:val="single" w:sz="8" w:color="auto"/>
              <w:right w:val="single" w:sz="8" w:color="auto"/>
            </w:tcBorders>
            <w:gridSpan w:val="8"/>
          </w:tcPr>
          <w:p>
            <w:pPr>
              <w:jc w:val="center"/>
              <w:ind w:right="2480"/>
              <w:spacing w:after="0"/>
              <w:rPr>
                <w:sz w:val="20"/>
                <w:szCs w:val="20"/>
                <w:color w:val="auto"/>
              </w:rPr>
            </w:pPr>
            <w:r>
              <w:rPr>
                <w:rFonts w:ascii="Arial" w:cs="Arial" w:eastAsia="Arial" w:hAnsi="Arial"/>
                <w:sz w:val="15"/>
                <w:szCs w:val="15"/>
                <w:b w:val="1"/>
                <w:bCs w:val="1"/>
                <w:color w:val="auto"/>
                <w:w w:val="88"/>
              </w:rPr>
              <w:t>Securities registered pursuant to Section 12(b) of the Act:</w:t>
            </w:r>
          </w:p>
        </w:tc>
      </w:tr>
      <w:tr>
        <w:trPr>
          <w:trHeight w:val="158"/>
        </w:trPr>
        <w:tc>
          <w:tcPr>
            <w:tcW w:w="38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800" w:type="dxa"/>
            <w:vAlign w:val="bottom"/>
          </w:tcPr>
          <w:p>
            <w:pPr>
              <w:spacing w:after="0"/>
              <w:rPr>
                <w:sz w:val="13"/>
                <w:szCs w:val="13"/>
                <w:color w:val="auto"/>
              </w:rPr>
            </w:pPr>
          </w:p>
        </w:tc>
        <w:tc>
          <w:tcPr>
            <w:tcW w:w="2000" w:type="dxa"/>
            <w:vAlign w:val="bottom"/>
            <w:tcBorders>
              <w:right w:val="single" w:sz="8" w:color="auto"/>
            </w:tcBorders>
            <w:gridSpan w:val="2"/>
          </w:tcPr>
          <w:p>
            <w:pPr>
              <w:jc w:val="center"/>
              <w:ind w:right="820"/>
              <w:spacing w:after="0" w:line="158" w:lineRule="exact"/>
              <w:rPr>
                <w:sz w:val="20"/>
                <w:szCs w:val="20"/>
                <w:color w:val="auto"/>
              </w:rPr>
            </w:pPr>
            <w:r>
              <w:rPr>
                <w:rFonts w:ascii="Arial" w:cs="Arial" w:eastAsia="Arial" w:hAnsi="Arial"/>
                <w:sz w:val="15"/>
                <w:szCs w:val="15"/>
                <w:b w:val="1"/>
                <w:bCs w:val="1"/>
                <w:color w:val="auto"/>
                <w:w w:val="90"/>
              </w:rPr>
              <w:t>Trading symbol(s)</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2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3"/>
                <w:szCs w:val="13"/>
                <w:b w:val="1"/>
                <w:bCs w:val="1"/>
                <w:color w:val="auto"/>
                <w:w w:val="92"/>
              </w:rPr>
              <w:t>Name of Each Exchange on Which Registered:</w:t>
            </w:r>
          </w:p>
        </w:tc>
      </w:tr>
      <w:tr>
        <w:trPr>
          <w:trHeight w:val="20"/>
        </w:trPr>
        <w:tc>
          <w:tcPr>
            <w:tcW w:w="1380" w:type="dxa"/>
            <w:vAlign w:val="bottom"/>
            <w:tcBorders>
              <w:left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r>
        <w:trPr>
          <w:trHeight w:val="187"/>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5"/>
                <w:szCs w:val="15"/>
                <w:color w:val="auto"/>
                <w:w w:val="89"/>
              </w:rPr>
              <w:t>Common Stock, par value $0.001 per share</w:t>
            </w:r>
          </w:p>
        </w:tc>
        <w:tc>
          <w:tcPr>
            <w:tcW w:w="800" w:type="dxa"/>
            <w:vAlign w:val="bottom"/>
            <w:tcBorders>
              <w:bottom w:val="single" w:sz="8" w:color="auto"/>
            </w:tcBorders>
          </w:tcPr>
          <w:p>
            <w:pPr>
              <w:spacing w:after="0"/>
              <w:rPr>
                <w:sz w:val="16"/>
                <w:szCs w:val="16"/>
                <w:color w:val="auto"/>
              </w:rPr>
            </w:pPr>
          </w:p>
        </w:tc>
        <w:tc>
          <w:tcPr>
            <w:tcW w:w="200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3"/>
                <w:szCs w:val="13"/>
                <w:color w:val="auto"/>
              </w:rPr>
              <w:t>EXLS</w:t>
            </w: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2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5"/>
                <w:szCs w:val="15"/>
                <w:color w:val="auto"/>
                <w:w w:val="97"/>
              </w:rPr>
              <w:t>NASDAQ</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None</w:t>
      </w:r>
    </w:p>
    <w:p>
      <w:pPr>
        <w:spacing w:after="0"/>
        <w:rPr>
          <w:sz w:val="20"/>
          <w:szCs w:val="20"/>
          <w:color w:val="auto"/>
        </w:rPr>
      </w:pPr>
      <w:r>
        <w:rPr>
          <w:rFonts w:ascii="Arial" w:cs="Arial" w:eastAsia="Arial" w:hAnsi="Arial"/>
          <w:sz w:val="17"/>
          <w:szCs w:val="17"/>
          <w:b w:val="1"/>
          <w:bCs w:val="1"/>
          <w:color w:val="auto"/>
        </w:rPr>
        <w:t>________________________________________________________</w:t>
      </w:r>
    </w:p>
    <w:p>
      <w:pPr>
        <w:spacing w:after="0" w:line="194" w:lineRule="exact"/>
        <w:rPr>
          <w:sz w:val="24"/>
          <w:szCs w:val="24"/>
          <w:color w:val="auto"/>
        </w:rPr>
      </w:pPr>
    </w:p>
    <w:p>
      <w:pPr>
        <w:ind w:firstLine="300"/>
        <w:spacing w:after="0" w:line="24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4780" w:val="left"/>
        </w:tabs>
        <w:rPr>
          <w:sz w:val="20"/>
          <w:szCs w:val="20"/>
          <w:color w:val="auto"/>
        </w:rPr>
      </w:pPr>
      <w:r>
        <w:rPr>
          <w:rFonts w:ascii="Arial" w:cs="Arial" w:eastAsia="Arial" w:hAnsi="Arial"/>
          <w:sz w:val="15"/>
          <w:szCs w:val="15"/>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5"/>
          <w:szCs w:val="15"/>
          <w:color w:val="auto"/>
        </w:rPr>
        <w:tab/>
        <w:t xml:space="preserve">No </w:t>
      </w:r>
      <w:r>
        <w:rPr>
          <w:rFonts w:ascii="MS PGothic" w:cs="MS PGothic" w:eastAsia="MS PGothic" w:hAnsi="MS PGothic"/>
          <w:sz w:val="18"/>
          <w:szCs w:val="18"/>
          <w:color w:val="auto"/>
        </w:rPr>
        <w:t>☐</w:t>
      </w:r>
    </w:p>
    <w:p>
      <w:pPr>
        <w:spacing w:after="0" w:line="229" w:lineRule="exact"/>
        <w:rPr>
          <w:sz w:val="24"/>
          <w:szCs w:val="24"/>
          <w:color w:val="auto"/>
        </w:rPr>
      </w:pPr>
    </w:p>
    <w:p>
      <w:pPr>
        <w:ind w:firstLine="300"/>
        <w:spacing w:after="0" w:line="243"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w:t>
      </w:r>
    </w:p>
    <w:p>
      <w:pPr>
        <w:spacing w:after="0" w:line="1" w:lineRule="exact"/>
        <w:rPr>
          <w:sz w:val="24"/>
          <w:szCs w:val="24"/>
          <w:color w:val="auto"/>
        </w:rPr>
      </w:pPr>
    </w:p>
    <w:p>
      <w:pPr>
        <w:spacing w:after="0" w:line="207" w:lineRule="exact"/>
        <w:tabs>
          <w:tab w:leader="none" w:pos="6480" w:val="left"/>
        </w:tabs>
        <w:rPr>
          <w:sz w:val="20"/>
          <w:szCs w:val="20"/>
          <w:color w:val="auto"/>
        </w:rPr>
      </w:pPr>
      <w:r>
        <w:rPr>
          <w:rFonts w:ascii="Arial" w:cs="Arial" w:eastAsia="Arial" w:hAnsi="Arial"/>
          <w:sz w:val="14"/>
          <w:szCs w:val="14"/>
          <w:color w:val="auto"/>
        </w:rPr>
        <w:t xml:space="preserve">months (or for such shorter period that the registrant was required to submit and post such files).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8"/>
          <w:szCs w:val="18"/>
          <w:color w:val="auto"/>
        </w:rPr>
        <w:t>☐</w:t>
      </w:r>
    </w:p>
    <w:p>
      <w:pPr>
        <w:spacing w:after="0" w:line="229" w:lineRule="exact"/>
        <w:rPr>
          <w:sz w:val="24"/>
          <w:szCs w:val="24"/>
          <w:color w:val="auto"/>
        </w:rPr>
      </w:pPr>
    </w:p>
    <w:p>
      <w:pPr>
        <w:ind w:left="3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 (Check one):</w:t>
      </w:r>
    </w:p>
    <w:p>
      <w:pPr>
        <w:spacing w:after="0" w:line="16" w:lineRule="exact"/>
        <w:rPr>
          <w:sz w:val="24"/>
          <w:szCs w:val="24"/>
          <w:color w:val="auto"/>
        </w:rPr>
      </w:pPr>
    </w:p>
    <w:tbl>
      <w:tblPr>
        <w:tblLayout w:type="fixed"/>
        <w:tblInd w:w="620" w:type="dxa"/>
        <w:tblCellMar>
          <w:top w:w="0" w:type="dxa"/>
          <w:left w:w="0" w:type="dxa"/>
          <w:bottom w:w="0" w:type="dxa"/>
          <w:right w:w="0" w:type="dxa"/>
        </w:tblCellMar>
      </w:tblPr>
      <w:tr>
        <w:trPr>
          <w:trHeight w:val="235"/>
        </w:trPr>
        <w:tc>
          <w:tcPr>
            <w:tcW w:w="20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60" w:type="dxa"/>
            <w:vAlign w:val="bottom"/>
          </w:tcPr>
          <w:p>
            <w:pPr>
              <w:ind w:left="46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48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5"/>
        </w:trPr>
        <w:tc>
          <w:tcPr>
            <w:tcW w:w="2080" w:type="dxa"/>
            <w:vAlign w:val="bottom"/>
          </w:tcPr>
          <w:p>
            <w:pPr>
              <w:spacing w:after="0"/>
              <w:rPr>
                <w:sz w:val="20"/>
                <w:szCs w:val="20"/>
                <w:color w:val="auto"/>
              </w:rPr>
            </w:pPr>
            <w:r>
              <w:rPr>
                <w:rFonts w:ascii="Arial" w:cs="Arial" w:eastAsia="Arial" w:hAnsi="Arial"/>
                <w:sz w:val="15"/>
                <w:szCs w:val="15"/>
                <w:color w:val="auto"/>
              </w:rPr>
              <w:t>Non-accelerated filer</w:t>
            </w:r>
          </w:p>
        </w:tc>
        <w:tc>
          <w:tcPr>
            <w:tcW w:w="3060" w:type="dxa"/>
            <w:vAlign w:val="bottom"/>
          </w:tcPr>
          <w:p>
            <w:pPr>
              <w:ind w:left="46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480"/>
              <w:spacing w:after="0"/>
              <w:rPr>
                <w:sz w:val="20"/>
                <w:szCs w:val="20"/>
                <w:color w:val="auto"/>
              </w:rPr>
            </w:pPr>
            <w:r>
              <w:rPr>
                <w:rFonts w:ascii="Arial" w:cs="Arial" w:eastAsia="Arial" w:hAnsi="Arial"/>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0"/>
        </w:trPr>
        <w:tc>
          <w:tcPr>
            <w:tcW w:w="20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060" w:type="dxa"/>
            <w:vAlign w:val="bottom"/>
          </w:tcPr>
          <w:p>
            <w:pPr>
              <w:ind w:left="46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67" w:lineRule="exact"/>
        <w:rPr>
          <w:sz w:val="24"/>
          <w:szCs w:val="24"/>
          <w:color w:val="auto"/>
        </w:rPr>
      </w:pPr>
    </w:p>
    <w:p>
      <w:pPr>
        <w:ind w:firstLine="300"/>
        <w:spacing w:after="0" w:line="19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6" w:lineRule="exact"/>
        <w:rPr>
          <w:sz w:val="24"/>
          <w:szCs w:val="24"/>
          <w:color w:val="auto"/>
        </w:rPr>
      </w:pPr>
    </w:p>
    <w:p>
      <w:pPr>
        <w:spacing w:after="0" w:line="161" w:lineRule="exact"/>
        <w:tabs>
          <w:tab w:leader="none" w:pos="74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6" w:lineRule="exact"/>
        <w:rPr>
          <w:sz w:val="24"/>
          <w:szCs w:val="24"/>
          <w:color w:val="auto"/>
        </w:rPr>
      </w:pPr>
    </w:p>
    <w:p>
      <w:pPr>
        <w:ind w:left="300"/>
        <w:spacing w:after="0"/>
        <w:rPr>
          <w:sz w:val="20"/>
          <w:szCs w:val="20"/>
          <w:color w:val="auto"/>
        </w:rPr>
      </w:pPr>
      <w:r>
        <w:rPr>
          <w:rFonts w:ascii="Arial" w:cs="Arial" w:eastAsia="Arial" w:hAnsi="Arial"/>
          <w:sz w:val="15"/>
          <w:szCs w:val="15"/>
          <w:color w:val="auto"/>
        </w:rPr>
        <w:t>As of October 29, 2021, there were 33,302,912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215900</wp:posOffset>
            </wp:positionV>
            <wp:extent cx="716788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109855</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78105</wp:posOffset>
            </wp:positionV>
            <wp:extent cx="71424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 w:name="page2"/>
    <w:bookmarkEnd w:id="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0"/>
        </w:trPr>
        <w:tc>
          <w:tcPr>
            <w:tcW w:w="1560" w:type="dxa"/>
            <w:vAlign w:val="bottom"/>
            <w:gridSpan w:val="3"/>
          </w:tcPr>
          <w:p>
            <w:pPr>
              <w:ind w:left="20"/>
              <w:spacing w:after="0"/>
              <w:rPr>
                <w:sz w:val="20"/>
                <w:szCs w:val="20"/>
                <w:color w:val="auto"/>
              </w:rPr>
            </w:pPr>
            <w:r>
              <w:rPr>
                <w:rFonts w:ascii="Arial" w:cs="Arial" w:eastAsia="Arial" w:hAnsi="Arial"/>
                <w:sz w:val="17"/>
                <w:szCs w:val="17"/>
                <w:color w:val="auto"/>
              </w:rPr>
              <w:t>ITEM</w:t>
            </w:r>
          </w:p>
        </w:tc>
        <w:tc>
          <w:tcPr>
            <w:tcW w:w="9040" w:type="dxa"/>
            <w:vAlign w:val="bottom"/>
            <w:gridSpan w:val="19"/>
            <w:vMerge w:val="restart"/>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Part I. Financial Information</w:t>
              </w:r>
            </w:hyperlink>
          </w:p>
        </w:tc>
        <w:tc>
          <w:tcPr>
            <w:tcW w:w="640" w:type="dxa"/>
            <w:vAlign w:val="bottom"/>
            <w:vMerge w:val="restart"/>
          </w:tcPr>
          <w:p>
            <w:pPr>
              <w:ind w:left="20"/>
              <w:spacing w:after="0"/>
              <w:rPr>
                <w:rFonts w:ascii="Arial" w:cs="Arial" w:eastAsia="Arial" w:hAnsi="Arial"/>
                <w:sz w:val="17"/>
                <w:szCs w:val="17"/>
                <w:color w:val="0000FF"/>
              </w:rPr>
            </w:pPr>
            <w:hyperlink w:anchor="page2">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40" w:type="dxa"/>
            <w:vAlign w:val="bottom"/>
            <w:gridSpan w:val="19"/>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1.</w:t>
            </w:r>
          </w:p>
        </w:tc>
        <w:tc>
          <w:tcPr>
            <w:tcW w:w="840" w:type="dxa"/>
            <w:vAlign w:val="bottom"/>
          </w:tcPr>
          <w:p>
            <w:pPr>
              <w:spacing w:after="0"/>
              <w:rPr>
                <w:sz w:val="21"/>
                <w:szCs w:val="21"/>
                <w:color w:val="auto"/>
              </w:rPr>
            </w:pPr>
          </w:p>
        </w:tc>
        <w:tc>
          <w:tcPr>
            <w:tcW w:w="9040" w:type="dxa"/>
            <w:vAlign w:val="bottom"/>
            <w:gridSpan w:val="19"/>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STATEMENTS (UNAUDITED)</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00" w:type="dxa"/>
            <w:vAlign w:val="bottom"/>
            <w:tcBorders>
              <w:bottom w:val="single" w:sz="8" w:color="0000FF"/>
            </w:tcBorders>
            <w:gridSpan w:val="13"/>
          </w:tcPr>
          <w:p>
            <w:pPr>
              <w:spacing w:after="0" w:line="193" w:lineRule="exact"/>
              <w:rPr>
                <w:rFonts w:ascii="Arial" w:cs="Arial" w:eastAsia="Arial" w:hAnsi="Arial"/>
                <w:sz w:val="17"/>
                <w:szCs w:val="17"/>
                <w:color w:val="0000FF"/>
                <w:w w:val="86"/>
              </w:rPr>
            </w:pPr>
            <w:hyperlink w:anchor="page3">
              <w:r>
                <w:rPr>
                  <w:rFonts w:ascii="Arial" w:cs="Arial" w:eastAsia="Arial" w:hAnsi="Arial"/>
                  <w:sz w:val="17"/>
                  <w:szCs w:val="17"/>
                  <w:color w:val="0000FF"/>
                  <w:w w:val="86"/>
                </w:rPr>
                <w:t>Consolidated Balance Sheets as of September 30, 2021 and December 31, 2020</w:t>
              </w:r>
            </w:hyperlink>
          </w:p>
        </w:tc>
        <w:tc>
          <w:tcPr>
            <w:tcW w:w="3540" w:type="dxa"/>
            <w:vAlign w:val="bottom"/>
            <w:gridSpan w:val="5"/>
          </w:tcPr>
          <w:p>
            <w:pPr>
              <w:spacing w:after="0"/>
              <w:rPr>
                <w:sz w:val="16"/>
                <w:szCs w:val="16"/>
                <w:color w:val="auto"/>
              </w:rPr>
            </w:pPr>
          </w:p>
        </w:tc>
        <w:tc>
          <w:tcPr>
            <w:tcW w:w="640" w:type="dxa"/>
            <w:vAlign w:val="bottom"/>
          </w:tcPr>
          <w:p>
            <w:pPr>
              <w:ind w:left="20"/>
              <w:spacing w:after="0" w:line="193" w:lineRule="exact"/>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40" w:type="dxa"/>
            <w:vAlign w:val="bottom"/>
            <w:gridSpan w:val="18"/>
          </w:tcPr>
          <w:p>
            <w:pPr>
              <w:spacing w:after="0" w:line="193" w:lineRule="exact"/>
              <w:rPr>
                <w:rFonts w:ascii="Arial" w:cs="Arial" w:eastAsia="Arial" w:hAnsi="Arial"/>
                <w:sz w:val="17"/>
                <w:szCs w:val="17"/>
                <w:color w:val="0000FF"/>
              </w:rPr>
            </w:pPr>
            <w:hyperlink w:anchor="page4">
              <w:r>
                <w:rPr>
                  <w:rFonts w:ascii="Arial" w:cs="Arial" w:eastAsia="Arial" w:hAnsi="Arial"/>
                  <w:sz w:val="17"/>
                  <w:szCs w:val="17"/>
                  <w:color w:val="0000FF"/>
                </w:rPr>
                <w:t>Consolidated Statements of Income for the Three and Nine months ended September 30, 2021 and 2020</w:t>
              </w:r>
            </w:hyperlink>
          </w:p>
        </w:tc>
        <w:tc>
          <w:tcPr>
            <w:tcW w:w="640" w:type="dxa"/>
            <w:vAlign w:val="bottom"/>
          </w:tcPr>
          <w:p>
            <w:pPr>
              <w:ind w:left="20"/>
              <w:spacing w:after="0" w:line="193" w:lineRule="exact"/>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80" w:type="dxa"/>
            <w:vAlign w:val="bottom"/>
            <w:tcBorders>
              <w:bottom w:val="single" w:sz="8" w:color="0000FF"/>
            </w:tcBorders>
            <w:gridSpan w:val="17"/>
          </w:tcPr>
          <w:p>
            <w:pPr>
              <w:spacing w:after="0" w:line="193" w:lineRule="exact"/>
              <w:rPr>
                <w:rFonts w:ascii="Arial" w:cs="Arial" w:eastAsia="Arial" w:hAnsi="Arial"/>
                <w:sz w:val="17"/>
                <w:szCs w:val="17"/>
                <w:color w:val="0000FF"/>
                <w:w w:val="87"/>
              </w:rPr>
            </w:pPr>
            <w:hyperlink w:anchor="page5">
              <w:r>
                <w:rPr>
                  <w:rFonts w:ascii="Arial" w:cs="Arial" w:eastAsia="Arial" w:hAnsi="Arial"/>
                  <w:sz w:val="17"/>
                  <w:szCs w:val="17"/>
                  <w:color w:val="0000FF"/>
                  <w:w w:val="87"/>
                </w:rPr>
                <w:t>Consolidated Statements of Comprehensive Income/(Loss) for the Three and Nine months ended September 30, 2021 and 2020</w:t>
              </w:r>
            </w:hyperlink>
          </w:p>
        </w:tc>
        <w:tc>
          <w:tcPr>
            <w:tcW w:w="360" w:type="dxa"/>
            <w:vAlign w:val="bottom"/>
          </w:tcPr>
          <w:p>
            <w:pPr>
              <w:spacing w:after="0"/>
              <w:rPr>
                <w:sz w:val="16"/>
                <w:szCs w:val="16"/>
                <w:color w:val="auto"/>
              </w:rPr>
            </w:pPr>
          </w:p>
        </w:tc>
        <w:tc>
          <w:tcPr>
            <w:tcW w:w="640" w:type="dxa"/>
            <w:vAlign w:val="bottom"/>
          </w:tcPr>
          <w:p>
            <w:pPr>
              <w:ind w:left="20"/>
              <w:spacing w:after="0" w:line="193" w:lineRule="exact"/>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40" w:type="dxa"/>
            <w:vAlign w:val="bottom"/>
            <w:gridSpan w:val="18"/>
          </w:tcPr>
          <w:p>
            <w:pPr>
              <w:spacing w:after="0" w:line="193" w:lineRule="exact"/>
              <w:rPr>
                <w:rFonts w:ascii="Arial" w:cs="Arial" w:eastAsia="Arial" w:hAnsi="Arial"/>
                <w:sz w:val="17"/>
                <w:szCs w:val="17"/>
                <w:color w:val="0000FF"/>
              </w:rPr>
            </w:pPr>
            <w:hyperlink w:anchor="page6">
              <w:r>
                <w:rPr>
                  <w:rFonts w:ascii="Arial" w:cs="Arial" w:eastAsia="Arial" w:hAnsi="Arial"/>
                  <w:sz w:val="17"/>
                  <w:szCs w:val="17"/>
                  <w:color w:val="0000FF"/>
                </w:rPr>
                <w:t xml:space="preserve">Consolidated Statements of Equity for the Three and Nine months ended </w:t>
              </w:r>
            </w:hyperlink>
            <w:r>
              <w:rPr>
                <w:rFonts w:ascii="Arial" w:cs="Arial" w:eastAsia="Arial" w:hAnsi="Arial"/>
                <w:sz w:val="17"/>
                <w:szCs w:val="17"/>
                <w:color w:val="0000FF"/>
              </w:rPr>
              <w:t xml:space="preserve">September </w:t>
            </w:r>
            <w:hyperlink w:anchor="page6">
              <w:r>
                <w:rPr>
                  <w:rFonts w:ascii="Arial" w:cs="Arial" w:eastAsia="Arial" w:hAnsi="Arial"/>
                  <w:sz w:val="17"/>
                  <w:szCs w:val="17"/>
                  <w:color w:val="0000FF"/>
                </w:rPr>
                <w:t>30, 2021 and 2020</w:t>
              </w:r>
            </w:hyperlink>
          </w:p>
        </w:tc>
        <w:tc>
          <w:tcPr>
            <w:tcW w:w="640" w:type="dxa"/>
            <w:vAlign w:val="bottom"/>
          </w:tcPr>
          <w:p>
            <w:pPr>
              <w:ind w:left="20"/>
              <w:spacing w:after="0" w:line="193" w:lineRule="exact"/>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00" w:type="dxa"/>
            <w:vAlign w:val="bottom"/>
            <w:tcBorders>
              <w:top w:val="single" w:sz="8" w:color="0000FF"/>
              <w:bottom w:val="single" w:sz="8" w:color="0000FF"/>
            </w:tcBorders>
            <w:gridSpan w:val="15"/>
          </w:tcPr>
          <w:p>
            <w:pPr>
              <w:spacing w:after="0" w:line="193" w:lineRule="exact"/>
              <w:rPr>
                <w:rFonts w:ascii="Arial" w:cs="Arial" w:eastAsia="Arial" w:hAnsi="Arial"/>
                <w:sz w:val="17"/>
                <w:szCs w:val="17"/>
                <w:color w:val="0000FF"/>
                <w:w w:val="87"/>
              </w:rPr>
            </w:pPr>
            <w:hyperlink w:anchor="page8">
              <w:r>
                <w:rPr>
                  <w:rFonts w:ascii="Arial" w:cs="Arial" w:eastAsia="Arial" w:hAnsi="Arial"/>
                  <w:sz w:val="17"/>
                  <w:szCs w:val="17"/>
                  <w:color w:val="0000FF"/>
                  <w:w w:val="87"/>
                </w:rPr>
                <w:t>Consolidated Statements of Cash Flows for the Nine months ended September 30, 2021 and 2020</w:t>
              </w:r>
            </w:hyperlink>
          </w:p>
        </w:tc>
        <w:tc>
          <w:tcPr>
            <w:tcW w:w="420" w:type="dxa"/>
            <w:vAlign w:val="bottom"/>
            <w:tcBorders>
              <w:top w:val="single" w:sz="8" w:color="0000FF"/>
            </w:tcBorders>
          </w:tcPr>
          <w:p>
            <w:pPr>
              <w:spacing w:after="0"/>
              <w:rPr>
                <w:sz w:val="16"/>
                <w:szCs w:val="16"/>
                <w:color w:val="auto"/>
              </w:rPr>
            </w:pPr>
          </w:p>
        </w:tc>
        <w:tc>
          <w:tcPr>
            <w:tcW w:w="1920" w:type="dxa"/>
            <w:vAlign w:val="bottom"/>
            <w:gridSpan w:val="2"/>
          </w:tcPr>
          <w:p>
            <w:pPr>
              <w:spacing w:after="0"/>
              <w:rPr>
                <w:sz w:val="16"/>
                <w:szCs w:val="16"/>
                <w:color w:val="auto"/>
              </w:rPr>
            </w:pPr>
          </w:p>
        </w:tc>
        <w:tc>
          <w:tcPr>
            <w:tcW w:w="640" w:type="dxa"/>
            <w:vAlign w:val="bottom"/>
          </w:tcPr>
          <w:p>
            <w:pPr>
              <w:ind w:left="20"/>
              <w:spacing w:after="0" w:line="193" w:lineRule="exact"/>
              <w:rPr>
                <w:rFonts w:ascii="Arial" w:cs="Arial" w:eastAsia="Arial" w:hAnsi="Arial"/>
                <w:sz w:val="17"/>
                <w:szCs w:val="17"/>
                <w:color w:val="0000FF"/>
              </w:rPr>
            </w:pPr>
            <w:hyperlink w:anchor="page8">
              <w:r>
                <w:rPr>
                  <w:rFonts w:ascii="Arial" w:cs="Arial" w:eastAsia="Arial" w:hAnsi="Arial"/>
                  <w:sz w:val="17"/>
                  <w:szCs w:val="17"/>
                  <w:color w:val="0000FF"/>
                </w:rPr>
                <w:t>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40" w:type="dxa"/>
            <w:vAlign w:val="bottom"/>
            <w:gridSpan w:val="18"/>
          </w:tcPr>
          <w:p>
            <w:pPr>
              <w:spacing w:after="0" w:line="193" w:lineRule="exact"/>
              <w:rPr>
                <w:rFonts w:ascii="Arial" w:cs="Arial" w:eastAsia="Arial" w:hAnsi="Arial"/>
                <w:sz w:val="17"/>
                <w:szCs w:val="17"/>
                <w:color w:val="0000FF"/>
              </w:rPr>
            </w:pPr>
            <w:hyperlink w:anchor="page9">
              <w:r>
                <w:rPr>
                  <w:rFonts w:ascii="Arial" w:cs="Arial" w:eastAsia="Arial" w:hAnsi="Arial"/>
                  <w:sz w:val="17"/>
                  <w:szCs w:val="17"/>
                  <w:color w:val="0000FF"/>
                </w:rPr>
                <w:t>Notes to Consolidated Financial Statements</w:t>
              </w:r>
            </w:hyperlink>
          </w:p>
        </w:tc>
        <w:tc>
          <w:tcPr>
            <w:tcW w:w="640" w:type="dxa"/>
            <w:vAlign w:val="bottom"/>
          </w:tcPr>
          <w:p>
            <w:pPr>
              <w:ind w:left="20"/>
              <w:spacing w:after="0" w:line="193" w:lineRule="exact"/>
              <w:rPr>
                <w:rFonts w:ascii="Arial" w:cs="Arial" w:eastAsia="Arial" w:hAnsi="Arial"/>
                <w:sz w:val="17"/>
                <w:szCs w:val="17"/>
                <w:color w:val="0000FF"/>
              </w:rPr>
            </w:pPr>
            <w:hyperlink w:anchor="page9">
              <w:r>
                <w:rPr>
                  <w:rFonts w:ascii="Arial" w:cs="Arial" w:eastAsia="Arial" w:hAnsi="Arial"/>
                  <w:sz w:val="17"/>
                  <w:szCs w:val="17"/>
                  <w:color w:val="0000FF"/>
                </w:rPr>
                <w:t>10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2.</w:t>
            </w:r>
          </w:p>
        </w:tc>
        <w:tc>
          <w:tcPr>
            <w:tcW w:w="840" w:type="dxa"/>
            <w:vAlign w:val="bottom"/>
          </w:tcPr>
          <w:p>
            <w:pPr>
              <w:spacing w:after="0"/>
              <w:rPr>
                <w:sz w:val="21"/>
                <w:szCs w:val="21"/>
                <w:color w:val="auto"/>
              </w:rPr>
            </w:pPr>
          </w:p>
        </w:tc>
        <w:tc>
          <w:tcPr>
            <w:tcW w:w="5980" w:type="dxa"/>
            <w:vAlign w:val="bottom"/>
            <w:tcBorders>
              <w:bottom w:val="single" w:sz="8" w:color="0000FF"/>
            </w:tcBorders>
            <w:gridSpan w:val="15"/>
          </w:tcPr>
          <w:p>
            <w:pPr>
              <w:spacing w:after="0"/>
              <w:rPr>
                <w:rFonts w:ascii="Arial" w:cs="Arial" w:eastAsia="Arial" w:hAnsi="Arial"/>
                <w:sz w:val="17"/>
                <w:szCs w:val="17"/>
                <w:color w:val="0000FF"/>
                <w:w w:val="89"/>
              </w:rPr>
            </w:pPr>
            <w:hyperlink w:anchor="page40">
              <w:r>
                <w:rPr>
                  <w:rFonts w:ascii="Arial" w:cs="Arial" w:eastAsia="Arial" w:hAnsi="Arial"/>
                  <w:sz w:val="17"/>
                  <w:szCs w:val="17"/>
                  <w:color w:val="0000FF"/>
                  <w:w w:val="89"/>
                </w:rPr>
                <w:t>Management’s Discussion and Analysis of Financial Condition and Results of Operations</w:t>
              </w:r>
            </w:hyperlink>
          </w:p>
        </w:tc>
        <w:tc>
          <w:tcPr>
            <w:tcW w:w="3060" w:type="dxa"/>
            <w:vAlign w:val="bottom"/>
            <w:gridSpan w:val="4"/>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40">
              <w:r>
                <w:rPr>
                  <w:rFonts w:ascii="Arial" w:cs="Arial" w:eastAsia="Arial" w:hAnsi="Arial"/>
                  <w:sz w:val="17"/>
                  <w:szCs w:val="17"/>
                  <w:color w:val="0000FF"/>
                </w:rPr>
                <w:t>40</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3.</w:t>
            </w:r>
          </w:p>
        </w:tc>
        <w:tc>
          <w:tcPr>
            <w:tcW w:w="840" w:type="dxa"/>
            <w:vAlign w:val="bottom"/>
          </w:tcPr>
          <w:p>
            <w:pPr>
              <w:spacing w:after="0"/>
              <w:rPr>
                <w:sz w:val="21"/>
                <w:szCs w:val="21"/>
                <w:color w:val="auto"/>
              </w:rPr>
            </w:pPr>
          </w:p>
        </w:tc>
        <w:tc>
          <w:tcPr>
            <w:tcW w:w="4040" w:type="dxa"/>
            <w:vAlign w:val="bottom"/>
            <w:tcBorders>
              <w:bottom w:val="single" w:sz="8" w:color="0000FF"/>
            </w:tcBorders>
            <w:gridSpan w:val="13"/>
          </w:tcPr>
          <w:p>
            <w:pPr>
              <w:spacing w:after="0"/>
              <w:rPr>
                <w:rFonts w:ascii="Arial" w:cs="Arial" w:eastAsia="Arial" w:hAnsi="Arial"/>
                <w:sz w:val="17"/>
                <w:szCs w:val="17"/>
                <w:color w:val="0000FF"/>
                <w:w w:val="90"/>
              </w:rPr>
            </w:pPr>
            <w:hyperlink w:anchor="page58">
              <w:r>
                <w:rPr>
                  <w:rFonts w:ascii="Arial" w:cs="Arial" w:eastAsia="Arial" w:hAnsi="Arial"/>
                  <w:sz w:val="17"/>
                  <w:szCs w:val="17"/>
                  <w:color w:val="0000FF"/>
                  <w:w w:val="90"/>
                </w:rPr>
                <w:t>Quantitative and Qualitative Disclosures About Market Risk</w:t>
              </w:r>
            </w:hyperlink>
          </w:p>
        </w:tc>
        <w:tc>
          <w:tcPr>
            <w:tcW w:w="5000" w:type="dxa"/>
            <w:vAlign w:val="bottom"/>
            <w:gridSpan w:val="6"/>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58">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4.</w:t>
            </w:r>
          </w:p>
        </w:tc>
        <w:tc>
          <w:tcPr>
            <w:tcW w:w="840" w:type="dxa"/>
            <w:vAlign w:val="bottom"/>
          </w:tcPr>
          <w:p>
            <w:pPr>
              <w:spacing w:after="0"/>
              <w:rPr>
                <w:sz w:val="21"/>
                <w:szCs w:val="21"/>
                <w:color w:val="auto"/>
              </w:rPr>
            </w:pPr>
          </w:p>
        </w:tc>
        <w:tc>
          <w:tcPr>
            <w:tcW w:w="1660" w:type="dxa"/>
            <w:vAlign w:val="bottom"/>
            <w:tcBorders>
              <w:bottom w:val="single" w:sz="8" w:color="0000FF"/>
            </w:tcBorders>
            <w:gridSpan w:val="7"/>
          </w:tcPr>
          <w:p>
            <w:pPr>
              <w:spacing w:after="0"/>
              <w:rPr>
                <w:rFonts w:ascii="Arial" w:cs="Arial" w:eastAsia="Arial" w:hAnsi="Arial"/>
                <w:sz w:val="17"/>
                <w:szCs w:val="17"/>
                <w:color w:val="0000FF"/>
                <w:w w:val="87"/>
              </w:rPr>
            </w:pPr>
            <w:hyperlink w:anchor="page59">
              <w:r>
                <w:rPr>
                  <w:rFonts w:ascii="Arial" w:cs="Arial" w:eastAsia="Arial" w:hAnsi="Arial"/>
                  <w:sz w:val="17"/>
                  <w:szCs w:val="17"/>
                  <w:color w:val="0000FF"/>
                  <w:w w:val="87"/>
                </w:rPr>
                <w:t>Controls and Procedures</w:t>
              </w:r>
            </w:hyperlink>
          </w:p>
        </w:tc>
        <w:tc>
          <w:tcPr>
            <w:tcW w:w="7380" w:type="dxa"/>
            <w:vAlign w:val="bottom"/>
            <w:gridSpan w:val="12"/>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59">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40" w:type="dxa"/>
            <w:vAlign w:val="bottom"/>
            <w:gridSpan w:val="19"/>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Part II. Other Information</w:t>
              </w:r>
            </w:hyperlink>
          </w:p>
        </w:tc>
        <w:tc>
          <w:tcPr>
            <w:tcW w:w="640" w:type="dxa"/>
            <w:vAlign w:val="bottom"/>
          </w:tcPr>
          <w:p>
            <w:pPr>
              <w:ind w:left="20"/>
              <w:spacing w:after="0"/>
              <w:rPr>
                <w:rFonts w:ascii="Arial" w:cs="Arial" w:eastAsia="Arial" w:hAnsi="Arial"/>
                <w:sz w:val="17"/>
                <w:szCs w:val="17"/>
                <w:color w:val="0000FF"/>
              </w:rPr>
            </w:pPr>
            <w:hyperlink w:anchor="page59">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1.</w:t>
            </w:r>
          </w:p>
        </w:tc>
        <w:tc>
          <w:tcPr>
            <w:tcW w:w="840" w:type="dxa"/>
            <w:vAlign w:val="bottom"/>
          </w:tcPr>
          <w:p>
            <w:pPr>
              <w:spacing w:after="0"/>
              <w:rPr>
                <w:sz w:val="21"/>
                <w:szCs w:val="21"/>
                <w:color w:val="auto"/>
              </w:rPr>
            </w:pPr>
          </w:p>
        </w:tc>
        <w:tc>
          <w:tcPr>
            <w:tcW w:w="124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86"/>
              </w:rPr>
            </w:pPr>
            <w:hyperlink w:anchor="page59">
              <w:r>
                <w:rPr>
                  <w:rFonts w:ascii="Arial" w:cs="Arial" w:eastAsia="Arial" w:hAnsi="Arial"/>
                  <w:sz w:val="17"/>
                  <w:szCs w:val="17"/>
                  <w:color w:val="0000FF"/>
                  <w:w w:val="86"/>
                </w:rPr>
                <w:t>Legal Proceedings</w:t>
              </w:r>
            </w:hyperlink>
          </w:p>
        </w:tc>
        <w:tc>
          <w:tcPr>
            <w:tcW w:w="480" w:type="dxa"/>
            <w:vAlign w:val="bottom"/>
            <w:tcBorders>
              <w:top w:val="single" w:sz="8" w:color="0000FF"/>
            </w:tcBorders>
            <w:gridSpan w:val="3"/>
          </w:tcPr>
          <w:p>
            <w:pPr>
              <w:spacing w:after="0"/>
              <w:rPr>
                <w:sz w:val="21"/>
                <w:szCs w:val="21"/>
                <w:color w:val="auto"/>
              </w:rPr>
            </w:pPr>
          </w:p>
        </w:tc>
        <w:tc>
          <w:tcPr>
            <w:tcW w:w="7320" w:type="dxa"/>
            <w:vAlign w:val="bottom"/>
            <w:gridSpan w:val="11"/>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59">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42"/>
        </w:trPr>
        <w:tc>
          <w:tcPr>
            <w:tcW w:w="1560" w:type="dxa"/>
            <w:vAlign w:val="bottom"/>
            <w:gridSpan w:val="3"/>
          </w:tcPr>
          <w:p>
            <w:pPr>
              <w:ind w:left="20"/>
              <w:spacing w:after="0"/>
              <w:rPr>
                <w:sz w:val="20"/>
                <w:szCs w:val="20"/>
                <w:color w:val="auto"/>
              </w:rPr>
            </w:pPr>
            <w:r>
              <w:rPr>
                <w:rFonts w:ascii="Arial" w:cs="Arial" w:eastAsia="Arial" w:hAnsi="Arial"/>
                <w:sz w:val="17"/>
                <w:szCs w:val="17"/>
                <w:color w:val="auto"/>
              </w:rPr>
              <w:t>1A.</w:t>
            </w:r>
          </w:p>
        </w:tc>
        <w:tc>
          <w:tcPr>
            <w:tcW w:w="9040" w:type="dxa"/>
            <w:vAlign w:val="bottom"/>
            <w:gridSpan w:val="19"/>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Risk Factors</w:t>
              </w:r>
            </w:hyperlink>
          </w:p>
        </w:tc>
        <w:tc>
          <w:tcPr>
            <w:tcW w:w="640" w:type="dxa"/>
            <w:vAlign w:val="bottom"/>
          </w:tcPr>
          <w:p>
            <w:pPr>
              <w:ind w:left="20"/>
              <w:spacing w:after="0"/>
              <w:rPr>
                <w:rFonts w:ascii="Arial" w:cs="Arial" w:eastAsia="Arial" w:hAnsi="Arial"/>
                <w:sz w:val="17"/>
                <w:szCs w:val="17"/>
                <w:color w:val="0000FF"/>
              </w:rPr>
            </w:pPr>
            <w:hyperlink w:anchor="page59">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2.</w:t>
            </w:r>
          </w:p>
        </w:tc>
        <w:tc>
          <w:tcPr>
            <w:tcW w:w="840" w:type="dxa"/>
            <w:vAlign w:val="bottom"/>
          </w:tcPr>
          <w:p>
            <w:pPr>
              <w:spacing w:after="0"/>
              <w:rPr>
                <w:sz w:val="21"/>
                <w:szCs w:val="21"/>
                <w:color w:val="auto"/>
              </w:rPr>
            </w:pPr>
          </w:p>
        </w:tc>
        <w:tc>
          <w:tcPr>
            <w:tcW w:w="9040" w:type="dxa"/>
            <w:vAlign w:val="bottom"/>
            <w:gridSpan w:val="19"/>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Unregistered Sales of Equity Securities and Use of Proceeds</w:t>
              </w:r>
            </w:hyperlink>
          </w:p>
        </w:tc>
        <w:tc>
          <w:tcPr>
            <w:tcW w:w="640" w:type="dxa"/>
            <w:vAlign w:val="bottom"/>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3.</w:t>
            </w:r>
          </w:p>
        </w:tc>
        <w:tc>
          <w:tcPr>
            <w:tcW w:w="840" w:type="dxa"/>
            <w:vAlign w:val="bottom"/>
          </w:tcPr>
          <w:p>
            <w:pPr>
              <w:spacing w:after="0"/>
              <w:rPr>
                <w:sz w:val="21"/>
                <w:szCs w:val="21"/>
                <w:color w:val="auto"/>
              </w:rPr>
            </w:pPr>
          </w:p>
        </w:tc>
        <w:tc>
          <w:tcPr>
            <w:tcW w:w="2160" w:type="dxa"/>
            <w:vAlign w:val="bottom"/>
            <w:tcBorders>
              <w:top w:val="single" w:sz="8" w:color="0000FF"/>
              <w:bottom w:val="single" w:sz="8" w:color="0000FF"/>
            </w:tcBorders>
            <w:gridSpan w:val="10"/>
          </w:tcPr>
          <w:p>
            <w:pPr>
              <w:spacing w:after="0"/>
              <w:rPr>
                <w:rFonts w:ascii="Arial" w:cs="Arial" w:eastAsia="Arial" w:hAnsi="Arial"/>
                <w:sz w:val="17"/>
                <w:szCs w:val="17"/>
                <w:color w:val="0000FF"/>
                <w:w w:val="88"/>
              </w:rPr>
            </w:pPr>
            <w:hyperlink w:anchor="page60">
              <w:r>
                <w:rPr>
                  <w:rFonts w:ascii="Arial" w:cs="Arial" w:eastAsia="Arial" w:hAnsi="Arial"/>
                  <w:sz w:val="17"/>
                  <w:szCs w:val="17"/>
                  <w:color w:val="0000FF"/>
                  <w:w w:val="88"/>
                </w:rPr>
                <w:t>Defaults Upon Senior Securities</w:t>
              </w:r>
            </w:hyperlink>
          </w:p>
        </w:tc>
        <w:tc>
          <w:tcPr>
            <w:tcW w:w="1860" w:type="dxa"/>
            <w:vAlign w:val="bottom"/>
            <w:tcBorders>
              <w:top w:val="single" w:sz="8" w:color="0000FF"/>
            </w:tcBorders>
            <w:gridSpan w:val="2"/>
          </w:tcPr>
          <w:p>
            <w:pPr>
              <w:spacing w:after="0"/>
              <w:rPr>
                <w:sz w:val="21"/>
                <w:szCs w:val="21"/>
                <w:color w:val="auto"/>
              </w:rPr>
            </w:pPr>
          </w:p>
        </w:tc>
        <w:tc>
          <w:tcPr>
            <w:tcW w:w="5020" w:type="dxa"/>
            <w:vAlign w:val="bottom"/>
            <w:gridSpan w:val="7"/>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4.</w:t>
            </w:r>
          </w:p>
        </w:tc>
        <w:tc>
          <w:tcPr>
            <w:tcW w:w="840" w:type="dxa"/>
            <w:vAlign w:val="bottom"/>
          </w:tcPr>
          <w:p>
            <w:pPr>
              <w:spacing w:after="0"/>
              <w:rPr>
                <w:sz w:val="21"/>
                <w:szCs w:val="21"/>
                <w:color w:val="auto"/>
              </w:rPr>
            </w:pPr>
          </w:p>
        </w:tc>
        <w:tc>
          <w:tcPr>
            <w:tcW w:w="9040" w:type="dxa"/>
            <w:vAlign w:val="bottom"/>
            <w:gridSpan w:val="19"/>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Mine Safety Disclosures</w:t>
              </w:r>
            </w:hyperlink>
          </w:p>
        </w:tc>
        <w:tc>
          <w:tcPr>
            <w:tcW w:w="640" w:type="dxa"/>
            <w:vAlign w:val="bottom"/>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5.</w:t>
            </w:r>
          </w:p>
        </w:tc>
        <w:tc>
          <w:tcPr>
            <w:tcW w:w="840" w:type="dxa"/>
            <w:vAlign w:val="bottom"/>
          </w:tcPr>
          <w:p>
            <w:pPr>
              <w:spacing w:after="0"/>
              <w:rPr>
                <w:sz w:val="21"/>
                <w:szCs w:val="21"/>
                <w:color w:val="auto"/>
              </w:rPr>
            </w:pPr>
          </w:p>
        </w:tc>
        <w:tc>
          <w:tcPr>
            <w:tcW w:w="122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90"/>
              </w:rPr>
            </w:pPr>
            <w:hyperlink w:anchor="page60">
              <w:r>
                <w:rPr>
                  <w:rFonts w:ascii="Arial" w:cs="Arial" w:eastAsia="Arial" w:hAnsi="Arial"/>
                  <w:sz w:val="17"/>
                  <w:szCs w:val="17"/>
                  <w:color w:val="0000FF"/>
                  <w:w w:val="90"/>
                </w:rPr>
                <w:t>Other Information</w:t>
              </w:r>
            </w:hyperlink>
          </w:p>
        </w:tc>
        <w:tc>
          <w:tcPr>
            <w:tcW w:w="420" w:type="dxa"/>
            <w:vAlign w:val="bottom"/>
            <w:tcBorders>
              <w:top w:val="single" w:sz="8" w:color="0000FF"/>
            </w:tcBorders>
            <w:gridSpan w:val="2"/>
          </w:tcPr>
          <w:p>
            <w:pPr>
              <w:spacing w:after="0"/>
              <w:rPr>
                <w:sz w:val="21"/>
                <w:szCs w:val="21"/>
                <w:color w:val="auto"/>
              </w:rPr>
            </w:pPr>
          </w:p>
        </w:tc>
        <w:tc>
          <w:tcPr>
            <w:tcW w:w="7400" w:type="dxa"/>
            <w:vAlign w:val="bottom"/>
            <w:gridSpan w:val="13"/>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6.</w:t>
            </w:r>
          </w:p>
        </w:tc>
        <w:tc>
          <w:tcPr>
            <w:tcW w:w="840" w:type="dxa"/>
            <w:vAlign w:val="bottom"/>
          </w:tcPr>
          <w:p>
            <w:pPr>
              <w:spacing w:after="0"/>
              <w:rPr>
                <w:sz w:val="21"/>
                <w:szCs w:val="21"/>
                <w:color w:val="auto"/>
              </w:rPr>
            </w:pPr>
          </w:p>
        </w:tc>
        <w:tc>
          <w:tcPr>
            <w:tcW w:w="9040" w:type="dxa"/>
            <w:vAlign w:val="bottom"/>
            <w:gridSpan w:val="19"/>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Exhibits</w:t>
              </w:r>
            </w:hyperlink>
          </w:p>
        </w:tc>
        <w:tc>
          <w:tcPr>
            <w:tcW w:w="640" w:type="dxa"/>
            <w:vAlign w:val="bottom"/>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61</w:t>
              </w:r>
            </w:hyperlink>
          </w:p>
        </w:tc>
        <w:tc>
          <w:tcPr>
            <w:tcW w:w="0" w:type="dxa"/>
            <w:vAlign w:val="bottom"/>
          </w:tcPr>
          <w:p>
            <w:pPr>
              <w:spacing w:after="0"/>
              <w:rPr>
                <w:sz w:val="1"/>
                <w:szCs w:val="1"/>
                <w:color w:val="auto"/>
              </w:rPr>
            </w:pPr>
          </w:p>
        </w:tc>
      </w:tr>
      <w:tr>
        <w:trPr>
          <w:trHeight w:val="242"/>
        </w:trPr>
        <w:tc>
          <w:tcPr>
            <w:tcW w:w="1560" w:type="dxa"/>
            <w:vAlign w:val="bottom"/>
            <w:gridSpan w:val="3"/>
          </w:tcPr>
          <w:p>
            <w:pPr>
              <w:ind w:left="20"/>
              <w:spacing w:after="0"/>
              <w:rPr>
                <w:rFonts w:ascii="Arial" w:cs="Arial" w:eastAsia="Arial" w:hAnsi="Arial"/>
                <w:sz w:val="17"/>
                <w:szCs w:val="17"/>
                <w:color w:val="0000FF"/>
              </w:rPr>
            </w:pPr>
            <w:hyperlink w:anchor="page61">
              <w:r>
                <w:rPr>
                  <w:rFonts w:ascii="Arial" w:cs="Arial" w:eastAsia="Arial" w:hAnsi="Arial"/>
                  <w:sz w:val="17"/>
                  <w:szCs w:val="17"/>
                  <w:color w:val="0000FF"/>
                </w:rPr>
                <w:t>Signatures</w:t>
              </w:r>
            </w:hyperlink>
          </w:p>
        </w:tc>
        <w:tc>
          <w:tcPr>
            <w:tcW w:w="20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61">
              <w:r>
                <w:rPr>
                  <w:rFonts w:ascii="Arial" w:cs="Arial" w:eastAsia="Arial" w:hAnsi="Arial"/>
                  <w:sz w:val="17"/>
                  <w:szCs w:val="17"/>
                  <w:color w:val="0000FF"/>
                </w:rPr>
                <w:t>62</w:t>
              </w:r>
            </w:hyperlink>
          </w:p>
        </w:tc>
        <w:tc>
          <w:tcPr>
            <w:tcW w:w="0" w:type="dxa"/>
            <w:vAlign w:val="bottom"/>
          </w:tcPr>
          <w:p>
            <w:pPr>
              <w:spacing w:after="0"/>
              <w:rPr>
                <w:sz w:val="1"/>
                <w:szCs w:val="1"/>
                <w:color w:val="auto"/>
              </w:rPr>
            </w:pPr>
          </w:p>
        </w:tc>
      </w:tr>
      <w:tr>
        <w:trPr>
          <w:trHeight w:val="841"/>
        </w:trPr>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5500" w:type="dxa"/>
            <w:vAlign w:val="bottom"/>
            <w:gridSpan w:val="14"/>
          </w:tcPr>
          <w:p>
            <w:pPr>
              <w:ind w:left="4020"/>
              <w:spacing w:after="0"/>
              <w:rPr>
                <w:sz w:val="20"/>
                <w:szCs w:val="20"/>
                <w:color w:val="auto"/>
              </w:rPr>
            </w:pPr>
            <w:r>
              <w:rPr>
                <w:rFonts w:ascii="Arial" w:cs="Arial" w:eastAsia="Arial" w:hAnsi="Arial"/>
                <w:sz w:val="17"/>
                <w:szCs w:val="17"/>
                <w:color w:val="auto"/>
              </w:rPr>
              <w:t>2</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1.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EXLSERVICE HOLDINGS,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5"/>
                <w:szCs w:val="15"/>
                <w:color w:val="auto"/>
              </w:rPr>
            </w:pPr>
          </w:p>
        </w:tc>
        <w:tc>
          <w:tcPr>
            <w:tcW w:w="1580" w:type="dxa"/>
            <w:vAlign w:val="bottom"/>
          </w:tcPr>
          <w:p>
            <w:pPr>
              <w:jc w:val="right"/>
              <w:ind w:right="249"/>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69"/>
        </w:trPr>
        <w:tc>
          <w:tcPr>
            <w:tcW w:w="74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218,530</w:t>
            </w:r>
          </w:p>
        </w:tc>
        <w:tc>
          <w:tcPr>
            <w:tcW w:w="0" w:type="dxa"/>
            <w:vAlign w:val="bottom"/>
          </w:tcPr>
          <w:p>
            <w:pPr>
              <w:spacing w:after="0"/>
              <w:rPr>
                <w:sz w:val="1"/>
                <w:szCs w:val="1"/>
                <w:color w:val="auto"/>
              </w:rPr>
            </w:pPr>
          </w:p>
        </w:tc>
      </w:tr>
      <w:tr>
        <w:trPr>
          <w:trHeight w:val="184"/>
        </w:trPr>
        <w:tc>
          <w:tcPr>
            <w:tcW w:w="7420" w:type="dxa"/>
            <w:vAlign w:val="bottom"/>
          </w:tcPr>
          <w:p>
            <w:pPr>
              <w:ind w:left="320"/>
              <w:spacing w:after="0"/>
              <w:rPr>
                <w:sz w:val="20"/>
                <w:szCs w:val="20"/>
                <w:color w:val="auto"/>
              </w:rPr>
            </w:pPr>
            <w:r>
              <w:rPr>
                <w:rFonts w:ascii="Arial" w:cs="Arial" w:eastAsia="Arial" w:hAnsi="Arial"/>
                <w:sz w:val="14"/>
                <w:szCs w:val="14"/>
                <w:color w:val="auto"/>
              </w:rPr>
              <w:t>Short-term investments</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169,739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184,286</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w:t>
            </w:r>
          </w:p>
        </w:tc>
        <w:tc>
          <w:tcPr>
            <w:tcW w:w="0" w:type="dxa"/>
            <w:vAlign w:val="bottom"/>
          </w:tcPr>
          <w:p>
            <w:pPr>
              <w:spacing w:after="0"/>
              <w:rPr>
                <w:sz w:val="1"/>
                <w:szCs w:val="1"/>
                <w:color w:val="auto"/>
              </w:rPr>
            </w:pPr>
          </w:p>
        </w:tc>
      </w:tr>
      <w:tr>
        <w:trPr>
          <w:trHeight w:val="184"/>
        </w:trPr>
        <w:tc>
          <w:tcPr>
            <w:tcW w:w="7420" w:type="dxa"/>
            <w:vAlign w:val="bottom"/>
          </w:tcPr>
          <w:p>
            <w:pPr>
              <w:ind w:left="32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192,170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147,635</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0" w:type="dxa"/>
            <w:vAlign w:val="bottom"/>
          </w:tcPr>
          <w:p>
            <w:pPr>
              <w:spacing w:after="0"/>
              <w:rPr>
                <w:sz w:val="1"/>
                <w:szCs w:val="1"/>
                <w:color w:val="auto"/>
              </w:rPr>
            </w:pPr>
          </w:p>
        </w:tc>
      </w:tr>
      <w:tr>
        <w:trPr>
          <w:trHeight w:val="184"/>
        </w:trPr>
        <w:tc>
          <w:tcPr>
            <w:tcW w:w="7420" w:type="dxa"/>
            <w:vAlign w:val="bottom"/>
          </w:tcPr>
          <w:p>
            <w:pPr>
              <w:ind w:left="320"/>
              <w:spacing w:after="0"/>
              <w:rPr>
                <w:sz w:val="20"/>
                <w:szCs w:val="20"/>
                <w:color w:val="auto"/>
              </w:rPr>
            </w:pPr>
            <w:r>
              <w:rPr>
                <w:rFonts w:ascii="Arial" w:cs="Arial" w:eastAsia="Arial" w:hAnsi="Arial"/>
                <w:sz w:val="14"/>
                <w:szCs w:val="14"/>
                <w:color w:val="auto"/>
              </w:rPr>
              <w:t>Advance income tax, net</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19,099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5,684</w:t>
            </w:r>
          </w:p>
        </w:tc>
        <w:tc>
          <w:tcPr>
            <w:tcW w:w="0" w:type="dxa"/>
            <w:vAlign w:val="bottom"/>
          </w:tcPr>
          <w:p>
            <w:pPr>
              <w:spacing w:after="0"/>
              <w:rPr>
                <w:sz w:val="1"/>
                <w:szCs w:val="1"/>
                <w:color w:val="auto"/>
              </w:rPr>
            </w:pPr>
          </w:p>
        </w:tc>
      </w:tr>
      <w:tr>
        <w:trPr>
          <w:trHeight w:val="203"/>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33,223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37,109</w:t>
            </w:r>
          </w:p>
        </w:tc>
        <w:tc>
          <w:tcPr>
            <w:tcW w:w="0" w:type="dxa"/>
            <w:vAlign w:val="bottom"/>
          </w:tcPr>
          <w:p>
            <w:pPr>
              <w:spacing w:after="0"/>
              <w:rPr>
                <w:sz w:val="1"/>
                <w:szCs w:val="1"/>
                <w:color w:val="auto"/>
              </w:rPr>
            </w:pPr>
          </w:p>
        </w:tc>
      </w:tr>
      <w:tr>
        <w:trPr>
          <w:trHeight w:val="17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545,175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609,278</w:t>
            </w:r>
          </w:p>
        </w:tc>
        <w:tc>
          <w:tcPr>
            <w:tcW w:w="0" w:type="dxa"/>
            <w:vAlign w:val="bottom"/>
          </w:tcPr>
          <w:p>
            <w:pPr>
              <w:spacing w:after="0"/>
              <w:rPr>
                <w:sz w:val="1"/>
                <w:szCs w:val="1"/>
                <w:color w:val="auto"/>
              </w:rPr>
            </w:pPr>
          </w:p>
        </w:tc>
      </w:tr>
      <w:tr>
        <w:trPr>
          <w:trHeight w:val="18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92,875</w:t>
            </w:r>
          </w:p>
        </w:tc>
        <w:tc>
          <w:tcPr>
            <w:tcW w:w="0" w:type="dxa"/>
            <w:vAlign w:val="bottom"/>
          </w:tcPr>
          <w:p>
            <w:pPr>
              <w:spacing w:after="0"/>
              <w:rPr>
                <w:sz w:val="1"/>
                <w:szCs w:val="1"/>
                <w:color w:val="auto"/>
              </w:rPr>
            </w:pPr>
          </w:p>
        </w:tc>
      </w:tr>
      <w:tr>
        <w:trPr>
          <w:trHeight w:val="184"/>
        </w:trPr>
        <w:tc>
          <w:tcPr>
            <w:tcW w:w="742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81,324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91,918</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84"/>
        </w:trPr>
        <w:tc>
          <w:tcPr>
            <w:tcW w:w="742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26,747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7,749</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59,594</w:t>
            </w:r>
          </w:p>
        </w:tc>
        <w:tc>
          <w:tcPr>
            <w:tcW w:w="0" w:type="dxa"/>
            <w:vAlign w:val="bottom"/>
          </w:tcPr>
          <w:p>
            <w:pPr>
              <w:spacing w:after="0"/>
              <w:rPr>
                <w:sz w:val="1"/>
                <w:szCs w:val="1"/>
                <w:color w:val="auto"/>
              </w:rPr>
            </w:pPr>
          </w:p>
        </w:tc>
      </w:tr>
      <w:tr>
        <w:trPr>
          <w:trHeight w:val="184"/>
        </w:trPr>
        <w:tc>
          <w:tcPr>
            <w:tcW w:w="74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348,699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349,088</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32,099</w:t>
            </w:r>
          </w:p>
        </w:tc>
        <w:tc>
          <w:tcPr>
            <w:tcW w:w="0" w:type="dxa"/>
            <w:vAlign w:val="bottom"/>
          </w:tcPr>
          <w:p>
            <w:pPr>
              <w:spacing w:after="0"/>
              <w:rPr>
                <w:sz w:val="1"/>
                <w:szCs w:val="1"/>
                <w:color w:val="auto"/>
              </w:rPr>
            </w:pPr>
          </w:p>
        </w:tc>
      </w:tr>
      <w:tr>
        <w:trPr>
          <w:trHeight w:val="184"/>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 in equity affiliate</w:t>
            </w: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w:t>
            </w:r>
          </w:p>
        </w:tc>
        <w:tc>
          <w:tcPr>
            <w:tcW w:w="0" w:type="dxa"/>
            <w:vAlign w:val="bottom"/>
          </w:tcPr>
          <w:p>
            <w:pPr>
              <w:spacing w:after="0"/>
              <w:rPr>
                <w:sz w:val="1"/>
                <w:szCs w:val="1"/>
                <w:color w:val="auto"/>
              </w:rPr>
            </w:pPr>
          </w:p>
        </w:tc>
      </w:tr>
      <w:tr>
        <w:trPr>
          <w:trHeight w:val="20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1,168,070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1,247,857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4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2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2,881</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6,992</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long-term borrowings</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4"/>
        </w:trPr>
        <w:tc>
          <w:tcPr>
            <w:tcW w:w="7420" w:type="dxa"/>
            <w:vAlign w:val="bottom"/>
          </w:tcPr>
          <w:p>
            <w:pPr>
              <w:ind w:left="32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11,866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32,649</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employee costs</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0" w:type="dxa"/>
            <w:vAlign w:val="bottom"/>
          </w:tcPr>
          <w:p>
            <w:pPr>
              <w:spacing w:after="0"/>
              <w:rPr>
                <w:sz w:val="1"/>
                <w:szCs w:val="1"/>
                <w:color w:val="auto"/>
              </w:rPr>
            </w:pPr>
          </w:p>
        </w:tc>
      </w:tr>
      <w:tr>
        <w:trPr>
          <w:trHeight w:val="184"/>
        </w:trPr>
        <w:tc>
          <w:tcPr>
            <w:tcW w:w="7420" w:type="dxa"/>
            <w:vAlign w:val="bottom"/>
          </w:tcPr>
          <w:p>
            <w:pPr>
              <w:ind w:left="32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67,926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66,410</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operating lease liabilities</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18,894</w:t>
            </w:r>
          </w:p>
        </w:tc>
        <w:tc>
          <w:tcPr>
            <w:tcW w:w="0" w:type="dxa"/>
            <w:vAlign w:val="bottom"/>
          </w:tcPr>
          <w:p>
            <w:pPr>
              <w:spacing w:after="0"/>
              <w:rPr>
                <w:sz w:val="1"/>
                <w:szCs w:val="1"/>
                <w:color w:val="auto"/>
              </w:rPr>
            </w:pPr>
          </w:p>
        </w:tc>
      </w:tr>
      <w:tr>
        <w:trPr>
          <w:trHeight w:val="184"/>
        </w:trPr>
        <w:tc>
          <w:tcPr>
            <w:tcW w:w="74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Income taxes payable, net</w:t>
            </w: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3,488</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222,926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221,078</w:t>
            </w:r>
          </w:p>
        </w:tc>
        <w:tc>
          <w:tcPr>
            <w:tcW w:w="0" w:type="dxa"/>
            <w:vAlign w:val="bottom"/>
          </w:tcPr>
          <w:p>
            <w:pPr>
              <w:spacing w:after="0"/>
              <w:rPr>
                <w:sz w:val="1"/>
                <w:szCs w:val="1"/>
                <w:color w:val="auto"/>
              </w:rPr>
            </w:pPr>
          </w:p>
        </w:tc>
      </w:tr>
      <w:tr>
        <w:trPr>
          <w:trHeight w:val="184"/>
        </w:trPr>
        <w:tc>
          <w:tcPr>
            <w:tcW w:w="7420" w:type="dxa"/>
            <w:vAlign w:val="bottom"/>
          </w:tcPr>
          <w:p>
            <w:pPr>
              <w:ind w:left="20"/>
              <w:spacing w:after="0"/>
              <w:rPr>
                <w:sz w:val="20"/>
                <w:szCs w:val="20"/>
                <w:color w:val="auto"/>
              </w:rPr>
            </w:pPr>
            <w:r>
              <w:rPr>
                <w:rFonts w:ascii="Arial" w:cs="Arial" w:eastAsia="Arial" w:hAnsi="Arial"/>
                <w:sz w:val="14"/>
                <w:szCs w:val="14"/>
                <w:color w:val="auto"/>
              </w:rPr>
              <w:t>Long-term borrowings, less current portion</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170,000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201,961</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less current portion</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84,874</w:t>
            </w:r>
          </w:p>
        </w:tc>
        <w:tc>
          <w:tcPr>
            <w:tcW w:w="0" w:type="dxa"/>
            <w:vAlign w:val="bottom"/>
          </w:tcPr>
          <w:p>
            <w:pPr>
              <w:spacing w:after="0"/>
              <w:rPr>
                <w:sz w:val="1"/>
                <w:szCs w:val="1"/>
                <w:color w:val="auto"/>
              </w:rPr>
            </w:pPr>
          </w:p>
        </w:tc>
      </w:tr>
      <w:tr>
        <w:trPr>
          <w:trHeight w:val="184"/>
        </w:trPr>
        <w:tc>
          <w:tcPr>
            <w:tcW w:w="7420" w:type="dxa"/>
            <w:vAlign w:val="bottom"/>
          </w:tcPr>
          <w:p>
            <w:pPr>
              <w:ind w:left="2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84"/>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18,135</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483,085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528,685</w:t>
            </w:r>
          </w:p>
        </w:tc>
        <w:tc>
          <w:tcPr>
            <w:tcW w:w="0" w:type="dxa"/>
            <w:vAlign w:val="bottom"/>
          </w:tcPr>
          <w:p>
            <w:pPr>
              <w:spacing w:after="0"/>
              <w:rPr>
                <w:sz w:val="1"/>
                <w:szCs w:val="1"/>
                <w:color w:val="auto"/>
              </w:rPr>
            </w:pPr>
          </w:p>
        </w:tc>
      </w:tr>
      <w:tr>
        <w:trPr>
          <w:trHeight w:val="164"/>
        </w:trPr>
        <w:tc>
          <w:tcPr>
            <w:tcW w:w="7420" w:type="dxa"/>
            <w:vAlign w:val="bottom"/>
          </w:tcPr>
          <w:p>
            <w:pPr>
              <w:ind w:left="20"/>
              <w:spacing w:after="0"/>
              <w:rPr>
                <w:sz w:val="20"/>
                <w:szCs w:val="20"/>
                <w:color w:val="auto"/>
              </w:rPr>
            </w:pPr>
            <w:r>
              <w:rPr>
                <w:rFonts w:ascii="Arial" w:cs="Arial" w:eastAsia="Arial" w:hAnsi="Arial"/>
                <w:sz w:val="14"/>
                <w:szCs w:val="14"/>
                <w:color w:val="auto"/>
              </w:rPr>
              <w:t>Commitments and contingencies (Refer to Note 24)</w:t>
            </w: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$0.001 par value; 15,000,000 shares authorized, none issued</w:t>
            </w:r>
          </w:p>
        </w:tc>
        <w:tc>
          <w:tcPr>
            <w:tcW w:w="2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420" w:type="dxa"/>
            <w:vAlign w:val="bottom"/>
          </w:tcPr>
          <w:p>
            <w:pPr>
              <w:ind w:left="20"/>
              <w:spacing w:after="0"/>
              <w:rPr>
                <w:sz w:val="20"/>
                <w:szCs w:val="20"/>
                <w:color w:val="auto"/>
              </w:rPr>
            </w:pPr>
            <w:r>
              <w:rPr>
                <w:rFonts w:ascii="Arial" w:cs="Arial" w:eastAsia="Arial" w:hAnsi="Arial"/>
                <w:sz w:val="14"/>
                <w:szCs w:val="14"/>
                <w:color w:val="auto"/>
              </w:rPr>
              <w:t>ExlService Holdings, Inc. Stockholders’ equity:</w:t>
            </w: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420" w:type="dxa"/>
            <w:vAlign w:val="bottom"/>
            <w:shd w:val="clear" w:color="auto" w:fill="CCEEFF"/>
          </w:tcPr>
          <w:p>
            <w:pPr>
              <w:ind w:left="320"/>
              <w:spacing w:after="0" w:line="141" w:lineRule="exact"/>
              <w:rPr>
                <w:sz w:val="20"/>
                <w:szCs w:val="20"/>
                <w:color w:val="auto"/>
              </w:rPr>
            </w:pPr>
            <w:r>
              <w:rPr>
                <w:rFonts w:ascii="Arial" w:cs="Arial" w:eastAsia="Arial" w:hAnsi="Arial"/>
                <w:sz w:val="14"/>
                <w:szCs w:val="14"/>
                <w:color w:val="auto"/>
                <w:w w:val="98"/>
              </w:rPr>
              <w:t>Common stock, $0.001 par value; 100,000,000 shares authorized, 39,312,225 shares issued and 33,343,895 shares</w:t>
            </w: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7420" w:type="dxa"/>
            <w:vAlign w:val="bottom"/>
            <w:shd w:val="clear" w:color="auto" w:fill="CCEEFF"/>
          </w:tcPr>
          <w:p>
            <w:pPr>
              <w:ind w:left="320"/>
              <w:spacing w:after="0" w:line="137" w:lineRule="exact"/>
              <w:rPr>
                <w:sz w:val="20"/>
                <w:szCs w:val="20"/>
                <w:color w:val="auto"/>
              </w:rPr>
            </w:pPr>
            <w:r>
              <w:rPr>
                <w:rFonts w:ascii="Arial" w:cs="Arial" w:eastAsia="Arial" w:hAnsi="Arial"/>
                <w:sz w:val="14"/>
                <w:szCs w:val="14"/>
                <w:color w:val="auto"/>
                <w:w w:val="90"/>
              </w:rPr>
              <w:t>outstanding as of September 30, 2021 and 38,968,052 shares issued and 33,559,434 shares outstanding as of December 31,</w:t>
            </w:r>
          </w:p>
        </w:tc>
        <w:tc>
          <w:tcPr>
            <w:tcW w:w="22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7"/>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2020</w:t>
            </w:r>
          </w:p>
        </w:tc>
        <w:tc>
          <w:tcPr>
            <w:tcW w:w="22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385,917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420,976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Retained earnings</w:t>
            </w: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727,838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641,379</w:t>
            </w:r>
          </w:p>
        </w:tc>
      </w:tr>
      <w:tr>
        <w:trPr>
          <w:trHeight w:val="184"/>
        </w:trPr>
        <w:tc>
          <w:tcPr>
            <w:tcW w:w="74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Accumulated other comprehensive loss</w:t>
            </w: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(92,257)</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(74,984)</w:t>
            </w:r>
          </w:p>
        </w:tc>
      </w:tr>
      <w:tr>
        <w:trPr>
          <w:trHeight w:val="183"/>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including shares held in treasury</w:t>
            </w:r>
          </w:p>
        </w:tc>
        <w:tc>
          <w:tcPr>
            <w:tcW w:w="6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1,021,537</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987,410</w:t>
            </w:r>
          </w:p>
        </w:tc>
      </w:tr>
      <w:tr>
        <w:trPr>
          <w:trHeight w:val="176"/>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6"/>
              </w:rPr>
              <w:t>Less: 5,968,330 shares as of September 30, 2021 and 5,408,618 shares as of December 31, 2020, held in treasury, at cost</w:t>
            </w: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(336,552)</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(268,238)</w:t>
            </w:r>
          </w:p>
        </w:tc>
      </w:tr>
      <w:tr>
        <w:trPr>
          <w:trHeight w:val="183"/>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6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684,985</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719,172</w:t>
            </w:r>
          </w:p>
        </w:tc>
      </w:tr>
      <w:tr>
        <w:trPr>
          <w:trHeight w:val="30"/>
        </w:trPr>
        <w:tc>
          <w:tcPr>
            <w:tcW w:w="7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6"/>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6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684,985</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719,172</w:t>
            </w:r>
          </w:p>
        </w:tc>
      </w:tr>
      <w:tr>
        <w:trPr>
          <w:trHeight w:val="181"/>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1,168,070</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1,247,857</w:t>
            </w:r>
          </w:p>
        </w:tc>
      </w:tr>
      <w:tr>
        <w:trPr>
          <w:trHeight w:val="20"/>
        </w:trPr>
        <w:tc>
          <w:tcPr>
            <w:tcW w:w="7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9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CONSOLIDATED STATEMENTS OF INCOME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580" w:type="dxa"/>
            <w:vAlign w:val="bottom"/>
            <w:gridSpan w:val="4"/>
          </w:tcPr>
          <w:p>
            <w:pPr>
              <w:jc w:val="right"/>
              <w:ind w:right="378"/>
              <w:spacing w:after="0"/>
              <w:rPr>
                <w:sz w:val="20"/>
                <w:szCs w:val="20"/>
                <w:color w:val="auto"/>
              </w:rPr>
            </w:pPr>
            <w:r>
              <w:rPr>
                <w:rFonts w:ascii="Arial" w:cs="Arial" w:eastAsia="Arial" w:hAnsi="Arial"/>
                <w:sz w:val="13"/>
                <w:szCs w:val="13"/>
                <w:b w:val="1"/>
                <w:bCs w:val="1"/>
                <w:color w:val="auto"/>
                <w:w w:val="98"/>
              </w:rPr>
              <w:t>Nine months ended September 30,</w:t>
            </w:r>
          </w:p>
        </w:tc>
      </w:tr>
      <w:tr>
        <w:trPr>
          <w:trHeight w:val="171"/>
        </w:trPr>
        <w:tc>
          <w:tcPr>
            <w:tcW w:w="54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2020</w:t>
            </w:r>
          </w:p>
        </w:tc>
      </w:tr>
      <w:tr>
        <w:trPr>
          <w:trHeight w:val="206"/>
        </w:trPr>
        <w:tc>
          <w:tcPr>
            <w:tcW w:w="54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Revenues, net</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290,325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241,018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826,804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709,481</w:t>
            </w:r>
          </w:p>
        </w:tc>
      </w:tr>
      <w:tr>
        <w:trPr>
          <w:trHeight w:val="212"/>
        </w:trPr>
        <w:tc>
          <w:tcPr>
            <w:tcW w:w="5480" w:type="dxa"/>
            <w:vAlign w:val="bottom"/>
            <w:tcBorders>
              <w:bottom w:val="single" w:sz="8" w:color="CCEEFF"/>
            </w:tcBorders>
          </w:tcPr>
          <w:p>
            <w:pPr>
              <w:ind w:left="20"/>
              <w:spacing w:after="0" w:line="212" w:lineRule="exact"/>
              <w:rPr>
                <w:sz w:val="20"/>
                <w:szCs w:val="20"/>
                <w:color w:val="auto"/>
              </w:rPr>
            </w:pPr>
            <w:r>
              <w:rPr>
                <w:rFonts w:ascii="Arial" w:cs="Arial" w:eastAsia="Arial" w:hAnsi="Arial"/>
                <w:sz w:val="17"/>
                <w:szCs w:val="17"/>
                <w:color w:val="auto"/>
              </w:rPr>
              <w:t>Cost of revenues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177,743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152,087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507,265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473,144</w:t>
            </w:r>
          </w:p>
        </w:tc>
      </w:tr>
      <w:tr>
        <w:trPr>
          <w:trHeight w:val="205"/>
        </w:trPr>
        <w:tc>
          <w:tcPr>
            <w:tcW w:w="5480" w:type="dxa"/>
            <w:vAlign w:val="bottom"/>
            <w:shd w:val="clear" w:color="auto" w:fill="CCEEFF"/>
          </w:tcPr>
          <w:p>
            <w:pPr>
              <w:ind w:left="20"/>
              <w:spacing w:after="0" w:line="205" w:lineRule="exact"/>
              <w:rPr>
                <w:sz w:val="20"/>
                <w:szCs w:val="20"/>
                <w:color w:val="auto"/>
              </w:rPr>
            </w:pPr>
            <w:r>
              <w:rPr>
                <w:rFonts w:ascii="Arial" w:cs="Arial" w:eastAsia="Arial" w:hAnsi="Arial"/>
                <w:sz w:val="17"/>
                <w:szCs w:val="17"/>
                <w:b w:val="1"/>
                <w:bCs w:val="1"/>
                <w:color w:val="auto"/>
              </w:rPr>
              <w:t>Gross profit</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112,582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88,931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319,539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236,337</w:t>
            </w:r>
          </w:p>
        </w:tc>
      </w:tr>
      <w:tr>
        <w:trPr>
          <w:trHeight w:val="192"/>
        </w:trPr>
        <w:tc>
          <w:tcPr>
            <w:tcW w:w="5480" w:type="dxa"/>
            <w:vAlign w:val="bottom"/>
          </w:tcPr>
          <w:p>
            <w:pPr>
              <w:ind w:left="20"/>
              <w:spacing w:after="0" w:line="193" w:lineRule="exact"/>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84,501</w:t>
            </w:r>
          </w:p>
        </w:tc>
      </w:tr>
      <w:tr>
        <w:trPr>
          <w:trHeight w:val="212"/>
        </w:trPr>
        <w:tc>
          <w:tcPr>
            <w:tcW w:w="5480" w:type="dxa"/>
            <w:vAlign w:val="bottom"/>
          </w:tcPr>
          <w:p>
            <w:pPr>
              <w:ind w:left="20"/>
              <w:spacing w:after="0"/>
              <w:rPr>
                <w:sz w:val="20"/>
                <w:szCs w:val="20"/>
                <w:color w:val="auto"/>
              </w:rPr>
            </w:pPr>
            <w:r>
              <w:rPr>
                <w:rFonts w:ascii="Arial" w:cs="Arial" w:eastAsia="Arial" w:hAnsi="Arial"/>
                <w:sz w:val="17"/>
                <w:szCs w:val="17"/>
                <w:color w:val="auto"/>
              </w:rPr>
              <w:t>Selling and marketing expenses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21,672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15,290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59,631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42,797</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12,425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36,716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37,280</w:t>
            </w:r>
          </w:p>
        </w:tc>
      </w:tr>
      <w:tr>
        <w:trPr>
          <w:trHeight w:val="205"/>
        </w:trPr>
        <w:tc>
          <w:tcPr>
            <w:tcW w:w="5480" w:type="dxa"/>
            <w:vAlign w:val="bottom"/>
            <w:tcBorders>
              <w:bottom w:val="single" w:sz="8" w:color="CCEEFF"/>
            </w:tcBorders>
          </w:tcPr>
          <w:p>
            <w:pPr>
              <w:ind w:left="20"/>
              <w:spacing w:after="0" w:line="193" w:lineRule="exact"/>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70,144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199,716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164,578</w:t>
            </w:r>
          </w:p>
        </w:tc>
      </w:tr>
      <w:tr>
        <w:trPr>
          <w:trHeight w:val="205"/>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42,438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34,406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119,823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71,759</w:t>
            </w:r>
          </w:p>
        </w:tc>
      </w:tr>
      <w:tr>
        <w:trPr>
          <w:trHeight w:val="212"/>
        </w:trPr>
        <w:tc>
          <w:tcPr>
            <w:tcW w:w="5480" w:type="dxa"/>
            <w:vAlign w:val="bottom"/>
          </w:tcPr>
          <w:p>
            <w:pPr>
              <w:ind w:left="20"/>
              <w:spacing w:after="0"/>
              <w:rPr>
                <w:sz w:val="20"/>
                <w:szCs w:val="20"/>
                <w:color w:val="auto"/>
              </w:rPr>
            </w:pPr>
            <w:r>
              <w:rPr>
                <w:rFonts w:ascii="Arial" w:cs="Arial" w:eastAsia="Arial" w:hAnsi="Arial"/>
                <w:sz w:val="17"/>
                <w:szCs w:val="17"/>
                <w:color w:val="auto"/>
              </w:rPr>
              <w:t>Foreign exchange gain, net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3,452</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(8,583)</w:t>
            </w:r>
          </w:p>
        </w:tc>
      </w:tr>
      <w:tr>
        <w:trPr>
          <w:trHeight w:val="212"/>
        </w:trPr>
        <w:tc>
          <w:tcPr>
            <w:tcW w:w="548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9,239</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settlement of convertible notes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w w:val="96"/>
              </w:rPr>
              <w:t>Income before income tax expense and earnings from equity affiliates</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30,675</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34,979</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108,478</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75,867</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22,019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18,416</w:t>
            </w:r>
          </w:p>
        </w:tc>
      </w:tr>
      <w:tr>
        <w:trPr>
          <w:trHeight w:val="205"/>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26,479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26,489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86,459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57,451</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 (loss) from equity-method investment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05"/>
        </w:trPr>
        <w:tc>
          <w:tcPr>
            <w:tcW w:w="548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26,507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26,418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86,459</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57,258</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5480" w:type="dxa"/>
            <w:vAlign w:val="bottom"/>
            <w:shd w:val="clear" w:color="auto" w:fill="CCEEFF"/>
          </w:tcPr>
          <w:p>
            <w:pPr>
              <w:ind w:left="20"/>
              <w:spacing w:after="0" w:line="177" w:lineRule="exact"/>
              <w:rPr>
                <w:sz w:val="20"/>
                <w:szCs w:val="20"/>
                <w:color w:val="auto"/>
              </w:rPr>
            </w:pPr>
            <w:r>
              <w:rPr>
                <w:rFonts w:ascii="Arial" w:cs="Arial" w:eastAsia="Arial" w:hAnsi="Arial"/>
                <w:sz w:val="17"/>
                <w:szCs w:val="17"/>
                <w:color w:val="auto"/>
                <w:w w:val="99"/>
              </w:rPr>
              <w:t>Earnings per share attributable to ExlService Holdings, Inc. stockholders:</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2"/>
        </w:trPr>
        <w:tc>
          <w:tcPr>
            <w:tcW w:w="5480" w:type="dxa"/>
            <w:vAlign w:val="bottom"/>
          </w:tcPr>
          <w:p>
            <w:pPr>
              <w:ind w:left="320"/>
              <w:spacing w:after="0"/>
              <w:rPr>
                <w:sz w:val="20"/>
                <w:szCs w:val="20"/>
                <w:color w:val="auto"/>
              </w:rPr>
            </w:pPr>
            <w:r>
              <w:rPr>
                <w:rFonts w:ascii="Arial" w:cs="Arial" w:eastAsia="Arial" w:hAnsi="Arial"/>
                <w:sz w:val="17"/>
                <w:szCs w:val="17"/>
                <w:color w:val="auto"/>
              </w:rPr>
              <w:t>Basic</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0.79</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0.77</w:t>
            </w:r>
          </w:p>
        </w:tc>
        <w:tc>
          <w:tcPr>
            <w:tcW w:w="8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2.57</w:t>
            </w:r>
          </w:p>
        </w:tc>
        <w:tc>
          <w:tcPr>
            <w:tcW w:w="8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12"/>
        </w:trPr>
        <w:tc>
          <w:tcPr>
            <w:tcW w:w="5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r>
      <w:tr>
        <w:trPr>
          <w:trHeight w:val="162"/>
        </w:trPr>
        <w:tc>
          <w:tcPr>
            <w:tcW w:w="5480" w:type="dxa"/>
            <w:vAlign w:val="bottom"/>
          </w:tcPr>
          <w:p>
            <w:pPr>
              <w:ind w:left="20"/>
              <w:spacing w:after="0" w:line="163" w:lineRule="exact"/>
              <w:rPr>
                <w:sz w:val="20"/>
                <w:szCs w:val="20"/>
                <w:color w:val="auto"/>
              </w:rPr>
            </w:pPr>
            <w:r>
              <w:rPr>
                <w:rFonts w:ascii="Arial" w:cs="Arial" w:eastAsia="Arial" w:hAnsi="Arial"/>
                <w:sz w:val="17"/>
                <w:szCs w:val="17"/>
                <w:color w:val="auto"/>
                <w:w w:val="96"/>
              </w:rPr>
              <w:t>Weighted-average number of shares used in computing earnings per share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2"/>
        </w:trPr>
        <w:tc>
          <w:tcPr>
            <w:tcW w:w="5480" w:type="dxa"/>
            <w:vAlign w:val="bottom"/>
          </w:tcPr>
          <w:p>
            <w:pPr>
              <w:ind w:left="20"/>
              <w:spacing w:after="0"/>
              <w:rPr>
                <w:sz w:val="20"/>
                <w:szCs w:val="20"/>
                <w:color w:val="auto"/>
              </w:rPr>
            </w:pPr>
            <w:r>
              <w:rPr>
                <w:rFonts w:ascii="Arial" w:cs="Arial" w:eastAsia="Arial" w:hAnsi="Arial"/>
                <w:sz w:val="17"/>
                <w:szCs w:val="17"/>
                <w:color w:val="auto"/>
              </w:rPr>
              <w:t>attributable to ExlService Holdings Inc. stockholders: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5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33,449,311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34,327,477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33,583,791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34,404,798</w:t>
            </w:r>
          </w:p>
        </w:tc>
      </w:tr>
      <w:tr>
        <w:trPr>
          <w:trHeight w:val="212"/>
        </w:trPr>
        <w:tc>
          <w:tcPr>
            <w:tcW w:w="5480" w:type="dxa"/>
            <w:vAlign w:val="bottom"/>
          </w:tcPr>
          <w:p>
            <w:pPr>
              <w:ind w:left="320"/>
              <w:spacing w:after="0"/>
              <w:rPr>
                <w:sz w:val="20"/>
                <w:szCs w:val="20"/>
                <w:color w:val="auto"/>
              </w:rPr>
            </w:pPr>
            <w:r>
              <w:rPr>
                <w:rFonts w:ascii="Arial" w:cs="Arial" w:eastAsia="Arial" w:hAnsi="Arial"/>
                <w:sz w:val="17"/>
                <w:szCs w:val="17"/>
                <w:color w:val="auto"/>
              </w:rPr>
              <w:t>Diluted</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34,305,893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34,536,049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34,336,950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34,617,830</w:t>
            </w:r>
          </w:p>
        </w:tc>
      </w:tr>
    </w:tbl>
    <w:p>
      <w:pPr>
        <w:spacing w:after="0" w:line="304"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9"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CONSOLIDATED STATEMENTS OF COMPREHENSIVE INCOME/(LOSS)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2900" w:type="dxa"/>
            <w:vAlign w:val="bottom"/>
            <w:gridSpan w:val="6"/>
          </w:tcPr>
          <w:p>
            <w:pPr>
              <w:ind w:left="40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580" w:type="dxa"/>
            <w:vAlign w:val="bottom"/>
            <w:gridSpan w:val="4"/>
          </w:tcPr>
          <w:p>
            <w:pPr>
              <w:jc w:val="right"/>
              <w:ind w:right="378"/>
              <w:spacing w:after="0"/>
              <w:rPr>
                <w:sz w:val="20"/>
                <w:szCs w:val="20"/>
                <w:color w:val="auto"/>
              </w:rPr>
            </w:pPr>
            <w:r>
              <w:rPr>
                <w:rFonts w:ascii="Arial" w:cs="Arial" w:eastAsia="Arial" w:hAnsi="Arial"/>
                <w:sz w:val="13"/>
                <w:szCs w:val="13"/>
                <w:b w:val="1"/>
                <w:bCs w:val="1"/>
                <w:color w:val="auto"/>
                <w:w w:val="98"/>
              </w:rPr>
              <w:t>Nine months ended September 30,</w:t>
            </w:r>
          </w:p>
        </w:tc>
      </w:tr>
      <w:tr>
        <w:trPr>
          <w:trHeight w:val="171"/>
        </w:trPr>
        <w:tc>
          <w:tcPr>
            <w:tcW w:w="548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2020</w:t>
            </w:r>
          </w:p>
        </w:tc>
      </w:tr>
      <w:tr>
        <w:trPr>
          <w:trHeight w:val="206"/>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26,507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86,459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57,258</w:t>
            </w:r>
          </w:p>
        </w:tc>
      </w:tr>
      <w:tr>
        <w:trPr>
          <w:trHeight w:val="197"/>
        </w:trPr>
        <w:tc>
          <w:tcPr>
            <w:tcW w:w="5480" w:type="dxa"/>
            <w:vAlign w:val="bottom"/>
          </w:tcPr>
          <w:p>
            <w:pPr>
              <w:ind w:left="60"/>
              <w:spacing w:after="0"/>
              <w:rPr>
                <w:sz w:val="20"/>
                <w:szCs w:val="20"/>
                <w:color w:val="auto"/>
              </w:rPr>
            </w:pPr>
            <w:r>
              <w:rPr>
                <w:rFonts w:ascii="Arial" w:cs="Arial" w:eastAsia="Arial" w:hAnsi="Arial"/>
                <w:sz w:val="15"/>
                <w:szCs w:val="15"/>
                <w:b w:val="1"/>
                <w:bCs w:val="1"/>
                <w:color w:val="auto"/>
              </w:rPr>
              <w:t>Other comprehensive income/(loss):</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5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Unrealized gain/(loss) on cash flow hedges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5,040</w:t>
            </w:r>
          </w:p>
        </w:tc>
      </w:tr>
      <w:tr>
        <w:trPr>
          <w:trHeight w:val="212"/>
        </w:trPr>
        <w:tc>
          <w:tcPr>
            <w:tcW w:w="5480" w:type="dxa"/>
            <w:vAlign w:val="bottom"/>
          </w:tcPr>
          <w:p>
            <w:pPr>
              <w:ind w:left="320"/>
              <w:spacing w:after="0"/>
              <w:rPr>
                <w:sz w:val="20"/>
                <w:szCs w:val="20"/>
                <w:color w:val="auto"/>
              </w:rPr>
            </w:pPr>
            <w:r>
              <w:rPr>
                <w:rFonts w:ascii="Arial" w:cs="Arial" w:eastAsia="Arial" w:hAnsi="Arial"/>
                <w:sz w:val="15"/>
                <w:szCs w:val="15"/>
                <w:color w:val="auto"/>
              </w:rPr>
              <w:t>Loss on net investment hedges</w:t>
            </w:r>
          </w:p>
        </w:tc>
        <w:tc>
          <w:tcPr>
            <w:tcW w:w="8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5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Foreign currency translation gain/(loss)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(3,789)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(7,983)</w:t>
            </w:r>
          </w:p>
        </w:tc>
      </w:tr>
      <w:tr>
        <w:trPr>
          <w:trHeight w:val="197"/>
        </w:trPr>
        <w:tc>
          <w:tcPr>
            <w:tcW w:w="5480" w:type="dxa"/>
            <w:vAlign w:val="bottom"/>
          </w:tcPr>
          <w:p>
            <w:pPr>
              <w:ind w:left="120"/>
              <w:spacing w:after="0"/>
              <w:rPr>
                <w:sz w:val="20"/>
                <w:szCs w:val="20"/>
                <w:color w:val="auto"/>
              </w:rPr>
            </w:pPr>
            <w:r>
              <w:rPr>
                <w:rFonts w:ascii="Arial" w:cs="Arial" w:eastAsia="Arial" w:hAnsi="Arial"/>
                <w:sz w:val="15"/>
                <w:szCs w:val="15"/>
                <w:b w:val="1"/>
                <w:bCs w:val="1"/>
                <w:color w:val="auto"/>
              </w:rPr>
              <w:t>Reclassification adjustments</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5"/>
        </w:trPr>
        <w:tc>
          <w:tcPr>
            <w:tcW w:w="5480" w:type="dxa"/>
            <w:vAlign w:val="bottom"/>
            <w:shd w:val="clear" w:color="auto" w:fill="CCEEFF"/>
          </w:tcPr>
          <w:p>
            <w:pPr>
              <w:ind w:left="320"/>
              <w:spacing w:after="0" w:line="215" w:lineRule="exact"/>
              <w:rPr>
                <w:sz w:val="20"/>
                <w:szCs w:val="20"/>
                <w:color w:val="auto"/>
              </w:rPr>
            </w:pPr>
            <w:r>
              <w:rPr>
                <w:rFonts w:ascii="Arial" w:cs="Arial" w:eastAsia="Arial" w:hAnsi="Arial"/>
                <w:sz w:val="15"/>
                <w:szCs w:val="15"/>
                <w:color w:val="auto"/>
              </w:rPr>
              <w:t>(Gain)/loss on cash flow hedges</w:t>
            </w:r>
            <w:r>
              <w:rPr>
                <w:rFonts w:ascii="Arial" w:cs="Arial" w:eastAsia="Arial" w:hAnsi="Arial"/>
                <w:sz w:val="19"/>
                <w:szCs w:val="19"/>
                <w:color w:val="auto"/>
                <w:vertAlign w:val="superscript"/>
              </w:rPr>
              <w:t>(1)</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w:t>
            </w:r>
          </w:p>
        </w:tc>
      </w:tr>
      <w:tr>
        <w:trPr>
          <w:trHeight w:val="212"/>
        </w:trPr>
        <w:tc>
          <w:tcPr>
            <w:tcW w:w="5480" w:type="dxa"/>
            <w:vAlign w:val="bottom"/>
          </w:tcPr>
          <w:p>
            <w:pPr>
              <w:ind w:left="320"/>
              <w:spacing w:after="0" w:line="213" w:lineRule="exact"/>
              <w:rPr>
                <w:sz w:val="20"/>
                <w:szCs w:val="20"/>
                <w:color w:val="auto"/>
              </w:rPr>
            </w:pPr>
            <w:r>
              <w:rPr>
                <w:rFonts w:ascii="Arial" w:cs="Arial" w:eastAsia="Arial" w:hAnsi="Arial"/>
                <w:sz w:val="15"/>
                <w:szCs w:val="15"/>
                <w:color w:val="auto"/>
              </w:rPr>
              <w:t>Retirement benefits</w:t>
            </w:r>
            <w:r>
              <w:rPr>
                <w:rFonts w:ascii="Arial" w:cs="Arial" w:eastAsia="Arial" w:hAnsi="Arial"/>
                <w:sz w:val="19"/>
                <w:szCs w:val="19"/>
                <w:color w:val="auto"/>
                <w:vertAlign w:val="superscript"/>
              </w:rPr>
              <w:t>(2)</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12"/>
        </w:trPr>
        <w:tc>
          <w:tcPr>
            <w:tcW w:w="5480" w:type="dxa"/>
            <w:vAlign w:val="bottom"/>
            <w:shd w:val="clear" w:color="auto" w:fill="CCEEFF"/>
          </w:tcPr>
          <w:p>
            <w:pPr>
              <w:ind w:left="120"/>
              <w:spacing w:after="0" w:line="213" w:lineRule="exact"/>
              <w:rPr>
                <w:sz w:val="20"/>
                <w:szCs w:val="20"/>
                <w:color w:val="auto"/>
              </w:rPr>
            </w:pPr>
            <w:r>
              <w:rPr>
                <w:rFonts w:ascii="Arial" w:cs="Arial" w:eastAsia="Arial" w:hAnsi="Arial"/>
                <w:sz w:val="15"/>
                <w:szCs w:val="15"/>
                <w:b w:val="1"/>
                <w:bCs w:val="1"/>
                <w:color w:val="auto"/>
              </w:rPr>
              <w:t>Income tax effects relating to above</w:t>
            </w:r>
            <w:r>
              <w:rPr>
                <w:rFonts w:ascii="Arial" w:cs="Arial" w:eastAsia="Arial" w:hAnsi="Arial"/>
                <w:sz w:val="19"/>
                <w:szCs w:val="19"/>
                <w:b w:val="1"/>
                <w:bCs w:val="1"/>
                <w:color w:val="auto"/>
                <w:vertAlign w:val="superscript"/>
              </w:rPr>
              <w:t>(3)</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1,689</w:t>
            </w:r>
          </w:p>
        </w:tc>
      </w:tr>
      <w:tr>
        <w:trPr>
          <w:trHeight w:val="205"/>
        </w:trPr>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5"/>
                <w:szCs w:val="15"/>
                <w:b w:val="1"/>
                <w:bCs w:val="1"/>
                <w:color w:val="auto"/>
              </w:rPr>
              <w:t>Total other comprehensive income/(loss)</w:t>
            </w:r>
          </w:p>
        </w:tc>
        <w:tc>
          <w:tcPr>
            <w:tcW w:w="800" w:type="dxa"/>
            <w:vAlign w:val="bottom"/>
            <w:tcBorders>
              <w:bottom w:val="single" w:sz="8" w:color="auto"/>
            </w:tcBorders>
          </w:tcPr>
          <w:p>
            <w:pPr>
              <w:jc w:val="right"/>
              <w:ind w:right="623"/>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(5,512)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19,057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(17,273)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(325)</w:t>
            </w:r>
          </w:p>
        </w:tc>
      </w:tr>
      <w:tr>
        <w:trPr>
          <w:trHeight w:val="23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20,995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45,475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69,186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56,933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ind w:left="520" w:hanging="520"/>
        <w:spacing w:after="0" w:line="249" w:lineRule="auto"/>
        <w:tabs>
          <w:tab w:leader="none" w:pos="513" w:val="left"/>
        </w:tabs>
        <w:numPr>
          <w:ilvl w:val="0"/>
          <w:numId w:val="3"/>
        </w:numPr>
        <w:rPr>
          <w:rFonts w:ascii="Arial" w:cs="Arial" w:eastAsia="Arial" w:hAnsi="Arial"/>
          <w:sz w:val="13"/>
          <w:szCs w:val="13"/>
          <w:i w:val="1"/>
          <w:iCs w:val="1"/>
          <w:color w:val="auto"/>
        </w:rPr>
      </w:pPr>
      <w:r>
        <w:rPr>
          <w:rFonts w:ascii="Arial" w:cs="Arial" w:eastAsia="Arial" w:hAnsi="Arial"/>
          <w:sz w:val="15"/>
          <w:szCs w:val="15"/>
          <w:i w:val="1"/>
          <w:iCs w:val="1"/>
          <w:color w:val="auto"/>
        </w:rPr>
        <w:t>These are reclassified to net income and are included in cost of revenues and operating expenses, as applicable in the unaudited consolidated statements of income. Refer to Note 16 - Derivatives and Hedge Accounting to the unaudited consolidated financial statements.</w:t>
      </w:r>
    </w:p>
    <w:p>
      <w:pPr>
        <w:spacing w:after="0" w:line="191" w:lineRule="exact"/>
        <w:rPr>
          <w:rFonts w:ascii="Arial" w:cs="Arial" w:eastAsia="Arial" w:hAnsi="Arial"/>
          <w:sz w:val="13"/>
          <w:szCs w:val="13"/>
          <w:i w:val="1"/>
          <w:iCs w:val="1"/>
          <w:color w:val="auto"/>
        </w:rPr>
      </w:pPr>
    </w:p>
    <w:p>
      <w:pPr>
        <w:ind w:left="520" w:hanging="520"/>
        <w:spacing w:after="0" w:line="249" w:lineRule="auto"/>
        <w:tabs>
          <w:tab w:leader="none" w:pos="513" w:val="left"/>
        </w:tabs>
        <w:numPr>
          <w:ilvl w:val="0"/>
          <w:numId w:val="3"/>
        </w:numPr>
        <w:rPr>
          <w:rFonts w:ascii="Arial" w:cs="Arial" w:eastAsia="Arial" w:hAnsi="Arial"/>
          <w:sz w:val="13"/>
          <w:szCs w:val="13"/>
          <w:color w:val="auto"/>
        </w:rPr>
      </w:pPr>
      <w:r>
        <w:rPr>
          <w:rFonts w:ascii="Arial" w:cs="Arial" w:eastAsia="Arial" w:hAnsi="Arial"/>
          <w:sz w:val="15"/>
          <w:szCs w:val="15"/>
          <w:i w:val="1"/>
          <w:iCs w:val="1"/>
          <w:color w:val="auto"/>
        </w:rPr>
        <w:t>These are reclassified to net income and are included in other income, net in the unaudited consolidated statements of income. Refer to Note 19 - Employee Benefit Plans to the unaudited consolidated financial statements.</w:t>
      </w:r>
    </w:p>
    <w:p>
      <w:pPr>
        <w:spacing w:after="0" w:line="191" w:lineRule="exact"/>
        <w:rPr>
          <w:rFonts w:ascii="Arial" w:cs="Arial" w:eastAsia="Arial" w:hAnsi="Arial"/>
          <w:sz w:val="13"/>
          <w:szCs w:val="13"/>
          <w:color w:val="auto"/>
        </w:rPr>
      </w:pPr>
    </w:p>
    <w:p>
      <w:pPr>
        <w:ind w:left="520" w:hanging="520"/>
        <w:spacing w:after="0" w:line="249" w:lineRule="auto"/>
        <w:tabs>
          <w:tab w:leader="none" w:pos="513" w:val="left"/>
        </w:tabs>
        <w:numPr>
          <w:ilvl w:val="0"/>
          <w:numId w:val="3"/>
        </w:numPr>
        <w:rPr>
          <w:rFonts w:ascii="Arial" w:cs="Arial" w:eastAsia="Arial" w:hAnsi="Arial"/>
          <w:sz w:val="13"/>
          <w:szCs w:val="13"/>
          <w:i w:val="1"/>
          <w:iCs w:val="1"/>
          <w:color w:val="auto"/>
        </w:rPr>
      </w:pPr>
      <w:r>
        <w:rPr>
          <w:rFonts w:ascii="Arial" w:cs="Arial" w:eastAsia="Arial" w:hAnsi="Arial"/>
          <w:sz w:val="15"/>
          <w:szCs w:val="15"/>
          <w:i w:val="1"/>
          <w:iCs w:val="1"/>
          <w:color w:val="auto"/>
        </w:rPr>
        <w:t>These are income tax effects recognized on cash flow hedges, retirement benefits and foreign currency translation gains/(losses). Refer to Note 21 -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9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CONSOLIDATED STATEMENTS OF EQUITY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September 30, 2021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88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Accumulated</w:t>
            </w:r>
          </w:p>
        </w:tc>
        <w:tc>
          <w:tcPr>
            <w:tcW w:w="216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100" w:type="dxa"/>
            <w:vAlign w:val="bottom"/>
          </w:tcPr>
          <w:p>
            <w:pPr>
              <w:spacing w:after="0"/>
              <w:rPr>
                <w:sz w:val="5"/>
                <w:szCs w:val="5"/>
                <w:color w:val="auto"/>
              </w:rPr>
            </w:pPr>
          </w:p>
        </w:tc>
        <w:tc>
          <w:tcPr>
            <w:tcW w:w="188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40"/>
              <w:spacing w:after="0" w:line="12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5"/>
                <w:szCs w:val="5"/>
                <w:color w:val="auto"/>
              </w:rPr>
            </w:pPr>
          </w:p>
        </w:tc>
        <w:tc>
          <w:tcPr>
            <w:tcW w:w="1060" w:type="dxa"/>
            <w:vAlign w:val="bottom"/>
            <w:gridSpan w:val="2"/>
            <w:vMerge w:val="restart"/>
          </w:tcPr>
          <w:p>
            <w:pPr>
              <w:jc w:val="center"/>
              <w:ind w:right="240"/>
              <w:spacing w:after="0" w:line="125" w:lineRule="exact"/>
              <w:rPr>
                <w:sz w:val="20"/>
                <w:szCs w:val="20"/>
                <w:color w:val="auto"/>
              </w:rPr>
            </w:pPr>
            <w:r>
              <w:rPr>
                <w:rFonts w:ascii="Arial" w:cs="Arial" w:eastAsia="Arial" w:hAnsi="Arial"/>
                <w:sz w:val="13"/>
                <w:szCs w:val="13"/>
                <w:b w:val="1"/>
                <w:bCs w:val="1"/>
                <w:color w:val="auto"/>
                <w:w w:val="97"/>
              </w:rPr>
              <w:t>Other</w:t>
            </w:r>
          </w:p>
        </w:tc>
        <w:tc>
          <w:tcPr>
            <w:tcW w:w="2160" w:type="dxa"/>
            <w:vAlign w:val="bottom"/>
            <w:gridSpan w:val="5"/>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20"/>
              <w:spacing w:after="0" w:line="125"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right"/>
              <w:spacing w:after="0" w:line="125" w:lineRule="exact"/>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62"/>
        </w:trPr>
        <w:tc>
          <w:tcPr>
            <w:tcW w:w="3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20"/>
              <w:spacing w:after="0" w:line="125" w:lineRule="exact"/>
              <w:rPr>
                <w:sz w:val="20"/>
                <w:szCs w:val="20"/>
                <w:color w:val="auto"/>
              </w:rPr>
            </w:pPr>
            <w:r>
              <w:rPr>
                <w:rFonts w:ascii="Arial" w:cs="Arial" w:eastAsia="Arial" w:hAnsi="Arial"/>
                <w:sz w:val="13"/>
                <w:szCs w:val="13"/>
                <w:b w:val="1"/>
                <w:bCs w:val="1"/>
                <w:color w:val="auto"/>
              </w:rPr>
              <w:t>Earnings</w:t>
            </w:r>
          </w:p>
        </w:tc>
        <w:tc>
          <w:tcPr>
            <w:tcW w:w="1160" w:type="dxa"/>
            <w:vAlign w:val="bottom"/>
            <w:gridSpan w:val="3"/>
            <w:vMerge w:val="restart"/>
          </w:tcPr>
          <w:p>
            <w:pPr>
              <w:jc w:val="center"/>
              <w:ind w:right="160"/>
              <w:spacing w:after="0" w:line="125" w:lineRule="exact"/>
              <w:rPr>
                <w:sz w:val="20"/>
                <w:szCs w:val="20"/>
                <w:color w:val="auto"/>
              </w:rPr>
            </w:pPr>
            <w:r>
              <w:rPr>
                <w:rFonts w:ascii="Arial" w:cs="Arial" w:eastAsia="Arial" w:hAnsi="Arial"/>
                <w:sz w:val="13"/>
                <w:szCs w:val="13"/>
                <w:b w:val="1"/>
                <w:bCs w:val="1"/>
                <w:color w:val="auto"/>
                <w:w w:val="90"/>
              </w:rPr>
              <w:t>Comprehensive</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Loss</w:t>
            </w: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3100" w:type="dxa"/>
            <w:vAlign w:val="bottom"/>
          </w:tcPr>
          <w:p>
            <w:pPr>
              <w:spacing w:after="0"/>
              <w:rPr>
                <w:sz w:val="5"/>
                <w:szCs w:val="5"/>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5"/>
                <w:szCs w:val="5"/>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3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3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39,283,853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439,051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701,331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(86,745)</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(6,034,144)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(325,662)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b w:val="1"/>
                <w:bCs w:val="1"/>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728,014</w:t>
            </w:r>
          </w:p>
        </w:tc>
        <w:tc>
          <w:tcPr>
            <w:tcW w:w="0" w:type="dxa"/>
            <w:vAlign w:val="bottom"/>
          </w:tcPr>
          <w:p>
            <w:pPr>
              <w:spacing w:after="0"/>
              <w:rPr>
                <w:sz w:val="1"/>
                <w:szCs w:val="1"/>
                <w:color w:val="auto"/>
              </w:rPr>
            </w:pPr>
          </w:p>
        </w:tc>
      </w:tr>
      <w:tr>
        <w:trPr>
          <w:trHeight w:val="172"/>
        </w:trPr>
        <w:tc>
          <w:tcPr>
            <w:tcW w:w="3100" w:type="dxa"/>
            <w:vAlign w:val="bottom"/>
          </w:tcPr>
          <w:p>
            <w:pPr>
              <w:ind w:left="20"/>
              <w:spacing w:after="0"/>
              <w:rPr>
                <w:sz w:val="20"/>
                <w:szCs w:val="20"/>
                <w:color w:val="auto"/>
              </w:rPr>
            </w:pPr>
            <w:r>
              <w:rPr>
                <w:rFonts w:ascii="Arial" w:cs="Arial" w:eastAsia="Arial" w:hAnsi="Arial"/>
                <w:sz w:val="13"/>
                <w:szCs w:val="13"/>
                <w:color w:val="auto"/>
                <w:w w:val="98"/>
              </w:rPr>
              <w:t>Stock issued against stock-based compensation plans</w:t>
            </w:r>
          </w:p>
        </w:tc>
        <w:tc>
          <w:tcPr>
            <w:tcW w:w="900" w:type="dxa"/>
            <w:vAlign w:val="bottom"/>
          </w:tcPr>
          <w:p>
            <w:pPr>
              <w:jc w:val="right"/>
              <w:spacing w:after="0"/>
              <w:rPr>
                <w:sz w:val="20"/>
                <w:szCs w:val="20"/>
                <w:color w:val="auto"/>
              </w:rPr>
            </w:pPr>
            <w:r>
              <w:rPr>
                <w:rFonts w:ascii="Arial" w:cs="Arial" w:eastAsia="Arial" w:hAnsi="Arial"/>
                <w:sz w:val="13"/>
                <w:szCs w:val="13"/>
                <w:color w:val="auto"/>
              </w:rPr>
              <w:t>28,372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10,894</w:t>
            </w:r>
          </w:p>
        </w:tc>
        <w:tc>
          <w:tcPr>
            <w:tcW w:w="0" w:type="dxa"/>
            <w:vAlign w:val="bottom"/>
          </w:tcPr>
          <w:p>
            <w:pPr>
              <w:spacing w:after="0"/>
              <w:rPr>
                <w:sz w:val="1"/>
                <w:szCs w:val="1"/>
                <w:color w:val="auto"/>
              </w:rPr>
            </w:pPr>
          </w:p>
        </w:tc>
      </w:tr>
      <w:tr>
        <w:trPr>
          <w:trHeight w:val="172"/>
        </w:trPr>
        <w:tc>
          <w:tcPr>
            <w:tcW w:w="3100" w:type="dxa"/>
            <w:vAlign w:val="bottom"/>
          </w:tcPr>
          <w:p>
            <w:pPr>
              <w:ind w:left="20"/>
              <w:spacing w:after="0"/>
              <w:rPr>
                <w:sz w:val="20"/>
                <w:szCs w:val="20"/>
                <w:color w:val="auto"/>
              </w:rPr>
            </w:pPr>
            <w:r>
              <w:rPr>
                <w:rFonts w:ascii="Arial" w:cs="Arial" w:eastAsia="Arial" w:hAnsi="Arial"/>
                <w:sz w:val="13"/>
                <w:szCs w:val="13"/>
                <w:color w:val="auto"/>
              </w:rPr>
              <w:t>Acquisition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(244,580)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(28,196)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(28,196)</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treasury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310,394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36,742</w:t>
            </w:r>
          </w:p>
        </w:tc>
        <w:tc>
          <w:tcPr>
            <w:tcW w:w="0" w:type="dxa"/>
            <w:vAlign w:val="bottom"/>
          </w:tcPr>
          <w:p>
            <w:pPr>
              <w:spacing w:after="0"/>
              <w:rPr>
                <w:sz w:val="1"/>
                <w:szCs w:val="1"/>
                <w:color w:val="auto"/>
              </w:rPr>
            </w:pPr>
          </w:p>
        </w:tc>
      </w:tr>
      <w:tr>
        <w:trPr>
          <w:trHeight w:val="172"/>
        </w:trPr>
        <w:tc>
          <w:tcPr>
            <w:tcW w:w="3100" w:type="dxa"/>
            <w:vAlign w:val="bottom"/>
          </w:tcPr>
          <w:p>
            <w:pPr>
              <w:ind w:left="20"/>
              <w:spacing w:after="0"/>
              <w:rPr>
                <w:sz w:val="20"/>
                <w:szCs w:val="20"/>
                <w:color w:val="auto"/>
              </w:rPr>
            </w:pPr>
            <w:r>
              <w:rPr>
                <w:rFonts w:ascii="Arial" w:cs="Arial" w:eastAsia="Arial" w:hAnsi="Arial"/>
                <w:sz w:val="13"/>
                <w:szCs w:val="13"/>
                <w:color w:val="auto"/>
              </w:rPr>
              <w:t>Settlement of convertible notes</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(84,000)</w:t>
            </w:r>
          </w:p>
        </w:tc>
        <w:tc>
          <w:tcPr>
            <w:tcW w:w="0" w:type="dxa"/>
            <w:vAlign w:val="bottom"/>
          </w:tcPr>
          <w:p>
            <w:pPr>
              <w:spacing w:after="0"/>
              <w:rPr>
                <w:sz w:val="1"/>
                <w:szCs w:val="1"/>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(5,512)</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(5,512)</w:t>
            </w:r>
          </w:p>
        </w:tc>
        <w:tc>
          <w:tcPr>
            <w:tcW w:w="0" w:type="dxa"/>
            <w:vAlign w:val="bottom"/>
          </w:tcPr>
          <w:p>
            <w:pPr>
              <w:spacing w:after="0"/>
              <w:rPr>
                <w:sz w:val="1"/>
                <w:szCs w:val="1"/>
                <w:color w:val="auto"/>
              </w:rPr>
            </w:pPr>
          </w:p>
        </w:tc>
      </w:tr>
      <w:tr>
        <w:trPr>
          <w:trHeight w:val="172"/>
        </w:trPr>
        <w:tc>
          <w:tcPr>
            <w:tcW w:w="31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26,507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26,507</w:t>
            </w:r>
          </w:p>
        </w:tc>
        <w:tc>
          <w:tcPr>
            <w:tcW w:w="0" w:type="dxa"/>
            <w:vAlign w:val="bottom"/>
          </w:tcPr>
          <w:p>
            <w:pPr>
              <w:spacing w:after="0"/>
              <w:rPr>
                <w:sz w:val="1"/>
                <w:szCs w:val="1"/>
                <w:color w:val="auto"/>
              </w:rPr>
            </w:pPr>
          </w:p>
        </w:tc>
      </w:tr>
      <w:tr>
        <w:trPr>
          <w:trHeight w:val="195"/>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39,312,225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385,917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727,838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(92,257)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(5,968,330)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(336,552)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684,985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80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Additional Paid-in</w:t>
            </w:r>
          </w:p>
        </w:tc>
        <w:tc>
          <w:tcPr>
            <w:tcW w:w="14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3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2060" w:type="dxa"/>
            <w:vAlign w:val="bottom"/>
            <w:gridSpan w:val="5"/>
          </w:tcPr>
          <w:p>
            <w:pPr>
              <w:ind w:left="540"/>
              <w:spacing w:after="0"/>
              <w:rPr>
                <w:sz w:val="20"/>
                <w:szCs w:val="20"/>
                <w:color w:val="auto"/>
              </w:rPr>
            </w:pPr>
            <w:r>
              <w:rPr>
                <w:rFonts w:ascii="Arial" w:cs="Arial" w:eastAsia="Arial" w:hAnsi="Arial"/>
                <w:sz w:val="13"/>
                <w:szCs w:val="13"/>
                <w:b w:val="1"/>
                <w:bCs w:val="1"/>
                <w:color w:val="auto"/>
              </w:rPr>
              <w:t>Treasury Stock</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240"/>
              <w:spacing w:after="0" w:line="125" w:lineRule="exact"/>
              <w:rPr>
                <w:sz w:val="20"/>
                <w:szCs w:val="20"/>
                <w:color w:val="auto"/>
              </w:rPr>
            </w:pPr>
            <w:r>
              <w:rPr>
                <w:rFonts w:ascii="Arial" w:cs="Arial" w:eastAsia="Arial" w:hAnsi="Arial"/>
                <w:sz w:val="13"/>
                <w:szCs w:val="13"/>
                <w:b w:val="1"/>
                <w:bCs w:val="1"/>
                <w:color w:val="auto"/>
                <w:w w:val="90"/>
              </w:rPr>
              <w:t>Comprehensive</w:t>
            </w: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right"/>
              <w:spacing w:after="0" w:line="125" w:lineRule="exact"/>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62"/>
        </w:trPr>
        <w:tc>
          <w:tcPr>
            <w:tcW w:w="3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30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5"/>
              </w:rPr>
              <w:t>Loss</w:t>
            </w:r>
          </w:p>
        </w:tc>
        <w:tc>
          <w:tcPr>
            <w:tcW w:w="8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040" w:type="dxa"/>
            <w:vAlign w:val="bottom"/>
          </w:tcPr>
          <w:p>
            <w:pPr>
              <w:spacing w:after="0"/>
              <w:rPr>
                <w:sz w:val="5"/>
                <w:szCs w:val="5"/>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5"/>
                <w:szCs w:val="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30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38,818,365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404,704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582,743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(104,274)</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(4,497,779)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(202,284)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680,928</w:t>
            </w:r>
          </w:p>
        </w:tc>
        <w:tc>
          <w:tcPr>
            <w:tcW w:w="0" w:type="dxa"/>
            <w:vAlign w:val="bottom"/>
          </w:tcPr>
          <w:p>
            <w:pPr>
              <w:spacing w:after="0"/>
              <w:rPr>
                <w:sz w:val="1"/>
                <w:szCs w:val="1"/>
                <w:color w:val="auto"/>
              </w:rPr>
            </w:pPr>
          </w:p>
        </w:tc>
      </w:tr>
      <w:tr>
        <w:trPr>
          <w:trHeight w:val="172"/>
        </w:trPr>
        <w:tc>
          <w:tcPr>
            <w:tcW w:w="3040" w:type="dxa"/>
            <w:vAlign w:val="bottom"/>
          </w:tcPr>
          <w:p>
            <w:pPr>
              <w:ind w:left="20"/>
              <w:spacing w:after="0"/>
              <w:rPr>
                <w:sz w:val="20"/>
                <w:szCs w:val="20"/>
                <w:color w:val="auto"/>
              </w:rPr>
            </w:pPr>
            <w:r>
              <w:rPr>
                <w:rFonts w:ascii="Arial" w:cs="Arial" w:eastAsia="Arial" w:hAnsi="Arial"/>
                <w:sz w:val="13"/>
                <w:szCs w:val="13"/>
                <w:color w:val="auto"/>
                <w:w w:val="96"/>
              </w:rPr>
              <w:t>Stock issued against stock-based compensation plans</w:t>
            </w:r>
          </w:p>
        </w:tc>
        <w:tc>
          <w:tcPr>
            <w:tcW w:w="900" w:type="dxa"/>
            <w:vAlign w:val="bottom"/>
          </w:tcPr>
          <w:p>
            <w:pPr>
              <w:jc w:val="right"/>
              <w:spacing w:after="0"/>
              <w:rPr>
                <w:sz w:val="20"/>
                <w:szCs w:val="20"/>
                <w:color w:val="auto"/>
              </w:rPr>
            </w:pPr>
            <w:r>
              <w:rPr>
                <w:rFonts w:ascii="Arial" w:cs="Arial" w:eastAsia="Arial" w:hAnsi="Arial"/>
                <w:sz w:val="13"/>
                <w:szCs w:val="13"/>
                <w:color w:val="auto"/>
              </w:rPr>
              <w:t>22,525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78"/>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8,346</w:t>
            </w:r>
          </w:p>
        </w:tc>
        <w:tc>
          <w:tcPr>
            <w:tcW w:w="0" w:type="dxa"/>
            <w:vAlign w:val="bottom"/>
          </w:tcPr>
          <w:p>
            <w:pPr>
              <w:spacing w:after="0"/>
              <w:rPr>
                <w:sz w:val="1"/>
                <w:szCs w:val="1"/>
                <w:color w:val="auto"/>
              </w:rPr>
            </w:pPr>
          </w:p>
        </w:tc>
      </w:tr>
      <w:tr>
        <w:trPr>
          <w:trHeight w:val="172"/>
        </w:trPr>
        <w:tc>
          <w:tcPr>
            <w:tcW w:w="3040" w:type="dxa"/>
            <w:vAlign w:val="bottom"/>
          </w:tcPr>
          <w:p>
            <w:pPr>
              <w:ind w:left="20"/>
              <w:spacing w:after="0"/>
              <w:rPr>
                <w:sz w:val="20"/>
                <w:szCs w:val="20"/>
                <w:color w:val="auto"/>
              </w:rPr>
            </w:pPr>
            <w:r>
              <w:rPr>
                <w:rFonts w:ascii="Arial" w:cs="Arial" w:eastAsia="Arial" w:hAnsi="Arial"/>
                <w:sz w:val="13"/>
                <w:szCs w:val="13"/>
                <w:color w:val="auto"/>
              </w:rPr>
              <w:t>Acquisition of treasury stock</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(389,575)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(24,906)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(24,906)</w:t>
            </w:r>
          </w:p>
        </w:tc>
        <w:tc>
          <w:tcPr>
            <w:tcW w:w="0" w:type="dxa"/>
            <w:vAlign w:val="bottom"/>
          </w:tcPr>
          <w:p>
            <w:pPr>
              <w:spacing w:after="0"/>
              <w:rPr>
                <w:sz w:val="1"/>
                <w:szCs w:val="1"/>
                <w:color w:val="auto"/>
              </w:rPr>
            </w:pPr>
          </w:p>
        </w:tc>
      </w:tr>
      <w:tr>
        <w:trPr>
          <w:trHeight w:val="178"/>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19,057</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19,057</w:t>
            </w:r>
          </w:p>
        </w:tc>
        <w:tc>
          <w:tcPr>
            <w:tcW w:w="0" w:type="dxa"/>
            <w:vAlign w:val="bottom"/>
          </w:tcPr>
          <w:p>
            <w:pPr>
              <w:spacing w:after="0"/>
              <w:rPr>
                <w:sz w:val="1"/>
                <w:szCs w:val="1"/>
                <w:color w:val="auto"/>
              </w:rPr>
            </w:pPr>
          </w:p>
        </w:tc>
      </w:tr>
      <w:tr>
        <w:trPr>
          <w:trHeight w:val="172"/>
        </w:trPr>
        <w:tc>
          <w:tcPr>
            <w:tcW w:w="30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26,418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26,418</w:t>
            </w:r>
          </w:p>
        </w:tc>
        <w:tc>
          <w:tcPr>
            <w:tcW w:w="0" w:type="dxa"/>
            <w:vAlign w:val="bottom"/>
          </w:tcPr>
          <w:p>
            <w:pPr>
              <w:spacing w:after="0"/>
              <w:rPr>
                <w:sz w:val="1"/>
                <w:szCs w:val="1"/>
                <w:color w:val="auto"/>
              </w:rPr>
            </w:pPr>
          </w:p>
        </w:tc>
      </w:tr>
      <w:tr>
        <w:trPr>
          <w:trHeight w:val="19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38,840,890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413,135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609,161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(85,217)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(4,887,354)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(227,190)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709,928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EQUITY (UNAUDITED)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 the nine months ended September 30, 2021 and 2020</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7"/>
          </w:tcPr>
          <w:p>
            <w:pPr>
              <w:ind w:left="44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4"/>
            <w:vMerge w:val="restart"/>
          </w:tcPr>
          <w:p>
            <w:pPr>
              <w:jc w:val="right"/>
              <w:ind w:right="93"/>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restart"/>
          </w:tcPr>
          <w:p>
            <w:pPr>
              <w:jc w:val="right"/>
              <w:ind w:right="33"/>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Accumulated Other</w:t>
            </w:r>
          </w:p>
        </w:tc>
        <w:tc>
          <w:tcPr>
            <w:tcW w:w="1600" w:type="dxa"/>
            <w:vAlign w:val="bottom"/>
            <w:gridSpan w:val="6"/>
          </w:tcPr>
          <w:p>
            <w:pPr>
              <w:jc w:val="right"/>
              <w:ind w:right="193"/>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7"/>
              </w:rPr>
              <w:t>Paid-in Capital</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vMerge w:val="restart"/>
          </w:tcPr>
          <w:p>
            <w:pPr>
              <w:jc w:val="right"/>
              <w:ind w:right="33"/>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5"/>
            <w:vMerge w:val="restart"/>
          </w:tcPr>
          <w:p>
            <w:pPr>
              <w:jc w:val="right"/>
              <w:ind w:right="160"/>
              <w:spacing w:after="0"/>
              <w:rPr>
                <w:sz w:val="20"/>
                <w:szCs w:val="20"/>
                <w:color w:val="auto"/>
              </w:rPr>
            </w:pPr>
            <w:r>
              <w:rPr>
                <w:rFonts w:ascii="Arial" w:cs="Arial" w:eastAsia="Arial" w:hAnsi="Arial"/>
                <w:sz w:val="13"/>
                <w:szCs w:val="13"/>
                <w:b w:val="1"/>
                <w:bCs w:val="1"/>
                <w:color w:val="auto"/>
                <w:w w:val="91"/>
              </w:rPr>
              <w:t>Comprehensive Loss</w:t>
            </w: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w w:val="96"/>
              </w:rPr>
              <w:t>Shares</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jc w:val="right"/>
              <w:ind w:right="113"/>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Borders>
              <w:bottom w:val="single" w:sz="8" w:color="CCEEFF"/>
            </w:tcBorders>
          </w:tcPr>
          <w:p>
            <w:pPr>
              <w:spacing w:after="0"/>
              <w:rPr>
                <w:sz w:val="6"/>
                <w:szCs w:val="6"/>
                <w:color w:val="auto"/>
              </w:rPr>
            </w:pPr>
          </w:p>
        </w:tc>
        <w:tc>
          <w:tcPr>
            <w:tcW w:w="27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9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Balance as of January 1, 2021</w:t>
            </w:r>
          </w:p>
        </w:tc>
        <w:tc>
          <w:tcPr>
            <w:tcW w:w="1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38,968,052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6"/>
              </w:rPr>
              <w:t>39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420,976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641,379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(74,984)</w:t>
            </w:r>
          </w:p>
        </w:tc>
        <w:tc>
          <w:tcPr>
            <w:tcW w:w="1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(5,408,618)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(268,238)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719,172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40" w:type="dxa"/>
            <w:vAlign w:val="bottom"/>
            <w:gridSpan w:val="3"/>
          </w:tcPr>
          <w:p>
            <w:pPr>
              <w:spacing w:after="0"/>
              <w:rPr>
                <w:sz w:val="20"/>
                <w:szCs w:val="20"/>
                <w:color w:val="auto"/>
              </w:rPr>
            </w:pPr>
            <w:r>
              <w:rPr>
                <w:rFonts w:ascii="Arial" w:cs="Arial" w:eastAsia="Arial" w:hAnsi="Arial"/>
                <w:sz w:val="13"/>
                <w:szCs w:val="13"/>
                <w:color w:val="auto"/>
                <w:w w:val="93"/>
              </w:rPr>
              <w:t>Stock issued against stock-based compensation plans</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344,173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Arial" w:cs="Arial" w:eastAsia="Arial" w:hAnsi="Arial"/>
                <w:sz w:val="13"/>
                <w:szCs w:val="13"/>
                <w:color w:val="auto"/>
                <w:w w:val="92"/>
              </w:rPr>
              <w:t>709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28,796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28,796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gridSpan w:val="3"/>
          </w:tcPr>
          <w:p>
            <w:pPr>
              <w:spacing w:after="0"/>
              <w:rPr>
                <w:sz w:val="20"/>
                <w:szCs w:val="20"/>
                <w:color w:val="auto"/>
              </w:rPr>
            </w:pPr>
            <w:r>
              <w:rPr>
                <w:rFonts w:ascii="Arial" w:cs="Arial" w:eastAsia="Arial" w:hAnsi="Arial"/>
                <w:sz w:val="13"/>
                <w:szCs w:val="13"/>
                <w:color w:val="auto"/>
              </w:rPr>
              <w:t>Acquisition of treasury stock</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(870,106)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(85,620)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(85,620)</w:t>
            </w:r>
          </w:p>
        </w:tc>
        <w:tc>
          <w:tcPr>
            <w:tcW w:w="0" w:type="dxa"/>
            <w:vAlign w:val="bottom"/>
          </w:tcPr>
          <w:p>
            <w:pPr>
              <w:spacing w:after="0"/>
              <w:rPr>
                <w:sz w:val="1"/>
                <w:szCs w:val="1"/>
                <w:color w:val="auto"/>
              </w:rPr>
            </w:pPr>
          </w:p>
        </w:tc>
      </w:tr>
      <w:tr>
        <w:trPr>
          <w:trHeight w:val="178"/>
        </w:trPr>
        <w:tc>
          <w:tcPr>
            <w:tcW w:w="2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Issuance of treasury stock</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19,436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310,394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3"/>
              <w:spacing w:after="0"/>
              <w:rPr>
                <w:sz w:val="20"/>
                <w:szCs w:val="20"/>
                <w:color w:val="auto"/>
              </w:rPr>
            </w:pPr>
            <w:r>
              <w:rPr>
                <w:rFonts w:ascii="Arial" w:cs="Arial" w:eastAsia="Arial" w:hAnsi="Arial"/>
                <w:sz w:val="13"/>
                <w:szCs w:val="13"/>
                <w:color w:val="auto"/>
              </w:rPr>
              <w:t>17,306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36,742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gridSpan w:val="3"/>
          </w:tcPr>
          <w:p>
            <w:pPr>
              <w:spacing w:after="0"/>
              <w:rPr>
                <w:sz w:val="20"/>
                <w:szCs w:val="20"/>
                <w:color w:val="auto"/>
              </w:rPr>
            </w:pPr>
            <w:r>
              <w:rPr>
                <w:rFonts w:ascii="Arial" w:cs="Arial" w:eastAsia="Arial" w:hAnsi="Arial"/>
                <w:sz w:val="13"/>
                <w:szCs w:val="13"/>
                <w:color w:val="auto"/>
              </w:rPr>
              <w:t>Settlement of convertible notes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(84,000)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(84,000)</w:t>
            </w:r>
          </w:p>
        </w:tc>
        <w:tc>
          <w:tcPr>
            <w:tcW w:w="0" w:type="dxa"/>
            <w:vAlign w:val="bottom"/>
          </w:tcPr>
          <w:p>
            <w:pPr>
              <w:spacing w:after="0"/>
              <w:rPr>
                <w:sz w:val="1"/>
                <w:szCs w:val="1"/>
                <w:color w:val="auto"/>
              </w:rPr>
            </w:pPr>
          </w:p>
        </w:tc>
      </w:tr>
      <w:tr>
        <w:trPr>
          <w:trHeight w:val="178"/>
        </w:trPr>
        <w:tc>
          <w:tcPr>
            <w:tcW w:w="2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(17,273)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(17,273)</w:t>
            </w:r>
          </w:p>
        </w:tc>
        <w:tc>
          <w:tcPr>
            <w:tcW w:w="0" w:type="dxa"/>
            <w:vAlign w:val="bottom"/>
          </w:tcPr>
          <w:p>
            <w:pPr>
              <w:spacing w:after="0"/>
              <w:rPr>
                <w:sz w:val="1"/>
                <w:szCs w:val="1"/>
                <w:color w:val="auto"/>
              </w:rPr>
            </w:pPr>
          </w:p>
        </w:tc>
      </w:tr>
      <w:tr>
        <w:trPr>
          <w:trHeight w:val="172"/>
        </w:trPr>
        <w:tc>
          <w:tcPr>
            <w:tcW w:w="2940" w:type="dxa"/>
            <w:vAlign w:val="bottom"/>
            <w:gridSpan w:val="3"/>
          </w:tcPr>
          <w:p>
            <w:pPr>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86,459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86,459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Balance as of September 30, 2021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39,312,225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rPr>
              <w:t>$</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6"/>
              </w:rPr>
              <w:t>39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385,917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727,838</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(92,257)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(5,968,330)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(336,552)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684,985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9"/>
        </w:trPr>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4"/>
          </w:tcPr>
          <w:p>
            <w:pPr>
              <w:ind w:left="140"/>
              <w:spacing w:after="0"/>
              <w:rPr>
                <w:sz w:val="20"/>
                <w:szCs w:val="20"/>
                <w:color w:val="auto"/>
              </w:rPr>
            </w:pPr>
            <w:r>
              <w:rPr>
                <w:rFonts w:ascii="Arial" w:cs="Arial" w:eastAsia="Arial" w:hAnsi="Arial"/>
                <w:sz w:val="13"/>
                <w:szCs w:val="13"/>
                <w:b w:val="1"/>
                <w:bCs w:val="1"/>
                <w:color w:val="auto"/>
                <w:w w:val="90"/>
              </w:rPr>
              <w:t>Common Stock</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8"/>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680" w:type="dxa"/>
            <w:vAlign w:val="bottom"/>
            <w:gridSpan w:val="3"/>
            <w:vMerge w:val="restart"/>
          </w:tcPr>
          <w:p>
            <w:pPr>
              <w:jc w:val="right"/>
              <w:ind w:right="93"/>
              <w:spacing w:after="0"/>
              <w:rPr>
                <w:sz w:val="20"/>
                <w:szCs w:val="20"/>
                <w:color w:val="auto"/>
              </w:rPr>
            </w:pPr>
            <w:r>
              <w:rPr>
                <w:rFonts w:ascii="Arial" w:cs="Arial" w:eastAsia="Arial" w:hAnsi="Arial"/>
                <w:sz w:val="13"/>
                <w:szCs w:val="13"/>
                <w:b w:val="1"/>
                <w:bCs w:val="1"/>
                <w:color w:val="auto"/>
                <w:w w:val="90"/>
              </w:rPr>
              <w:t>Retained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Accumulated Other</w:t>
            </w:r>
          </w:p>
        </w:tc>
        <w:tc>
          <w:tcPr>
            <w:tcW w:w="220" w:type="dxa"/>
            <w:vAlign w:val="bottom"/>
            <w:gridSpan w:val="2"/>
            <w:vMerge w:val="restart"/>
          </w:tcPr>
          <w:p>
            <w:pPr>
              <w:spacing w:after="0"/>
              <w:rPr>
                <w:sz w:val="24"/>
                <w:szCs w:val="24"/>
                <w:color w:val="auto"/>
              </w:rPr>
            </w:pPr>
          </w:p>
        </w:tc>
        <w:tc>
          <w:tcPr>
            <w:tcW w:w="1120" w:type="dxa"/>
            <w:vAlign w:val="bottom"/>
            <w:gridSpan w:val="5"/>
          </w:tcPr>
          <w:p>
            <w:pPr>
              <w:jc w:val="right"/>
              <w:spacing w:after="0"/>
              <w:rPr>
                <w:sz w:val="20"/>
                <w:szCs w:val="20"/>
                <w:color w:val="auto"/>
              </w:rPr>
            </w:pPr>
            <w:r>
              <w:rPr>
                <w:rFonts w:ascii="Arial" w:cs="Arial" w:eastAsia="Arial" w:hAnsi="Arial"/>
                <w:sz w:val="13"/>
                <w:szCs w:val="13"/>
                <w:b w:val="1"/>
                <w:bCs w:val="1"/>
                <w:color w:val="auto"/>
              </w:rPr>
              <w:t>Treasury Stock</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vMerge w:val="restart"/>
          </w:tcPr>
          <w:p>
            <w:pPr>
              <w:jc w:val="right"/>
              <w:ind w:right="220"/>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8"/>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22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86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4"/>
                <w:szCs w:val="4"/>
                <w:color w:val="auto"/>
              </w:rPr>
            </w:pPr>
          </w:p>
        </w:tc>
        <w:tc>
          <w:tcPr>
            <w:tcW w:w="760" w:type="dxa"/>
            <w:vAlign w:val="bottom"/>
            <w:gridSpan w:val="4"/>
            <w:vMerge w:val="restart"/>
          </w:tcPr>
          <w:p>
            <w:pPr>
              <w:jc w:val="right"/>
              <w:ind w:right="93"/>
              <w:spacing w:after="0"/>
              <w:rPr>
                <w:sz w:val="20"/>
                <w:szCs w:val="20"/>
                <w:color w:val="auto"/>
              </w:rPr>
            </w:pPr>
            <w:r>
              <w:rPr>
                <w:rFonts w:ascii="Arial" w:cs="Arial" w:eastAsia="Arial" w:hAnsi="Arial"/>
                <w:sz w:val="13"/>
                <w:szCs w:val="13"/>
                <w:b w:val="1"/>
                <w:bCs w:val="1"/>
                <w:color w:val="auto"/>
                <w:w w:val="99"/>
              </w:rPr>
              <w:t>in Capital</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3"/>
            <w:vMerge w:val="restart"/>
          </w:tcPr>
          <w:p>
            <w:pPr>
              <w:jc w:val="right"/>
              <w:ind w:right="73"/>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4"/>
                <w:szCs w:val="4"/>
                <w:color w:val="auto"/>
              </w:rPr>
            </w:pPr>
          </w:p>
        </w:tc>
        <w:tc>
          <w:tcPr>
            <w:tcW w:w="1620" w:type="dxa"/>
            <w:vAlign w:val="bottom"/>
            <w:gridSpan w:val="8"/>
            <w:vMerge w:val="restart"/>
          </w:tcPr>
          <w:p>
            <w:pPr>
              <w:jc w:val="right"/>
              <w:ind w:right="380"/>
              <w:spacing w:after="0"/>
              <w:rPr>
                <w:sz w:val="20"/>
                <w:szCs w:val="20"/>
                <w:color w:val="auto"/>
              </w:rPr>
            </w:pPr>
            <w:r>
              <w:rPr>
                <w:rFonts w:ascii="Arial" w:cs="Arial" w:eastAsia="Arial" w:hAnsi="Arial"/>
                <w:sz w:val="13"/>
                <w:szCs w:val="13"/>
                <w:b w:val="1"/>
                <w:bCs w:val="1"/>
                <w:color w:val="auto"/>
                <w:w w:val="92"/>
              </w:rPr>
              <w:t>Comprehensive Loss</w:t>
            </w:r>
          </w:p>
        </w:tc>
        <w:tc>
          <w:tcPr>
            <w:tcW w:w="70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w w:val="92"/>
              </w:rPr>
              <w:t>Shares</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3"/>
            <w:vMerge w:val="restart"/>
          </w:tcPr>
          <w:p>
            <w:pPr>
              <w:jc w:val="right"/>
              <w:ind w:right="113"/>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8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8"/>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860" w:type="dxa"/>
            <w:vAlign w:val="bottom"/>
            <w:gridSpan w:val="5"/>
            <w:vMerge w:val="continue"/>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27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January 1, 2020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38,480,654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391,240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551,903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(84,892)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(4,295,413)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(188,289)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670,001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900" w:type="dxa"/>
            <w:vAlign w:val="bottom"/>
            <w:gridSpan w:val="2"/>
          </w:tcPr>
          <w:p>
            <w:pPr>
              <w:spacing w:after="0" w:line="125" w:lineRule="exact"/>
              <w:rPr>
                <w:sz w:val="20"/>
                <w:szCs w:val="20"/>
                <w:color w:val="auto"/>
              </w:rPr>
            </w:pPr>
            <w:r>
              <w:rPr>
                <w:rFonts w:ascii="Arial" w:cs="Arial" w:eastAsia="Arial" w:hAnsi="Arial"/>
                <w:sz w:val="13"/>
                <w:szCs w:val="13"/>
                <w:color w:val="auto"/>
              </w:rPr>
              <w:t>Stock issued against stock-based compensation</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360,236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1,045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4"/>
            <w:vMerge w:val="restart"/>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3"/>
                <w:szCs w:val="13"/>
                <w:color w:val="auto"/>
              </w:rPr>
              <w:t>plans</w:t>
            </w: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3"/>
                <w:szCs w:val="13"/>
                <w:color w:val="auto"/>
              </w:rPr>
              <w:t>Acquisition of treasury stock</w:t>
            </w: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(591,941)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(38,901)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(38,901)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7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income</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57,258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57,258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as of September 30, 2020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38,840,890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413,135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609,161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(85,217)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(4,887,354)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(227,190)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709,928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80"/>
          </w:cols>
          <w:pgMar w:left="320" w:top="348" w:right="39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0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3"/>
                <w:szCs w:val="13"/>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4"/>
                <w:szCs w:val="14"/>
                <w:color w:val="auto"/>
              </w:rPr>
            </w:pPr>
          </w:p>
        </w:tc>
      </w:tr>
      <w:tr>
        <w:trPr>
          <w:trHeight w:val="156"/>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10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72"/>
        </w:trPr>
        <w:tc>
          <w:tcPr>
            <w:tcW w:w="77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80" w:type="dxa"/>
            <w:vAlign w:val="bottom"/>
          </w:tcPr>
          <w:p>
            <w:pPr>
              <w:jc w:val="right"/>
              <w:ind w:right="93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86,459</w:t>
            </w:r>
          </w:p>
        </w:tc>
        <w:tc>
          <w:tcPr>
            <w:tcW w:w="100" w:type="dxa"/>
            <w:vAlign w:val="bottom"/>
          </w:tcPr>
          <w:p>
            <w:pPr>
              <w:spacing w:after="0"/>
              <w:rPr>
                <w:sz w:val="14"/>
                <w:szCs w:val="14"/>
                <w:color w:val="auto"/>
              </w:rPr>
            </w:pPr>
          </w:p>
        </w:tc>
        <w:tc>
          <w:tcPr>
            <w:tcW w:w="1100" w:type="dxa"/>
            <w:vAlign w:val="bottom"/>
          </w:tcPr>
          <w:p>
            <w:pPr>
              <w:jc w:val="right"/>
              <w:ind w:right="95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57,258</w:t>
            </w:r>
          </w:p>
        </w:tc>
      </w:tr>
      <w:tr>
        <w:trPr>
          <w:trHeight w:val="17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Depreciation and amortization expense</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37,159</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37,249</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28,796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20,850</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Amortization of operating lease right-of-use assets</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20,012</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20,484</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Unrealized (gain) / loss on short term investments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(4,807)</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Unrealized foreign exchange gain, net</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(3,799)</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(484)</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Deferred income tax benefit</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(1,572)</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Allowance / (reversal) for expected credit losses</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353</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Loss on settlement of convertible notes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Loss from equity-method investment</w:t>
            </w:r>
          </w:p>
        </w:tc>
        <w:tc>
          <w:tcPr>
            <w:tcW w:w="10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193</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Amortization of non-cash interest expense related to convertible notes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Others, net</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(935)</w:t>
            </w:r>
          </w:p>
        </w:tc>
      </w:tr>
      <w:tr>
        <w:trPr>
          <w:trHeight w:val="17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operating assets and liabilities: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Accounts receivable</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(44,871)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16,078</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Prepaid expenses and other current assets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1,797</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Advance income tax, net</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(5,685)</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7,001</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Other assets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3,096</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Accounts payable</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(2,333)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(490)</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Deferred revenue</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Accrued employee costs</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26,664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(11,854)</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Accrued expenses and other liabilities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r>
      <w:tr>
        <w:trPr>
          <w:trHeight w:val="172"/>
        </w:trPr>
        <w:tc>
          <w:tcPr>
            <w:tcW w:w="770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Operating lease liabilities</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(19,654)</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(19,780)</w:t>
            </w: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0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113,762</w:t>
            </w:r>
          </w:p>
        </w:tc>
        <w:tc>
          <w:tcPr>
            <w:tcW w:w="1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126,314</w:t>
            </w:r>
          </w:p>
        </w:tc>
      </w:tr>
      <w:tr>
        <w:trPr>
          <w:trHeight w:val="30"/>
        </w:trPr>
        <w:tc>
          <w:tcPr>
            <w:tcW w:w="7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75"/>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Purchases of property and equipment</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(29,026)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(34,614)</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sale of property and equipment</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Investment in equity affiliate</w:t>
            </w:r>
          </w:p>
        </w:tc>
        <w:tc>
          <w:tcPr>
            <w:tcW w:w="10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(700)</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Purchase of investments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(76,500)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(57,965)</w:t>
            </w:r>
          </w:p>
        </w:tc>
      </w:tr>
      <w:tr>
        <w:trPr>
          <w:trHeight w:val="172"/>
        </w:trPr>
        <w:tc>
          <w:tcPr>
            <w:tcW w:w="770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Proceeds from redemption of investments</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83,183</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103,718</w:t>
            </w: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for)/provided by investing activities</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11,063</w:t>
            </w:r>
          </w:p>
        </w:tc>
      </w:tr>
      <w:tr>
        <w:trPr>
          <w:trHeight w:val="172"/>
        </w:trPr>
        <w:tc>
          <w:tcPr>
            <w:tcW w:w="770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Principal payments of finance lease liabilities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Proceeds from borrowings</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225,000</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110,000</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Repayments of borrowings</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(329,000)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(120,393)</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Acquisition of treasury stock</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(85,620)</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(38,901)</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exercise of stock options</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w:t>
            </w:r>
          </w:p>
        </w:tc>
      </w:tr>
      <w:tr>
        <w:trPr>
          <w:trHeight w:val="164"/>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for financing activities</w:t>
            </w: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(189,067)</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(48,429)</w:t>
            </w: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10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(5,003)</w:t>
            </w:r>
          </w:p>
        </w:tc>
        <w:tc>
          <w:tcPr>
            <w:tcW w:w="1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4"/>
        </w:trPr>
        <w:tc>
          <w:tcPr>
            <w:tcW w:w="7700" w:type="dxa"/>
            <w:vAlign w:val="bottom"/>
          </w:tcPr>
          <w:p>
            <w:pPr>
              <w:ind w:left="20"/>
              <w:spacing w:after="0"/>
              <w:rPr>
                <w:sz w:val="20"/>
                <w:szCs w:val="20"/>
                <w:color w:val="auto"/>
              </w:rPr>
            </w:pPr>
            <w:r>
              <w:rPr>
                <w:rFonts w:ascii="Arial" w:cs="Arial" w:eastAsia="Arial" w:hAnsi="Arial"/>
                <w:sz w:val="13"/>
                <w:szCs w:val="13"/>
                <w:color w:val="auto"/>
              </w:rPr>
              <w:t>Net (decrease)/increase in cash, cash equivalents and restricted cash</w:t>
            </w: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(101,826)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88,968</w:t>
            </w:r>
          </w:p>
        </w:tc>
      </w:tr>
      <w:tr>
        <w:trPr>
          <w:trHeight w:val="17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the beginning of the period</w:t>
            </w:r>
          </w:p>
        </w:tc>
        <w:tc>
          <w:tcPr>
            <w:tcW w:w="10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225,519</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127,044</w:t>
            </w:r>
          </w:p>
        </w:tc>
      </w:tr>
      <w:tr>
        <w:trPr>
          <w:trHeight w:val="202"/>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at the end of the period</w:t>
            </w:r>
          </w:p>
        </w:tc>
        <w:tc>
          <w:tcPr>
            <w:tcW w:w="1080" w:type="dxa"/>
            <w:vAlign w:val="bottom"/>
            <w:tcBorders>
              <w:bottom w:val="single" w:sz="8" w:color="auto"/>
            </w:tcBorders>
          </w:tcPr>
          <w:p>
            <w:pPr>
              <w:jc w:val="right"/>
              <w:ind w:right="933"/>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123,693</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953"/>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216,012</w:t>
            </w:r>
          </w:p>
        </w:tc>
      </w:tr>
      <w:tr>
        <w:trPr>
          <w:trHeight w:val="174"/>
        </w:trPr>
        <w:tc>
          <w:tcPr>
            <w:tcW w:w="770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r>
      <w:tr>
        <w:trPr>
          <w:trHeight w:val="176"/>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during the period for:</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2"/>
        </w:trPr>
        <w:tc>
          <w:tcPr>
            <w:tcW w:w="7700" w:type="dxa"/>
            <w:vAlign w:val="bottom"/>
          </w:tcPr>
          <w:p>
            <w:pPr>
              <w:ind w:left="20"/>
              <w:spacing w:after="0"/>
              <w:rPr>
                <w:sz w:val="20"/>
                <w:szCs w:val="20"/>
                <w:color w:val="auto"/>
              </w:rPr>
            </w:pPr>
            <w:r>
              <w:rPr>
                <w:rFonts w:ascii="Arial" w:cs="Arial" w:eastAsia="Arial" w:hAnsi="Arial"/>
                <w:sz w:val="13"/>
                <w:szCs w:val="13"/>
                <w:color w:val="auto"/>
              </w:rPr>
              <w:t>Interest</w:t>
            </w:r>
          </w:p>
        </w:tc>
        <w:tc>
          <w:tcPr>
            <w:tcW w:w="1080" w:type="dxa"/>
            <w:vAlign w:val="bottom"/>
          </w:tcPr>
          <w:p>
            <w:pPr>
              <w:jc w:val="right"/>
              <w:ind w:right="93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5,833</w:t>
            </w:r>
          </w:p>
        </w:tc>
        <w:tc>
          <w:tcPr>
            <w:tcW w:w="100" w:type="dxa"/>
            <w:vAlign w:val="bottom"/>
          </w:tcPr>
          <w:p>
            <w:pPr>
              <w:spacing w:after="0"/>
              <w:rPr>
                <w:sz w:val="14"/>
                <w:szCs w:val="14"/>
                <w:color w:val="auto"/>
              </w:rPr>
            </w:pPr>
          </w:p>
        </w:tc>
        <w:tc>
          <w:tcPr>
            <w:tcW w:w="1100" w:type="dxa"/>
            <w:vAlign w:val="bottom"/>
          </w:tcPr>
          <w:p>
            <w:pPr>
              <w:jc w:val="right"/>
              <w:ind w:right="95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4,627</w:t>
            </w:r>
          </w:p>
        </w:tc>
      </w:tr>
      <w:tr>
        <w:trPr>
          <w:trHeight w:val="17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net of refunds</w:t>
            </w:r>
          </w:p>
        </w:tc>
        <w:tc>
          <w:tcPr>
            <w:tcW w:w="10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31,087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11,434</w:t>
            </w:r>
          </w:p>
        </w:tc>
      </w:tr>
      <w:tr>
        <w:trPr>
          <w:trHeight w:val="174"/>
        </w:trPr>
        <w:tc>
          <w:tcPr>
            <w:tcW w:w="770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portion of convertible notes through issuance of treasury stock</w:t>
            </w:r>
          </w:p>
        </w:tc>
        <w:tc>
          <w:tcPr>
            <w:tcW w:w="10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36,742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700" w:type="dxa"/>
            <w:vAlign w:val="bottom"/>
          </w:tcPr>
          <w:p>
            <w:pPr>
              <w:ind w:left="20"/>
              <w:spacing w:after="0"/>
              <w:rPr>
                <w:sz w:val="20"/>
                <w:szCs w:val="20"/>
                <w:color w:val="auto"/>
              </w:rPr>
            </w:pPr>
            <w:r>
              <w:rPr>
                <w:rFonts w:ascii="Arial" w:cs="Arial" w:eastAsia="Arial" w:hAnsi="Arial"/>
                <w:sz w:val="13"/>
                <w:szCs w:val="13"/>
                <w:color w:val="auto"/>
              </w:rPr>
              <w:t>Assets acquired under finance lease</w:t>
            </w:r>
          </w:p>
        </w:tc>
        <w:tc>
          <w:tcPr>
            <w:tcW w:w="1080" w:type="dxa"/>
            <w:vAlign w:val="bottom"/>
          </w:tcPr>
          <w:p>
            <w:pPr>
              <w:jc w:val="right"/>
              <w:ind w:right="93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1100" w:type="dxa"/>
            <w:vAlign w:val="bottom"/>
          </w:tcPr>
          <w:p>
            <w:pPr>
              <w:jc w:val="right"/>
              <w:ind w:right="95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90</w:t>
            </w: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 w:name="page10"/>
    <w:bookmarkEnd w:id="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221" w:lineRule="exact"/>
        <w:rPr>
          <w:sz w:val="20"/>
          <w:szCs w:val="20"/>
          <w:color w:val="auto"/>
        </w:rPr>
      </w:pPr>
    </w:p>
    <w:p>
      <w:pPr>
        <w:jc w:val="both"/>
        <w:ind w:firstLine="375"/>
        <w:spacing w:after="0" w:line="257" w:lineRule="auto"/>
        <w:rPr>
          <w:sz w:val="20"/>
          <w:szCs w:val="20"/>
          <w:color w:val="auto"/>
        </w:rPr>
      </w:pPr>
      <w:r>
        <w:rPr>
          <w:rFonts w:ascii="Arial" w:cs="Arial" w:eastAsia="Arial" w:hAnsi="Arial"/>
          <w:sz w:val="15"/>
          <w:szCs w:val="15"/>
          <w:color w:val="auto"/>
        </w:rPr>
        <w:t>ExlService Holdings, Inc. (“ExlService Holdings”) is organized as a corporation under the laws of the state of Delaware. ExlService Holdings, together with its subsidiaries and affiliates (collectively, the “Company”), is a global analytics and digital solutions company that partners with clients to improve business outcomes and unlock growth. Bringing together deep domain expertise with robust data, powerful analytics, cloud, and AI, the Company creates agile, scalable solutions and executes complex operations for the world’s leading corporations in industries including insurance, healthcare, banking and financial services, media, and retail, among others. The Company’s clients are located principally in the United States of America (“U.S.”) and the United Kingdom (“U.K.”).</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Basis of Preparation and Principles of Consolidation</w:t>
      </w:r>
    </w:p>
    <w:p>
      <w:pPr>
        <w:spacing w:after="0" w:line="217" w:lineRule="exact"/>
        <w:rPr>
          <w:sz w:val="20"/>
          <w:szCs w:val="20"/>
          <w:color w:val="auto"/>
        </w:rPr>
      </w:pPr>
    </w:p>
    <w:p>
      <w:pPr>
        <w:jc w:val="both"/>
        <w:ind w:firstLine="375"/>
        <w:spacing w:after="0"/>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2020.</w:t>
      </w:r>
    </w:p>
    <w:p>
      <w:pPr>
        <w:spacing w:after="0" w:line="188"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65"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90"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Accounting policies of the respective individual subsidiary and associate are aligned wherever necessary, so as to ensure consistency with the accounting policies that are adopted by the Company under U.S. GAAP.</w:t>
      </w:r>
    </w:p>
    <w:p>
      <w:pPr>
        <w:spacing w:after="0" w:line="188" w:lineRule="exact"/>
        <w:rPr>
          <w:sz w:val="20"/>
          <w:szCs w:val="20"/>
          <w:color w:val="auto"/>
        </w:rPr>
      </w:pPr>
    </w:p>
    <w:p>
      <w:pPr>
        <w:jc w:val="both"/>
        <w:ind w:firstLine="300"/>
        <w:spacing w:after="0" w:line="229" w:lineRule="auto"/>
        <w:rPr>
          <w:sz w:val="20"/>
          <w:szCs w:val="20"/>
          <w:color w:val="auto"/>
        </w:rPr>
      </w:pPr>
      <w:r>
        <w:rPr>
          <w:rFonts w:ascii="Arial" w:cs="Arial" w:eastAsia="Arial" w:hAnsi="Arial"/>
          <w:sz w:val="17"/>
          <w:szCs w:val="17"/>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316"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5"/>
          <w:szCs w:val="15"/>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unaudited consolidated financial statements include, but are not limited to, allowance for expected credit losses, the nature and timing of the satisfaction of performance obligations, the standalone selling price of performance obligations, and variable consideration in a customer contract, expected recoverability from customers with contingent fee arrangements,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amortization of ROU, depreciation and amortization periods, purchase price allocation and recoverability of long-lived assets, goodwill and intangibles.</w:t>
      </w:r>
    </w:p>
    <w:p>
      <w:pPr>
        <w:spacing w:after="0" w:line="174" w:lineRule="exact"/>
        <w:rPr>
          <w:sz w:val="20"/>
          <w:szCs w:val="20"/>
          <w:color w:val="auto"/>
        </w:rPr>
      </w:pPr>
    </w:p>
    <w:p>
      <w:pPr>
        <w:jc w:val="both"/>
        <w:ind w:firstLine="375"/>
        <w:spacing w:after="0" w:line="261" w:lineRule="auto"/>
        <w:rPr>
          <w:sz w:val="20"/>
          <w:szCs w:val="20"/>
          <w:color w:val="auto"/>
        </w:rPr>
      </w:pPr>
      <w:r>
        <w:rPr>
          <w:rFonts w:ascii="Arial" w:cs="Arial" w:eastAsia="Arial" w:hAnsi="Arial"/>
          <w:sz w:val="15"/>
          <w:szCs w:val="15"/>
          <w:color w:val="auto"/>
        </w:rPr>
        <w:t>As of September 30, 2021, the extent to which the global Coronavirus Disease 2019 pandemic (“COVID-19”) will ultimately impact the Company's business depends on numerous dynamic factors, which the Company still cannot reliably predict. As a result, many of the Company's estimates and assumptions herein required increased judgment and carry a higher degree of variability and volatility. As events continue to evolve with respect to COVID-19, the Company’s estimates may materially change in future periods. Any changes in estimates are adjusted prospectively in the Company’s consolidated financial statements.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Recent Accounting Pronouncements</w:t>
      </w:r>
    </w:p>
    <w:p>
      <w:pPr>
        <w:spacing w:after="0" w:line="217" w:lineRule="exact"/>
        <w:rPr>
          <w:sz w:val="20"/>
          <w:szCs w:val="20"/>
          <w:color w:val="auto"/>
        </w:rPr>
      </w:pPr>
    </w:p>
    <w:p>
      <w:pPr>
        <w:jc w:val="both"/>
        <w:ind w:firstLine="375"/>
        <w:spacing w:after="0" w:line="236" w:lineRule="auto"/>
        <w:rPr>
          <w:sz w:val="20"/>
          <w:szCs w:val="20"/>
          <w:color w:val="auto"/>
        </w:rPr>
      </w:pPr>
      <w:r>
        <w:rPr>
          <w:rFonts w:ascii="Arial" w:cs="Arial" w:eastAsia="Arial" w:hAnsi="Arial"/>
          <w:sz w:val="16"/>
          <w:szCs w:val="16"/>
          <w:color w:val="auto"/>
        </w:rPr>
        <w:t xml:space="preserve">In March 2020, Financial Accounting Standard Board (“FASB”) issued Accounting Standard Update (“ASU”) No.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 Reporting</w:t>
      </w:r>
      <w:r>
        <w:rPr>
          <w:rFonts w:ascii="Arial" w:cs="Arial" w:eastAsia="Arial" w:hAnsi="Arial"/>
          <w:sz w:val="16"/>
          <w:szCs w:val="16"/>
          <w:color w:val="auto"/>
        </w:rPr>
        <w:t>. This ASU provides optional guidance for a limited period of time to ease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impacts associated with transitioning away from reference rates that are expected to be discontinued, such as interbank offered rates and London Inter-Bank Offered Rate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Company is currently evaluating the impact of this ASU on its consolidated financial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Recently Adopted Accounting Pronouncements</w:t>
      </w:r>
    </w:p>
    <w:p>
      <w:pPr>
        <w:spacing w:after="0" w:line="217" w:lineRule="exact"/>
        <w:rPr>
          <w:sz w:val="20"/>
          <w:szCs w:val="20"/>
          <w:color w:val="auto"/>
        </w:rPr>
      </w:pPr>
    </w:p>
    <w:p>
      <w:pPr>
        <w:jc w:val="both"/>
        <w:ind w:firstLine="375"/>
        <w:spacing w:after="0" w:line="226" w:lineRule="auto"/>
        <w:rPr>
          <w:sz w:val="20"/>
          <w:szCs w:val="20"/>
          <w:color w:val="auto"/>
        </w:rPr>
      </w:pPr>
      <w:r>
        <w:rPr>
          <w:rFonts w:ascii="Arial" w:cs="Arial" w:eastAsia="Arial" w:hAnsi="Arial"/>
          <w:sz w:val="17"/>
          <w:szCs w:val="17"/>
          <w:color w:val="auto"/>
        </w:rPr>
        <w:t xml:space="preserve">In December 2019, FASB issued ASU No. 2019-12, </w:t>
      </w:r>
      <w:r>
        <w:rPr>
          <w:rFonts w:ascii="Arial" w:cs="Arial" w:eastAsia="Arial" w:hAnsi="Arial"/>
          <w:sz w:val="17"/>
          <w:szCs w:val="17"/>
          <w:i w:val="1"/>
          <w:iCs w:val="1"/>
          <w:color w:val="auto"/>
        </w:rPr>
        <w:t>Income Taxes Simplifying the Accounting for Income Taxes</w:t>
      </w:r>
      <w:r>
        <w:rPr>
          <w:rFonts w:ascii="Arial" w:cs="Arial" w:eastAsia="Arial" w:hAnsi="Arial"/>
          <w:sz w:val="17"/>
          <w:szCs w:val="17"/>
          <w:color w:val="auto"/>
        </w:rPr>
        <w:t>. This ASU eliminates certain exceptions related to the approach for intraperiod tax allocation, the methodology for calculating income taxes in an interim period and the recognition of deferred tax liabilities for outside basis differences. The Company adopted this ASU on January 1, 2021. The adoption of this ASU did not have a material impact on the Company’s unaudited consolidated financial statements.</w:t>
      </w:r>
    </w:p>
    <w:p>
      <w:pPr>
        <w:spacing w:after="0" w:line="188" w:lineRule="exact"/>
        <w:rPr>
          <w:sz w:val="20"/>
          <w:szCs w:val="20"/>
          <w:color w:val="auto"/>
        </w:rPr>
      </w:pPr>
    </w:p>
    <w:p>
      <w:pPr>
        <w:jc w:val="both"/>
        <w:ind w:firstLine="375"/>
        <w:spacing w:after="0" w:line="223" w:lineRule="auto"/>
        <w:rPr>
          <w:sz w:val="20"/>
          <w:szCs w:val="20"/>
          <w:color w:val="auto"/>
        </w:rPr>
      </w:pPr>
      <w:r>
        <w:rPr>
          <w:rFonts w:ascii="Arial" w:cs="Arial" w:eastAsia="Arial" w:hAnsi="Arial"/>
          <w:sz w:val="17"/>
          <w:szCs w:val="17"/>
          <w:color w:val="auto"/>
        </w:rPr>
        <w:t xml:space="preserve">In October 2020, FASB issued ASU No.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to provide guidance for technical corrections such as conforming amendments, clarifications to guidance, simplifications to wording or structure of guidance, and other minor improvements. The amendments in this ASU improve the consistency of the ASC by ensuring that all guidance that requires or provides an option for an entity to provide information in the notes to financial statements is codified in the disclosure section of the ASC. The Company adopted this ASU on January 1, 2021. The adoption of this ASU did not have a material impact on the Company’s unaudited consolidated financial statements.</w:t>
      </w:r>
    </w:p>
    <w:p>
      <w:pPr>
        <w:spacing w:after="0" w:line="190" w:lineRule="exact"/>
        <w:rPr>
          <w:sz w:val="20"/>
          <w:szCs w:val="20"/>
          <w:color w:val="auto"/>
        </w:rPr>
      </w:pPr>
    </w:p>
    <w:p>
      <w:pPr>
        <w:jc w:val="both"/>
        <w:ind w:firstLine="375"/>
        <w:spacing w:after="0" w:line="234" w:lineRule="auto"/>
        <w:rPr>
          <w:sz w:val="20"/>
          <w:szCs w:val="20"/>
          <w:color w:val="auto"/>
        </w:rPr>
      </w:pPr>
      <w:r>
        <w:rPr>
          <w:rFonts w:ascii="Arial" w:cs="Arial" w:eastAsia="Arial" w:hAnsi="Arial"/>
          <w:sz w:val="16"/>
          <w:szCs w:val="16"/>
          <w:color w:val="auto"/>
        </w:rPr>
        <w:t xml:space="preserve">In January 2021, FASB issued ASU No.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to expand the scope of Topic 848 to include derivative instruments affected by changes to the interest rates used for discounting, margining or contract price alignment (commonly referred to as the discounting transition). This ASU extends some of Topic 848’s optional expedients and exceptions for contract modifications and hedge accounting to derivative instruments impacted by discounting transition as a result of the discontinuation of the use of LIBOR as a benchmark interest rate due to reference rate reform. This ASU is effective immediately for all entities with the option to be applied retrospectively as of any date from the beginning of an interim period that includes or is subsequent to March 12, 2020, and prospectively to any new contract modifications made on or after January 7, 2021 through December 31, 2022. The adoption of this ASU did not have a material impact on the Company’s unaudited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Segment and Geographical Information</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operates in the Business Process Management (“BPM”) industry and is a provider of operations management and analytics services.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The Company manages and reports financial information through its four strategic business units: Insurance, Healthcare, Analytics and Emerging Business. These business units develop client-specific solutions, build capabilities, maintain a unified go-to-market approach and are integrally responsible for service delivery, customer satisfaction, growth and profitability.</w:t>
      </w:r>
    </w:p>
    <w:p>
      <w:pPr>
        <w:spacing w:after="0" w:line="190" w:lineRule="exact"/>
        <w:rPr>
          <w:sz w:val="20"/>
          <w:szCs w:val="20"/>
          <w:color w:val="auto"/>
        </w:rPr>
      </w:pPr>
    </w:p>
    <w:p>
      <w:pPr>
        <w:ind w:right="160" w:firstLine="375"/>
        <w:spacing w:after="0" w:line="237" w:lineRule="auto"/>
        <w:rPr>
          <w:sz w:val="20"/>
          <w:szCs w:val="20"/>
          <w:color w:val="auto"/>
        </w:rPr>
      </w:pPr>
      <w:r>
        <w:rPr>
          <w:rFonts w:ascii="Arial" w:cs="Arial" w:eastAsia="Arial" w:hAnsi="Arial"/>
          <w:sz w:val="17"/>
          <w:szCs w:val="17"/>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88"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Revenues and cost of revenues for the three months ended September 30, 2021 and 2020, respectively, for each of the reportable segments, are as follows:</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3820" w:type="dxa"/>
            <w:vAlign w:val="bottom"/>
            <w:tcBorders>
              <w:top w:val="single" w:sz="8" w:color="auto"/>
              <w:bottom w:val="single" w:sz="8" w:color="auto"/>
            </w:tcBorders>
            <w:gridSpan w:val="8"/>
          </w:tcPr>
          <w:p>
            <w:pPr>
              <w:jc w:val="center"/>
              <w:ind w:right="260"/>
              <w:spacing w:after="0"/>
              <w:rPr>
                <w:sz w:val="20"/>
                <w:szCs w:val="20"/>
                <w:color w:val="auto"/>
              </w:rPr>
            </w:pPr>
            <w:r>
              <w:rPr>
                <w:rFonts w:ascii="Arial" w:cs="Arial" w:eastAsia="Arial" w:hAnsi="Arial"/>
                <w:sz w:val="13"/>
                <w:szCs w:val="13"/>
                <w:b w:val="1"/>
                <w:bCs w:val="1"/>
                <w:color w:val="auto"/>
                <w:w w:val="91"/>
              </w:rPr>
              <w:t>Three months ended September 30, 2021</w:t>
            </w: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Insurance</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Healthcare</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60" w:lineRule="exact"/>
              <w:rPr>
                <w:sz w:val="20"/>
                <w:szCs w:val="20"/>
                <w:color w:val="auto"/>
              </w:rPr>
            </w:pPr>
            <w:r>
              <w:rPr>
                <w:rFonts w:ascii="Arial" w:cs="Arial" w:eastAsia="Arial" w:hAnsi="Arial"/>
                <w:sz w:val="17"/>
                <w:szCs w:val="17"/>
                <w:b w:val="1"/>
                <w:bCs w:val="1"/>
                <w:color w:val="auto"/>
                <w:w w:val="89"/>
              </w:rPr>
              <w:t>Emerging</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Analytics</w:t>
            </w:r>
          </w:p>
        </w:tc>
        <w:tc>
          <w:tcPr>
            <w:tcW w:w="260" w:type="dxa"/>
            <w:vAlign w:val="bottom"/>
          </w:tcPr>
          <w:p>
            <w:pPr>
              <w:spacing w:after="0"/>
              <w:rPr>
                <w:sz w:val="13"/>
                <w:szCs w:val="13"/>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1"/>
              </w:rPr>
              <w:t>Business</w:t>
            </w: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27,341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44,513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120,463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290,325</w:t>
            </w:r>
          </w:p>
        </w:tc>
        <w:tc>
          <w:tcPr>
            <w:tcW w:w="0" w:type="dxa"/>
            <w:vAlign w:val="bottom"/>
          </w:tcPr>
          <w:p>
            <w:pPr>
              <w:spacing w:after="0"/>
              <w:rPr>
                <w:sz w:val="1"/>
                <w:szCs w:val="1"/>
                <w:color w:val="auto"/>
              </w:rPr>
            </w:pPr>
          </w:p>
        </w:tc>
      </w:tr>
      <w:tr>
        <w:trPr>
          <w:trHeight w:val="212"/>
        </w:trPr>
        <w:tc>
          <w:tcPr>
            <w:tcW w:w="4700" w:type="dxa"/>
            <w:vAlign w:val="bottom"/>
            <w:tcBorders>
              <w:bottom w:val="single" w:sz="8" w:color="CCEEFF"/>
            </w:tcBorders>
          </w:tcPr>
          <w:p>
            <w:pPr>
              <w:ind w:left="20"/>
              <w:spacing w:after="0" w:line="212" w:lineRule="exact"/>
              <w:rPr>
                <w:sz w:val="20"/>
                <w:szCs w:val="20"/>
                <w:color w:val="auto"/>
              </w:rPr>
            </w:pPr>
            <w:r>
              <w:rPr>
                <w:rFonts w:ascii="Arial" w:cs="Arial" w:eastAsia="Arial" w:hAnsi="Arial"/>
                <w:sz w:val="17"/>
                <w:szCs w:val="17"/>
                <w:color w:val="auto"/>
              </w:rPr>
              <w:t>Cost of revenues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177,743</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7"/>
                <w:szCs w:val="17"/>
                <w:color w:val="auto"/>
              </w:rPr>
              <w:t>Gross profit</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112,582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3" w:right="339" w:bottom="1440" w:gutter="0" w:footer="0" w:header="0"/>
        </w:sectPr>
      </w:pPr>
    </w:p>
    <w:p>
      <w:pPr>
        <w:ind w:left="80"/>
        <w:spacing w:after="0"/>
        <w:rPr>
          <w:sz w:val="20"/>
          <w:szCs w:val="20"/>
          <w:color w:val="auto"/>
        </w:rPr>
      </w:pPr>
      <w:r>
        <w:rPr>
          <w:rFonts w:ascii="Arial" w:cs="Arial" w:eastAsia="Arial" w:hAnsi="Arial"/>
          <w:sz w:val="17"/>
          <w:szCs w:val="17"/>
          <w:color w:val="auto"/>
        </w:rPr>
        <w:t>Operating expenses</w:t>
      </w:r>
    </w:p>
    <w:p>
      <w:pPr>
        <w:spacing w:after="0" w:line="17" w:lineRule="exact"/>
        <w:rPr>
          <w:sz w:val="20"/>
          <w:szCs w:val="20"/>
          <w:color w:val="auto"/>
        </w:rPr>
      </w:pPr>
    </w:p>
    <w:p>
      <w:pPr>
        <w:ind w:left="80" w:right="1880"/>
        <w:spacing w:after="0" w:line="229" w:lineRule="auto"/>
        <w:rPr>
          <w:sz w:val="20"/>
          <w:szCs w:val="20"/>
          <w:color w:val="auto"/>
        </w:rPr>
      </w:pPr>
      <w:r>
        <w:rPr>
          <w:rFonts w:ascii="Arial" w:cs="Arial" w:eastAsia="Arial" w:hAnsi="Arial"/>
          <w:sz w:val="17"/>
          <w:szCs w:val="17"/>
          <w:color w:val="auto"/>
        </w:rPr>
        <w:t>Loss on settlement of convertible notes, foreign exchange gain, interest expense and other income, net</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Income tax expense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7"/>
          <w:szCs w:val="17"/>
          <w:color w:val="auto"/>
        </w:rPr>
        <w:t>Gain from equity-method investment</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7"/>
          <w:szCs w:val="17"/>
          <w:color w:val="auto"/>
        </w:rPr>
        <w:t>Net income</w:t>
      </w:r>
    </w:p>
    <w:p>
      <w:pPr>
        <w:spacing w:after="0" w:line="288" w:lineRule="exact"/>
        <w:rPr>
          <w:sz w:val="20"/>
          <w:szCs w:val="20"/>
          <w:color w:val="auto"/>
        </w:rPr>
      </w:pPr>
    </w:p>
    <w:p>
      <w:pPr>
        <w:ind w:left="180" w:hanging="180"/>
        <w:spacing w:after="0"/>
        <w:tabs>
          <w:tab w:leader="none" w:pos="180" w:val="left"/>
        </w:tabs>
        <w:numPr>
          <w:ilvl w:val="0"/>
          <w:numId w:val="4"/>
        </w:numPr>
        <w:rPr>
          <w:rFonts w:ascii="Arial" w:cs="Arial" w:eastAsia="Arial" w:hAnsi="Arial"/>
          <w:sz w:val="22"/>
          <w:szCs w:val="22"/>
          <w:color w:val="auto"/>
          <w:vertAlign w:val="superscript"/>
        </w:rPr>
      </w:pPr>
      <w:r>
        <w:rPr>
          <w:rFonts w:ascii="Arial" w:cs="Arial" w:eastAsia="Arial" w:hAnsi="Arial"/>
          <w:sz w:val="15"/>
          <w:szCs w:val="15"/>
          <w:color w:val="auto"/>
        </w:rPr>
        <w:t>Exclusive of depreciation and amortization expense.</w:t>
      </w:r>
    </w:p>
    <w:p>
      <w:pPr>
        <w:spacing w:after="0" w:line="20" w:lineRule="exact"/>
        <w:rPr>
          <w:sz w:val="20"/>
          <w:szCs w:val="20"/>
          <w:color w:val="auto"/>
        </w:rPr>
      </w:pPr>
      <w:r>
        <w:rPr>
          <w:sz w:val="20"/>
          <w:szCs w:val="20"/>
          <w:color w:val="auto"/>
        </w:rPr>
        <w:br w:type="column"/>
      </w:r>
    </w:p>
    <w:p>
      <w:pPr>
        <w:ind w:left="3760"/>
        <w:spacing w:after="0"/>
        <w:rPr>
          <w:sz w:val="20"/>
          <w:szCs w:val="20"/>
          <w:color w:val="auto"/>
        </w:rPr>
      </w:pPr>
      <w:r>
        <w:rPr>
          <w:rFonts w:ascii="Arial" w:cs="Arial" w:eastAsia="Arial" w:hAnsi="Arial"/>
          <w:sz w:val="16"/>
          <w:szCs w:val="16"/>
          <w:color w:val="auto"/>
        </w:rPr>
        <w:t>70,144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17780</wp:posOffset>
            </wp:positionV>
            <wp:extent cx="7063105" cy="238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3105" cy="238125"/>
                    </a:xfrm>
                    <a:prstGeom prst="rect">
                      <a:avLst/>
                    </a:prstGeom>
                    <a:noFill/>
                  </pic:spPr>
                </pic:pic>
              </a:graphicData>
            </a:graphic>
          </wp:anchor>
        </w:drawing>
      </w:r>
    </w:p>
    <w:p>
      <w:pPr>
        <w:spacing w:after="0" w:line="83"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(11,763)</w:t>
      </w:r>
    </w:p>
    <w:p>
      <w:pPr>
        <w:spacing w:after="0" w:line="104"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4,196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10795</wp:posOffset>
            </wp:positionV>
            <wp:extent cx="7063105"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3105" cy="13462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10795</wp:posOffset>
            </wp:positionV>
            <wp:extent cx="7372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7235" cy="7620"/>
                    </a:xfrm>
                    <a:prstGeom prst="rect">
                      <a:avLst/>
                    </a:prstGeom>
                    <a:noFill/>
                  </pic:spPr>
                </pic:pic>
              </a:graphicData>
            </a:graphic>
          </wp:anchor>
        </w:drawing>
      </w:r>
    </w:p>
    <w:p>
      <w:pPr>
        <w:spacing w:after="0" w:line="9" w:lineRule="exact"/>
        <w:rPr>
          <w:sz w:val="20"/>
          <w:szCs w:val="20"/>
          <w:color w:val="auto"/>
        </w:rPr>
      </w:pPr>
    </w:p>
    <w:p>
      <w:pPr>
        <w:jc w:val="both"/>
        <w:ind w:left="3140"/>
        <w:spacing w:after="0"/>
        <w:tabs>
          <w:tab w:leader="none" w:pos="37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26,507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10795</wp:posOffset>
            </wp:positionV>
            <wp:extent cx="7372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7235" cy="762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34290</wp:posOffset>
            </wp:positionV>
            <wp:extent cx="7372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7235" cy="7620"/>
                    </a:xfrm>
                    <a:prstGeom prst="rect">
                      <a:avLst/>
                    </a:prstGeom>
                    <a:noFill/>
                  </pic:spPr>
                </pic:pic>
              </a:graphicData>
            </a:graphic>
          </wp:anchor>
        </w:drawing>
        <w:drawing>
          <wp:anchor simplePos="0" relativeHeight="251657728" behindDoc="1" locked="0" layoutInCell="0" allowOverlap="1">
            <wp:simplePos x="0" y="0"/>
            <wp:positionH relativeFrom="column">
              <wp:posOffset>-1241425</wp:posOffset>
            </wp:positionH>
            <wp:positionV relativeFrom="paragraph">
              <wp:posOffset>375285</wp:posOffset>
            </wp:positionV>
            <wp:extent cx="39560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56050" cy="762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Three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20955</wp:posOffset>
            </wp:positionV>
            <wp:extent cx="39560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56050" cy="762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6180" w:space="720"/>
            <w:col w:w="4340"/>
          </w:cols>
          <w:pgMar w:left="320" w:top="123" w:right="3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Revenues, net</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Cost of revenues</w:t>
      </w:r>
      <w:r>
        <w:rPr>
          <w:rFonts w:ascii="Arial" w:cs="Arial" w:eastAsia="Arial" w:hAnsi="Arial"/>
          <w:sz w:val="21"/>
          <w:szCs w:val="21"/>
          <w:color w:val="auto"/>
          <w:vertAlign w:val="superscript"/>
        </w:rPr>
        <w:t>(1)</w:t>
      </w:r>
    </w:p>
    <w:p>
      <w:pPr>
        <w:ind w:left="100"/>
        <w:spacing w:after="0"/>
        <w:rPr>
          <w:sz w:val="20"/>
          <w:szCs w:val="20"/>
          <w:color w:val="auto"/>
        </w:rPr>
      </w:pPr>
      <w:r>
        <w:rPr>
          <w:rFonts w:ascii="Arial" w:cs="Arial" w:eastAsia="Arial" w:hAnsi="Arial"/>
          <w:sz w:val="17"/>
          <w:szCs w:val="17"/>
          <w:color w:val="auto"/>
        </w:rPr>
        <w:t>Gross profit</w:t>
      </w:r>
      <w:r>
        <w:rPr>
          <w:rFonts w:ascii="Arial" w:cs="Arial" w:eastAsia="Arial" w:hAnsi="Arial"/>
          <w:sz w:val="21"/>
          <w:szCs w:val="21"/>
          <w:color w:val="auto"/>
          <w:vertAlign w:val="superscript"/>
        </w:rPr>
        <w:t>(1)</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Operating expenses</w:t>
      </w:r>
    </w:p>
    <w:p>
      <w:pPr>
        <w:spacing w:after="0" w:line="28" w:lineRule="exact"/>
        <w:rPr>
          <w:sz w:val="20"/>
          <w:szCs w:val="20"/>
          <w:color w:val="auto"/>
        </w:rPr>
      </w:pPr>
    </w:p>
    <w:p>
      <w:pPr>
        <w:ind w:left="100"/>
        <w:spacing w:after="0" w:line="260" w:lineRule="auto"/>
        <w:rPr>
          <w:sz w:val="20"/>
          <w:szCs w:val="20"/>
          <w:color w:val="auto"/>
        </w:rPr>
      </w:pPr>
      <w:r>
        <w:rPr>
          <w:rFonts w:ascii="Arial" w:cs="Arial" w:eastAsia="Arial" w:hAnsi="Arial"/>
          <w:sz w:val="17"/>
          <w:szCs w:val="17"/>
          <w:color w:val="auto"/>
        </w:rPr>
        <w:t>Foreign exchange gain, interest expense and other income, net Income tax expense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Loss from equity-method investment</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Net income</w:t>
      </w:r>
    </w:p>
    <w:p>
      <w:pPr>
        <w:spacing w:after="0" w:line="338" w:lineRule="exact"/>
        <w:rPr>
          <w:sz w:val="20"/>
          <w:szCs w:val="20"/>
          <w:color w:val="auto"/>
        </w:rPr>
      </w:pPr>
    </w:p>
    <w:p>
      <w:pPr>
        <w:ind w:left="180" w:hanging="180"/>
        <w:spacing w:after="0"/>
        <w:tabs>
          <w:tab w:leader="none" w:pos="180" w:val="left"/>
        </w:tabs>
        <w:numPr>
          <w:ilvl w:val="0"/>
          <w:numId w:val="5"/>
        </w:numPr>
        <w:rPr>
          <w:rFonts w:ascii="Arial" w:cs="Arial" w:eastAsia="Arial" w:hAnsi="Arial"/>
          <w:sz w:val="22"/>
          <w:szCs w:val="22"/>
          <w:color w:val="auto"/>
          <w:vertAlign w:val="superscript"/>
        </w:rPr>
      </w:pPr>
      <w:r>
        <w:rPr>
          <w:rFonts w:ascii="Arial" w:cs="Arial" w:eastAsia="Arial" w:hAnsi="Arial"/>
          <w:sz w:val="15"/>
          <w:szCs w:val="15"/>
          <w:color w:val="auto"/>
        </w:rPr>
        <w:t>Exclusive of depreciation and amortization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Insurance</w:t>
            </w:r>
          </w:p>
        </w:tc>
        <w:tc>
          <w:tcPr>
            <w:tcW w:w="16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Healthcare</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Emerging</w:t>
            </w:r>
          </w:p>
        </w:tc>
        <w:tc>
          <w:tcPr>
            <w:tcW w:w="180" w:type="dxa"/>
            <w:vAlign w:val="bottom"/>
          </w:tcPr>
          <w:p>
            <w:pPr>
              <w:spacing w:after="0"/>
              <w:rPr>
                <w:sz w:val="16"/>
                <w:szCs w:val="16"/>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Analytics</w:t>
            </w:r>
          </w:p>
        </w:tc>
        <w:tc>
          <w:tcPr>
            <w:tcW w:w="240" w:type="dxa"/>
            <w:vAlign w:val="bottom"/>
          </w:tcPr>
          <w:p>
            <w:pPr>
              <w:spacing w:after="0"/>
              <w:rPr>
                <w:sz w:val="16"/>
                <w:szCs w:val="16"/>
                <w:color w:val="auto"/>
              </w:rPr>
            </w:pPr>
          </w:p>
        </w:tc>
        <w:tc>
          <w:tcPr>
            <w:tcW w:w="880" w:type="dxa"/>
            <w:vAlign w:val="bottom"/>
            <w:vMerge w:val="restart"/>
          </w:tcPr>
          <w:p>
            <w:pPr>
              <w:jc w:val="right"/>
              <w:ind w:right="29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79"/>
              </w:rPr>
              <w:t>Business</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87,830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25,112</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37,577</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90,499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241,018</w:t>
            </w:r>
          </w:p>
        </w:tc>
        <w:tc>
          <w:tcPr>
            <w:tcW w:w="0" w:type="dxa"/>
            <w:vAlign w:val="bottom"/>
          </w:tcPr>
          <w:p>
            <w:pPr>
              <w:spacing w:after="0"/>
              <w:rPr>
                <w:sz w:val="1"/>
                <w:szCs w:val="1"/>
                <w:color w:val="auto"/>
              </w:rPr>
            </w:pPr>
          </w:p>
        </w:tc>
      </w:tr>
      <w:tr>
        <w:trPr>
          <w:trHeight w:val="212"/>
        </w:trPr>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56,831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17,993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20,792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56,471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152,087</w:t>
            </w:r>
          </w:p>
        </w:tc>
        <w:tc>
          <w:tcPr>
            <w:tcW w:w="0" w:type="dxa"/>
            <w:vAlign w:val="bottom"/>
          </w:tcPr>
          <w:p>
            <w:pPr>
              <w:spacing w:after="0"/>
              <w:rPr>
                <w:sz w:val="1"/>
                <w:szCs w:val="1"/>
                <w:color w:val="auto"/>
              </w:rPr>
            </w:pPr>
          </w:p>
        </w:tc>
      </w:tr>
      <w:tr>
        <w:trPr>
          <w:trHeight w:val="205"/>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30,999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16,785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34,028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88,931</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54,525</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8,490</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26,418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-1164590</wp:posOffset>
            </wp:positionV>
            <wp:extent cx="704723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47230" cy="14287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-887095</wp:posOffset>
            </wp:positionV>
            <wp:extent cx="7047230" cy="158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7230" cy="15875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-577850</wp:posOffset>
            </wp:positionV>
            <wp:extent cx="704723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47230" cy="13462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-308610</wp:posOffset>
            </wp:positionV>
            <wp:extent cx="704723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7230" cy="134620"/>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4240" w:space="700"/>
            <w:col w:w="6300"/>
          </w:cols>
          <w:pgMar w:left="320" w:top="123" w:right="339" w:bottom="1440" w:gutter="0" w:footer="0" w:header="0"/>
          <w:type w:val="continuous"/>
        </w:sectPr>
      </w:pPr>
    </w:p>
    <w:p>
      <w:pPr>
        <w:spacing w:after="0" w:line="1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Revenues and cost of revenues for the nine months ended September 30, 2021 and 2020, respectively, for each of the reportable segments,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367030</wp:posOffset>
            </wp:positionV>
            <wp:extent cx="42887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87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13"/>
          </w:tcPr>
          <w:p>
            <w:pPr>
              <w:ind w:left="700"/>
              <w:spacing w:after="0"/>
              <w:rPr>
                <w:sz w:val="20"/>
                <w:szCs w:val="20"/>
                <w:color w:val="auto"/>
              </w:rPr>
            </w:pPr>
            <w:r>
              <w:rPr>
                <w:rFonts w:ascii="Arial" w:cs="Arial" w:eastAsia="Arial" w:hAnsi="Arial"/>
                <w:sz w:val="13"/>
                <w:szCs w:val="13"/>
                <w:b w:val="1"/>
                <w:bCs w:val="1"/>
                <w:color w:val="auto"/>
              </w:rPr>
              <w:t>Nine months ended September 30, 2021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Insurance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Healthcare</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ind w:left="100"/>
              <w:spacing w:after="0" w:line="160" w:lineRule="exact"/>
              <w:rPr>
                <w:sz w:val="20"/>
                <w:szCs w:val="20"/>
                <w:color w:val="auto"/>
              </w:rPr>
            </w:pPr>
            <w:r>
              <w:rPr>
                <w:rFonts w:ascii="Arial" w:cs="Arial" w:eastAsia="Arial" w:hAnsi="Arial"/>
                <w:sz w:val="17"/>
                <w:szCs w:val="17"/>
                <w:b w:val="1"/>
                <w:bCs w:val="1"/>
                <w:color w:val="auto"/>
              </w:rPr>
              <w:t>Emerging</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Analytics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3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w w:val="97"/>
              </w:rPr>
              <w:t>Business</w:t>
            </w:r>
          </w:p>
        </w:tc>
        <w:tc>
          <w:tcPr>
            <w:tcW w:w="8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Revenues, net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283,887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85,856</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122,871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center"/>
              <w:ind w:left="317"/>
              <w:spacing w:after="0"/>
              <w:rPr>
                <w:sz w:val="20"/>
                <w:szCs w:val="20"/>
                <w:color w:val="auto"/>
              </w:rPr>
            </w:pPr>
            <w:r>
              <w:rPr>
                <w:rFonts w:ascii="Arial" w:cs="Arial" w:eastAsia="Arial" w:hAnsi="Arial"/>
                <w:sz w:val="17"/>
                <w:szCs w:val="17"/>
                <w:color w:val="auto"/>
                <w:w w:val="87"/>
              </w:rPr>
              <w:t>334,190</w:t>
            </w:r>
          </w:p>
        </w:tc>
        <w:tc>
          <w:tcPr>
            <w:tcW w:w="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826,804</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20"/>
              <w:spacing w:after="0" w:line="212" w:lineRule="exact"/>
              <w:rPr>
                <w:sz w:val="20"/>
                <w:szCs w:val="20"/>
                <w:color w:val="auto"/>
              </w:rPr>
            </w:pPr>
            <w:r>
              <w:rPr>
                <w:rFonts w:ascii="Arial" w:cs="Arial" w:eastAsia="Arial" w:hAnsi="Arial"/>
                <w:sz w:val="17"/>
                <w:szCs w:val="17"/>
                <w:color w:val="auto"/>
              </w:rPr>
              <w:t>Cost of revenues</w:t>
            </w:r>
            <w:r>
              <w:rPr>
                <w:rFonts w:ascii="Arial" w:cs="Arial" w:eastAsia="Arial" w:hAnsi="Arial"/>
                <w:sz w:val="21"/>
                <w:szCs w:val="21"/>
                <w:color w:val="auto"/>
                <w:vertAlign w:val="superscript"/>
              </w:rPr>
              <w:t>(1)</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176,942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52,133</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66,850</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317"/>
              <w:spacing w:after="0"/>
              <w:rPr>
                <w:sz w:val="20"/>
                <w:szCs w:val="20"/>
                <w:color w:val="auto"/>
              </w:rPr>
            </w:pPr>
            <w:r>
              <w:rPr>
                <w:rFonts w:ascii="Arial" w:cs="Arial" w:eastAsia="Arial" w:hAnsi="Arial"/>
                <w:sz w:val="17"/>
                <w:szCs w:val="17"/>
                <w:color w:val="auto"/>
                <w:w w:val="87"/>
              </w:rPr>
              <w:t>211,340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507,265</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line="205" w:lineRule="exact"/>
              <w:rPr>
                <w:sz w:val="20"/>
                <w:szCs w:val="20"/>
                <w:color w:val="auto"/>
              </w:rPr>
            </w:pPr>
            <w:r>
              <w:rPr>
                <w:rFonts w:ascii="Arial" w:cs="Arial" w:eastAsia="Arial" w:hAnsi="Arial"/>
                <w:sz w:val="17"/>
                <w:szCs w:val="17"/>
                <w:color w:val="auto"/>
              </w:rPr>
              <w:t>Gross profit</w:t>
            </w:r>
            <w:r>
              <w:rPr>
                <w:rFonts w:ascii="Arial" w:cs="Arial" w:eastAsia="Arial" w:hAnsi="Arial"/>
                <w:sz w:val="21"/>
                <w:szCs w:val="21"/>
                <w:color w:val="auto"/>
                <w:vertAlign w:val="superscript"/>
              </w:rPr>
              <w:t>(1)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106,945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33,723</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56,021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center"/>
              <w:ind w:left="317"/>
              <w:spacing w:after="0"/>
              <w:rPr>
                <w:sz w:val="20"/>
                <w:szCs w:val="20"/>
                <w:color w:val="auto"/>
              </w:rPr>
            </w:pPr>
            <w:r>
              <w:rPr>
                <w:rFonts w:ascii="Arial" w:cs="Arial" w:eastAsia="Arial" w:hAnsi="Arial"/>
                <w:sz w:val="17"/>
                <w:szCs w:val="17"/>
                <w:color w:val="auto"/>
                <w:w w:val="87"/>
              </w:rPr>
              <w:t>122,850</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319,539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7"/>
                <w:szCs w:val="17"/>
                <w:color w:val="auto"/>
              </w:rPr>
              <w:t>199,716</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w w:val="88"/>
              </w:rPr>
              <w:t>Loss on settlement of convertible notes, foreign exchange gain,</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(11,345)</w:t>
            </w:r>
          </w:p>
        </w:tc>
        <w:tc>
          <w:tcPr>
            <w:tcW w:w="0" w:type="dxa"/>
            <w:vAlign w:val="bottom"/>
          </w:tcPr>
          <w:p>
            <w:pPr>
              <w:spacing w:after="0"/>
              <w:rPr>
                <w:sz w:val="1"/>
                <w:szCs w:val="1"/>
                <w:color w:val="auto"/>
              </w:rPr>
            </w:pPr>
          </w:p>
        </w:tc>
      </w:tr>
      <w:tr>
        <w:trPr>
          <w:trHeight w:val="125"/>
        </w:trPr>
        <w:tc>
          <w:tcPr>
            <w:tcW w:w="4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interest expense and other income, net</w:t>
            </w: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24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22,019</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 (loss) from equity-method investment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240" w:type="dxa"/>
            <w:vAlign w:val="bottom"/>
          </w:tcPr>
          <w:p>
            <w:pPr>
              <w:ind w:left="20"/>
              <w:spacing w:after="0" w:line="193" w:lineRule="exact"/>
              <w:rPr>
                <w:sz w:val="20"/>
                <w:szCs w:val="20"/>
                <w:color w:val="auto"/>
              </w:rPr>
            </w:pPr>
            <w:r>
              <w:rPr>
                <w:rFonts w:ascii="Arial" w:cs="Arial" w:eastAsia="Arial" w:hAnsi="Arial"/>
                <w:sz w:val="17"/>
                <w:szCs w:val="17"/>
                <w:color w:val="auto"/>
              </w:rPr>
              <w:t>Net income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86,459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7"/>
                <w:szCs w:val="17"/>
                <w:color w:val="auto"/>
              </w:rPr>
              <w:t xml:space="preserve"> Exclusive of depreciation and amortization expense.</w:t>
            </w: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4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1"/>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11"/>
          </w:tcPr>
          <w:p>
            <w:pPr>
              <w:jc w:val="right"/>
              <w:ind w:right="40"/>
              <w:spacing w:after="0"/>
              <w:rPr>
                <w:sz w:val="20"/>
                <w:szCs w:val="20"/>
                <w:color w:val="auto"/>
              </w:rPr>
            </w:pPr>
            <w:r>
              <w:rPr>
                <w:rFonts w:ascii="Arial" w:cs="Arial" w:eastAsia="Arial" w:hAnsi="Arial"/>
                <w:sz w:val="13"/>
                <w:szCs w:val="13"/>
                <w:b w:val="1"/>
                <w:bCs w:val="1"/>
                <w:color w:val="auto"/>
              </w:rPr>
              <w:t>Nine months ended September 30, 2020</w:t>
            </w: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4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Insurance</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Healthcare</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w w:val="88"/>
              </w:rPr>
              <w:t>Emerging Business</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Analytics</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net</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252,851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77,119</w:t>
            </w: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264,609</w:t>
            </w:r>
          </w:p>
        </w:tc>
        <w:tc>
          <w:tcPr>
            <w:tcW w:w="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709,481</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20"/>
              <w:spacing w:after="0" w:line="212" w:lineRule="exact"/>
              <w:rPr>
                <w:sz w:val="20"/>
                <w:szCs w:val="20"/>
                <w:color w:val="auto"/>
              </w:rPr>
            </w:pPr>
            <w:r>
              <w:rPr>
                <w:rFonts w:ascii="Arial" w:cs="Arial" w:eastAsia="Arial" w:hAnsi="Arial"/>
                <w:sz w:val="16"/>
                <w:szCs w:val="16"/>
                <w:color w:val="auto"/>
              </w:rPr>
              <w:t>Cost of revenues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174,909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57,226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68,689</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172,320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473,144</w:t>
            </w: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
              <w:spacing w:after="0" w:line="205" w:lineRule="exact"/>
              <w:rPr>
                <w:sz w:val="20"/>
                <w:szCs w:val="20"/>
                <w:color w:val="auto"/>
              </w:rPr>
            </w:pPr>
            <w:r>
              <w:rPr>
                <w:rFonts w:ascii="Arial" w:cs="Arial" w:eastAsia="Arial" w:hAnsi="Arial"/>
                <w:sz w:val="17"/>
                <w:szCs w:val="17"/>
                <w:color w:val="auto"/>
              </w:rPr>
              <w:t>Gross profit</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19,893</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46,213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317"/>
              <w:spacing w:after="0"/>
              <w:rPr>
                <w:sz w:val="20"/>
                <w:szCs w:val="20"/>
                <w:color w:val="auto"/>
              </w:rPr>
            </w:pPr>
            <w:r>
              <w:rPr>
                <w:rFonts w:ascii="Arial" w:cs="Arial" w:eastAsia="Arial" w:hAnsi="Arial"/>
                <w:sz w:val="17"/>
                <w:szCs w:val="17"/>
                <w:color w:val="auto"/>
                <w:w w:val="88"/>
              </w:rPr>
              <w:t>92,289</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236,337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7"/>
                <w:szCs w:val="17"/>
                <w:color w:val="auto"/>
              </w:rPr>
              <w:t>164,578</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w w:val="88"/>
              </w:rPr>
              <w:t>Foreign exchange gain, interest expense and other income, net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4,108</w:t>
            </w: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18,416</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equity-method investment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5"/>
        </w:trPr>
        <w:tc>
          <w:tcPr>
            <w:tcW w:w="4240" w:type="dxa"/>
            <w:vAlign w:val="bottom"/>
          </w:tcPr>
          <w:p>
            <w:pPr>
              <w:ind w:left="20"/>
              <w:spacing w:after="0" w:line="193" w:lineRule="exact"/>
              <w:rPr>
                <w:sz w:val="20"/>
                <w:szCs w:val="20"/>
                <w:color w:val="auto"/>
              </w:rPr>
            </w:pPr>
            <w:r>
              <w:rPr>
                <w:rFonts w:ascii="Arial" w:cs="Arial" w:eastAsia="Arial" w:hAnsi="Arial"/>
                <w:sz w:val="17"/>
                <w:szCs w:val="17"/>
                <w:color w:val="auto"/>
              </w:rPr>
              <w:t>Net income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57,258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380" w:right="7580" w:hanging="380"/>
        <w:spacing w:after="0" w:line="422" w:lineRule="auto"/>
        <w:tabs>
          <w:tab w:leader="none" w:pos="186" w:val="left"/>
        </w:tabs>
        <w:numPr>
          <w:ilvl w:val="0"/>
          <w:numId w:val="6"/>
        </w:numPr>
        <w:rPr>
          <w:rFonts w:ascii="Arial" w:cs="Arial" w:eastAsia="Arial" w:hAnsi="Arial"/>
          <w:sz w:val="22"/>
          <w:szCs w:val="22"/>
          <w:color w:val="auto"/>
          <w:vertAlign w:val="superscript"/>
        </w:rPr>
      </w:pPr>
      <w:r>
        <w:rPr>
          <w:rFonts w:ascii="Arial" w:cs="Arial" w:eastAsia="Arial" w:hAnsi="Arial"/>
          <w:sz w:val="15"/>
          <w:szCs w:val="15"/>
          <w:color w:val="auto"/>
        </w:rPr>
        <w:t>Exclusive of depreciation and amortization expense. Revenues, net by service type, were as follows:</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gridSpan w:val="5"/>
            <w:shd w:val="clear" w:color="auto" w:fill="CCEEFF"/>
          </w:tcPr>
          <w:p>
            <w:pPr>
              <w:ind w:left="160"/>
              <w:spacing w:after="0"/>
              <w:rPr>
                <w:sz w:val="20"/>
                <w:szCs w:val="20"/>
                <w:color w:val="auto"/>
              </w:rPr>
            </w:pPr>
            <w:r>
              <w:rPr>
                <w:rFonts w:ascii="Arial" w:cs="Arial" w:eastAsia="Arial" w:hAnsi="Arial"/>
                <w:sz w:val="13"/>
                <w:szCs w:val="13"/>
                <w:b w:val="1"/>
                <w:bCs w:val="1"/>
                <w:color w:val="auto"/>
              </w:rPr>
              <w:t>Three months ended September 30,</w:t>
            </w:r>
          </w:p>
        </w:tc>
        <w:tc>
          <w:tcPr>
            <w:tcW w:w="260" w:type="dxa"/>
            <w:vAlign w:val="bottom"/>
            <w:shd w:val="clear" w:color="auto" w:fill="CCEEFF"/>
          </w:tcPr>
          <w:p>
            <w:pPr>
              <w:spacing w:after="0"/>
              <w:rPr>
                <w:sz w:val="15"/>
                <w:szCs w:val="15"/>
                <w:color w:val="auto"/>
              </w:rPr>
            </w:pPr>
          </w:p>
        </w:tc>
        <w:tc>
          <w:tcPr>
            <w:tcW w:w="2480" w:type="dxa"/>
            <w:vAlign w:val="bottom"/>
            <w:gridSpan w:val="4"/>
            <w:shd w:val="clear" w:color="auto" w:fill="CCEEFF"/>
          </w:tcPr>
          <w:p>
            <w:pPr>
              <w:jc w:val="right"/>
              <w:ind w:right="321"/>
              <w:spacing w:after="0"/>
              <w:rPr>
                <w:sz w:val="20"/>
                <w:szCs w:val="20"/>
                <w:color w:val="auto"/>
              </w:rPr>
            </w:pPr>
            <w:r>
              <w:rPr>
                <w:rFonts w:ascii="Arial" w:cs="Arial" w:eastAsia="Arial" w:hAnsi="Arial"/>
                <w:sz w:val="13"/>
                <w:szCs w:val="13"/>
                <w:b w:val="1"/>
                <w:bCs w:val="1"/>
                <w:color w:val="auto"/>
                <w:w w:val="96"/>
              </w:rPr>
              <w:t>Nine months ended September 30,</w:t>
            </w:r>
          </w:p>
        </w:tc>
      </w:tr>
      <w:tr>
        <w:trPr>
          <w:trHeight w:val="166"/>
        </w:trPr>
        <w:tc>
          <w:tcPr>
            <w:tcW w:w="43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r>
      <w:tr>
        <w:trPr>
          <w:trHeight w:val="206"/>
        </w:trPr>
        <w:tc>
          <w:tcPr>
            <w:tcW w:w="4300" w:type="dxa"/>
            <w:vAlign w:val="bottom"/>
            <w:shd w:val="clear" w:color="auto" w:fill="CCEEFF"/>
          </w:tcPr>
          <w:p>
            <w:pPr>
              <w:spacing w:after="0" w:line="206" w:lineRule="exact"/>
              <w:rPr>
                <w:sz w:val="20"/>
                <w:szCs w:val="20"/>
                <w:color w:val="auto"/>
              </w:rPr>
            </w:pPr>
            <w:r>
              <w:rPr>
                <w:rFonts w:ascii="Arial" w:cs="Arial" w:eastAsia="Arial" w:hAnsi="Arial"/>
                <w:sz w:val="17"/>
                <w:szCs w:val="17"/>
                <w:color w:val="auto"/>
              </w:rPr>
              <w:t>BPM and related services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169,862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150,519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492,614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444,872</w:t>
            </w:r>
          </w:p>
        </w:tc>
      </w:tr>
      <w:tr>
        <w:trPr>
          <w:trHeight w:val="212"/>
        </w:trPr>
        <w:tc>
          <w:tcPr>
            <w:tcW w:w="43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Analytics services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120,463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90,499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334,190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264,609</w:t>
            </w:r>
          </w:p>
        </w:tc>
      </w:tr>
      <w:tr>
        <w:trPr>
          <w:trHeight w:val="23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 net</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290,325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241,018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826,804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709,481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firstLine="374"/>
        <w:spacing w:after="0" w:line="191" w:lineRule="auto"/>
        <w:tabs>
          <w:tab w:leader="none" w:pos="582"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BPM and related services include revenues of the Company's Insurance, Healthcare and Emerging Business reportable segments. Refer to the reportable segment disclosure above.</w:t>
      </w:r>
    </w:p>
    <w:p>
      <w:pPr>
        <w:ind w:left="380"/>
        <w:spacing w:after="0"/>
        <w:rPr>
          <w:rFonts w:ascii="Arial" w:cs="Arial" w:eastAsia="Arial" w:hAnsi="Arial"/>
          <w:sz w:val="24"/>
          <w:szCs w:val="24"/>
          <w:color w:val="auto"/>
          <w:vertAlign w:val="superscript"/>
        </w:rPr>
      </w:pPr>
      <w:r>
        <w:rPr>
          <w:rFonts w:ascii="Arial" w:cs="Arial" w:eastAsia="Arial" w:hAnsi="Arial"/>
          <w:sz w:val="17"/>
          <w:szCs w:val="17"/>
          <w:color w:val="auto"/>
        </w:rPr>
        <w:t>The Company attributes the revenues to regions based upon the location of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40" w:type="dxa"/>
        <w:tblCellMar>
          <w:top w:w="0" w:type="dxa"/>
          <w:left w:w="0" w:type="dxa"/>
          <w:bottom w:w="0" w:type="dxa"/>
          <w:right w:w="0" w:type="dxa"/>
        </w:tblCellMar>
      </w:tblPr>
      <w:tr>
        <w:trPr>
          <w:trHeight w:val="178"/>
        </w:trPr>
        <w:tc>
          <w:tcPr>
            <w:tcW w:w="3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4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September 30,</w:t>
            </w:r>
          </w:p>
        </w:tc>
        <w:tc>
          <w:tcPr>
            <w:tcW w:w="680" w:type="dxa"/>
            <w:vAlign w:val="bottom"/>
          </w:tcPr>
          <w:p>
            <w:pPr>
              <w:spacing w:after="0"/>
              <w:rPr>
                <w:sz w:val="15"/>
                <w:szCs w:val="15"/>
                <w:color w:val="auto"/>
              </w:rPr>
            </w:pPr>
          </w:p>
        </w:tc>
        <w:tc>
          <w:tcPr>
            <w:tcW w:w="272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Nine months ended September 30,</w:t>
            </w:r>
          </w:p>
        </w:tc>
      </w:tr>
      <w:tr>
        <w:trPr>
          <w:trHeight w:val="171"/>
        </w:trPr>
        <w:tc>
          <w:tcPr>
            <w:tcW w:w="34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2020</w:t>
            </w:r>
          </w:p>
        </w:tc>
      </w:tr>
      <w:tr>
        <w:trPr>
          <w:trHeight w:val="193"/>
        </w:trPr>
        <w:tc>
          <w:tcPr>
            <w:tcW w:w="3420" w:type="dxa"/>
            <w:vAlign w:val="bottom"/>
            <w:shd w:val="clear" w:color="auto" w:fill="CCEEFF"/>
          </w:tcPr>
          <w:p>
            <w:pPr>
              <w:ind w:left="400"/>
              <w:spacing w:after="0" w:line="194" w:lineRule="exact"/>
              <w:rPr>
                <w:sz w:val="20"/>
                <w:szCs w:val="20"/>
                <w:color w:val="auto"/>
              </w:rPr>
            </w:pPr>
            <w:r>
              <w:rPr>
                <w:rFonts w:ascii="Arial" w:cs="Arial" w:eastAsia="Arial" w:hAnsi="Arial"/>
                <w:sz w:val="17"/>
                <w:szCs w:val="17"/>
                <w:b w:val="1"/>
                <w:bCs w:val="1"/>
                <w:color w:val="auto"/>
              </w:rPr>
              <w:t>Revenues, net</w:t>
            </w: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2"/>
        </w:trPr>
        <w:tc>
          <w:tcPr>
            <w:tcW w:w="3420" w:type="dxa"/>
            <w:vAlign w:val="bottom"/>
          </w:tcPr>
          <w:p>
            <w:pPr>
              <w:ind w:left="400"/>
              <w:spacing w:after="0"/>
              <w:rPr>
                <w:sz w:val="20"/>
                <w:szCs w:val="20"/>
                <w:color w:val="auto"/>
              </w:rPr>
            </w:pPr>
            <w:r>
              <w:rPr>
                <w:rFonts w:ascii="Arial" w:cs="Arial" w:eastAsia="Arial" w:hAnsi="Arial"/>
                <w:sz w:val="17"/>
                <w:szCs w:val="17"/>
                <w:color w:val="auto"/>
              </w:rPr>
              <w:t>United States</w:t>
            </w:r>
          </w:p>
        </w:tc>
        <w:tc>
          <w:tcPr>
            <w:tcW w:w="68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
              <w:spacing w:after="0"/>
              <w:rPr>
                <w:sz w:val="20"/>
                <w:szCs w:val="20"/>
                <w:color w:val="auto"/>
              </w:rPr>
            </w:pPr>
            <w:r>
              <w:rPr>
                <w:rFonts w:ascii="Arial" w:cs="Arial" w:eastAsia="Arial" w:hAnsi="Arial"/>
                <w:sz w:val="17"/>
                <w:szCs w:val="17"/>
                <w:color w:val="auto"/>
              </w:rPr>
              <w:t>249,726</w:t>
            </w:r>
          </w:p>
        </w:tc>
        <w:tc>
          <w:tcPr>
            <w:tcW w:w="10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203,928</w:t>
            </w:r>
          </w:p>
        </w:tc>
        <w:tc>
          <w:tcPr>
            <w:tcW w:w="8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
              <w:spacing w:after="0"/>
              <w:rPr>
                <w:sz w:val="20"/>
                <w:szCs w:val="20"/>
                <w:color w:val="auto"/>
              </w:rPr>
            </w:pPr>
            <w:r>
              <w:rPr>
                <w:rFonts w:ascii="Arial" w:cs="Arial" w:eastAsia="Arial" w:hAnsi="Arial"/>
                <w:sz w:val="17"/>
                <w:szCs w:val="17"/>
                <w:color w:val="auto"/>
              </w:rPr>
              <w:t>709,382</w:t>
            </w:r>
          </w:p>
        </w:tc>
        <w:tc>
          <w:tcPr>
            <w:tcW w:w="80" w:type="dxa"/>
            <w:vAlign w:val="bottom"/>
          </w:tcPr>
          <w:p>
            <w:pPr>
              <w:spacing w:after="0"/>
              <w:rPr>
                <w:sz w:val="18"/>
                <w:szCs w:val="18"/>
                <w:color w:val="auto"/>
              </w:rPr>
            </w:pPr>
          </w:p>
        </w:tc>
        <w:tc>
          <w:tcPr>
            <w:tcW w:w="68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600,840</w:t>
            </w:r>
          </w:p>
        </w:tc>
      </w:tr>
      <w:tr>
        <w:trPr>
          <w:trHeight w:val="212"/>
        </w:trPr>
        <w:tc>
          <w:tcPr>
            <w:tcW w:w="34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Non-United States</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2"/>
        </w:trPr>
        <w:tc>
          <w:tcPr>
            <w:tcW w:w="3420" w:type="dxa"/>
            <w:vAlign w:val="bottom"/>
          </w:tcPr>
          <w:p>
            <w:pPr>
              <w:ind w:left="580"/>
              <w:spacing w:after="0"/>
              <w:rPr>
                <w:sz w:val="20"/>
                <w:szCs w:val="20"/>
                <w:color w:val="auto"/>
              </w:rPr>
            </w:pPr>
            <w:r>
              <w:rPr>
                <w:rFonts w:ascii="Arial" w:cs="Arial" w:eastAsia="Arial" w:hAnsi="Arial"/>
                <w:sz w:val="17"/>
                <w:szCs w:val="17"/>
                <w:color w:val="auto"/>
              </w:rPr>
              <w:t>United Kingdom</w:t>
            </w:r>
          </w:p>
        </w:tc>
        <w:tc>
          <w:tcPr>
            <w:tcW w:w="6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7"/>
                <w:szCs w:val="17"/>
                <w:color w:val="auto"/>
              </w:rPr>
              <w:t>27,433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22,903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7"/>
                <w:szCs w:val="17"/>
                <w:color w:val="auto"/>
              </w:rPr>
              <w:t>78,359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65,011</w:t>
            </w:r>
          </w:p>
        </w:tc>
      </w:tr>
      <w:tr>
        <w:trPr>
          <w:trHeight w:val="212"/>
        </w:trPr>
        <w:tc>
          <w:tcPr>
            <w:tcW w:w="34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Rest of World</w:t>
            </w:r>
          </w:p>
        </w:tc>
        <w:tc>
          <w:tcPr>
            <w:tcW w:w="6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13,166</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14,187</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39,063</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43,630</w:t>
            </w:r>
          </w:p>
        </w:tc>
      </w:tr>
      <w:tr>
        <w:trPr>
          <w:trHeight w:val="205"/>
        </w:trPr>
        <w:tc>
          <w:tcPr>
            <w:tcW w:w="3420" w:type="dxa"/>
            <w:vAlign w:val="bottom"/>
            <w:tcBorders>
              <w:bottom w:val="single" w:sz="8" w:color="CCEEFF"/>
            </w:tcBorders>
          </w:tcPr>
          <w:p>
            <w:pPr>
              <w:ind w:left="400"/>
              <w:spacing w:after="0" w:line="193" w:lineRule="exact"/>
              <w:rPr>
                <w:sz w:val="20"/>
                <w:szCs w:val="20"/>
                <w:color w:val="auto"/>
              </w:rPr>
            </w:pPr>
            <w:r>
              <w:rPr>
                <w:rFonts w:ascii="Arial" w:cs="Arial" w:eastAsia="Arial" w:hAnsi="Arial"/>
                <w:sz w:val="17"/>
                <w:szCs w:val="17"/>
                <w:color w:val="auto"/>
              </w:rPr>
              <w:t>Total Non-United States</w:t>
            </w: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40,599</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37,090</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117,422</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108,641</w:t>
            </w:r>
          </w:p>
        </w:tc>
      </w:tr>
      <w:tr>
        <w:trPr>
          <w:trHeight w:val="230"/>
        </w:trPr>
        <w:tc>
          <w:tcPr>
            <w:tcW w:w="3420" w:type="dxa"/>
            <w:vAlign w:val="bottom"/>
            <w:tcBorders>
              <w:bottom w:val="single" w:sz="8" w:color="CCEEFF"/>
            </w:tcBorders>
            <w:shd w:val="clear" w:color="auto" w:fill="CCEEFF"/>
          </w:tcPr>
          <w:p>
            <w:pPr>
              <w:ind w:left="400"/>
              <w:spacing w:after="0" w:line="193" w:lineRule="exact"/>
              <w:rPr>
                <w:sz w:val="20"/>
                <w:szCs w:val="20"/>
                <w:color w:val="auto"/>
              </w:rPr>
            </w:pPr>
            <w:r>
              <w:rPr>
                <w:rFonts w:ascii="Arial" w:cs="Arial" w:eastAsia="Arial" w:hAnsi="Arial"/>
                <w:sz w:val="17"/>
                <w:szCs w:val="17"/>
                <w:color w:val="auto"/>
              </w:rPr>
              <w:t>Revenues, net</w:t>
            </w:r>
          </w:p>
        </w:tc>
        <w:tc>
          <w:tcPr>
            <w:tcW w:w="6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290,325</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241,018</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826,804</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709,481</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Long-lived assets by geographic area, which consist of property and equipment, net and operating lease right-of-use assets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As of</w:t>
            </w:r>
          </w:p>
        </w:tc>
        <w:tc>
          <w:tcPr>
            <w:tcW w:w="1420" w:type="dxa"/>
            <w:vAlign w:val="bottom"/>
            <w:tcBorders>
              <w:bottom w:val="single" w:sz="8" w:color="auto"/>
            </w:tcBorders>
          </w:tcPr>
          <w:p>
            <w:pPr>
              <w:spacing w:after="0"/>
              <w:rPr>
                <w:sz w:val="15"/>
                <w:szCs w:val="15"/>
                <w:color w:val="auto"/>
              </w:rPr>
            </w:pPr>
          </w:p>
        </w:tc>
      </w:tr>
      <w:tr>
        <w:trPr>
          <w:trHeight w:val="171"/>
        </w:trPr>
        <w:tc>
          <w:tcPr>
            <w:tcW w:w="7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2021</w:t>
            </w:r>
          </w:p>
        </w:tc>
        <w:tc>
          <w:tcPr>
            <w:tcW w:w="200" w:type="dxa"/>
            <w:vAlign w:val="bottom"/>
          </w:tcPr>
          <w:p>
            <w:pPr>
              <w:spacing w:after="0"/>
              <w:rPr>
                <w:sz w:val="14"/>
                <w:szCs w:val="14"/>
                <w:color w:val="auto"/>
              </w:rPr>
            </w:pPr>
          </w:p>
        </w:tc>
        <w:tc>
          <w:tcPr>
            <w:tcW w:w="1420" w:type="dxa"/>
            <w:vAlign w:val="bottom"/>
          </w:tcPr>
          <w:p>
            <w:pPr>
              <w:jc w:val="right"/>
              <w:ind w:right="180"/>
              <w:spacing w:after="0"/>
              <w:rPr>
                <w:sz w:val="20"/>
                <w:szCs w:val="20"/>
                <w:color w:val="auto"/>
              </w:rPr>
            </w:pPr>
            <w:r>
              <w:rPr>
                <w:rFonts w:ascii="Arial" w:cs="Arial" w:eastAsia="Arial" w:hAnsi="Arial"/>
                <w:sz w:val="13"/>
                <w:szCs w:val="13"/>
                <w:b w:val="1"/>
                <w:bCs w:val="1"/>
                <w:color w:val="auto"/>
                <w:w w:val="97"/>
              </w:rPr>
              <w:t>December 31, 2020</w:t>
            </w:r>
          </w:p>
        </w:tc>
      </w:tr>
      <w:tr>
        <w:trPr>
          <w:trHeight w:val="193"/>
        </w:trPr>
        <w:tc>
          <w:tcPr>
            <w:tcW w:w="730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Long-lived assets</w:t>
            </w:r>
          </w:p>
        </w:tc>
        <w:tc>
          <w:tcPr>
            <w:tcW w:w="20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r>
      <w:tr>
        <w:trPr>
          <w:trHeight w:val="212"/>
        </w:trPr>
        <w:tc>
          <w:tcPr>
            <w:tcW w:w="7300" w:type="dxa"/>
            <w:vAlign w:val="bottom"/>
          </w:tcPr>
          <w:p>
            <w:pPr>
              <w:ind w:left="20"/>
              <w:spacing w:after="0"/>
              <w:rPr>
                <w:sz w:val="20"/>
                <w:szCs w:val="20"/>
                <w:color w:val="auto"/>
              </w:rPr>
            </w:pPr>
            <w:r>
              <w:rPr>
                <w:rFonts w:ascii="Arial" w:cs="Arial" w:eastAsia="Arial" w:hAnsi="Arial"/>
                <w:sz w:val="17"/>
                <w:szCs w:val="17"/>
                <w:color w:val="auto"/>
              </w:rPr>
              <w:t>India</w:t>
            </w: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83,625</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97,261</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46,659</w:t>
            </w:r>
          </w:p>
        </w:tc>
      </w:tr>
      <w:tr>
        <w:trPr>
          <w:trHeight w:val="212"/>
        </w:trPr>
        <w:tc>
          <w:tcPr>
            <w:tcW w:w="7300" w:type="dxa"/>
            <w:vAlign w:val="bottom"/>
          </w:tcPr>
          <w:p>
            <w:pPr>
              <w:ind w:left="20"/>
              <w:spacing w:after="0"/>
              <w:rPr>
                <w:sz w:val="20"/>
                <w:szCs w:val="20"/>
                <w:color w:val="auto"/>
              </w:rPr>
            </w:pPr>
            <w:r>
              <w:rPr>
                <w:rFonts w:ascii="Arial" w:cs="Arial" w:eastAsia="Arial" w:hAnsi="Arial"/>
                <w:sz w:val="17"/>
                <w:szCs w:val="17"/>
                <w:color w:val="auto"/>
              </w:rPr>
              <w:t>Philippines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22,970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29,434</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 of World</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11,439</w:t>
            </w:r>
          </w:p>
        </w:tc>
      </w:tr>
      <w:tr>
        <w:trPr>
          <w:trHeight w:val="205"/>
        </w:trPr>
        <w:tc>
          <w:tcPr>
            <w:tcW w:w="7300" w:type="dxa"/>
            <w:vAlign w:val="bottom"/>
          </w:tcPr>
          <w:p>
            <w:pPr>
              <w:ind w:left="20"/>
              <w:spacing w:after="0" w:line="193" w:lineRule="exact"/>
              <w:rPr>
                <w:sz w:val="20"/>
                <w:szCs w:val="20"/>
                <w:color w:val="auto"/>
              </w:rPr>
            </w:pPr>
            <w:r>
              <w:rPr>
                <w:rFonts w:ascii="Arial" w:cs="Arial" w:eastAsia="Arial" w:hAnsi="Arial"/>
                <w:sz w:val="17"/>
                <w:szCs w:val="17"/>
                <w:color w:val="auto"/>
              </w:rPr>
              <w:t>Long-lived assets</w:t>
            </w: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165,229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184,793</w:t>
            </w:r>
          </w:p>
        </w:tc>
      </w:tr>
      <w:tr>
        <w:trPr>
          <w:trHeight w:val="20"/>
        </w:trPr>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Revenues, net</w:t>
      </w:r>
    </w:p>
    <w:p>
      <w:pPr>
        <w:spacing w:after="0" w:line="221"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Refer to Note 3 - Segment and Geographical Information to the unaudited consolidated financial statements for revenues disaggregated by reportable segments and geography.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balances</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information about accounts receivable, contract assets and contract liabilities from contracts with customers:</w:t>
      </w:r>
    </w:p>
    <w:p>
      <w:pPr>
        <w:spacing w:after="0" w:line="30"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63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b w:val="1"/>
                <w:bCs w:val="1"/>
                <w:color w:val="auto"/>
                <w:w w:val="95"/>
              </w:rPr>
              <w:t>As of</w:t>
            </w:r>
          </w:p>
        </w:tc>
        <w:tc>
          <w:tcPr>
            <w:tcW w:w="1580" w:type="dxa"/>
            <w:vAlign w:val="bottom"/>
            <w:tcBorders>
              <w:bottom w:val="single" w:sz="8" w:color="auto"/>
            </w:tcBorders>
          </w:tcPr>
          <w:p>
            <w:pPr>
              <w:spacing w:after="0"/>
              <w:rPr>
                <w:sz w:val="17"/>
                <w:szCs w:val="17"/>
                <w:color w:val="auto"/>
              </w:rPr>
            </w:pPr>
          </w:p>
        </w:tc>
      </w:tr>
      <w:tr>
        <w:trPr>
          <w:trHeight w:val="192"/>
        </w:trPr>
        <w:tc>
          <w:tcPr>
            <w:tcW w:w="636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b w:val="1"/>
                <w:bCs w:val="1"/>
                <w:color w:val="auto"/>
                <w:w w:val="94"/>
              </w:rPr>
              <w:t>September 30, 2021</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b w:val="1"/>
                <w:bCs w:val="1"/>
                <w:color w:val="auto"/>
                <w:w w:val="94"/>
              </w:rPr>
              <w:t>December 31, 2020</w:t>
            </w:r>
          </w:p>
        </w:tc>
      </w:tr>
      <w:tr>
        <w:trPr>
          <w:trHeight w:val="233"/>
        </w:trPr>
        <w:tc>
          <w:tcPr>
            <w:tcW w:w="6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2"/>
        </w:trPr>
        <w:tc>
          <w:tcPr>
            <w:tcW w:w="63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Accounts receivable, net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192,170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147,635</w:t>
            </w:r>
          </w:p>
        </w:tc>
      </w:tr>
      <w:tr>
        <w:trPr>
          <w:trHeight w:val="212"/>
        </w:trPr>
        <w:tc>
          <w:tcPr>
            <w:tcW w:w="6360" w:type="dxa"/>
            <w:vAlign w:val="bottom"/>
          </w:tcPr>
          <w:p>
            <w:pPr>
              <w:ind w:left="380"/>
              <w:spacing w:after="0"/>
              <w:rPr>
                <w:sz w:val="20"/>
                <w:szCs w:val="20"/>
                <w:color w:val="auto"/>
              </w:rPr>
            </w:pPr>
            <w:r>
              <w:rPr>
                <w:rFonts w:ascii="Arial" w:cs="Arial" w:eastAsia="Arial" w:hAnsi="Arial"/>
                <w:sz w:val="17"/>
                <w:szCs w:val="17"/>
                <w:color w:val="auto"/>
              </w:rPr>
              <w:t>Contract assets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2,887</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4,437</w:t>
            </w:r>
          </w:p>
        </w:tc>
      </w:tr>
      <w:tr>
        <w:trPr>
          <w:trHeight w:val="212"/>
        </w:trPr>
        <w:tc>
          <w:tcPr>
            <w:tcW w:w="63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Contract liabilities</w:t>
            </w:r>
          </w:p>
        </w:tc>
        <w:tc>
          <w:tcPr>
            <w:tcW w:w="5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2"/>
        </w:trPr>
        <w:tc>
          <w:tcPr>
            <w:tcW w:w="6360" w:type="dxa"/>
            <w:vAlign w:val="bottom"/>
          </w:tcPr>
          <w:p>
            <w:pPr>
              <w:ind w:left="560"/>
              <w:spacing w:after="0"/>
              <w:rPr>
                <w:sz w:val="20"/>
                <w:szCs w:val="20"/>
                <w:color w:val="auto"/>
              </w:rPr>
            </w:pPr>
            <w:r>
              <w:rPr>
                <w:rFonts w:ascii="Arial" w:cs="Arial" w:eastAsia="Arial" w:hAnsi="Arial"/>
                <w:sz w:val="17"/>
                <w:szCs w:val="17"/>
                <w:color w:val="auto"/>
              </w:rPr>
              <w:t>Deferred revenue (consideration received in advance)</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10,631</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30,450</w:t>
            </w:r>
          </w:p>
        </w:tc>
      </w:tr>
      <w:tr>
        <w:trPr>
          <w:trHeight w:val="212"/>
        </w:trPr>
        <w:tc>
          <w:tcPr>
            <w:tcW w:w="63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Consideration received for process transition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w:t>
            </w:r>
          </w:p>
        </w:tc>
      </w:tr>
    </w:tbl>
    <w:p>
      <w:pPr>
        <w:spacing w:after="0" w:line="275"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Accounts receivable includes $90,736 and $63,995 as of September 30, 2021 and December 31, 2020,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90"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Contract assets represent upfront payments such as deal signing discounts or deal signing bonuses made to customers. These costs are amortized over the expected period of the benefit and are recorded as an adjustment to transaction price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reduced from revenues. The Company’s assessment did not indicate any impairment losses on its contract assets for the periods presented.</w:t>
      </w:r>
    </w:p>
    <w:p>
      <w:pPr>
        <w:spacing w:after="0" w:line="204" w:lineRule="exact"/>
        <w:rPr>
          <w:sz w:val="20"/>
          <w:szCs w:val="20"/>
          <w:color w:val="auto"/>
        </w:rPr>
      </w:pPr>
    </w:p>
    <w:p>
      <w:pPr>
        <w:jc w:val="both"/>
        <w:ind w:firstLine="337"/>
        <w:spacing w:after="0" w:line="223" w:lineRule="auto"/>
        <w:rPr>
          <w:sz w:val="20"/>
          <w:szCs w:val="20"/>
          <w:color w:val="auto"/>
        </w:rPr>
      </w:pPr>
      <w:r>
        <w:rPr>
          <w:rFonts w:ascii="Arial" w:cs="Arial" w:eastAsia="Arial" w:hAnsi="Arial"/>
          <w:sz w:val="17"/>
          <w:szCs w:val="17"/>
          <w:color w:val="auto"/>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unaudited consolidated balance sheets. The revenues are recognized as (or when) the performance obligation is fulfilled under the contract with customer.</w:t>
      </w:r>
    </w:p>
    <w:p>
      <w:pPr>
        <w:spacing w:after="0" w:line="190" w:lineRule="exact"/>
        <w:rPr>
          <w:sz w:val="20"/>
          <w:szCs w:val="20"/>
          <w:color w:val="auto"/>
        </w:rPr>
      </w:pPr>
    </w:p>
    <w:p>
      <w:pPr>
        <w:jc w:val="both"/>
        <w:ind w:firstLine="300"/>
        <w:spacing w:after="0" w:line="237" w:lineRule="auto"/>
        <w:rPr>
          <w:sz w:val="20"/>
          <w:szCs w:val="20"/>
          <w:color w:val="auto"/>
        </w:rPr>
      </w:pPr>
      <w:r>
        <w:rPr>
          <w:rFonts w:ascii="Arial" w:cs="Arial" w:eastAsia="Arial" w:hAnsi="Arial"/>
          <w:sz w:val="17"/>
          <w:szCs w:val="17"/>
          <w:color w:val="auto"/>
        </w:rPr>
        <w:t>Revenue recognized during the three and nine months ended September 30, 2021 and 2020, which was included in the contract liabilities balance at the beginning of the respective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60" w:type="dxa"/>
            <w:vAlign w:val="bottom"/>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Borders>
              <w:bottom w:val="single" w:sz="8" w:color="auto"/>
            </w:tcBorders>
            <w:gridSpan w:val="5"/>
          </w:tcPr>
          <w:p>
            <w:pPr>
              <w:jc w:val="right"/>
              <w:ind w:right="222"/>
              <w:spacing w:after="0"/>
              <w:rPr>
                <w:sz w:val="20"/>
                <w:szCs w:val="20"/>
                <w:color w:val="auto"/>
              </w:rPr>
            </w:pPr>
            <w:r>
              <w:rPr>
                <w:rFonts w:ascii="Arial" w:cs="Arial" w:eastAsia="Arial" w:hAnsi="Arial"/>
                <w:sz w:val="13"/>
                <w:szCs w:val="13"/>
                <w:b w:val="1"/>
                <w:bCs w:val="1"/>
                <w:color w:val="auto"/>
              </w:rPr>
              <w:t>Nine months ended September 30,</w:t>
            </w:r>
          </w:p>
        </w:tc>
      </w:tr>
      <w:tr>
        <w:trPr>
          <w:trHeight w:val="171"/>
        </w:trPr>
        <w:tc>
          <w:tcPr>
            <w:tcW w:w="55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2020</w:t>
            </w:r>
          </w:p>
        </w:tc>
      </w:tr>
      <w:tr>
        <w:trPr>
          <w:trHeight w:val="206"/>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(consideration received in advance)</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1,611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5"/>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28,731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9,805</w:t>
            </w:r>
          </w:p>
        </w:tc>
      </w:tr>
      <w:tr>
        <w:trPr>
          <w:trHeight w:val="212"/>
        </w:trPr>
        <w:tc>
          <w:tcPr>
            <w:tcW w:w="5560" w:type="dxa"/>
            <w:vAlign w:val="bottom"/>
          </w:tcPr>
          <w:p>
            <w:pPr>
              <w:ind w:left="20"/>
              <w:spacing w:after="0"/>
              <w:rPr>
                <w:sz w:val="20"/>
                <w:szCs w:val="20"/>
                <w:color w:val="auto"/>
              </w:rPr>
            </w:pPr>
            <w:r>
              <w:rPr>
                <w:rFonts w:ascii="Arial" w:cs="Arial" w:eastAsia="Arial" w:hAnsi="Arial"/>
                <w:sz w:val="17"/>
                <w:szCs w:val="17"/>
                <w:color w:val="auto"/>
              </w:rPr>
              <w:t>Consideration received for process transition activities</w:t>
            </w:r>
          </w:p>
        </w:tc>
        <w:tc>
          <w:tcPr>
            <w:tcW w:w="1040" w:type="dxa"/>
            <w:vAlign w:val="bottom"/>
          </w:tcPr>
          <w:p>
            <w:pPr>
              <w:jc w:val="right"/>
              <w:ind w:right="86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c>
          <w:tcPr>
            <w:tcW w:w="780" w:type="dxa"/>
            <w:vAlign w:val="bottom"/>
          </w:tcPr>
          <w:p>
            <w:pPr>
              <w:jc w:val="right"/>
              <w:ind w:right="60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1,598</w:t>
            </w:r>
          </w:p>
        </w:tc>
        <w:tc>
          <w:tcPr>
            <w:tcW w:w="8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864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Contract acquisition and fulfillment costs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details of the Company’s contract acquisition and fulfillment costs: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10"/>
          </w:tcPr>
          <w:p>
            <w:pPr>
              <w:jc w:val="right"/>
              <w:ind w:right="257"/>
              <w:spacing w:after="0"/>
              <w:rPr>
                <w:sz w:val="20"/>
                <w:szCs w:val="20"/>
                <w:color w:val="auto"/>
              </w:rPr>
            </w:pPr>
            <w:r>
              <w:rPr>
                <w:rFonts w:ascii="Arial" w:cs="Arial" w:eastAsia="Arial" w:hAnsi="Arial"/>
                <w:sz w:val="17"/>
                <w:szCs w:val="17"/>
                <w:b w:val="1"/>
                <w:bCs w:val="1"/>
                <w:color w:val="auto"/>
              </w:rPr>
              <w:t>Contract Acquisition Costs</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7"/>
                <w:szCs w:val="17"/>
                <w:b w:val="1"/>
                <w:bCs w:val="1"/>
                <w:color w:val="auto"/>
              </w:rPr>
              <w:t>Three months ended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Nine months ended</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00"/>
              <w:spacing w:after="0" w:line="155" w:lineRule="exact"/>
              <w:rPr>
                <w:sz w:val="20"/>
                <w:szCs w:val="20"/>
                <w:color w:val="auto"/>
              </w:rPr>
            </w:pPr>
            <w:r>
              <w:rPr>
                <w:rFonts w:ascii="Arial" w:cs="Arial" w:eastAsia="Arial" w:hAnsi="Arial"/>
                <w:sz w:val="17"/>
                <w:szCs w:val="17"/>
                <w:b w:val="1"/>
                <w:bCs w:val="1"/>
                <w:color w:val="auto"/>
                <w:w w:val="86"/>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00"/>
              <w:spacing w:after="0" w:line="155" w:lineRule="exact"/>
              <w:rPr>
                <w:sz w:val="20"/>
                <w:szCs w:val="20"/>
                <w:color w:val="auto"/>
              </w:rPr>
            </w:pPr>
            <w:r>
              <w:rPr>
                <w:rFonts w:ascii="Arial" w:cs="Arial" w:eastAsia="Arial" w:hAnsi="Arial"/>
                <w:sz w:val="17"/>
                <w:szCs w:val="17"/>
                <w:b w:val="1"/>
                <w:bCs w:val="1"/>
                <w:color w:val="auto"/>
                <w:w w:val="86"/>
              </w:rPr>
              <w:t>September 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00"/>
              <w:spacing w:after="0" w:line="155" w:lineRule="exact"/>
              <w:rPr>
                <w:sz w:val="20"/>
                <w:szCs w:val="20"/>
                <w:color w:val="auto"/>
              </w:rPr>
            </w:pPr>
            <w:r>
              <w:rPr>
                <w:rFonts w:ascii="Arial" w:cs="Arial" w:eastAsia="Arial" w:hAnsi="Arial"/>
                <w:sz w:val="17"/>
                <w:szCs w:val="17"/>
                <w:b w:val="1"/>
                <w:bCs w:val="1"/>
                <w:color w:val="auto"/>
                <w:w w:val="86"/>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right"/>
              <w:ind w:right="100"/>
              <w:spacing w:after="0" w:line="155" w:lineRule="exact"/>
              <w:rPr>
                <w:sz w:val="20"/>
                <w:szCs w:val="20"/>
                <w:color w:val="auto"/>
              </w:rPr>
            </w:pPr>
            <w:r>
              <w:rPr>
                <w:rFonts w:ascii="Arial" w:cs="Arial" w:eastAsia="Arial" w:hAnsi="Arial"/>
                <w:sz w:val="17"/>
                <w:szCs w:val="17"/>
                <w:b w:val="1"/>
                <w:bCs w:val="1"/>
                <w:color w:val="auto"/>
                <w:w w:val="94"/>
              </w:rPr>
              <w:t>September 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3"/>
            <w:vMerge w:val="restart"/>
          </w:tcPr>
          <w:p>
            <w:pPr>
              <w:jc w:val="right"/>
              <w:ind w:right="60"/>
              <w:spacing w:after="0"/>
              <w:rPr>
                <w:sz w:val="20"/>
                <w:szCs w:val="20"/>
                <w:color w:val="auto"/>
              </w:rPr>
            </w:pPr>
            <w:r>
              <w:rPr>
                <w:rFonts w:ascii="Arial" w:cs="Arial" w:eastAsia="Arial" w:hAnsi="Arial"/>
                <w:sz w:val="17"/>
                <w:szCs w:val="17"/>
                <w:b w:val="1"/>
                <w:bCs w:val="1"/>
                <w:color w:val="auto"/>
                <w:w w:val="90"/>
              </w:rPr>
              <w:t>December 31, 2020</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2021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2021</w:t>
            </w:r>
          </w:p>
        </w:tc>
        <w:tc>
          <w:tcPr>
            <w:tcW w:w="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Arial" w:cs="Arial" w:eastAsia="Arial" w:hAnsi="Arial"/>
                <w:sz w:val="17"/>
                <w:szCs w:val="17"/>
                <w:color w:val="auto"/>
              </w:rPr>
              <w:t>Opening Balance</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867</w:t>
            </w:r>
          </w:p>
        </w:tc>
        <w:tc>
          <w:tcPr>
            <w:tcW w:w="200" w:type="dxa"/>
            <w:vAlign w:val="bottom"/>
            <w:gridSpan w:val="3"/>
          </w:tcPr>
          <w:p>
            <w:pPr>
              <w:ind w:left="100"/>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1,270</w:t>
            </w: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1,027</w:t>
            </w:r>
          </w:p>
        </w:tc>
        <w:tc>
          <w:tcPr>
            <w:tcW w:w="80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1,307</w:t>
            </w: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1,307</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 (reductions)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(158)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(112)</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(336)</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Closing Balance</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612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1,221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612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1,221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1,027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right"/>
              <w:ind w:right="337"/>
              <w:spacing w:after="0"/>
              <w:rPr>
                <w:sz w:val="20"/>
                <w:szCs w:val="20"/>
                <w:color w:val="auto"/>
              </w:rPr>
            </w:pPr>
            <w:r>
              <w:rPr>
                <w:rFonts w:ascii="Arial" w:cs="Arial" w:eastAsia="Arial" w:hAnsi="Arial"/>
                <w:sz w:val="17"/>
                <w:szCs w:val="17"/>
                <w:b w:val="1"/>
                <w:bCs w:val="1"/>
                <w:color w:val="auto"/>
              </w:rPr>
              <w:t>Contract Fulfillment Costs</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right"/>
              <w:ind w:right="457"/>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7"/>
                <w:szCs w:val="17"/>
                <w:b w:val="1"/>
                <w:bCs w:val="1"/>
                <w:color w:val="auto"/>
              </w:rPr>
              <w:t>Nine months ended</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w w:val="93"/>
              </w:rPr>
              <w:t>Year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ind w:left="40"/>
              <w:spacing w:after="0" w:line="155" w:lineRule="exact"/>
              <w:rPr>
                <w:sz w:val="20"/>
                <w:szCs w:val="20"/>
                <w:color w:val="auto"/>
              </w:rPr>
            </w:pPr>
            <w:r>
              <w:rPr>
                <w:rFonts w:ascii="Arial" w:cs="Arial" w:eastAsia="Arial" w:hAnsi="Arial"/>
                <w:sz w:val="17"/>
                <w:szCs w:val="17"/>
                <w:b w:val="1"/>
                <w:bCs w:val="1"/>
                <w:color w:val="auto"/>
                <w:w w:val="99"/>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20"/>
              <w:spacing w:after="0" w:line="155" w:lineRule="exact"/>
              <w:rPr>
                <w:sz w:val="20"/>
                <w:szCs w:val="20"/>
                <w:color w:val="auto"/>
              </w:rPr>
            </w:pPr>
            <w:r>
              <w:rPr>
                <w:rFonts w:ascii="Arial" w:cs="Arial" w:eastAsia="Arial" w:hAnsi="Arial"/>
                <w:sz w:val="17"/>
                <w:szCs w:val="17"/>
                <w:b w:val="1"/>
                <w:bCs w:val="1"/>
                <w:color w:val="auto"/>
                <w:w w:val="94"/>
              </w:rPr>
              <w:t>September 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tcPr>
          <w:p>
            <w:pPr>
              <w:ind w:left="40"/>
              <w:spacing w:after="0" w:line="155" w:lineRule="exact"/>
              <w:rPr>
                <w:sz w:val="20"/>
                <w:szCs w:val="20"/>
                <w:color w:val="auto"/>
              </w:rPr>
            </w:pPr>
            <w:r>
              <w:rPr>
                <w:rFonts w:ascii="Arial" w:cs="Arial" w:eastAsia="Arial" w:hAnsi="Arial"/>
                <w:sz w:val="17"/>
                <w:szCs w:val="17"/>
                <w:b w:val="1"/>
                <w:bCs w:val="1"/>
                <w:color w:val="auto"/>
                <w:w w:val="99"/>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20"/>
              <w:spacing w:after="0" w:line="155" w:lineRule="exact"/>
              <w:rPr>
                <w:sz w:val="20"/>
                <w:szCs w:val="20"/>
                <w:color w:val="auto"/>
              </w:rPr>
            </w:pPr>
            <w:r>
              <w:rPr>
                <w:rFonts w:ascii="Arial" w:cs="Arial" w:eastAsia="Arial" w:hAnsi="Arial"/>
                <w:sz w:val="17"/>
                <w:szCs w:val="17"/>
                <w:b w:val="1"/>
                <w:bCs w:val="1"/>
                <w:color w:val="auto"/>
                <w:w w:val="94"/>
              </w:rPr>
              <w:t>September 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4"/>
            <w:vMerge w:val="restart"/>
          </w:tcPr>
          <w:p>
            <w:pPr>
              <w:jc w:val="right"/>
              <w:ind w:right="140"/>
              <w:spacing w:after="0"/>
              <w:rPr>
                <w:sz w:val="20"/>
                <w:szCs w:val="20"/>
                <w:color w:val="auto"/>
              </w:rPr>
            </w:pPr>
            <w:r>
              <w:rPr>
                <w:rFonts w:ascii="Arial" w:cs="Arial" w:eastAsia="Arial" w:hAnsi="Arial"/>
                <w:sz w:val="17"/>
                <w:szCs w:val="17"/>
                <w:b w:val="1"/>
                <w:bCs w:val="1"/>
                <w:color w:val="auto"/>
                <w:w w:val="88"/>
              </w:rPr>
              <w:t>December 31, 2020</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77"/>
              <w:spacing w:after="0"/>
              <w:rPr>
                <w:sz w:val="20"/>
                <w:szCs w:val="20"/>
                <w:color w:val="auto"/>
              </w:rPr>
            </w:pPr>
            <w:r>
              <w:rPr>
                <w:rFonts w:ascii="Arial" w:cs="Arial" w:eastAsia="Arial" w:hAnsi="Arial"/>
                <w:sz w:val="17"/>
                <w:szCs w:val="17"/>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57"/>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77"/>
              <w:spacing w:after="0"/>
              <w:rPr>
                <w:sz w:val="20"/>
                <w:szCs w:val="20"/>
                <w:color w:val="auto"/>
              </w:rPr>
            </w:pPr>
            <w:r>
              <w:rPr>
                <w:rFonts w:ascii="Arial" w:cs="Arial" w:eastAsia="Arial" w:hAnsi="Arial"/>
                <w:sz w:val="17"/>
                <w:szCs w:val="17"/>
                <w:b w:val="1"/>
                <w:bCs w:val="1"/>
                <w:color w:val="auto"/>
              </w:rPr>
              <w:t>2021</w:t>
            </w: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00" w:type="dxa"/>
            <w:vAlign w:val="bottom"/>
            <w:gridSpan w:val="2"/>
          </w:tcPr>
          <w:p>
            <w:pPr>
              <w:ind w:left="20"/>
              <w:spacing w:after="0"/>
              <w:rPr>
                <w:sz w:val="20"/>
                <w:szCs w:val="20"/>
                <w:color w:val="auto"/>
              </w:rPr>
            </w:pPr>
            <w:r>
              <w:rPr>
                <w:rFonts w:ascii="Arial" w:cs="Arial" w:eastAsia="Arial" w:hAnsi="Arial"/>
                <w:sz w:val="17"/>
                <w:szCs w:val="17"/>
                <w:color w:val="auto"/>
              </w:rPr>
              <w:t>Opening Balance</w:t>
            </w:r>
          </w:p>
        </w:tc>
        <w:tc>
          <w:tcPr>
            <w:tcW w:w="180" w:type="dxa"/>
            <w:vAlign w:val="bottom"/>
            <w:gridSpan w:val="2"/>
          </w:tcPr>
          <w:p>
            <w:pPr>
              <w:jc w:val="right"/>
              <w:ind w:right="2"/>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3,694</w:t>
            </w:r>
          </w:p>
        </w:tc>
        <w:tc>
          <w:tcPr>
            <w:tcW w:w="6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6,780</w:t>
            </w:r>
          </w:p>
        </w:tc>
        <w:tc>
          <w:tcPr>
            <w:tcW w:w="80" w:type="dxa"/>
            <w:vAlign w:val="bottom"/>
          </w:tcPr>
          <w:p>
            <w:pPr>
              <w:spacing w:after="0"/>
              <w:rPr>
                <w:sz w:val="18"/>
                <w:szCs w:val="18"/>
                <w:color w:val="auto"/>
              </w:rPr>
            </w:pPr>
          </w:p>
        </w:tc>
        <w:tc>
          <w:tcPr>
            <w:tcW w:w="180" w:type="dxa"/>
            <w:vAlign w:val="bottom"/>
            <w:gridSpan w:val="3"/>
          </w:tcPr>
          <w:p>
            <w:pPr>
              <w:jc w:val="right"/>
              <w:ind w:right="2"/>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5,631</w:t>
            </w:r>
          </w:p>
        </w:tc>
        <w:tc>
          <w:tcPr>
            <w:tcW w:w="60" w:type="dxa"/>
            <w:vAlign w:val="bottom"/>
          </w:tcPr>
          <w:p>
            <w:pPr>
              <w:spacing w:after="0"/>
              <w:rPr>
                <w:sz w:val="18"/>
                <w:szCs w:val="18"/>
                <w:color w:val="auto"/>
              </w:rPr>
            </w:pPr>
          </w:p>
        </w:tc>
        <w:tc>
          <w:tcPr>
            <w:tcW w:w="800" w:type="dxa"/>
            <w:vAlign w:val="bottom"/>
            <w:gridSpan w:val="3"/>
          </w:tcPr>
          <w:p>
            <w:pPr>
              <w:jc w:val="right"/>
              <w:ind w:right="597"/>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7,255</w:t>
            </w:r>
          </w:p>
        </w:tc>
        <w:tc>
          <w:tcPr>
            <w:tcW w:w="80" w:type="dxa"/>
            <w:vAlign w:val="bottom"/>
          </w:tcPr>
          <w:p>
            <w:pPr>
              <w:spacing w:after="0"/>
              <w:rPr>
                <w:sz w:val="18"/>
                <w:szCs w:val="18"/>
                <w:color w:val="auto"/>
              </w:rPr>
            </w:pPr>
          </w:p>
        </w:tc>
        <w:tc>
          <w:tcPr>
            <w:tcW w:w="260" w:type="dxa"/>
            <w:vAlign w:val="bottom"/>
            <w:gridSpan w:val="3"/>
          </w:tcPr>
          <w:p>
            <w:pPr>
              <w:jc w:val="right"/>
              <w:ind w:right="5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gridSpan w:val="2"/>
          </w:tcPr>
          <w:p>
            <w:pPr>
              <w:ind w:left="20"/>
              <w:spacing w:after="0"/>
              <w:rPr>
                <w:sz w:val="20"/>
                <w:szCs w:val="20"/>
                <w:color w:val="auto"/>
              </w:rPr>
            </w:pPr>
            <w:r>
              <w:rPr>
                <w:rFonts w:ascii="Arial" w:cs="Arial" w:eastAsia="Arial" w:hAnsi="Arial"/>
                <w:sz w:val="17"/>
                <w:szCs w:val="17"/>
                <w:color w:val="auto"/>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(2,794)</w:t>
            </w:r>
          </w:p>
        </w:tc>
        <w:tc>
          <w:tcPr>
            <w:tcW w:w="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(1,585)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Closing Balance</w:t>
            </w:r>
          </w:p>
        </w:tc>
        <w:tc>
          <w:tcPr>
            <w:tcW w:w="18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3,280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3,280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ind w:right="59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6,433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firstLine="375"/>
        <w:spacing w:after="0" w:line="237" w:lineRule="auto"/>
        <w:rPr>
          <w:sz w:val="20"/>
          <w:szCs w:val="20"/>
          <w:color w:val="auto"/>
        </w:rPr>
      </w:pPr>
      <w:r>
        <w:rPr>
          <w:rFonts w:ascii="Arial" w:cs="Arial" w:eastAsia="Arial" w:hAnsi="Arial"/>
          <w:sz w:val="17"/>
          <w:szCs w:val="17"/>
          <w:color w:val="auto"/>
        </w:rPr>
        <w:t>There was no impairment for contract acquisition and contract fulfillment costs as of September 30, 2021 and December 31, 2020. The capitalized costs are amortized over the expected period of benefit of the contract.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expected credit losses</w:t>
      </w:r>
    </w:p>
    <w:p>
      <w:pPr>
        <w:spacing w:after="0" w:line="221" w:lineRule="exact"/>
        <w:rPr>
          <w:sz w:val="20"/>
          <w:szCs w:val="20"/>
          <w:color w:val="auto"/>
        </w:rPr>
      </w:pPr>
    </w:p>
    <w:p>
      <w:pPr>
        <w:ind w:firstLine="375"/>
        <w:spacing w:after="0" w:line="237" w:lineRule="auto"/>
        <w:rPr>
          <w:sz w:val="20"/>
          <w:szCs w:val="20"/>
          <w:color w:val="auto"/>
        </w:rPr>
      </w:pPr>
      <w:r>
        <w:rPr>
          <w:rFonts w:ascii="Arial" w:cs="Arial" w:eastAsia="Arial" w:hAnsi="Arial"/>
          <w:sz w:val="17"/>
          <w:szCs w:val="17"/>
          <w:color w:val="auto"/>
        </w:rPr>
        <w:t>The Company evaluates the credit risk of its customers based on a combination of various financial and qualitative factors that may affect the ability of each customer to pay. The Company considered current and anticipated future economic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9" w:lineRule="exact"/>
        <w:rPr>
          <w:sz w:val="20"/>
          <w:szCs w:val="20"/>
          <w:color w:val="auto"/>
        </w:rPr>
      </w:pPr>
    </w:p>
    <w:p>
      <w:pPr>
        <w:jc w:val="both"/>
        <w:ind w:right="100"/>
        <w:spacing w:after="0" w:line="229" w:lineRule="auto"/>
        <w:rPr>
          <w:sz w:val="20"/>
          <w:szCs w:val="20"/>
          <w:color w:val="auto"/>
        </w:rPr>
      </w:pPr>
      <w:r>
        <w:rPr>
          <w:rFonts w:ascii="Arial" w:cs="Arial" w:eastAsia="Arial" w:hAnsi="Arial"/>
          <w:sz w:val="17"/>
          <w:szCs w:val="17"/>
          <w:color w:val="auto"/>
        </w:rPr>
        <w:t>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w:t>
      </w:r>
    </w:p>
    <w:p>
      <w:pPr>
        <w:spacing w:after="0" w:line="190" w:lineRule="exact"/>
        <w:rPr>
          <w:sz w:val="20"/>
          <w:szCs w:val="20"/>
          <w:color w:val="auto"/>
        </w:rPr>
      </w:pPr>
    </w:p>
    <w:p>
      <w:pPr>
        <w:jc w:val="both"/>
        <w:ind w:right="100" w:firstLine="375"/>
        <w:spacing w:after="0" w:line="298" w:lineRule="auto"/>
        <w:rPr>
          <w:sz w:val="20"/>
          <w:szCs w:val="20"/>
          <w:color w:val="auto"/>
        </w:rPr>
      </w:pPr>
      <w:r>
        <w:rPr>
          <w:rFonts w:ascii="Arial" w:cs="Arial" w:eastAsia="Arial" w:hAnsi="Arial"/>
          <w:sz w:val="15"/>
          <w:szCs w:val="15"/>
          <w:color w:val="auto"/>
        </w:rPr>
        <w:t>The duration and severity of COVID-19 and continued market volatility is highly uncertain and, as such, the impact on expected losses is subject to significant judgment, including but not limited to changes in customers’ credit rating, and may cause variability in the Company’s allowance for credit losses in future periods.</w:t>
      </w:r>
    </w:p>
    <w:p>
      <w:pPr>
        <w:spacing w:after="0" w:line="196"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6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gridSpan w:val="3"/>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As of</w:t>
            </w:r>
          </w:p>
        </w:tc>
        <w:tc>
          <w:tcPr>
            <w:tcW w:w="1820" w:type="dxa"/>
            <w:vAlign w:val="bottom"/>
            <w:tcBorders>
              <w:bottom w:val="single" w:sz="8" w:color="auto"/>
            </w:tcBorders>
            <w:shd w:val="clear" w:color="auto" w:fill="CCEEFF"/>
          </w:tcPr>
          <w:p>
            <w:pPr>
              <w:spacing w:after="0"/>
              <w:rPr>
                <w:sz w:val="18"/>
                <w:szCs w:val="18"/>
                <w:color w:val="auto"/>
              </w:rPr>
            </w:pPr>
          </w:p>
        </w:tc>
      </w:tr>
      <w:tr>
        <w:trPr>
          <w:trHeight w:val="205"/>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2021</w:t>
            </w:r>
          </w:p>
        </w:tc>
        <w:tc>
          <w:tcPr>
            <w:tcW w:w="240" w:type="dxa"/>
            <w:vAlign w:val="bottom"/>
          </w:tcPr>
          <w:p>
            <w:pPr>
              <w:spacing w:after="0"/>
              <w:rPr>
                <w:sz w:val="17"/>
                <w:szCs w:val="17"/>
                <w:color w:val="auto"/>
              </w:rPr>
            </w:pPr>
          </w:p>
        </w:tc>
        <w:tc>
          <w:tcPr>
            <w:tcW w:w="1820" w:type="dxa"/>
            <w:vAlign w:val="bottom"/>
          </w:tcPr>
          <w:p>
            <w:pPr>
              <w:jc w:val="right"/>
              <w:ind w:right="277"/>
              <w:spacing w:after="0"/>
              <w:rPr>
                <w:sz w:val="20"/>
                <w:szCs w:val="20"/>
                <w:color w:val="auto"/>
              </w:rPr>
            </w:pPr>
            <w:r>
              <w:rPr>
                <w:rFonts w:ascii="Arial" w:cs="Arial" w:eastAsia="Arial" w:hAnsi="Arial"/>
                <w:sz w:val="17"/>
                <w:szCs w:val="17"/>
                <w:b w:val="1"/>
                <w:bCs w:val="1"/>
                <w:color w:val="auto"/>
                <w:w w:val="94"/>
              </w:rPr>
              <w:t>December 31, 2020</w:t>
            </w:r>
          </w:p>
        </w:tc>
      </w:tr>
      <w:tr>
        <w:trPr>
          <w:trHeight w:val="205"/>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receivable, including unbilled receivables</w:t>
            </w: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192,841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148,824</w:t>
            </w:r>
          </w:p>
        </w:tc>
      </w:tr>
      <w:tr>
        <w:trPr>
          <w:trHeight w:val="212"/>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expected credit loss</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(1,189)</w:t>
            </w: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Accounts receivable, net</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192,170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147,635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movement in “Allowance for expected credit losses” on customer balances for the three and nine months ended September 30, 2021 and 2020 and year ended</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was as follows:</w:t>
      </w:r>
    </w:p>
    <w:p>
      <w:pPr>
        <w:spacing w:after="0" w:line="23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7"/>
                <w:szCs w:val="17"/>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7"/>
                <w:szCs w:val="17"/>
                <w:b w:val="1"/>
                <w:bCs w:val="1"/>
                <w:color w:val="auto"/>
              </w:rPr>
              <w:t>Nine months ended</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Year ended</w:t>
            </w:r>
          </w:p>
        </w:tc>
        <w:tc>
          <w:tcPr>
            <w:tcW w:w="0" w:type="dxa"/>
            <w:vAlign w:val="bottom"/>
          </w:tcPr>
          <w:p>
            <w:pPr>
              <w:spacing w:after="0"/>
              <w:rPr>
                <w:sz w:val="1"/>
                <w:szCs w:val="1"/>
                <w:color w:val="auto"/>
              </w:rPr>
            </w:pPr>
          </w:p>
        </w:tc>
      </w:tr>
      <w:tr>
        <w:trPr>
          <w:trHeight w:val="155"/>
        </w:trPr>
        <w:tc>
          <w:tcPr>
            <w:tcW w:w="3160" w:type="dxa"/>
            <w:vAlign w:val="bottom"/>
          </w:tcPr>
          <w:p>
            <w:pPr>
              <w:spacing w:after="0"/>
              <w:rPr>
                <w:sz w:val="13"/>
                <w:szCs w:val="13"/>
                <w:color w:val="auto"/>
              </w:rPr>
            </w:pPr>
          </w:p>
        </w:tc>
        <w:tc>
          <w:tcPr>
            <w:tcW w:w="1660" w:type="dxa"/>
            <w:vAlign w:val="bottom"/>
            <w:gridSpan w:val="3"/>
          </w:tcPr>
          <w:p>
            <w:pPr>
              <w:ind w:left="480"/>
              <w:spacing w:after="0" w:line="155" w:lineRule="exact"/>
              <w:rPr>
                <w:sz w:val="20"/>
                <w:szCs w:val="20"/>
                <w:color w:val="auto"/>
              </w:rPr>
            </w:pPr>
            <w:r>
              <w:rPr>
                <w:rFonts w:ascii="Arial" w:cs="Arial" w:eastAsia="Arial" w:hAnsi="Arial"/>
                <w:sz w:val="17"/>
                <w:szCs w:val="17"/>
                <w:b w:val="1"/>
                <w:bCs w:val="1"/>
                <w:color w:val="auto"/>
                <w:w w:val="99"/>
              </w:rPr>
              <w:t>September 30,</w:t>
            </w:r>
          </w:p>
        </w:tc>
        <w:tc>
          <w:tcPr>
            <w:tcW w:w="1460" w:type="dxa"/>
            <w:vAlign w:val="bottom"/>
            <w:gridSpan w:val="2"/>
          </w:tcPr>
          <w:p>
            <w:pPr>
              <w:ind w:left="400"/>
              <w:spacing w:after="0" w:line="155" w:lineRule="exact"/>
              <w:rPr>
                <w:sz w:val="20"/>
                <w:szCs w:val="20"/>
                <w:color w:val="auto"/>
              </w:rPr>
            </w:pPr>
            <w:r>
              <w:rPr>
                <w:rFonts w:ascii="Arial" w:cs="Arial" w:eastAsia="Arial" w:hAnsi="Arial"/>
                <w:sz w:val="17"/>
                <w:szCs w:val="17"/>
                <w:b w:val="1"/>
                <w:bCs w:val="1"/>
                <w:color w:val="auto"/>
                <w:w w:val="89"/>
              </w:rPr>
              <w:t>September 30,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2"/>
          </w:tcPr>
          <w:p>
            <w:pPr>
              <w:ind w:left="20"/>
              <w:spacing w:after="0" w:line="155" w:lineRule="exact"/>
              <w:rPr>
                <w:sz w:val="20"/>
                <w:szCs w:val="20"/>
                <w:color w:val="auto"/>
              </w:rPr>
            </w:pPr>
            <w:r>
              <w:rPr>
                <w:rFonts w:ascii="Arial" w:cs="Arial" w:eastAsia="Arial" w:hAnsi="Arial"/>
                <w:sz w:val="17"/>
                <w:szCs w:val="17"/>
                <w:b w:val="1"/>
                <w:bCs w:val="1"/>
                <w:color w:val="auto"/>
              </w:rPr>
              <w:t>September</w:t>
            </w:r>
          </w:p>
        </w:tc>
        <w:tc>
          <w:tcPr>
            <w:tcW w:w="1500" w:type="dxa"/>
            <w:vAlign w:val="bottom"/>
            <w:gridSpan w:val="2"/>
          </w:tcPr>
          <w:p>
            <w:pPr>
              <w:jc w:val="right"/>
              <w:spacing w:after="0" w:line="155" w:lineRule="exact"/>
              <w:rPr>
                <w:sz w:val="20"/>
                <w:szCs w:val="20"/>
                <w:color w:val="auto"/>
              </w:rPr>
            </w:pPr>
            <w:r>
              <w:rPr>
                <w:rFonts w:ascii="Arial" w:cs="Arial" w:eastAsia="Arial" w:hAnsi="Arial"/>
                <w:sz w:val="17"/>
                <w:szCs w:val="17"/>
                <w:b w:val="1"/>
                <w:bCs w:val="1"/>
                <w:color w:val="auto"/>
              </w:rPr>
              <w:t>September 30,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12"/>
        </w:trPr>
        <w:tc>
          <w:tcPr>
            <w:tcW w:w="3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right"/>
              <w:ind w:right="337"/>
              <w:spacing w:after="0"/>
              <w:rPr>
                <w:sz w:val="20"/>
                <w:szCs w:val="20"/>
                <w:color w:val="auto"/>
              </w:rPr>
            </w:pPr>
            <w:r>
              <w:rPr>
                <w:rFonts w:ascii="Arial" w:cs="Arial" w:eastAsia="Arial" w:hAnsi="Arial"/>
                <w:sz w:val="17"/>
                <w:szCs w:val="17"/>
                <w:b w:val="1"/>
                <w:bCs w:val="1"/>
                <w:color w:val="auto"/>
              </w:rPr>
              <w:t>30, 2021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6"/>
              </w:rPr>
              <w:t>Balance at the beginning of the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1,434</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37"/>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1,163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62"/>
        </w:trPr>
        <w:tc>
          <w:tcPr>
            <w:tcW w:w="3160" w:type="dxa"/>
            <w:vAlign w:val="bottom"/>
          </w:tcPr>
          <w:p>
            <w:pPr>
              <w:ind w:left="380"/>
              <w:spacing w:after="0" w:line="163" w:lineRule="exact"/>
              <w:rPr>
                <w:sz w:val="20"/>
                <w:szCs w:val="20"/>
                <w:color w:val="auto"/>
              </w:rPr>
            </w:pPr>
            <w:r>
              <w:rPr>
                <w:rFonts w:ascii="Arial" w:cs="Arial" w:eastAsia="Arial" w:hAnsi="Arial"/>
                <w:sz w:val="17"/>
                <w:szCs w:val="17"/>
                <w:color w:val="auto"/>
              </w:rPr>
              <w:t>Additions / (reductions) during the</w:t>
            </w:r>
          </w:p>
        </w:tc>
        <w:tc>
          <w:tcPr>
            <w:tcW w:w="5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345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2"/>
        </w:trPr>
        <w:tc>
          <w:tcPr>
            <w:tcW w:w="3160" w:type="dxa"/>
            <w:vAlign w:val="bottom"/>
          </w:tcPr>
          <w:p>
            <w:pPr>
              <w:ind w:left="20"/>
              <w:spacing w:after="0"/>
              <w:rPr>
                <w:sz w:val="20"/>
                <w:szCs w:val="20"/>
                <w:color w:val="auto"/>
              </w:rPr>
            </w:pPr>
            <w:r>
              <w:rPr>
                <w:rFonts w:ascii="Arial" w:cs="Arial" w:eastAsia="Arial" w:hAnsi="Arial"/>
                <w:sz w:val="17"/>
                <w:szCs w:val="17"/>
                <w:color w:val="auto"/>
              </w:rPr>
              <w:t>period</w:t>
            </w:r>
          </w:p>
        </w:tc>
        <w:tc>
          <w:tcPr>
            <w:tcW w:w="5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380"/>
              <w:spacing w:after="0" w:line="163" w:lineRule="exact"/>
              <w:rPr>
                <w:sz w:val="20"/>
                <w:szCs w:val="20"/>
                <w:color w:val="auto"/>
              </w:rPr>
            </w:pPr>
            <w:r>
              <w:rPr>
                <w:rFonts w:ascii="Arial" w:cs="Arial" w:eastAsia="Arial" w:hAnsi="Arial"/>
                <w:sz w:val="17"/>
                <w:szCs w:val="17"/>
                <w:color w:val="auto"/>
                <w:w w:val="93"/>
              </w:rPr>
              <w:t>Reductions due to write-off of accounts</w:t>
            </w:r>
          </w:p>
        </w:tc>
        <w:tc>
          <w:tcPr>
            <w:tcW w:w="5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w:t>
            </w:r>
          </w:p>
        </w:tc>
        <w:tc>
          <w:tcPr>
            <w:tcW w:w="5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Translation adjustment</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b w:val="1"/>
                <w:bCs w:val="1"/>
                <w:color w:val="auto"/>
              </w:rPr>
              <w:t>Balance at the end of the period</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671</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1,400</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1,400</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Earnings Per Share</w:t>
      </w:r>
    </w:p>
    <w:p>
      <w:pPr>
        <w:spacing w:after="0" w:line="221" w:lineRule="exact"/>
        <w:rPr>
          <w:sz w:val="20"/>
          <w:szCs w:val="20"/>
          <w:color w:val="auto"/>
        </w:rPr>
      </w:pPr>
    </w:p>
    <w:p>
      <w:pPr>
        <w:jc w:val="both"/>
        <w:ind w:right="100" w:firstLine="375"/>
        <w:spacing w:after="0" w:line="234"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and assumed conversion premium of outstanding convertible notes, using the treasury stock method. Common stock equivalents and the conversion premium of outstanding convertible notes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92" w:lineRule="exact"/>
        <w:rPr>
          <w:sz w:val="20"/>
          <w:szCs w:val="20"/>
          <w:color w:val="auto"/>
        </w:rPr>
      </w:pPr>
    </w:p>
    <w:p>
      <w:pPr>
        <w:jc w:val="both"/>
        <w:ind w:right="100" w:firstLine="375"/>
        <w:spacing w:after="0" w:line="234" w:lineRule="auto"/>
        <w:rPr>
          <w:sz w:val="20"/>
          <w:szCs w:val="20"/>
          <w:color w:val="auto"/>
        </w:rPr>
      </w:pPr>
      <w:r>
        <w:rPr>
          <w:rFonts w:ascii="Arial" w:cs="Arial" w:eastAsia="Arial" w:hAnsi="Arial"/>
          <w:sz w:val="16"/>
          <w:szCs w:val="16"/>
          <w:color w:val="auto"/>
        </w:rPr>
        <w:t>Diluted weighted-average shares outstanding is affected by the treatment of the Company's 3.5% per annum Convertible Senior Notes due October 1, 2024 (the “Notes”). The Company had a choice to settle the Notes in cash, shares or any combination of the two. The Company intended and had the ability to settle the principal balance of the Notes in cash, and as such, the Company applied the treasury stock method. The dilution related to the conversion premium, if any, of the Notes is included in the calculation of diluted weighted-average shares outstanding for the portion of the period until actual settlement and to the extent the issuance is dilutive based on the average stock price during the reporting period being greater than the conversion price of $75. During the three months ended September 30, 2021, the Company settled the Notes by electing a combination of cash and shares of the Company’s common stock and as such included the count of shares issued on settlement in the calculation of basic earnings per share for the portion of the period outstanding. Refer to Note 17 - Borrowings to the unaudited consolidated financial statements for further details.</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September 30,</w:t>
            </w:r>
          </w:p>
        </w:tc>
        <w:tc>
          <w:tcPr>
            <w:tcW w:w="420" w:type="dxa"/>
            <w:vAlign w:val="bottom"/>
          </w:tcPr>
          <w:p>
            <w:pPr>
              <w:spacing w:after="0"/>
              <w:rPr>
                <w:sz w:val="15"/>
                <w:szCs w:val="15"/>
                <w:color w:val="auto"/>
              </w:rPr>
            </w:pPr>
          </w:p>
        </w:tc>
        <w:tc>
          <w:tcPr>
            <w:tcW w:w="3120" w:type="dxa"/>
            <w:vAlign w:val="bottom"/>
            <w:gridSpan w:val="4"/>
          </w:tcPr>
          <w:p>
            <w:pPr>
              <w:jc w:val="right"/>
              <w:ind w:right="719"/>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26,507</w:t>
            </w:r>
          </w:p>
        </w:tc>
        <w:tc>
          <w:tcPr>
            <w:tcW w:w="10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26,418</w:t>
            </w:r>
          </w:p>
        </w:tc>
        <w:tc>
          <w:tcPr>
            <w:tcW w:w="80" w:type="dxa"/>
            <w:vAlign w:val="bottom"/>
          </w:tcPr>
          <w:p>
            <w:pPr>
              <w:spacing w:after="0"/>
              <w:rPr>
                <w:sz w:val="18"/>
                <w:szCs w:val="18"/>
                <w:color w:val="auto"/>
              </w:rPr>
            </w:pP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86,459</w:t>
            </w:r>
          </w:p>
        </w:tc>
        <w:tc>
          <w:tcPr>
            <w:tcW w:w="80" w:type="dxa"/>
            <w:vAlign w:val="bottom"/>
          </w:tcPr>
          <w:p>
            <w:pPr>
              <w:spacing w:after="0"/>
              <w:rPr>
                <w:sz w:val="18"/>
                <w:szCs w:val="18"/>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57,258</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560"/>
              <w:spacing w:after="0"/>
              <w:rPr>
                <w:sz w:val="20"/>
                <w:szCs w:val="20"/>
                <w:color w:val="auto"/>
              </w:rPr>
            </w:pPr>
            <w:r>
              <w:rPr>
                <w:rFonts w:ascii="Arial" w:cs="Arial" w:eastAsia="Arial" w:hAnsi="Arial"/>
                <w:sz w:val="17"/>
                <w:szCs w:val="17"/>
                <w:color w:val="auto"/>
                <w:w w:val="97"/>
              </w:rPr>
              <w:t>Basic weighted average common shares outstanding</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33,449,311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34,327,477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33,583,791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34,404,798</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Dilutive effect of share-based awards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440,378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208,572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371,145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213,032</w:t>
            </w:r>
          </w:p>
        </w:tc>
        <w:tc>
          <w:tcPr>
            <w:tcW w:w="0" w:type="dxa"/>
            <w:vAlign w:val="bottom"/>
          </w:tcPr>
          <w:p>
            <w:pPr>
              <w:spacing w:after="0"/>
              <w:rPr>
                <w:sz w:val="1"/>
                <w:szCs w:val="1"/>
                <w:color w:val="auto"/>
              </w:rPr>
            </w:pPr>
          </w:p>
        </w:tc>
      </w:tr>
      <w:tr>
        <w:trPr>
          <w:trHeight w:val="212"/>
        </w:trPr>
        <w:tc>
          <w:tcPr>
            <w:tcW w:w="4480" w:type="dxa"/>
            <w:vAlign w:val="bottom"/>
          </w:tcPr>
          <w:p>
            <w:pPr>
              <w:ind w:left="560"/>
              <w:spacing w:after="0"/>
              <w:rPr>
                <w:sz w:val="20"/>
                <w:szCs w:val="20"/>
                <w:color w:val="auto"/>
              </w:rPr>
            </w:pPr>
            <w:r>
              <w:rPr>
                <w:rFonts w:ascii="Arial" w:cs="Arial" w:eastAsia="Arial" w:hAnsi="Arial"/>
                <w:sz w:val="17"/>
                <w:szCs w:val="17"/>
                <w:color w:val="auto"/>
              </w:rPr>
              <w:t>Dilutive effect of conversion premium on the Notes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416,204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382,014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4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w w:val="95"/>
              </w:rPr>
              <w:t>Diluted weighted average common shares outstanding</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34,305,893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34,536,049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34,336,950</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34,617,830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Arial" w:cs="Arial" w:eastAsia="Arial" w:hAnsi="Arial"/>
                <w:sz w:val="17"/>
                <w:szCs w:val="17"/>
                <w:color w:val="auto"/>
              </w:rPr>
              <w:t>Earnings per share attributable to ExlService Holdings Inc.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stockholders: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12"/>
        </w:trPr>
        <w:tc>
          <w:tcPr>
            <w:tcW w:w="4480" w:type="dxa"/>
            <w:vAlign w:val="bottom"/>
          </w:tcPr>
          <w:p>
            <w:pPr>
              <w:ind w:left="62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0.77</w:t>
            </w:r>
          </w:p>
        </w:tc>
        <w:tc>
          <w:tcPr>
            <w:tcW w:w="10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0.76</w:t>
            </w:r>
          </w:p>
        </w:tc>
        <w:tc>
          <w:tcPr>
            <w:tcW w:w="80" w:type="dxa"/>
            <w:vAlign w:val="bottom"/>
          </w:tcPr>
          <w:p>
            <w:pPr>
              <w:spacing w:after="0"/>
              <w:rPr>
                <w:sz w:val="18"/>
                <w:szCs w:val="18"/>
                <w:color w:val="auto"/>
              </w:rPr>
            </w:pP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2.52</w:t>
            </w:r>
          </w:p>
        </w:tc>
        <w:tc>
          <w:tcPr>
            <w:tcW w:w="80" w:type="dxa"/>
            <w:vAlign w:val="bottom"/>
          </w:tcPr>
          <w:p>
            <w:pPr>
              <w:spacing w:after="0"/>
              <w:rPr>
                <w:sz w:val="18"/>
                <w:szCs w:val="18"/>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w w:val="96"/>
              </w:rPr>
              <w:t>Weighted average potentially dilutive shares considered anti-</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40,384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347,126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14,044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385,252</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dilutive and not included in computing diluted earnings per share</w:t>
            </w: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Cash, Cash Equivalents and Restricted Cash</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purpose of unaudited statements of cash flows, cash, cash equivalents and restricted cash comprise of the following:</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Restricted cash (current)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Restricted cash (non-current)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Other Income, net</w:t>
      </w:r>
    </w:p>
    <w:p>
      <w:pPr>
        <w:spacing w:after="0" w:line="108"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Other income, net consists of the following:</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3120"/>
        <w:spacing w:after="0"/>
        <w:rPr>
          <w:sz w:val="20"/>
          <w:szCs w:val="20"/>
          <w:color w:val="auto"/>
        </w:rPr>
      </w:pPr>
      <w:r>
        <w:rPr>
          <w:rFonts w:ascii="Arial" w:cs="Arial" w:eastAsia="Arial" w:hAnsi="Arial"/>
          <w:sz w:val="13"/>
          <w:szCs w:val="13"/>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20955</wp:posOffset>
            </wp:positionV>
            <wp:extent cx="351155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11550" cy="7620"/>
                    </a:xfrm>
                    <a:prstGeom prst="rect">
                      <a:avLst/>
                    </a:prstGeom>
                    <a:noFill/>
                  </pic:spPr>
                </pic:pic>
              </a:graphicData>
            </a:graphic>
          </wp:anchor>
        </w:drawing>
      </w:r>
    </w:p>
    <w:p>
      <w:pPr>
        <w:spacing w:after="0" w:line="43" w:lineRule="exact"/>
        <w:rPr>
          <w:sz w:val="20"/>
          <w:szCs w:val="20"/>
          <w:color w:val="auto"/>
        </w:rPr>
      </w:pPr>
    </w:p>
    <w:tbl>
      <w:tblPr>
        <w:tblLayout w:type="fixed"/>
        <w:tblInd w:w="500"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70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2021</w:t>
            </w:r>
          </w:p>
        </w:tc>
        <w:tc>
          <w:tcPr>
            <w:tcW w:w="20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 2020</w:t>
            </w:r>
          </w:p>
        </w:tc>
        <w:tc>
          <w:tcPr>
            <w:tcW w:w="220" w:type="dxa"/>
            <w:vAlign w:val="bottom"/>
          </w:tcPr>
          <w:p>
            <w:pPr>
              <w:spacing w:after="0"/>
              <w:rPr>
                <w:sz w:val="15"/>
                <w:szCs w:val="15"/>
                <w:color w:val="auto"/>
              </w:rPr>
            </w:pPr>
          </w:p>
        </w:tc>
        <w:tc>
          <w:tcPr>
            <w:tcW w:w="1540" w:type="dxa"/>
            <w:vAlign w:val="bottom"/>
          </w:tcPr>
          <w:p>
            <w:pPr>
              <w:jc w:val="right"/>
              <w:ind w:right="260"/>
              <w:spacing w:after="0"/>
              <w:rPr>
                <w:sz w:val="20"/>
                <w:szCs w:val="20"/>
                <w:color w:val="auto"/>
              </w:rPr>
            </w:pPr>
            <w:r>
              <w:rPr>
                <w:rFonts w:ascii="Arial" w:cs="Arial" w:eastAsia="Arial" w:hAnsi="Arial"/>
                <w:sz w:val="13"/>
                <w:szCs w:val="13"/>
                <w:b w:val="1"/>
                <w:bCs w:val="1"/>
                <w:color w:val="auto"/>
              </w:rPr>
              <w:t>December 31, 2020</w:t>
            </w:r>
          </w:p>
        </w:tc>
      </w:tr>
      <w:tr>
        <w:trPr>
          <w:trHeight w:val="210"/>
        </w:trPr>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114,581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206,423</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218,530</w:t>
            </w:r>
          </w:p>
        </w:tc>
      </w:tr>
      <w:tr>
        <w:trPr>
          <w:trHeight w:val="212"/>
        </w:trPr>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6,810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7,312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4,690</w:t>
            </w:r>
          </w:p>
        </w:tc>
      </w:tr>
      <w:tr>
        <w:trPr>
          <w:trHeight w:val="212"/>
        </w:trPr>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2,277</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2,299</w:t>
            </w:r>
          </w:p>
        </w:tc>
      </w:tr>
      <w:tr>
        <w:trPr>
          <w:trHeight w:val="205"/>
        </w:trPr>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123,693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216,012</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225,519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-586105</wp:posOffset>
            </wp:positionV>
            <wp:extent cx="7110730" cy="14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0730" cy="14287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-308610</wp:posOffset>
            </wp:positionV>
            <wp:extent cx="711073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073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gridSpan w:val="3"/>
          </w:tcPr>
          <w:p>
            <w:pPr>
              <w:ind w:left="440"/>
              <w:spacing w:after="0"/>
              <w:rPr>
                <w:sz w:val="20"/>
                <w:szCs w:val="20"/>
                <w:color w:val="auto"/>
              </w:rPr>
            </w:pPr>
            <w:r>
              <w:rPr>
                <w:rFonts w:ascii="Arial" w:cs="Arial" w:eastAsia="Arial" w:hAnsi="Arial"/>
                <w:sz w:val="13"/>
                <w:szCs w:val="13"/>
                <w:b w:val="1"/>
                <w:bCs w:val="1"/>
                <w:color w:val="auto"/>
              </w:rPr>
              <w:t>Three months ended September 30,</w:t>
            </w:r>
          </w:p>
        </w:tc>
        <w:tc>
          <w:tcPr>
            <w:tcW w:w="2880" w:type="dxa"/>
            <w:vAlign w:val="bottom"/>
            <w:gridSpan w:val="2"/>
          </w:tcPr>
          <w:p>
            <w:pPr>
              <w:jc w:val="right"/>
              <w:ind w:right="413"/>
              <w:spacing w:after="0"/>
              <w:rPr>
                <w:sz w:val="20"/>
                <w:szCs w:val="20"/>
                <w:color w:val="auto"/>
              </w:rPr>
            </w:pPr>
            <w:r>
              <w:rPr>
                <w:rFonts w:ascii="Arial" w:cs="Arial" w:eastAsia="Arial" w:hAnsi="Arial"/>
                <w:sz w:val="13"/>
                <w:szCs w:val="13"/>
                <w:b w:val="1"/>
                <w:bCs w:val="1"/>
                <w:color w:val="auto"/>
              </w:rPr>
              <w:t>Nine months ended September 30,</w:t>
            </w:r>
          </w:p>
        </w:tc>
      </w:tr>
      <w:tr>
        <w:trPr>
          <w:trHeight w:val="170"/>
        </w:trPr>
        <w:tc>
          <w:tcPr>
            <w:tcW w:w="1440" w:type="dxa"/>
            <w:vAlign w:val="bottom"/>
            <w:tcBorders>
              <w:top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2021</w:t>
            </w:r>
          </w:p>
        </w:tc>
        <w:tc>
          <w:tcPr>
            <w:tcW w:w="1440" w:type="dxa"/>
            <w:vAlign w:val="bottom"/>
            <w:tcBorders>
              <w:top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440" w:type="dxa"/>
            <w:vAlign w:val="bottom"/>
            <w:tcBorders>
              <w:top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2021</w:t>
            </w:r>
          </w:p>
        </w:tc>
        <w:tc>
          <w:tcPr>
            <w:tcW w:w="1440" w:type="dxa"/>
            <w:vAlign w:val="bottom"/>
            <w:tcBorders>
              <w:top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2020</w:t>
            </w:r>
          </w:p>
        </w:tc>
      </w:tr>
    </w:tbl>
    <w:p>
      <w:pPr>
        <w:spacing w:after="0" w:line="1" w:lineRule="exact"/>
        <w:rPr>
          <w:sz w:val="20"/>
          <w:szCs w:val="20"/>
          <w:color w:val="auto"/>
        </w:rPr>
      </w:pPr>
    </w:p>
    <w:p>
      <w:pPr>
        <w:sectPr>
          <w:pgSz w:w="11900" w:h="16838" w:orient="portrait"/>
          <w:cols w:equalWidth="0" w:num="2">
            <w:col w:w="4480" w:space="720"/>
            <w:col w:w="604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 sale and mark-to-market of mutual funds</w:t>
            </w: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1,965</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3,991</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7,131</w:t>
            </w:r>
          </w:p>
        </w:tc>
        <w:tc>
          <w:tcPr>
            <w:tcW w:w="180" w:type="dxa"/>
            <w:vAlign w:val="bottom"/>
          </w:tcPr>
          <w:p>
            <w:pPr>
              <w:spacing w:after="0"/>
              <w:rPr>
                <w:sz w:val="17"/>
                <w:szCs w:val="17"/>
                <w:color w:val="auto"/>
              </w:rPr>
            </w:pPr>
          </w:p>
        </w:tc>
      </w:tr>
      <w:tr>
        <w:trPr>
          <w:trHeight w:val="212"/>
        </w:trPr>
        <w:tc>
          <w:tcPr>
            <w:tcW w:w="5200" w:type="dxa"/>
            <w:vAlign w:val="bottom"/>
          </w:tcPr>
          <w:p>
            <w:pPr>
              <w:ind w:left="20"/>
              <w:spacing w:after="0"/>
              <w:rPr>
                <w:sz w:val="20"/>
                <w:szCs w:val="20"/>
                <w:color w:val="auto"/>
              </w:rPr>
            </w:pPr>
            <w:r>
              <w:rPr>
                <w:rFonts w:ascii="Arial" w:cs="Arial" w:eastAsia="Arial" w:hAnsi="Arial"/>
                <w:sz w:val="17"/>
                <w:szCs w:val="17"/>
                <w:color w:val="auto"/>
              </w:rPr>
              <w:t>Interest and dividend income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2,052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1,941</w:t>
            </w:r>
          </w:p>
        </w:tc>
        <w:tc>
          <w:tcPr>
            <w:tcW w:w="180" w:type="dxa"/>
            <w:vAlign w:val="bottom"/>
          </w:tcPr>
          <w:p>
            <w:pPr>
              <w:spacing w:after="0"/>
              <w:rPr>
                <w:sz w:val="18"/>
                <w:szCs w:val="18"/>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Others, net</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80" w:type="dxa"/>
            <w:vAlign w:val="bottom"/>
          </w:tcPr>
          <w:p>
            <w:pPr>
              <w:spacing w:after="0"/>
              <w:rPr>
                <w:sz w:val="18"/>
                <w:szCs w:val="18"/>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5,346</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9,239</w:t>
            </w:r>
          </w:p>
        </w:tc>
        <w:tc>
          <w:tcPr>
            <w:tcW w:w="18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26"/>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817"/>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5"/>
        </w:trPr>
        <w:tc>
          <w:tcPr>
            <w:tcW w:w="5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7" w:name="page18"/>
    <w:bookmarkEnd w:id="1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Property and Equipment, net</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Property and equipment, net consists of the following:</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Estimated useful lives</w:t>
            </w: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As of</w:t>
            </w:r>
          </w:p>
        </w:tc>
        <w:tc>
          <w:tcPr>
            <w:tcW w:w="1560" w:type="dxa"/>
            <w:vAlign w:val="bottom"/>
            <w:tcBorders>
              <w:bottom w:val="single" w:sz="8" w:color="auto"/>
            </w:tcBorders>
          </w:tcPr>
          <w:p>
            <w:pPr>
              <w:spacing w:after="0"/>
              <w:rPr>
                <w:sz w:val="15"/>
                <w:szCs w:val="15"/>
                <w:color w:val="auto"/>
              </w:rPr>
            </w:pPr>
          </w:p>
        </w:tc>
      </w:tr>
      <w:tr>
        <w:trPr>
          <w:trHeight w:val="174"/>
        </w:trPr>
        <w:tc>
          <w:tcPr>
            <w:tcW w:w="562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(Years)</w:t>
            </w:r>
          </w:p>
        </w:tc>
        <w:tc>
          <w:tcPr>
            <w:tcW w:w="22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 2021</w:t>
            </w:r>
          </w:p>
        </w:tc>
        <w:tc>
          <w:tcPr>
            <w:tcW w:w="220" w:type="dxa"/>
            <w:vAlign w:val="bottom"/>
          </w:tcPr>
          <w:p>
            <w:pPr>
              <w:spacing w:after="0"/>
              <w:rPr>
                <w:sz w:val="15"/>
                <w:szCs w:val="15"/>
                <w:color w:val="auto"/>
              </w:rPr>
            </w:pPr>
          </w:p>
        </w:tc>
        <w:tc>
          <w:tcPr>
            <w:tcW w:w="1560" w:type="dxa"/>
            <w:vAlign w:val="bottom"/>
          </w:tcPr>
          <w:p>
            <w:pPr>
              <w:jc w:val="right"/>
              <w:ind w:right="278"/>
              <w:spacing w:after="0"/>
              <w:rPr>
                <w:sz w:val="20"/>
                <w:szCs w:val="20"/>
                <w:color w:val="auto"/>
              </w:rPr>
            </w:pPr>
            <w:r>
              <w:rPr>
                <w:rFonts w:ascii="Arial" w:cs="Arial" w:eastAsia="Arial" w:hAnsi="Arial"/>
                <w:sz w:val="13"/>
                <w:szCs w:val="13"/>
                <w:b w:val="1"/>
                <w:bCs w:val="1"/>
                <w:color w:val="auto"/>
              </w:rPr>
              <w:t>December 31, 2020</w:t>
            </w:r>
          </w:p>
        </w:tc>
      </w:tr>
      <w:tr>
        <w:trPr>
          <w:trHeight w:val="193"/>
        </w:trPr>
        <w:tc>
          <w:tcPr>
            <w:tcW w:w="5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Owned Assets:</w:t>
            </w:r>
          </w:p>
        </w:tc>
        <w:tc>
          <w:tcPr>
            <w:tcW w:w="1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12"/>
        </w:trPr>
        <w:tc>
          <w:tcPr>
            <w:tcW w:w="5620" w:type="dxa"/>
            <w:vAlign w:val="bottom"/>
          </w:tcPr>
          <w:p>
            <w:pPr>
              <w:spacing w:after="0"/>
              <w:rPr>
                <w:sz w:val="20"/>
                <w:szCs w:val="20"/>
                <w:color w:val="auto"/>
              </w:rPr>
            </w:pPr>
            <w:r>
              <w:rPr>
                <w:rFonts w:ascii="Arial" w:cs="Arial" w:eastAsia="Arial" w:hAnsi="Arial"/>
                <w:sz w:val="17"/>
                <w:szCs w:val="17"/>
                <w:color w:val="auto"/>
              </w:rPr>
              <w:t>Network equipment and computers</w:t>
            </w:r>
          </w:p>
        </w:tc>
        <w:tc>
          <w:tcPr>
            <w:tcW w:w="1840" w:type="dxa"/>
            <w:vAlign w:val="bottom"/>
          </w:tcPr>
          <w:p>
            <w:pPr>
              <w:jc w:val="center"/>
              <w:spacing w:after="0"/>
              <w:rPr>
                <w:sz w:val="20"/>
                <w:szCs w:val="20"/>
                <w:color w:val="auto"/>
              </w:rPr>
            </w:pPr>
            <w:r>
              <w:rPr>
                <w:rFonts w:ascii="Arial" w:cs="Arial" w:eastAsia="Arial" w:hAnsi="Arial"/>
                <w:sz w:val="17"/>
                <w:szCs w:val="17"/>
                <w:color w:val="auto"/>
                <w:w w:val="89"/>
              </w:rPr>
              <w:t>3-5</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113,499</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107,016</w:t>
            </w:r>
          </w:p>
        </w:tc>
      </w:tr>
      <w:tr>
        <w:trPr>
          <w:trHeight w:val="21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99,708</w:t>
            </w:r>
          </w:p>
        </w:tc>
      </w:tr>
      <w:tr>
        <w:trPr>
          <w:trHeight w:val="212"/>
        </w:trPr>
        <w:tc>
          <w:tcPr>
            <w:tcW w:w="562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840" w:type="dxa"/>
            <w:vAlign w:val="bottom"/>
          </w:tcPr>
          <w:p>
            <w:pPr>
              <w:jc w:val="center"/>
              <w:spacing w:after="0"/>
              <w:rPr>
                <w:sz w:val="20"/>
                <w:szCs w:val="20"/>
                <w:color w:val="auto"/>
              </w:rPr>
            </w:pPr>
            <w:r>
              <w:rPr>
                <w:rFonts w:ascii="Arial" w:cs="Arial" w:eastAsia="Arial" w:hAnsi="Arial"/>
                <w:sz w:val="17"/>
                <w:szCs w:val="17"/>
                <w:color w:val="auto"/>
                <w:w w:val="89"/>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46,721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48,052</w:t>
            </w:r>
          </w:p>
        </w:tc>
      </w:tr>
      <w:tr>
        <w:trPr>
          <w:trHeight w:val="21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22,210</w:t>
            </w:r>
          </w:p>
        </w:tc>
      </w:tr>
      <w:tr>
        <w:trPr>
          <w:trHeight w:val="212"/>
        </w:trPr>
        <w:tc>
          <w:tcPr>
            <w:tcW w:w="5620" w:type="dxa"/>
            <w:vAlign w:val="bottom"/>
          </w:tcPr>
          <w:p>
            <w:pPr>
              <w:spacing w:after="0"/>
              <w:rPr>
                <w:sz w:val="20"/>
                <w:szCs w:val="20"/>
                <w:color w:val="auto"/>
              </w:rPr>
            </w:pPr>
            <w:r>
              <w:rPr>
                <w:rFonts w:ascii="Arial" w:cs="Arial" w:eastAsia="Arial" w:hAnsi="Arial"/>
                <w:sz w:val="17"/>
                <w:szCs w:val="17"/>
                <w:color w:val="auto"/>
              </w:rPr>
              <w:t>Motor vehicles</w:t>
            </w:r>
          </w:p>
        </w:tc>
        <w:tc>
          <w:tcPr>
            <w:tcW w:w="1840" w:type="dxa"/>
            <w:vAlign w:val="bottom"/>
          </w:tcPr>
          <w:p>
            <w:pPr>
              <w:jc w:val="center"/>
              <w:spacing w:after="0"/>
              <w:rPr>
                <w:sz w:val="20"/>
                <w:szCs w:val="20"/>
                <w:color w:val="auto"/>
              </w:rPr>
            </w:pPr>
            <w:r>
              <w:rPr>
                <w:rFonts w:ascii="Arial" w:cs="Arial" w:eastAsia="Arial" w:hAnsi="Arial"/>
                <w:sz w:val="17"/>
                <w:szCs w:val="17"/>
                <w:color w:val="auto"/>
                <w:w w:val="89"/>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599</w:t>
            </w:r>
          </w:p>
        </w:tc>
      </w:tr>
      <w:tr>
        <w:trPr>
          <w:trHeight w:val="21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w:t>
            </w:r>
          </w:p>
        </w:tc>
      </w:tr>
      <w:tr>
        <w:trPr>
          <w:trHeight w:val="212"/>
        </w:trPr>
        <w:tc>
          <w:tcPr>
            <w:tcW w:w="5620" w:type="dxa"/>
            <w:vAlign w:val="bottom"/>
          </w:tcPr>
          <w:p>
            <w:pPr>
              <w:spacing w:after="0"/>
              <w:rPr>
                <w:sz w:val="20"/>
                <w:szCs w:val="20"/>
                <w:color w:val="auto"/>
              </w:rPr>
            </w:pPr>
            <w:r>
              <w:rPr>
                <w:rFonts w:ascii="Arial" w:cs="Arial" w:eastAsia="Arial" w:hAnsi="Arial"/>
                <w:sz w:val="17"/>
                <w:szCs w:val="17"/>
                <w:color w:val="auto"/>
              </w:rPr>
              <w:t>Land</w:t>
            </w:r>
          </w:p>
        </w:tc>
        <w:tc>
          <w:tcPr>
            <w:tcW w:w="19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712</w:t>
            </w:r>
          </w:p>
        </w:tc>
      </w:tr>
      <w:tr>
        <w:trPr>
          <w:trHeight w:val="21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Capital work in progress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4,647</w:t>
            </w:r>
          </w:p>
        </w:tc>
      </w:tr>
      <w:tr>
        <w:trPr>
          <w:trHeight w:val="205"/>
        </w:trPr>
        <w:tc>
          <w:tcPr>
            <w:tcW w:w="5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290,878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284,033</w:t>
            </w:r>
          </w:p>
        </w:tc>
      </w:tr>
      <w:tr>
        <w:trPr>
          <w:trHeight w:val="21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(207,367)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(191,629)</w:t>
            </w:r>
          </w:p>
        </w:tc>
      </w:tr>
      <w:tr>
        <w:trPr>
          <w:trHeight w:val="205"/>
        </w:trPr>
        <w:tc>
          <w:tcPr>
            <w:tcW w:w="562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83,511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92,404</w:t>
            </w:r>
          </w:p>
        </w:tc>
      </w:tr>
      <w:tr>
        <w:trPr>
          <w:trHeight w:val="192"/>
        </w:trPr>
        <w:tc>
          <w:tcPr>
            <w:tcW w:w="5620" w:type="dxa"/>
            <w:vAlign w:val="bottom"/>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Right-of-use assets under finance leases:</w:t>
            </w: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2"/>
        </w:trPr>
        <w:tc>
          <w:tcPr>
            <w:tcW w:w="5620" w:type="dxa"/>
            <w:vAlign w:val="bottom"/>
          </w:tcPr>
          <w:p>
            <w:pPr>
              <w:spacing w:after="0"/>
              <w:rPr>
                <w:sz w:val="20"/>
                <w:szCs w:val="20"/>
                <w:color w:val="auto"/>
              </w:rPr>
            </w:pPr>
            <w:r>
              <w:rPr>
                <w:rFonts w:ascii="Arial" w:cs="Arial" w:eastAsia="Arial" w:hAnsi="Arial"/>
                <w:sz w:val="17"/>
                <w:szCs w:val="17"/>
                <w:color w:val="auto"/>
              </w:rPr>
              <w:t>Network equipment and computers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1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r>
      <w:tr>
        <w:trPr>
          <w:trHeight w:val="212"/>
        </w:trPr>
        <w:tc>
          <w:tcPr>
            <w:tcW w:w="562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255</w:t>
            </w:r>
          </w:p>
        </w:tc>
      </w:tr>
      <w:tr>
        <w:trPr>
          <w:trHeight w:val="21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Motor vehicles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w:t>
            </w:r>
          </w:p>
        </w:tc>
      </w:tr>
      <w:tr>
        <w:trPr>
          <w:trHeight w:val="205"/>
        </w:trPr>
        <w:tc>
          <w:tcPr>
            <w:tcW w:w="5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2,585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1,853</w:t>
            </w:r>
          </w:p>
        </w:tc>
      </w:tr>
      <w:tr>
        <w:trPr>
          <w:trHeight w:val="21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w:t>
            </w:r>
          </w:p>
        </w:tc>
      </w:tr>
      <w:tr>
        <w:trPr>
          <w:trHeight w:val="205"/>
        </w:trPr>
        <w:tc>
          <w:tcPr>
            <w:tcW w:w="562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w:t>
            </w: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92,875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Capital work in progress represents advances paid towards acquisition of property and equipment and costs incurred on internally developed software not yet ready to be placed in service.</w:t>
      </w:r>
    </w:p>
    <w:p>
      <w:pPr>
        <w:spacing w:after="0" w:line="188" w:lineRule="exact"/>
        <w:rPr>
          <w:sz w:val="20"/>
          <w:szCs w:val="20"/>
          <w:color w:val="auto"/>
        </w:rPr>
      </w:pPr>
    </w:p>
    <w:p>
      <w:pPr>
        <w:ind w:right="460" w:firstLine="375"/>
        <w:spacing w:after="0" w:line="237" w:lineRule="auto"/>
        <w:rPr>
          <w:sz w:val="20"/>
          <w:szCs w:val="20"/>
          <w:color w:val="auto"/>
        </w:rPr>
      </w:pPr>
      <w:r>
        <w:rPr>
          <w:rFonts w:ascii="Arial" w:cs="Arial" w:eastAsia="Arial" w:hAnsi="Arial"/>
          <w:sz w:val="17"/>
          <w:szCs w:val="17"/>
          <w:color w:val="auto"/>
        </w:rPr>
        <w:t>During the three and nine months ended September 30, 2021, there were no changes in estimated useful lives of property and equipment during the ordinary course of operations.</w:t>
      </w:r>
    </w:p>
    <w:p>
      <w:pPr>
        <w:spacing w:after="0" w:line="188" w:lineRule="exact"/>
        <w:rPr>
          <w:sz w:val="20"/>
          <w:szCs w:val="20"/>
          <w:color w:val="auto"/>
        </w:rPr>
      </w:pPr>
    </w:p>
    <w:p>
      <w:pPr>
        <w:ind w:firstLine="375"/>
        <w:spacing w:after="0" w:line="237" w:lineRule="auto"/>
        <w:rPr>
          <w:sz w:val="20"/>
          <w:szCs w:val="20"/>
          <w:color w:val="auto"/>
        </w:rPr>
      </w:pPr>
      <w:r>
        <w:rPr>
          <w:rFonts w:ascii="Arial" w:cs="Arial" w:eastAsia="Arial" w:hAnsi="Arial"/>
          <w:sz w:val="17"/>
          <w:szCs w:val="17"/>
          <w:color w:val="auto"/>
        </w:rPr>
        <w:t>The depreciation and amortization expense, excluding amortization of acquisition-related intangibles, recognized in the unaudited consolidated statements of income was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2880" w:type="dxa"/>
            <w:vAlign w:val="bottom"/>
            <w:gridSpan w:val="6"/>
          </w:tcPr>
          <w:p>
            <w:pPr>
              <w:ind w:left="380"/>
              <w:spacing w:after="0"/>
              <w:rPr>
                <w:sz w:val="20"/>
                <w:szCs w:val="20"/>
                <w:color w:val="auto"/>
              </w:rPr>
            </w:pPr>
            <w:r>
              <w:rPr>
                <w:rFonts w:ascii="Arial" w:cs="Arial" w:eastAsia="Arial" w:hAnsi="Arial"/>
                <w:sz w:val="13"/>
                <w:szCs w:val="13"/>
                <w:b w:val="1"/>
                <w:bCs w:val="1"/>
                <w:color w:val="auto"/>
              </w:rPr>
              <w:t>Three months ended September 30,</w:t>
            </w:r>
          </w:p>
        </w:tc>
        <w:tc>
          <w:tcPr>
            <w:tcW w:w="240" w:type="dxa"/>
            <w:vAlign w:val="bottom"/>
          </w:tcPr>
          <w:p>
            <w:pPr>
              <w:spacing w:after="0"/>
              <w:rPr>
                <w:sz w:val="15"/>
                <w:szCs w:val="15"/>
                <w:color w:val="auto"/>
              </w:rPr>
            </w:pPr>
          </w:p>
        </w:tc>
        <w:tc>
          <w:tcPr>
            <w:tcW w:w="2480" w:type="dxa"/>
            <w:vAlign w:val="bottom"/>
            <w:gridSpan w:val="4"/>
          </w:tcPr>
          <w:p>
            <w:pPr>
              <w:jc w:val="right"/>
              <w:ind w:right="305"/>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171"/>
        </w:trPr>
        <w:tc>
          <w:tcPr>
            <w:tcW w:w="564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2020</w:t>
            </w:r>
          </w:p>
        </w:tc>
      </w:tr>
      <w:tr>
        <w:trPr>
          <w:trHeight w:val="231"/>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9,283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26,936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26,283</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effect of foreign exchange gain/(loss) upon settlement of cash flow hedges recorded under depreciation and amortization, was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3"/>
                <w:szCs w:val="13"/>
                <w:b w:val="1"/>
                <w:bCs w:val="1"/>
                <w:color w:val="auto"/>
              </w:rPr>
              <w:t>Three months ended September 30,</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171"/>
        </w:trPr>
        <w:tc>
          <w:tcPr>
            <w:tcW w:w="56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2020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2020</w:t>
            </w:r>
          </w:p>
        </w:tc>
      </w:tr>
      <w:tr>
        <w:trPr>
          <w:trHeight w:val="23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foreign exchange gain/(loss)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4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Internally developed software costs, included under Software, was as follows:</w:t>
      </w:r>
    </w:p>
    <w:p>
      <w:pPr>
        <w:spacing w:after="0" w:line="34"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58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w w:val="86"/>
              </w:rPr>
              <w:t>As of</w:t>
            </w:r>
          </w:p>
        </w:tc>
        <w:tc>
          <w:tcPr>
            <w:tcW w:w="1760" w:type="dxa"/>
            <w:vAlign w:val="bottom"/>
            <w:tcBorders>
              <w:bottom w:val="single" w:sz="8" w:color="auto"/>
            </w:tcBorders>
          </w:tcPr>
          <w:p>
            <w:pPr>
              <w:spacing w:after="0"/>
              <w:rPr>
                <w:sz w:val="15"/>
                <w:szCs w:val="15"/>
                <w:color w:val="auto"/>
              </w:rPr>
            </w:pPr>
          </w:p>
        </w:tc>
      </w:tr>
      <w:tr>
        <w:trPr>
          <w:trHeight w:val="171"/>
        </w:trPr>
        <w:tc>
          <w:tcPr>
            <w:tcW w:w="5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September 30, 2021</w:t>
            </w:r>
          </w:p>
        </w:tc>
        <w:tc>
          <w:tcPr>
            <w:tcW w:w="660" w:type="dxa"/>
            <w:vAlign w:val="bottom"/>
          </w:tcPr>
          <w:p>
            <w:pPr>
              <w:spacing w:after="0"/>
              <w:rPr>
                <w:sz w:val="14"/>
                <w:szCs w:val="14"/>
                <w:color w:val="auto"/>
              </w:rPr>
            </w:pPr>
          </w:p>
        </w:tc>
        <w:tc>
          <w:tcPr>
            <w:tcW w:w="1760" w:type="dxa"/>
            <w:vAlign w:val="bottom"/>
          </w:tcPr>
          <w:p>
            <w:pPr>
              <w:ind w:left="200"/>
              <w:spacing w:after="0"/>
              <w:rPr>
                <w:sz w:val="20"/>
                <w:szCs w:val="20"/>
                <w:color w:val="auto"/>
              </w:rPr>
            </w:pPr>
            <w:r>
              <w:rPr>
                <w:rFonts w:ascii="Arial" w:cs="Arial" w:eastAsia="Arial" w:hAnsi="Arial"/>
                <w:sz w:val="13"/>
                <w:szCs w:val="13"/>
                <w:b w:val="1"/>
                <w:bCs w:val="1"/>
                <w:color w:val="auto"/>
              </w:rPr>
              <w:t>December 31, 2020</w:t>
            </w:r>
          </w:p>
        </w:tc>
      </w:tr>
      <w:tr>
        <w:trPr>
          <w:trHeight w:val="206"/>
        </w:trPr>
        <w:tc>
          <w:tcPr>
            <w:tcW w:w="58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Cost</w:t>
            </w:r>
          </w:p>
        </w:tc>
        <w:tc>
          <w:tcPr>
            <w:tcW w:w="6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18,827</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7"/>
                <w:szCs w:val="17"/>
                <w:color w:val="auto"/>
              </w:rPr>
              <w:t>$</w:t>
            </w:r>
          </w:p>
        </w:tc>
        <w:tc>
          <w:tcPr>
            <w:tcW w:w="176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w w:val="99"/>
              </w:rPr>
              <w:t>18,371</w:t>
            </w:r>
          </w:p>
        </w:tc>
      </w:tr>
      <w:tr>
        <w:trPr>
          <w:trHeight w:val="212"/>
        </w:trPr>
        <w:tc>
          <w:tcPr>
            <w:tcW w:w="588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Less : Accumulated amortization</w:t>
            </w:r>
          </w:p>
        </w:tc>
        <w:tc>
          <w:tcPr>
            <w:tcW w:w="6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(9,155)</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w w:val="92"/>
              </w:rPr>
              <w:t>(5,998)</w:t>
            </w:r>
          </w:p>
        </w:tc>
      </w:tr>
      <w:tr>
        <w:trPr>
          <w:trHeight w:val="23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Internally developed software, net</w:t>
            </w:r>
          </w:p>
        </w:tc>
        <w:tc>
          <w:tcPr>
            <w:tcW w:w="6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9,672</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w w:val="99"/>
              </w:rPr>
              <w:t>12,373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amortization expense on internally developed software recognized in the unaudited consolidated statements of income was as follows:</w:t>
      </w:r>
    </w:p>
    <w:p>
      <w:pPr>
        <w:spacing w:after="0" w:line="96"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3"/>
                <w:szCs w:val="13"/>
                <w:b w:val="1"/>
                <w:bCs w:val="1"/>
                <w:color w:val="auto"/>
              </w:rPr>
              <w:t>Nine months ended September 30,</w:t>
            </w:r>
          </w:p>
        </w:tc>
      </w:tr>
      <w:tr>
        <w:trPr>
          <w:trHeight w:val="171"/>
        </w:trPr>
        <w:tc>
          <w:tcPr>
            <w:tcW w:w="46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2020</w:t>
            </w:r>
          </w:p>
        </w:tc>
      </w:tr>
      <w:tr>
        <w:trPr>
          <w:trHeight w:val="206"/>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1,086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1,215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3,892</w:t>
            </w:r>
          </w:p>
        </w:tc>
      </w:tr>
    </w:tbl>
    <w:p>
      <w:pPr>
        <w:spacing w:after="0" w:line="287" w:lineRule="exact"/>
        <w:rPr>
          <w:sz w:val="20"/>
          <w:szCs w:val="20"/>
          <w:color w:val="auto"/>
        </w:rPr>
      </w:pPr>
    </w:p>
    <w:p>
      <w:pPr>
        <w:jc w:val="both"/>
        <w:ind w:firstLine="375"/>
        <w:spacing w:after="0" w:line="221" w:lineRule="auto"/>
        <w:rPr>
          <w:sz w:val="20"/>
          <w:szCs w:val="20"/>
          <w:color w:val="auto"/>
        </w:rPr>
      </w:pPr>
      <w:r>
        <w:rPr>
          <w:rFonts w:ascii="Arial" w:cs="Arial" w:eastAsia="Arial" w:hAnsi="Arial"/>
          <w:sz w:val="17"/>
          <w:szCs w:val="17"/>
          <w:color w:val="auto"/>
        </w:rPr>
        <w:t>As of September 30, 2021 and December 31, 2020, the Company believes no impairment exists because the long-lived asset's future undiscounted net cash flows expected to be generated exceeds its carrying value; however, there can be no assurances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It is reasonably possible that the judgments and estimates described above could change in future periods. The duration and severity of COVID-19 and continued market volatility is highly uncertain and, as such, the impact on undiscounted cash flows is subject to significant judgment and may cause variability in the Company’s assessment of the existence of any impairment.</w:t>
      </w:r>
    </w:p>
    <w:p>
      <w:pPr>
        <w:spacing w:after="0" w:line="297" w:lineRule="exact"/>
        <w:rPr>
          <w:sz w:val="20"/>
          <w:szCs w:val="20"/>
          <w:color w:val="auto"/>
        </w:rPr>
      </w:pPr>
    </w:p>
    <w:p>
      <w:pPr>
        <w:ind w:right="8860"/>
        <w:spacing w:after="0" w:line="515" w:lineRule="auto"/>
        <w:tabs>
          <w:tab w:leader="none" w:pos="167"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 Goodwill</w:t>
      </w:r>
    </w:p>
    <w:p>
      <w:pPr>
        <w:spacing w:after="0" w:line="2" w:lineRule="exact"/>
        <w:rPr>
          <w:sz w:val="20"/>
          <w:szCs w:val="20"/>
          <w:color w:val="auto"/>
        </w:rPr>
      </w:pPr>
    </w:p>
    <w:p>
      <w:pPr>
        <w:jc w:val="both"/>
        <w:ind w:firstLine="375"/>
        <w:spacing w:after="0" w:line="246" w:lineRule="auto"/>
        <w:rPr>
          <w:sz w:val="20"/>
          <w:szCs w:val="20"/>
          <w:color w:val="auto"/>
        </w:rPr>
      </w:pPr>
      <w:r>
        <w:rPr>
          <w:rFonts w:ascii="Arial" w:cs="Arial" w:eastAsia="Arial" w:hAnsi="Arial"/>
          <w:sz w:val="16"/>
          <w:szCs w:val="16"/>
          <w:color w:val="auto"/>
        </w:rPr>
        <w:t>The Company transitioned to new segment reporting structure effective January 1, 2020, which resulted in certain changes to its operating segments and reporting units. The Company reallocated goodwill to its reporting units using a relative fair value approach. In addition, the Company completed an assessment of any potential goodwill impairment for all its reporting units immediately prior to the reallocation and determined that no impairment existed.</w:t>
      </w: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details of changes in goodwill by reportable segment of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Insurance</w:t>
            </w:r>
          </w:p>
        </w:tc>
        <w:tc>
          <w:tcPr>
            <w:tcW w:w="160" w:type="dxa"/>
            <w:vAlign w:val="bottom"/>
          </w:tcPr>
          <w:p>
            <w:pPr>
              <w:spacing w:after="0"/>
              <w:rPr>
                <w:sz w:val="15"/>
                <w:szCs w:val="15"/>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Healthcare</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Emerging</w:t>
            </w:r>
          </w:p>
        </w:tc>
        <w:tc>
          <w:tcPr>
            <w:tcW w:w="160" w:type="dxa"/>
            <w:vAlign w:val="bottom"/>
          </w:tcPr>
          <w:p>
            <w:pPr>
              <w:spacing w:after="0"/>
              <w:rPr>
                <w:sz w:val="15"/>
                <w:szCs w:val="1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Analytics</w:t>
            </w:r>
          </w:p>
        </w:tc>
        <w:tc>
          <w:tcPr>
            <w:tcW w:w="260" w:type="dxa"/>
            <w:vAlign w:val="bottom"/>
          </w:tcPr>
          <w:p>
            <w:pPr>
              <w:spacing w:after="0"/>
              <w:rPr>
                <w:sz w:val="15"/>
                <w:szCs w:val="15"/>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3"/>
              </w:rPr>
              <w:t>Business</w:t>
            </w: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21,953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227,288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349,088</w:t>
            </w:r>
          </w:p>
        </w:tc>
        <w:tc>
          <w:tcPr>
            <w:tcW w:w="0" w:type="dxa"/>
            <w:vAlign w:val="bottom"/>
          </w:tcPr>
          <w:p>
            <w:pPr>
              <w:spacing w:after="0"/>
              <w:rPr>
                <w:sz w:val="1"/>
                <w:szCs w:val="1"/>
                <w:color w:val="auto"/>
              </w:rPr>
            </w:pPr>
          </w:p>
        </w:tc>
      </w:tr>
      <w:tr>
        <w:trPr>
          <w:trHeight w:val="212"/>
        </w:trPr>
        <w:tc>
          <w:tcPr>
            <w:tcW w:w="4420" w:type="dxa"/>
            <w:vAlign w:val="bottom"/>
          </w:tcPr>
          <w:p>
            <w:pPr>
              <w:ind w:left="320"/>
              <w:spacing w:after="0"/>
              <w:rPr>
                <w:sz w:val="20"/>
                <w:szCs w:val="20"/>
                <w:color w:val="auto"/>
              </w:rPr>
            </w:pPr>
            <w:r>
              <w:rPr>
                <w:rFonts w:ascii="Arial" w:cs="Arial" w:eastAsia="Arial" w:hAnsi="Arial"/>
                <w:sz w:val="17"/>
                <w:szCs w:val="17"/>
                <w:color w:val="auto"/>
              </w:rPr>
              <w:t>Currency translation adjustments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30"/>
        </w:trPr>
        <w:tc>
          <w:tcPr>
            <w:tcW w:w="4420" w:type="dxa"/>
            <w:vAlign w:val="bottom"/>
            <w:tcBorders>
              <w:top w:val="single" w:sz="8" w:color="CCEEFF"/>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Balance at September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348,699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6"/>
          <w:szCs w:val="16"/>
          <w:color w:val="auto"/>
        </w:rPr>
        <w:t>During the fourth quarter of 2020, the Company performed its annual impairment test of goodwill for those reporting units that had goodwill recorded. Based on the results, the fair values of each of the Company’s reporting units exceeded their carrying value and the goodwill was not impaired.</w:t>
      </w:r>
    </w:p>
    <w:p>
      <w:pPr>
        <w:spacing w:after="0" w:line="170" w:lineRule="exact"/>
        <w:rPr>
          <w:sz w:val="20"/>
          <w:szCs w:val="20"/>
          <w:color w:val="auto"/>
        </w:rPr>
      </w:pPr>
    </w:p>
    <w:p>
      <w:pPr>
        <w:jc w:val="both"/>
        <w:ind w:firstLine="375"/>
        <w:spacing w:after="0"/>
        <w:rPr>
          <w:sz w:val="20"/>
          <w:szCs w:val="20"/>
          <w:color w:val="auto"/>
        </w:rPr>
      </w:pPr>
      <w:r>
        <w:rPr>
          <w:rFonts w:ascii="Arial" w:cs="Arial" w:eastAsia="Arial" w:hAnsi="Arial"/>
          <w:sz w:val="16"/>
          <w:szCs w:val="16"/>
          <w:color w:val="auto"/>
        </w:rPr>
        <w:t>As of September 30, 2021, the Company evaluated the continuing effects of COVID-19 and its impact on the global economy on each of the Company’s reporting units to assess whether there was a triggering event during the quarter requiring the Company to perform a goodwill impairment test. The Company considered continued improvements in current and forecasted economic and market conditions and qualitative factors, for instance, the Company’s performance during the first three quarters, business forecasts for the remainder of the year, stock price movements and the Company’s expansion plans.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identify any triggers or indications of potential impairment for its reporting units as of September 30, 2021.</w:t>
      </w:r>
    </w:p>
    <w:p>
      <w:pPr>
        <w:spacing w:after="0" w:line="204"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5"/>
          <w:szCs w:val="15"/>
          <w:color w:val="auto"/>
        </w:rPr>
        <w:t>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and severity of COVID-19 and continued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 The Company continues to monitor the impacts of COVID-19 on the Company and significant changes in key assumptions that could result in future period impairment charges.</w:t>
      </w:r>
    </w:p>
    <w:p>
      <w:pPr>
        <w:spacing w:after="0" w:line="178"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regarding the Company’s intangible assets is set forth below:</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3"/>
                <w:szCs w:val="13"/>
                <w:b w:val="1"/>
                <w:bCs w:val="1"/>
                <w:color w:val="auto"/>
                <w:w w:val="91"/>
              </w:rPr>
              <w:t>As of September 30, 2021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jc w:val="right"/>
              <w:ind w:right="519"/>
              <w:spacing w:after="0" w:line="123"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tcPr>
          <w:p>
            <w:pPr>
              <w:jc w:val="center"/>
              <w:ind w:right="300"/>
              <w:spacing w:after="0" w:line="123" w:lineRule="exact"/>
              <w:rPr>
                <w:sz w:val="20"/>
                <w:szCs w:val="20"/>
                <w:color w:val="auto"/>
              </w:rPr>
            </w:pPr>
            <w:r>
              <w:rPr>
                <w:rFonts w:ascii="Arial" w:cs="Arial" w:eastAsia="Arial" w:hAnsi="Arial"/>
                <w:sz w:val="13"/>
                <w:szCs w:val="13"/>
                <w:b w:val="1"/>
                <w:bCs w:val="1"/>
                <w:color w:val="auto"/>
                <w:w w:val="90"/>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181"/>
              <w:spacing w:after="0" w:line="123" w:lineRule="exact"/>
              <w:rPr>
                <w:sz w:val="20"/>
                <w:szCs w:val="20"/>
                <w:color w:val="auto"/>
              </w:rPr>
            </w:pPr>
            <w:r>
              <w:rPr>
                <w:rFonts w:ascii="Arial" w:cs="Arial" w:eastAsia="Arial" w:hAnsi="Arial"/>
                <w:sz w:val="13"/>
                <w:szCs w:val="13"/>
                <w:b w:val="1"/>
                <w:bCs w:val="1"/>
                <w:color w:val="auto"/>
                <w:w w:val="97"/>
              </w:rPr>
              <w:t>Net Carrying</w:t>
            </w:r>
          </w:p>
        </w:tc>
        <w:tc>
          <w:tcPr>
            <w:tcW w:w="0" w:type="dxa"/>
            <w:vAlign w:val="bottom"/>
          </w:tcPr>
          <w:p>
            <w:pPr>
              <w:spacing w:after="0"/>
              <w:rPr>
                <w:sz w:val="1"/>
                <w:szCs w:val="1"/>
                <w:color w:val="auto"/>
              </w:rPr>
            </w:pPr>
          </w:p>
        </w:tc>
      </w:tr>
      <w:tr>
        <w:trPr>
          <w:trHeight w:val="174"/>
        </w:trPr>
        <w:tc>
          <w:tcPr>
            <w:tcW w:w="6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179"/>
              <w:spacing w:after="0"/>
              <w:rPr>
                <w:sz w:val="20"/>
                <w:szCs w:val="20"/>
                <w:color w:val="auto"/>
              </w:rPr>
            </w:pPr>
            <w:r>
              <w:rPr>
                <w:rFonts w:ascii="Arial" w:cs="Arial" w:eastAsia="Arial" w:hAnsi="Arial"/>
                <w:sz w:val="13"/>
                <w:szCs w:val="13"/>
                <w:b w:val="1"/>
                <w:bCs w:val="1"/>
                <w:color w:val="auto"/>
              </w:rPr>
              <w:t>Carrying Amount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5"/>
              </w:rPr>
              <w:t>Amortization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61"/>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93"/>
        </w:trPr>
        <w:tc>
          <w:tcPr>
            <w:tcW w:w="6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Finite-lived intangible assets:</w:t>
            </w: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71,416</w:t>
            </w:r>
          </w:p>
        </w:tc>
        <w:tc>
          <w:tcPr>
            <w:tcW w:w="360" w:type="dxa"/>
            <w:vAlign w:val="bottom"/>
            <w:gridSpan w:val="4"/>
          </w:tcPr>
          <w:p>
            <w:pPr>
              <w:jc w:val="right"/>
              <w:ind w:right="17"/>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(31,180)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
              <w:spacing w:after="0"/>
              <w:rPr>
                <w:sz w:val="20"/>
                <w:szCs w:val="20"/>
                <w:color w:val="auto"/>
              </w:rPr>
            </w:pPr>
            <w:r>
              <w:rPr>
                <w:rFonts w:ascii="Arial" w:cs="Arial" w:eastAsia="Arial" w:hAnsi="Arial"/>
                <w:sz w:val="17"/>
                <w:szCs w:val="17"/>
                <w:color w:val="auto"/>
              </w:rPr>
              <w:t>40,236</w:t>
            </w: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8,242</w:t>
            </w:r>
          </w:p>
        </w:tc>
        <w:tc>
          <w:tcPr>
            <w:tcW w:w="0" w:type="dxa"/>
            <w:vAlign w:val="bottom"/>
          </w:tcPr>
          <w:p>
            <w:pPr>
              <w:spacing w:after="0"/>
              <w:rPr>
                <w:sz w:val="1"/>
                <w:szCs w:val="1"/>
                <w:color w:val="auto"/>
              </w:rPr>
            </w:pPr>
          </w:p>
        </w:tc>
      </w:tr>
      <w:tr>
        <w:trPr>
          <w:trHeight w:val="212"/>
        </w:trPr>
        <w:tc>
          <w:tcPr>
            <w:tcW w:w="6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Trade names and trademarks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05"/>
        </w:trPr>
        <w:tc>
          <w:tcPr>
            <w:tcW w:w="64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96,300</w:t>
            </w:r>
          </w:p>
        </w:tc>
        <w:tc>
          <w:tcPr>
            <w:tcW w:w="360" w:type="dxa"/>
            <w:vAlign w:val="bottom"/>
            <w:gridSpan w:val="4"/>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48,907</w:t>
            </w:r>
          </w:p>
        </w:tc>
        <w:tc>
          <w:tcPr>
            <w:tcW w:w="0" w:type="dxa"/>
            <w:vAlign w:val="bottom"/>
          </w:tcPr>
          <w:p>
            <w:pPr>
              <w:spacing w:after="0"/>
              <w:rPr>
                <w:sz w:val="1"/>
                <w:szCs w:val="1"/>
                <w:color w:val="auto"/>
              </w:rPr>
            </w:pPr>
          </w:p>
        </w:tc>
      </w:tr>
      <w:tr>
        <w:trPr>
          <w:trHeight w:val="197"/>
        </w:trPr>
        <w:tc>
          <w:tcPr>
            <w:tcW w:w="646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Trade names and trademarks</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05"/>
        </w:trPr>
        <w:tc>
          <w:tcPr>
            <w:tcW w:w="6460" w:type="dxa"/>
            <w:vAlign w:val="bottom"/>
          </w:tcPr>
          <w:p>
            <w:pPr>
              <w:spacing w:after="0"/>
              <w:rPr>
                <w:sz w:val="20"/>
                <w:szCs w:val="20"/>
                <w:color w:val="auto"/>
              </w:rPr>
            </w:pPr>
            <w:r>
              <w:rPr>
                <w:rFonts w:ascii="Arial" w:cs="Arial" w:eastAsia="Arial" w:hAnsi="Arial"/>
                <w:sz w:val="17"/>
                <w:szCs w:val="17"/>
                <w:b w:val="1"/>
                <w:bCs w:val="1"/>
                <w:color w:val="auto"/>
              </w:rPr>
              <w:t>Total intangible assets</w:t>
            </w: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97,200</w:t>
            </w:r>
          </w:p>
        </w:tc>
        <w:tc>
          <w:tcPr>
            <w:tcW w:w="360" w:type="dxa"/>
            <w:vAlign w:val="bottom"/>
            <w:gridSpan w:val="4"/>
          </w:tcPr>
          <w:p>
            <w:pPr>
              <w:jc w:val="right"/>
              <w:ind w:right="17"/>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(47,393)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
              <w:spacing w:after="0"/>
              <w:rPr>
                <w:sz w:val="20"/>
                <w:szCs w:val="20"/>
                <w:color w:val="auto"/>
              </w:rPr>
            </w:pPr>
            <w:r>
              <w:rPr>
                <w:rFonts w:ascii="Arial" w:cs="Arial" w:eastAsia="Arial" w:hAnsi="Arial"/>
                <w:sz w:val="17"/>
                <w:szCs w:val="17"/>
                <w:color w:val="auto"/>
              </w:rPr>
              <w:t>49,807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As of December 31, 2020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gridSpan w:val="2"/>
            <w:vMerge w:val="restart"/>
          </w:tcPr>
          <w:p>
            <w:pPr>
              <w:jc w:val="right"/>
              <w:ind w:right="59"/>
              <w:spacing w:after="0"/>
              <w:rPr>
                <w:sz w:val="20"/>
                <w:szCs w:val="20"/>
                <w:color w:val="auto"/>
              </w:rPr>
            </w:pPr>
            <w:r>
              <w:rPr>
                <w:rFonts w:ascii="Arial" w:cs="Arial" w:eastAsia="Arial" w:hAnsi="Arial"/>
                <w:sz w:val="13"/>
                <w:szCs w:val="13"/>
                <w:b w:val="1"/>
                <w:bCs w:val="1"/>
                <w:color w:val="auto"/>
                <w:w w:val="97"/>
              </w:rPr>
              <w:t>Gross Carrying Amount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tcPr>
          <w:p>
            <w:pPr>
              <w:jc w:val="center"/>
              <w:ind w:right="340"/>
              <w:spacing w:after="0" w:line="123" w:lineRule="exact"/>
              <w:rPr>
                <w:sz w:val="20"/>
                <w:szCs w:val="20"/>
                <w:color w:val="auto"/>
              </w:rPr>
            </w:pPr>
            <w:r>
              <w:rPr>
                <w:rFonts w:ascii="Arial" w:cs="Arial" w:eastAsia="Arial" w:hAnsi="Arial"/>
                <w:sz w:val="13"/>
                <w:szCs w:val="13"/>
                <w:b w:val="1"/>
                <w:bCs w:val="1"/>
                <w:color w:val="auto"/>
                <w:w w:val="90"/>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141"/>
              <w:spacing w:after="0" w:line="123" w:lineRule="exact"/>
              <w:rPr>
                <w:sz w:val="20"/>
                <w:szCs w:val="20"/>
                <w:color w:val="auto"/>
              </w:rPr>
            </w:pPr>
            <w:r>
              <w:rPr>
                <w:rFonts w:ascii="Arial" w:cs="Arial" w:eastAsia="Arial" w:hAnsi="Arial"/>
                <w:sz w:val="13"/>
                <w:szCs w:val="13"/>
                <w:b w:val="1"/>
                <w:bCs w:val="1"/>
                <w:color w:val="auto"/>
                <w:w w:val="97"/>
              </w:rPr>
              <w:t>Net Carrying</w:t>
            </w:r>
          </w:p>
        </w:tc>
        <w:tc>
          <w:tcPr>
            <w:tcW w:w="0" w:type="dxa"/>
            <w:vAlign w:val="bottom"/>
          </w:tcPr>
          <w:p>
            <w:pPr>
              <w:spacing w:after="0"/>
              <w:rPr>
                <w:sz w:val="1"/>
                <w:szCs w:val="1"/>
                <w:color w:val="auto"/>
              </w:rPr>
            </w:pPr>
          </w:p>
        </w:tc>
      </w:tr>
      <w:tr>
        <w:trPr>
          <w:trHeight w:val="174"/>
        </w:trPr>
        <w:tc>
          <w:tcPr>
            <w:tcW w:w="6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8"/>
              </w:rPr>
              <w:t>Amortization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41"/>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93"/>
        </w:trPr>
        <w:tc>
          <w:tcPr>
            <w:tcW w:w="6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Finite-lived intangible assets:</w:t>
            </w: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280" w:type="dxa"/>
            <w:vAlign w:val="bottom"/>
            <w:gridSpan w:val="2"/>
          </w:tcPr>
          <w:p>
            <w:pPr>
              <w:jc w:val="right"/>
              <w:ind w:right="10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73,357</w:t>
            </w:r>
          </w:p>
        </w:tc>
        <w:tc>
          <w:tcPr>
            <w:tcW w:w="360" w:type="dxa"/>
            <w:vAlign w:val="bottom"/>
            <w:gridSpan w:val="4"/>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(27,464)</w:t>
            </w:r>
          </w:p>
        </w:tc>
        <w:tc>
          <w:tcPr>
            <w:tcW w:w="80" w:type="dxa"/>
            <w:vAlign w:val="bottom"/>
          </w:tcPr>
          <w:p>
            <w:pPr>
              <w:spacing w:after="0"/>
              <w:rPr>
                <w:sz w:val="18"/>
                <w:szCs w:val="18"/>
                <w:color w:val="auto"/>
              </w:rPr>
            </w:pPr>
          </w:p>
        </w:tc>
        <w:tc>
          <w:tcPr>
            <w:tcW w:w="240" w:type="dxa"/>
            <w:vAlign w:val="bottom"/>
            <w:gridSpan w:val="2"/>
          </w:tcPr>
          <w:p>
            <w:pPr>
              <w:jc w:val="right"/>
              <w:ind w:right="3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
              <w:spacing w:after="0"/>
              <w:rPr>
                <w:sz w:val="20"/>
                <w:szCs w:val="20"/>
                <w:color w:val="auto"/>
              </w:rPr>
            </w:pPr>
            <w:r>
              <w:rPr>
                <w:rFonts w:ascii="Arial" w:cs="Arial" w:eastAsia="Arial" w:hAnsi="Arial"/>
                <w:sz w:val="17"/>
                <w:szCs w:val="17"/>
                <w:color w:val="auto"/>
              </w:rPr>
              <w:t>45,893</w:t>
            </w: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(11,858)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11,652</w:t>
            </w:r>
          </w:p>
        </w:tc>
        <w:tc>
          <w:tcPr>
            <w:tcW w:w="0" w:type="dxa"/>
            <w:vAlign w:val="bottom"/>
          </w:tcPr>
          <w:p>
            <w:pPr>
              <w:spacing w:after="0"/>
              <w:rPr>
                <w:sz w:val="1"/>
                <w:szCs w:val="1"/>
                <w:color w:val="auto"/>
              </w:rPr>
            </w:pPr>
          </w:p>
        </w:tc>
      </w:tr>
      <w:tr>
        <w:trPr>
          <w:trHeight w:val="212"/>
        </w:trPr>
        <w:tc>
          <w:tcPr>
            <w:tcW w:w="6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Trade names and trademarks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(3,951)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1,149</w:t>
            </w:r>
          </w:p>
        </w:tc>
        <w:tc>
          <w:tcPr>
            <w:tcW w:w="0" w:type="dxa"/>
            <w:vAlign w:val="bottom"/>
          </w:tcPr>
          <w:p>
            <w:pPr>
              <w:spacing w:after="0"/>
              <w:rPr>
                <w:sz w:val="1"/>
                <w:szCs w:val="1"/>
                <w:color w:val="auto"/>
              </w:rPr>
            </w:pPr>
          </w:p>
        </w:tc>
      </w:tr>
      <w:tr>
        <w:trPr>
          <w:trHeight w:val="205"/>
        </w:trPr>
        <w:tc>
          <w:tcPr>
            <w:tcW w:w="64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101,967</w:t>
            </w:r>
          </w:p>
        </w:tc>
        <w:tc>
          <w:tcPr>
            <w:tcW w:w="360" w:type="dxa"/>
            <w:vAlign w:val="bottom"/>
            <w:gridSpan w:val="4"/>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(43,273)</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58,694</w:t>
            </w:r>
          </w:p>
        </w:tc>
        <w:tc>
          <w:tcPr>
            <w:tcW w:w="0" w:type="dxa"/>
            <w:vAlign w:val="bottom"/>
          </w:tcPr>
          <w:p>
            <w:pPr>
              <w:spacing w:after="0"/>
              <w:rPr>
                <w:sz w:val="1"/>
                <w:szCs w:val="1"/>
                <w:color w:val="auto"/>
              </w:rPr>
            </w:pPr>
          </w:p>
        </w:tc>
      </w:tr>
      <w:tr>
        <w:trPr>
          <w:trHeight w:val="197"/>
        </w:trPr>
        <w:tc>
          <w:tcPr>
            <w:tcW w:w="646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Trade names and trademarks</w:t>
            </w:r>
          </w:p>
        </w:tc>
        <w:tc>
          <w:tcPr>
            <w:tcW w:w="280" w:type="dxa"/>
            <w:vAlign w:val="bottom"/>
            <w:tcBorders>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gridSpan w:val="2"/>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05"/>
        </w:trPr>
        <w:tc>
          <w:tcPr>
            <w:tcW w:w="6460" w:type="dxa"/>
            <w:vAlign w:val="bottom"/>
          </w:tcPr>
          <w:p>
            <w:pPr>
              <w:spacing w:after="0"/>
              <w:rPr>
                <w:sz w:val="20"/>
                <w:szCs w:val="20"/>
                <w:color w:val="auto"/>
              </w:rPr>
            </w:pPr>
            <w:r>
              <w:rPr>
                <w:rFonts w:ascii="Arial" w:cs="Arial" w:eastAsia="Arial" w:hAnsi="Arial"/>
                <w:sz w:val="17"/>
                <w:szCs w:val="17"/>
                <w:b w:val="1"/>
                <w:bCs w:val="1"/>
                <w:color w:val="auto"/>
              </w:rPr>
              <w:t>Total intangible assets</w:t>
            </w:r>
          </w:p>
        </w:tc>
        <w:tc>
          <w:tcPr>
            <w:tcW w:w="280" w:type="dxa"/>
            <w:vAlign w:val="bottom"/>
            <w:gridSpan w:val="2"/>
          </w:tcPr>
          <w:p>
            <w:pPr>
              <w:jc w:val="right"/>
              <w:ind w:right="10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102,867</w:t>
            </w:r>
          </w:p>
        </w:tc>
        <w:tc>
          <w:tcPr>
            <w:tcW w:w="360" w:type="dxa"/>
            <w:vAlign w:val="bottom"/>
            <w:gridSpan w:val="4"/>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(43,273)</w:t>
            </w:r>
          </w:p>
        </w:tc>
        <w:tc>
          <w:tcPr>
            <w:tcW w:w="80" w:type="dxa"/>
            <w:vAlign w:val="bottom"/>
          </w:tcPr>
          <w:p>
            <w:pPr>
              <w:spacing w:after="0"/>
              <w:rPr>
                <w:sz w:val="17"/>
                <w:szCs w:val="17"/>
                <w:color w:val="auto"/>
              </w:rPr>
            </w:pPr>
          </w:p>
        </w:tc>
        <w:tc>
          <w:tcPr>
            <w:tcW w:w="240" w:type="dxa"/>
            <w:vAlign w:val="bottom"/>
            <w:gridSpan w:val="2"/>
          </w:tcPr>
          <w:p>
            <w:pPr>
              <w:jc w:val="right"/>
              <w:ind w:right="3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
              <w:spacing w:after="0"/>
              <w:rPr>
                <w:sz w:val="20"/>
                <w:szCs w:val="20"/>
                <w:color w:val="auto"/>
              </w:rPr>
            </w:pPr>
            <w:r>
              <w:rPr>
                <w:rFonts w:ascii="Arial" w:cs="Arial" w:eastAsia="Arial" w:hAnsi="Arial"/>
                <w:sz w:val="17"/>
                <w:szCs w:val="17"/>
                <w:color w:val="auto"/>
              </w:rPr>
              <w:t>59,594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amortization expense recognized in the unaudited consolidated statements of income was as follows: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52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3"/>
                <w:szCs w:val="13"/>
                <w:b w:val="1"/>
                <w:bCs w:val="1"/>
                <w:color w:val="auto"/>
              </w:rPr>
              <w:t>Three months ended 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Nine months ended September 30,</w:t>
            </w:r>
          </w:p>
        </w:tc>
      </w:tr>
      <w:tr>
        <w:trPr>
          <w:trHeight w:val="171"/>
        </w:trPr>
        <w:tc>
          <w:tcPr>
            <w:tcW w:w="45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2020</w:t>
            </w:r>
          </w:p>
        </w:tc>
      </w:tr>
      <w:tr>
        <w:trPr>
          <w:trHeight w:val="231"/>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7"/>
                <w:szCs w:val="17"/>
                <w:color w:val="auto"/>
              </w:rPr>
              <w:t>9,780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10,997</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4980" w:type="dxa"/>
            <w:vAlign w:val="bottom"/>
            <w:gridSpan w:val="3"/>
          </w:tcPr>
          <w:p>
            <w:pPr>
              <w:ind w:left="60"/>
              <w:spacing w:after="0"/>
              <w:rPr>
                <w:sz w:val="20"/>
                <w:szCs w:val="20"/>
                <w:color w:val="auto"/>
              </w:rPr>
            </w:pPr>
            <w:r>
              <w:rPr>
                <w:rFonts w:ascii="Arial" w:cs="Arial" w:eastAsia="Arial" w:hAnsi="Arial"/>
                <w:sz w:val="17"/>
                <w:szCs w:val="17"/>
                <w:color w:val="auto"/>
                <w:w w:val="93"/>
              </w:rPr>
              <w:t>The remaining weighted average life of intangible assets is as follows: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7"/>
                <w:szCs w:val="17"/>
                <w:b w:val="1"/>
                <w:bCs w:val="1"/>
                <w:color w:val="auto"/>
              </w:rPr>
              <w:t>(in years)</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 and trademarks (Finite lived)</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20" w:type="dxa"/>
            <w:vAlign w:val="bottom"/>
            <w:gridSpan w:val="6"/>
          </w:tcPr>
          <w:p>
            <w:pPr>
              <w:spacing w:after="0"/>
              <w:rPr>
                <w:sz w:val="20"/>
                <w:szCs w:val="20"/>
                <w:color w:val="auto"/>
              </w:rPr>
            </w:pPr>
            <w:r>
              <w:rPr>
                <w:rFonts w:ascii="Arial" w:cs="Arial" w:eastAsia="Arial" w:hAnsi="Arial"/>
                <w:sz w:val="17"/>
                <w:szCs w:val="17"/>
                <w:color w:val="auto"/>
                <w:w w:val="90"/>
              </w:rPr>
              <w:t>Estimated future amortization expense related to finite-lived intangible assets as of September 30, 2021 was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right w:val="single" w:sz="8" w:color="CCEEFF"/>
            </w:tcBorders>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2021 (October 1 - December 31)</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2,996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00" w:type="dxa"/>
            <w:vAlign w:val="bottom"/>
            <w:gridSpan w:val="4"/>
          </w:tcPr>
          <w:p>
            <w:pPr>
              <w:ind w:left="680"/>
              <w:spacing w:after="0"/>
              <w:rPr>
                <w:sz w:val="20"/>
                <w:szCs w:val="20"/>
                <w:color w:val="auto"/>
              </w:rPr>
            </w:pPr>
            <w:r>
              <w:rPr>
                <w:rFonts w:ascii="Arial" w:cs="Arial" w:eastAsia="Arial" w:hAnsi="Arial"/>
                <w:sz w:val="17"/>
                <w:szCs w:val="17"/>
                <w:color w:val="auto"/>
              </w:rPr>
              <w:t>2022</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11,341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right w:val="single" w:sz="8" w:color="CCEEFF"/>
            </w:tcBorders>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9,049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00" w:type="dxa"/>
            <w:vAlign w:val="bottom"/>
            <w:gridSpan w:val="4"/>
          </w:tcPr>
          <w:p>
            <w:pPr>
              <w:ind w:left="680"/>
              <w:spacing w:after="0"/>
              <w:rPr>
                <w:sz w:val="20"/>
                <w:szCs w:val="20"/>
                <w:color w:val="auto"/>
              </w:rPr>
            </w:pPr>
            <w:r>
              <w:rPr>
                <w:rFonts w:ascii="Arial" w:cs="Arial" w:eastAsia="Arial" w:hAnsi="Arial"/>
                <w:sz w:val="17"/>
                <w:szCs w:val="17"/>
                <w:color w:val="auto"/>
              </w:rPr>
              <w:t>2024</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6,707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right w:val="single" w:sz="8" w:color="CCEEFF"/>
            </w:tcBorders>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5,955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2026 and thereafter</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12,859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right w:val="single" w:sz="8" w:color="CCEEFF"/>
            </w:tcBorders>
          </w:tcPr>
          <w:p>
            <w:pPr>
              <w:spacing w:after="0"/>
              <w:rPr>
                <w:sz w:val="17"/>
                <w:szCs w:val="17"/>
                <w:color w:val="auto"/>
              </w:rPr>
            </w:pPr>
          </w:p>
        </w:tc>
        <w:tc>
          <w:tcPr>
            <w:tcW w:w="4560" w:type="dxa"/>
            <w:vAlign w:val="bottom"/>
            <w:tcBorders>
              <w:bottom w:val="single" w:sz="8" w:color="CCEEFF"/>
            </w:tcBorders>
            <w:shd w:val="clear" w:color="auto" w:fill="CCEEFF"/>
          </w:tcPr>
          <w:p>
            <w:pPr>
              <w:spacing w:after="0" w:line="193" w:lineRule="exact"/>
              <w:rPr>
                <w:sz w:val="20"/>
                <w:szCs w:val="20"/>
                <w:color w:val="auto"/>
              </w:rPr>
            </w:pPr>
            <w:r>
              <w:rPr>
                <w:rFonts w:ascii="Arial" w:cs="Arial" w:eastAsia="Arial" w:hAnsi="Arial"/>
                <w:sz w:val="17"/>
                <w:szCs w:val="17"/>
                <w:color w:val="auto"/>
              </w:rPr>
              <w:t>Total</w:t>
            </w:r>
          </w:p>
        </w:tc>
        <w:tc>
          <w:tcPr>
            <w:tcW w:w="1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48,907</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CCEEFF"/>
            </w:tcBorders>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10. Other Current Assets</w:t>
            </w: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300" w:type="dxa"/>
            <w:vAlign w:val="bottom"/>
            <w:gridSpan w:val="4"/>
            <w:vMerge w:val="continue"/>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20" w:type="dxa"/>
            <w:vAlign w:val="bottom"/>
          </w:tcPr>
          <w:p>
            <w:pPr>
              <w:spacing w:after="0"/>
              <w:rPr>
                <w:sz w:val="24"/>
                <w:szCs w:val="24"/>
                <w:color w:val="auto"/>
              </w:rPr>
            </w:pPr>
          </w:p>
        </w:tc>
        <w:tc>
          <w:tcPr>
            <w:tcW w:w="4980" w:type="dxa"/>
            <w:vAlign w:val="bottom"/>
            <w:gridSpan w:val="3"/>
          </w:tcPr>
          <w:p>
            <w:pPr>
              <w:ind w:left="60"/>
              <w:spacing w:after="0"/>
              <w:rPr>
                <w:sz w:val="20"/>
                <w:szCs w:val="20"/>
                <w:color w:val="auto"/>
              </w:rPr>
            </w:pPr>
            <w:r>
              <w:rPr>
                <w:rFonts w:ascii="Arial" w:cs="Arial" w:eastAsia="Arial" w:hAnsi="Arial"/>
                <w:sz w:val="17"/>
                <w:szCs w:val="17"/>
                <w:color w:val="auto"/>
              </w:rPr>
              <w:t>Other current assets consist of the following:</w:t>
            </w: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6"/>
              </w:rPr>
              <w:t>As of</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97"/>
              </w:rPr>
              <w:t>September 30, 2021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3"/>
                <w:szCs w:val="13"/>
                <w:b w:val="1"/>
                <w:bCs w:val="1"/>
                <w:color w:val="auto"/>
                <w:w w:val="97"/>
              </w:rPr>
              <w:t>December 31, 2020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49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Receivables from statutory authorities</w:t>
            </w:r>
          </w:p>
        </w:tc>
        <w:tc>
          <w:tcPr>
            <w:tcW w:w="21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16,256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15,658</w:t>
            </w:r>
          </w:p>
        </w:tc>
        <w:tc>
          <w:tcPr>
            <w:tcW w:w="3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980" w:type="dxa"/>
            <w:vAlign w:val="bottom"/>
            <w:gridSpan w:val="3"/>
          </w:tcPr>
          <w:p>
            <w:pPr>
              <w:ind w:left="20"/>
              <w:spacing w:after="0"/>
              <w:rPr>
                <w:sz w:val="20"/>
                <w:szCs w:val="20"/>
                <w:color w:val="auto"/>
              </w:rPr>
            </w:pPr>
            <w:r>
              <w:rPr>
                <w:rFonts w:ascii="Arial" w:cs="Arial" w:eastAsia="Arial" w:hAnsi="Arial"/>
                <w:sz w:val="17"/>
                <w:szCs w:val="17"/>
                <w:color w:val="auto"/>
              </w:rPr>
              <w:t>Derivative instruments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7,371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7"/>
                <w:szCs w:val="17"/>
                <w:color w:val="auto"/>
              </w:rPr>
              <w:t>9,755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9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Advances to suppliers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3,906</w:t>
            </w:r>
          </w:p>
        </w:tc>
        <w:tc>
          <w:tcPr>
            <w:tcW w:w="3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980" w:type="dxa"/>
            <w:vAlign w:val="bottom"/>
            <w:gridSpan w:val="3"/>
          </w:tcPr>
          <w:p>
            <w:pPr>
              <w:ind w:left="20"/>
              <w:spacing w:after="0"/>
              <w:rPr>
                <w:sz w:val="20"/>
                <w:szCs w:val="20"/>
                <w:color w:val="auto"/>
              </w:rPr>
            </w:pPr>
            <w:r>
              <w:rPr>
                <w:rFonts w:ascii="Arial" w:cs="Arial" w:eastAsia="Arial" w:hAnsi="Arial"/>
                <w:sz w:val="17"/>
                <w:szCs w:val="17"/>
                <w:color w:val="auto"/>
              </w:rPr>
              <w:t>Deferred contract fulfillment costs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1,606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7"/>
                <w:szCs w:val="17"/>
                <w:color w:val="auto"/>
              </w:rPr>
              <w:t>2,888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9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1,814</w:t>
            </w:r>
          </w:p>
        </w:tc>
        <w:tc>
          <w:tcPr>
            <w:tcW w:w="3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980" w:type="dxa"/>
            <w:vAlign w:val="bottom"/>
            <w:gridSpan w:val="3"/>
          </w:tcPr>
          <w:p>
            <w:pPr>
              <w:ind w:left="20"/>
              <w:spacing w:after="0"/>
              <w:rPr>
                <w:sz w:val="20"/>
                <w:szCs w:val="20"/>
                <w:color w:val="auto"/>
              </w:rPr>
            </w:pPr>
            <w:r>
              <w:rPr>
                <w:rFonts w:ascii="Arial" w:cs="Arial" w:eastAsia="Arial" w:hAnsi="Arial"/>
                <w:sz w:val="17"/>
                <w:szCs w:val="17"/>
                <w:color w:val="auto"/>
              </w:rPr>
              <w:t>Interest accrued on term deposits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621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7"/>
                <w:szCs w:val="17"/>
                <w:color w:val="auto"/>
              </w:rPr>
              <w:t>169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9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2,219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2,919</w:t>
            </w:r>
          </w:p>
        </w:tc>
        <w:tc>
          <w:tcPr>
            <w:tcW w:w="3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4980" w:type="dxa"/>
            <w:vAlign w:val="bottom"/>
            <w:gridSpan w:val="3"/>
          </w:tcPr>
          <w:p>
            <w:pPr>
              <w:ind w:left="20"/>
              <w:spacing w:after="0"/>
              <w:rPr>
                <w:sz w:val="20"/>
                <w:szCs w:val="20"/>
                <w:color w:val="auto"/>
              </w:rPr>
            </w:pPr>
            <w:r>
              <w:rPr>
                <w:rFonts w:ascii="Arial" w:cs="Arial" w:eastAsia="Arial" w:hAnsi="Arial"/>
                <w:sz w:val="17"/>
                <w:szCs w:val="17"/>
                <w:color w:val="auto"/>
              </w:rPr>
              <w:t>Other current assets</w:t>
            </w:r>
          </w:p>
        </w:tc>
        <w:tc>
          <w:tcPr>
            <w:tcW w:w="21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33,223</w:t>
            </w:r>
          </w:p>
        </w:tc>
        <w:tc>
          <w:tcPr>
            <w:tcW w:w="4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7"/>
                <w:szCs w:val="17"/>
                <w:color w:val="auto"/>
              </w:rPr>
              <w:t>37,109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11. Other Assets</w:t>
            </w: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5300" w:type="dxa"/>
            <w:vAlign w:val="bottom"/>
            <w:gridSpan w:val="4"/>
            <w:vMerge w:val="continue"/>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20" w:type="dxa"/>
            <w:vAlign w:val="bottom"/>
          </w:tcPr>
          <w:p>
            <w:pPr>
              <w:spacing w:after="0"/>
              <w:rPr>
                <w:sz w:val="24"/>
                <w:szCs w:val="24"/>
                <w:color w:val="auto"/>
              </w:rPr>
            </w:pPr>
          </w:p>
        </w:tc>
        <w:tc>
          <w:tcPr>
            <w:tcW w:w="4980" w:type="dxa"/>
            <w:vAlign w:val="bottom"/>
            <w:gridSpan w:val="3"/>
          </w:tcPr>
          <w:p>
            <w:pPr>
              <w:ind w:left="60"/>
              <w:spacing w:after="0"/>
              <w:rPr>
                <w:sz w:val="20"/>
                <w:szCs w:val="20"/>
                <w:color w:val="auto"/>
              </w:rPr>
            </w:pPr>
            <w:r>
              <w:rPr>
                <w:rFonts w:ascii="Arial" w:cs="Arial" w:eastAsia="Arial" w:hAnsi="Arial"/>
                <w:sz w:val="17"/>
                <w:szCs w:val="17"/>
                <w:color w:val="auto"/>
              </w:rPr>
              <w:t>Other assets consist of the following:</w:t>
            </w: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w w:val="86"/>
              </w:rPr>
              <w:t>As of</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September 30, 2021</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3"/>
                <w:szCs w:val="13"/>
                <w:b w:val="1"/>
                <w:bCs w:val="1"/>
                <w:color w:val="auto"/>
                <w:w w:val="90"/>
              </w:rPr>
              <w:t>December 31, 2020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Lease deposits</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9,788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gridSpan w:val="2"/>
          </w:tcPr>
          <w:p>
            <w:pPr>
              <w:ind w:left="100"/>
              <w:spacing w:after="0"/>
              <w:rPr>
                <w:sz w:val="20"/>
                <w:szCs w:val="20"/>
                <w:color w:val="auto"/>
              </w:rPr>
            </w:pPr>
            <w:r>
              <w:rPr>
                <w:rFonts w:ascii="Arial" w:cs="Arial" w:eastAsia="Arial" w:hAnsi="Arial"/>
                <w:sz w:val="17"/>
                <w:szCs w:val="17"/>
                <w:color w:val="auto"/>
              </w:rPr>
              <w:t>Deposits with statutory authorities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6,425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7"/>
                <w:szCs w:val="17"/>
                <w:color w:val="auto"/>
              </w:rPr>
              <w:t>6,341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Derivative instruments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6,933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gridSpan w:val="2"/>
          </w:tcPr>
          <w:p>
            <w:pPr>
              <w:ind w:left="100"/>
              <w:spacing w:after="0"/>
              <w:rPr>
                <w:sz w:val="20"/>
                <w:szCs w:val="20"/>
                <w:color w:val="auto"/>
              </w:rPr>
            </w:pPr>
            <w:r>
              <w:rPr>
                <w:rFonts w:ascii="Arial" w:cs="Arial" w:eastAsia="Arial" w:hAnsi="Arial"/>
                <w:sz w:val="17"/>
                <w:szCs w:val="17"/>
                <w:color w:val="auto"/>
              </w:rPr>
              <w:t>Deferred contract fulfillment costs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7"/>
                <w:szCs w:val="17"/>
                <w:color w:val="auto"/>
              </w:rPr>
              <w:t>2,743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Contract assets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2,623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gridSpan w:val="2"/>
          </w:tcPr>
          <w:p>
            <w:pPr>
              <w:ind w:left="100"/>
              <w:spacing w:after="0"/>
              <w:rPr>
                <w:sz w:val="20"/>
                <w:szCs w:val="20"/>
                <w:color w:val="auto"/>
              </w:rPr>
            </w:pPr>
            <w:r>
              <w:rPr>
                <w:rFonts w:ascii="Arial" w:cs="Arial" w:eastAsia="Arial" w:hAnsi="Arial"/>
                <w:sz w:val="17"/>
                <w:szCs w:val="17"/>
                <w:color w:val="auto"/>
              </w:rPr>
              <w:t>Term deposits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7"/>
                <w:szCs w:val="17"/>
                <w:color w:val="auto"/>
              </w:rPr>
              <w:t>216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Others</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2,663</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3,455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2"/>
          </w:tcPr>
          <w:p>
            <w:pPr>
              <w:ind w:left="100"/>
              <w:spacing w:after="0"/>
              <w:rPr>
                <w:sz w:val="20"/>
                <w:szCs w:val="20"/>
                <w:color w:val="auto"/>
              </w:rPr>
            </w:pPr>
            <w:r>
              <w:rPr>
                <w:rFonts w:ascii="Arial" w:cs="Arial" w:eastAsia="Arial" w:hAnsi="Arial"/>
                <w:sz w:val="17"/>
                <w:szCs w:val="17"/>
                <w:color w:val="auto"/>
              </w:rPr>
              <w:t>Other assets</w:t>
            </w:r>
          </w:p>
        </w:tc>
        <w:tc>
          <w:tcPr>
            <w:tcW w:w="19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27,154</w:t>
            </w:r>
          </w:p>
        </w:tc>
        <w:tc>
          <w:tcPr>
            <w:tcW w:w="100" w:type="dxa"/>
            <w:vAlign w:val="bottom"/>
          </w:tcPr>
          <w:p>
            <w:pPr>
              <w:spacing w:after="0"/>
              <w:rPr>
                <w:sz w:val="17"/>
                <w:szCs w:val="17"/>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7"/>
                <w:szCs w:val="17"/>
                <w:color w:val="auto"/>
              </w:rPr>
              <w:t>32,099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0" w:type="dxa"/>
            <w:vAlign w:val="bottom"/>
            <w:vMerge w:val="restart"/>
          </w:tcPr>
          <w:p>
            <w:pPr>
              <w:jc w:val="right"/>
              <w:ind w:right="1317"/>
              <w:spacing w:after="0"/>
              <w:rPr>
                <w:sz w:val="20"/>
                <w:szCs w:val="20"/>
                <w:color w:val="auto"/>
              </w:rPr>
            </w:pPr>
            <w:r>
              <w:rPr>
                <w:rFonts w:ascii="Arial" w:cs="Arial" w:eastAsia="Arial" w:hAnsi="Arial"/>
                <w:sz w:val="17"/>
                <w:szCs w:val="17"/>
                <w:color w:val="auto"/>
              </w:rPr>
              <w:t>21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Accrued Expenses and Other Current Liabilities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Accrued expenses and other current liabilities consist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As of</w:t>
            </w:r>
          </w:p>
        </w:tc>
        <w:tc>
          <w:tcPr>
            <w:tcW w:w="1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September 30, 2021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7"/>
              </w:rPr>
              <w:t>December 31, 2020</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6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39,369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39,951</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tcPr>
          <w:p>
            <w:pPr>
              <w:ind w:left="20"/>
              <w:spacing w:after="0"/>
              <w:rPr>
                <w:sz w:val="20"/>
                <w:szCs w:val="20"/>
                <w:color w:val="auto"/>
              </w:rPr>
            </w:pPr>
            <w:r>
              <w:rPr>
                <w:rFonts w:ascii="Arial" w:cs="Arial" w:eastAsia="Arial" w:hAnsi="Arial"/>
                <w:sz w:val="17"/>
                <w:szCs w:val="17"/>
                <w:color w:val="auto"/>
              </w:rPr>
              <w:t>Payable to statutory authorities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12,093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10,594</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Client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4,740</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tcPr>
          <w:p>
            <w:pPr>
              <w:ind w:left="20"/>
              <w:spacing w:after="0"/>
              <w:rPr>
                <w:sz w:val="20"/>
                <w:szCs w:val="20"/>
                <w:color w:val="auto"/>
              </w:rPr>
            </w:pPr>
            <w:r>
              <w:rPr>
                <w:rFonts w:ascii="Arial" w:cs="Arial" w:eastAsia="Arial" w:hAnsi="Arial"/>
                <w:sz w:val="17"/>
                <w:szCs w:val="17"/>
                <w:color w:val="auto"/>
              </w:rPr>
              <w:t>Accrued capital expenditures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4,758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7,857</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tcPr>
          <w:p>
            <w:pPr>
              <w:ind w:left="20"/>
              <w:spacing w:after="0"/>
              <w:rPr>
                <w:sz w:val="20"/>
                <w:szCs w:val="20"/>
                <w:color w:val="auto"/>
              </w:rPr>
            </w:pPr>
            <w:r>
              <w:rPr>
                <w:rFonts w:ascii="Arial" w:cs="Arial" w:eastAsia="Arial" w:hAnsi="Arial"/>
                <w:sz w:val="17"/>
                <w:szCs w:val="17"/>
                <w:color w:val="auto"/>
              </w:rPr>
              <w:t>Interest payable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1,399</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Finance lease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1,205</w:t>
            </w: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694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67,926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66,410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13. Other Non-Current Liabilities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3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6940" w:type="dxa"/>
            <w:vAlign w:val="bottom"/>
            <w:gridSpan w:val="2"/>
          </w:tcPr>
          <w:p>
            <w:pPr>
              <w:ind w:left="60"/>
              <w:spacing w:after="0"/>
              <w:rPr>
                <w:sz w:val="20"/>
                <w:szCs w:val="20"/>
                <w:color w:val="auto"/>
              </w:rPr>
            </w:pPr>
            <w:r>
              <w:rPr>
                <w:rFonts w:ascii="Arial" w:cs="Arial" w:eastAsia="Arial" w:hAnsi="Arial"/>
                <w:sz w:val="17"/>
                <w:szCs w:val="17"/>
                <w:color w:val="auto"/>
              </w:rPr>
              <w:t>Other non-current liabilities consist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As of</w:t>
            </w:r>
          </w:p>
        </w:tc>
        <w:tc>
          <w:tcPr>
            <w:tcW w:w="14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September 30, 2021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w w:val="97"/>
              </w:rPr>
              <w:t>December 31,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Retirement benefits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6,073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Derivative instruments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2,504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Deferred transition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509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Accrued capital expenditures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3,282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60" w:type="dxa"/>
            <w:vAlign w:val="bottom"/>
          </w:tcPr>
          <w:p>
            <w:pPr>
              <w:ind w:left="20"/>
              <w:spacing w:after="0" w:line="193" w:lineRule="exact"/>
              <w:rPr>
                <w:sz w:val="20"/>
                <w:szCs w:val="20"/>
                <w:color w:val="auto"/>
              </w:rPr>
            </w:pPr>
            <w:r>
              <w:rPr>
                <w:rFonts w:ascii="Arial" w:cs="Arial" w:eastAsia="Arial" w:hAnsi="Arial"/>
                <w:sz w:val="17"/>
                <w:szCs w:val="17"/>
                <w:color w:val="auto"/>
              </w:rPr>
              <w:t>Other non-current liabilities</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13,529</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18,135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Accumulated Other Comprehensive Loss</w:t>
      </w:r>
    </w:p>
    <w:p>
      <w:pPr>
        <w:spacing w:after="0" w:line="221" w:lineRule="exact"/>
        <w:rPr>
          <w:sz w:val="20"/>
          <w:szCs w:val="20"/>
          <w:color w:val="auto"/>
        </w:rPr>
      </w:pPr>
    </w:p>
    <w:p>
      <w:pPr>
        <w:jc w:val="both"/>
        <w:ind w:firstLine="375"/>
        <w:spacing w:after="0" w:line="222" w:lineRule="auto"/>
        <w:rPr>
          <w:sz w:val="20"/>
          <w:szCs w:val="20"/>
          <w:color w:val="auto"/>
        </w:rPr>
      </w:pPr>
      <w:r>
        <w:rPr>
          <w:rFonts w:ascii="Arial" w:cs="Arial" w:eastAsia="Arial" w:hAnsi="Arial"/>
          <w:sz w:val="17"/>
          <w:szCs w:val="17"/>
          <w:color w:val="auto"/>
        </w:rPr>
        <w:t>Accumulated other comprehensive loss (“AOCL”) consists of actuarial gain/(loss) on retirement benefits and foreign currency translation adjustments. In addition, the Company enters into foreign currency exchange contracts, which are designated as cash flow hedges and net investment hedges in accordance with ASC 815. Cumulative changes in the fair values of these foreign currency exchange contracts are recognized in AOCL on the Company's unaudited consolidated balance sheets. Upon settlement of foreign exchange contracts designated as cash flow hedges, fair value changes are reclassified from AOCL to net income, whereas such fair value changes related to net investment hedges are included in net income when a foreign operation is disposed or partially disposed. The balances as of September 30, 2021 and 2020 are as follows: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Arial" w:cs="Arial" w:eastAsia="Arial" w:hAnsi="Arial"/>
                <w:sz w:val="13"/>
                <w:szCs w:val="13"/>
                <w:b w:val="1"/>
                <w:bCs w:val="1"/>
                <w:color w:val="auto"/>
              </w:rPr>
              <w:t>Foreign currency</w:t>
            </w:r>
          </w:p>
        </w:tc>
        <w:tc>
          <w:tcPr>
            <w:tcW w:w="1900" w:type="dxa"/>
            <w:vAlign w:val="bottom"/>
            <w:gridSpan w:val="3"/>
          </w:tcPr>
          <w:p>
            <w:pPr>
              <w:ind w:left="480"/>
              <w:spacing w:after="0"/>
              <w:rPr>
                <w:sz w:val="20"/>
                <w:szCs w:val="20"/>
                <w:color w:val="auto"/>
              </w:rPr>
            </w:pPr>
            <w:r>
              <w:rPr>
                <w:rFonts w:ascii="Arial" w:cs="Arial" w:eastAsia="Arial" w:hAnsi="Arial"/>
                <w:sz w:val="13"/>
                <w:szCs w:val="13"/>
                <w:b w:val="1"/>
                <w:bCs w:val="1"/>
                <w:color w:val="auto"/>
              </w:rPr>
              <w:t>Unrealized gain/(loss)</w:t>
            </w:r>
          </w:p>
        </w:tc>
        <w:tc>
          <w:tcPr>
            <w:tcW w:w="50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Retirement benefits</w:t>
            </w:r>
          </w:p>
        </w:tc>
        <w:tc>
          <w:tcPr>
            <w:tcW w:w="720" w:type="dxa"/>
            <w:vAlign w:val="bottom"/>
          </w:tcPr>
          <w:p>
            <w:pPr>
              <w:spacing w:after="0"/>
              <w:rPr>
                <w:sz w:val="13"/>
                <w:szCs w:val="13"/>
                <w:color w:val="auto"/>
              </w:rPr>
            </w:pPr>
          </w:p>
        </w:tc>
        <w:tc>
          <w:tcPr>
            <w:tcW w:w="820" w:type="dxa"/>
            <w:vAlign w:val="bottom"/>
            <w:vMerge w:val="restart"/>
          </w:tcPr>
          <w:p>
            <w:pPr>
              <w:jc w:val="right"/>
              <w:ind w:right="21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translation loss</w:t>
            </w:r>
          </w:p>
        </w:tc>
        <w:tc>
          <w:tcPr>
            <w:tcW w:w="1900" w:type="dxa"/>
            <w:vAlign w:val="bottom"/>
            <w:gridSpan w:val="3"/>
          </w:tcPr>
          <w:p>
            <w:pPr>
              <w:ind w:left="340"/>
              <w:spacing w:after="0"/>
              <w:rPr>
                <w:sz w:val="20"/>
                <w:szCs w:val="20"/>
                <w:color w:val="auto"/>
              </w:rPr>
            </w:pPr>
            <w:r>
              <w:rPr>
                <w:rFonts w:ascii="Arial" w:cs="Arial" w:eastAsia="Arial" w:hAnsi="Arial"/>
                <w:sz w:val="13"/>
                <w:szCs w:val="13"/>
                <w:b w:val="1"/>
                <w:bCs w:val="1"/>
                <w:color w:val="auto"/>
              </w:rPr>
              <w:t>on cash flow hedges</w:t>
            </w:r>
          </w:p>
        </w:tc>
        <w:tc>
          <w:tcPr>
            <w:tcW w:w="5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720" w:type="dxa"/>
            <w:vAlign w:val="bottom"/>
            <w:tcBorders>
              <w:top w:val="single" w:sz="8" w:color="CCEEFF"/>
            </w:tcBorders>
            <w:shd w:val="clear" w:color="auto" w:fill="CCEEFF"/>
          </w:tcPr>
          <w:p>
            <w:pPr>
              <w:ind w:left="380"/>
              <w:spacing w:after="0" w:line="194" w:lineRule="exact"/>
              <w:rPr>
                <w:sz w:val="20"/>
                <w:szCs w:val="20"/>
                <w:color w:val="auto"/>
              </w:rPr>
            </w:pPr>
            <w:r>
              <w:rPr>
                <w:rFonts w:ascii="Arial" w:cs="Arial" w:eastAsia="Arial" w:hAnsi="Arial"/>
                <w:sz w:val="17"/>
                <w:szCs w:val="17"/>
                <w:color w:val="auto"/>
              </w:rPr>
              <w:t>Balance as of January 1, 2021</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(86,185)</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13,799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212"/>
        </w:trPr>
        <w:tc>
          <w:tcPr>
            <w:tcW w:w="3720" w:type="dxa"/>
            <w:vAlign w:val="bottom"/>
          </w:tcPr>
          <w:p>
            <w:pPr>
              <w:ind w:left="380"/>
              <w:spacing w:after="0"/>
              <w:rPr>
                <w:sz w:val="20"/>
                <w:szCs w:val="20"/>
                <w:color w:val="auto"/>
              </w:rPr>
            </w:pPr>
            <w:r>
              <w:rPr>
                <w:rFonts w:ascii="Arial" w:cs="Arial" w:eastAsia="Arial" w:hAnsi="Arial"/>
                <w:sz w:val="17"/>
                <w:szCs w:val="17"/>
                <w:color w:val="auto"/>
              </w:rPr>
              <w:t>Losses recognized during the period</w:t>
            </w: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(10,475)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Losses on net investment hedges</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2"/>
        </w:trPr>
        <w:tc>
          <w:tcPr>
            <w:tcW w:w="3720" w:type="dxa"/>
            <w:vAlign w:val="bottom"/>
          </w:tcPr>
          <w:p>
            <w:pPr>
              <w:ind w:left="380"/>
              <w:spacing w:after="0" w:line="212"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1"/>
                <w:szCs w:val="21"/>
                <w:color w:val="auto"/>
                <w:vertAlign w:val="superscript"/>
              </w:rPr>
              <w:t>(1)</w:t>
            </w:r>
          </w:p>
        </w:tc>
        <w:tc>
          <w:tcPr>
            <w:tcW w:w="4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533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380"/>
              <w:spacing w:after="0" w:line="212"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1"/>
                <w:szCs w:val="21"/>
                <w:color w:val="auto"/>
                <w:vertAlign w:val="superscript"/>
              </w:rPr>
              <w:t>(2)</w:t>
            </w: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42"/>
        </w:trPr>
        <w:tc>
          <w:tcPr>
            <w:tcW w:w="3720" w:type="dxa"/>
            <w:vAlign w:val="bottom"/>
          </w:tcPr>
          <w:p>
            <w:pPr>
              <w:ind w:left="380"/>
              <w:spacing w:after="0" w:line="142" w:lineRule="exact"/>
              <w:rPr>
                <w:sz w:val="20"/>
                <w:szCs w:val="20"/>
                <w:color w:val="auto"/>
              </w:rPr>
            </w:pPr>
            <w:r>
              <w:rPr>
                <w:rFonts w:ascii="Arial" w:cs="Arial" w:eastAsia="Arial" w:hAnsi="Arial"/>
                <w:sz w:val="16"/>
                <w:szCs w:val="16"/>
                <w:color w:val="auto"/>
                <w:w w:val="95"/>
              </w:rPr>
              <w:t>Accumulated other comprehensive (loss)/gain as</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(95,935)</w:t>
            </w:r>
          </w:p>
        </w:tc>
        <w:tc>
          <w:tcPr>
            <w:tcW w:w="100" w:type="dxa"/>
            <w:vAlign w:val="bottom"/>
          </w:tcPr>
          <w:p>
            <w:pPr>
              <w:spacing w:after="0"/>
              <w:rPr>
                <w:sz w:val="12"/>
                <w:szCs w:val="12"/>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5,897</w:t>
            </w: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(2,219)</w:t>
            </w:r>
          </w:p>
        </w:tc>
        <w:tc>
          <w:tcPr>
            <w:tcW w:w="80" w:type="dxa"/>
            <w:vAlign w:val="bottom"/>
          </w:tcPr>
          <w:p>
            <w:pPr>
              <w:spacing w:after="0"/>
              <w:rPr>
                <w:sz w:val="12"/>
                <w:szCs w:val="12"/>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192"/>
        </w:trPr>
        <w:tc>
          <w:tcPr>
            <w:tcW w:w="3720" w:type="dxa"/>
            <w:vAlign w:val="bottom"/>
          </w:tcPr>
          <w:p>
            <w:pPr>
              <w:ind w:left="20"/>
              <w:spacing w:after="0" w:line="187" w:lineRule="exact"/>
              <w:rPr>
                <w:sz w:val="20"/>
                <w:szCs w:val="20"/>
                <w:color w:val="auto"/>
              </w:rPr>
            </w:pPr>
            <w:r>
              <w:rPr>
                <w:rFonts w:ascii="Arial" w:cs="Arial" w:eastAsia="Arial" w:hAnsi="Arial"/>
                <w:sz w:val="17"/>
                <w:szCs w:val="17"/>
                <w:color w:val="auto"/>
              </w:rPr>
              <w:t>of September 30, 2021</w:t>
            </w:r>
          </w:p>
        </w:tc>
        <w:tc>
          <w:tcPr>
            <w:tcW w:w="48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380"/>
              <w:spacing w:after="0"/>
              <w:rPr>
                <w:sz w:val="20"/>
                <w:szCs w:val="20"/>
                <w:color w:val="auto"/>
              </w:rPr>
            </w:pPr>
            <w:r>
              <w:rPr>
                <w:rFonts w:ascii="Arial" w:cs="Arial" w:eastAsia="Arial" w:hAnsi="Arial"/>
                <w:sz w:val="17"/>
                <w:szCs w:val="17"/>
                <w:color w:val="auto"/>
              </w:rPr>
              <w:t>Balance as of January 1, 2020</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(87,591)</w:t>
            </w:r>
          </w:p>
        </w:tc>
        <w:tc>
          <w:tcPr>
            <w:tcW w:w="100" w:type="dxa"/>
            <w:vAlign w:val="bottom"/>
          </w:tcPr>
          <w:p>
            <w:pPr>
              <w:spacing w:after="0"/>
              <w:rPr>
                <w:sz w:val="18"/>
                <w:szCs w:val="18"/>
                <w:color w:val="auto"/>
              </w:rPr>
            </w:pPr>
          </w:p>
        </w:tc>
        <w:tc>
          <w:tcPr>
            <w:tcW w:w="880" w:type="dxa"/>
            <w:vAlign w:val="bottom"/>
          </w:tcPr>
          <w:p>
            <w:pPr>
              <w:jc w:val="right"/>
              <w:ind w:right="322"/>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4,098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(1,399)</w:t>
            </w:r>
          </w:p>
        </w:tc>
        <w:tc>
          <w:tcPr>
            <w:tcW w:w="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(84,8</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8"/>
              </w:rPr>
              <w:t>Gains / (losses) recognized during the period</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2"/>
        </w:trPr>
        <w:tc>
          <w:tcPr>
            <w:tcW w:w="3720" w:type="dxa"/>
            <w:vAlign w:val="bottom"/>
          </w:tcPr>
          <w:p>
            <w:pPr>
              <w:ind w:left="380"/>
              <w:spacing w:after="0" w:line="212"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1"/>
                <w:szCs w:val="21"/>
                <w:color w:val="auto"/>
                <w:vertAlign w:val="superscript"/>
              </w:rPr>
              <w:t>(1)</w:t>
            </w:r>
          </w:p>
        </w:tc>
        <w:tc>
          <w:tcPr>
            <w:tcW w:w="4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296</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380"/>
              <w:spacing w:after="0" w:line="212"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1"/>
                <w:szCs w:val="21"/>
                <w:color w:val="auto"/>
                <w:vertAlign w:val="superscript"/>
              </w:rPr>
              <w:t>(2)</w:t>
            </w: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42"/>
        </w:trPr>
        <w:tc>
          <w:tcPr>
            <w:tcW w:w="3720" w:type="dxa"/>
            <w:vAlign w:val="bottom"/>
          </w:tcPr>
          <w:p>
            <w:pPr>
              <w:ind w:left="380"/>
              <w:spacing w:after="0" w:line="142" w:lineRule="exact"/>
              <w:rPr>
                <w:sz w:val="20"/>
                <w:szCs w:val="20"/>
                <w:color w:val="auto"/>
              </w:rPr>
            </w:pPr>
            <w:r>
              <w:rPr>
                <w:rFonts w:ascii="Arial" w:cs="Arial" w:eastAsia="Arial" w:hAnsi="Arial"/>
                <w:sz w:val="16"/>
                <w:szCs w:val="16"/>
                <w:color w:val="auto"/>
                <w:w w:val="95"/>
              </w:rPr>
              <w:t>Accumulated other comprehensive (loss)/gain as</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(93,432)</w:t>
            </w:r>
          </w:p>
        </w:tc>
        <w:tc>
          <w:tcPr>
            <w:tcW w:w="100" w:type="dxa"/>
            <w:vAlign w:val="bottom"/>
          </w:tcPr>
          <w:p>
            <w:pPr>
              <w:spacing w:after="0"/>
              <w:rPr>
                <w:sz w:val="12"/>
                <w:szCs w:val="12"/>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9,102</w:t>
            </w: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(887)</w:t>
            </w:r>
          </w:p>
        </w:tc>
        <w:tc>
          <w:tcPr>
            <w:tcW w:w="80" w:type="dxa"/>
            <w:vAlign w:val="bottom"/>
          </w:tcPr>
          <w:p>
            <w:pPr>
              <w:spacing w:after="0"/>
              <w:rPr>
                <w:sz w:val="12"/>
                <w:szCs w:val="12"/>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192"/>
        </w:trPr>
        <w:tc>
          <w:tcPr>
            <w:tcW w:w="3720" w:type="dxa"/>
            <w:vAlign w:val="bottom"/>
          </w:tcPr>
          <w:p>
            <w:pPr>
              <w:ind w:left="20"/>
              <w:spacing w:after="0" w:line="187" w:lineRule="exact"/>
              <w:rPr>
                <w:sz w:val="20"/>
                <w:szCs w:val="20"/>
                <w:color w:val="auto"/>
              </w:rPr>
            </w:pPr>
            <w:r>
              <w:rPr>
                <w:rFonts w:ascii="Arial" w:cs="Arial" w:eastAsia="Arial" w:hAnsi="Arial"/>
                <w:sz w:val="17"/>
                <w:szCs w:val="17"/>
                <w:color w:val="auto"/>
              </w:rPr>
              <w:t>of September 30, 2020</w:t>
            </w:r>
          </w:p>
        </w:tc>
        <w:tc>
          <w:tcPr>
            <w:tcW w:w="48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440" w:hanging="141"/>
        <w:spacing w:after="0"/>
        <w:tabs>
          <w:tab w:leader="none" w:pos="440" w:val="left"/>
        </w:tabs>
        <w:numPr>
          <w:ilvl w:val="1"/>
          <w:numId w:val="9"/>
        </w:numPr>
        <w:rPr>
          <w:rFonts w:ascii="Arial" w:cs="Arial" w:eastAsia="Arial" w:hAnsi="Arial"/>
          <w:sz w:val="9"/>
          <w:szCs w:val="9"/>
          <w:i w:val="1"/>
          <w:iCs w:val="1"/>
          <w:color w:val="auto"/>
        </w:rPr>
      </w:pPr>
      <w:r>
        <w:rPr>
          <w:rFonts w:ascii="Arial" w:cs="Arial" w:eastAsia="Arial" w:hAnsi="Arial"/>
          <w:sz w:val="13"/>
          <w:szCs w:val="13"/>
          <w:i w:val="1"/>
          <w:iCs w:val="1"/>
          <w:color w:val="auto"/>
        </w:rPr>
        <w:t>Refer to Note 16 - Derivatives and Hedge Accounting and Note 19 - Employee Benefit Plans to the unaudited consolidated financial statements for reclassification to net income.</w:t>
      </w:r>
    </w:p>
    <w:p>
      <w:pPr>
        <w:spacing w:after="0" w:line="237" w:lineRule="exact"/>
        <w:rPr>
          <w:rFonts w:ascii="Arial" w:cs="Arial" w:eastAsia="Arial" w:hAnsi="Arial"/>
          <w:sz w:val="9"/>
          <w:szCs w:val="9"/>
          <w:i w:val="1"/>
          <w:iCs w:val="1"/>
          <w:color w:val="auto"/>
        </w:rPr>
      </w:pPr>
    </w:p>
    <w:p>
      <w:pPr>
        <w:ind w:left="440" w:right="140" w:hanging="141"/>
        <w:spacing w:after="0" w:line="249" w:lineRule="auto"/>
        <w:tabs>
          <w:tab w:leader="none" w:pos="432" w:val="left"/>
        </w:tabs>
        <w:numPr>
          <w:ilvl w:val="1"/>
          <w:numId w:val="9"/>
        </w:numPr>
        <w:rPr>
          <w:rFonts w:ascii="Arial" w:cs="Arial" w:eastAsia="Arial" w:hAnsi="Arial"/>
          <w:sz w:val="10"/>
          <w:szCs w:val="10"/>
          <w:i w:val="1"/>
          <w:iCs w:val="1"/>
          <w:color w:val="auto"/>
        </w:rPr>
      </w:pPr>
      <w:r>
        <w:rPr>
          <w:rFonts w:ascii="Arial" w:cs="Arial" w:eastAsia="Arial" w:hAnsi="Arial"/>
          <w:sz w:val="15"/>
          <w:szCs w:val="15"/>
          <w:i w:val="1"/>
          <w:iCs w:val="1"/>
          <w:color w:val="auto"/>
        </w:rPr>
        <w:t>These are income tax effects recognized on cash flow hedges, retirement benefits and foreign currency translation gains / (losses). Refer to Note 21 - Income Taxes to the unaudited consolidated financial statements.</w:t>
      </w:r>
    </w:p>
    <w:p>
      <w:pPr>
        <w:spacing w:after="0" w:line="200" w:lineRule="exact"/>
        <w:rPr>
          <w:rFonts w:ascii="Arial" w:cs="Arial" w:eastAsia="Arial" w:hAnsi="Arial"/>
          <w:sz w:val="10"/>
          <w:szCs w:val="10"/>
          <w:i w:val="1"/>
          <w:iCs w:val="1"/>
          <w:color w:val="auto"/>
        </w:rPr>
      </w:pPr>
    </w:p>
    <w:p>
      <w:pPr>
        <w:spacing w:after="0" w:line="295" w:lineRule="exact"/>
        <w:rPr>
          <w:rFonts w:ascii="Arial" w:cs="Arial" w:eastAsia="Arial" w:hAnsi="Arial"/>
          <w:sz w:val="10"/>
          <w:szCs w:val="10"/>
          <w:i w:val="1"/>
          <w:iCs w:val="1"/>
          <w:color w:val="auto"/>
        </w:rPr>
      </w:pPr>
    </w:p>
    <w:p>
      <w:pPr>
        <w:ind w:left="240" w:hanging="240"/>
        <w:spacing w:after="0"/>
        <w:tabs>
          <w:tab w:leader="none" w:pos="2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w:t>
      </w:r>
    </w:p>
    <w:p>
      <w:pPr>
        <w:spacing w:after="0" w:line="217" w:lineRule="exact"/>
        <w:rPr>
          <w:sz w:val="20"/>
          <w:szCs w:val="20"/>
          <w:color w:val="auto"/>
        </w:rPr>
      </w:pPr>
    </w:p>
    <w:p>
      <w:pPr>
        <w:ind w:right="3740" w:firstLine="412"/>
        <w:spacing w:after="0" w:line="237" w:lineRule="auto"/>
        <w:rPr>
          <w:sz w:val="20"/>
          <w:szCs w:val="20"/>
          <w:color w:val="auto"/>
        </w:rPr>
      </w:pPr>
      <w:r>
        <w:rPr>
          <w:rFonts w:ascii="Arial" w:cs="Arial" w:eastAsia="Arial" w:hAnsi="Arial"/>
          <w:sz w:val="17"/>
          <w:szCs w:val="17"/>
          <w:color w:val="auto"/>
        </w:rPr>
        <w:t>The following table sets forth the Company’s assets and liabilities that were accounted for at fair value as of September 30, 2021 and December 31, 2020.</w:t>
      </w:r>
    </w:p>
    <w:p>
      <w:pPr>
        <w:spacing w:after="0" w:line="200" w:lineRule="exact"/>
        <w:rPr>
          <w:sz w:val="20"/>
          <w:szCs w:val="20"/>
          <w:color w:val="auto"/>
        </w:rPr>
      </w:pP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Quoted Prices</w:t>
            </w:r>
          </w:p>
        </w:tc>
        <w:tc>
          <w:tcPr>
            <w:tcW w:w="5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Significant</w:t>
            </w:r>
          </w:p>
        </w:tc>
        <w:tc>
          <w:tcPr>
            <w:tcW w:w="1420" w:type="dxa"/>
            <w:vAlign w:val="bottom"/>
          </w:tcPr>
          <w:p>
            <w:pPr>
              <w:jc w:val="center"/>
              <w:ind w:left="626"/>
              <w:spacing w:after="0"/>
              <w:rPr>
                <w:sz w:val="20"/>
                <w:szCs w:val="20"/>
                <w:color w:val="auto"/>
              </w:rPr>
            </w:pPr>
            <w:r>
              <w:rPr>
                <w:rFonts w:ascii="Arial" w:cs="Arial" w:eastAsia="Arial" w:hAnsi="Arial"/>
                <w:sz w:val="13"/>
                <w:szCs w:val="13"/>
                <w:b w:val="1"/>
                <w:bCs w:val="1"/>
                <w:color w:val="auto"/>
                <w:w w:val="90"/>
              </w:rPr>
              <w:t>Significant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25"/>
        </w:trPr>
        <w:tc>
          <w:tcPr>
            <w:tcW w:w="2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20" w:type="dxa"/>
            <w:vAlign w:val="bottom"/>
            <w:gridSpan w:val="2"/>
          </w:tcPr>
          <w:p>
            <w:pPr>
              <w:jc w:val="center"/>
              <w:ind w:right="640"/>
              <w:spacing w:after="0" w:line="125" w:lineRule="exact"/>
              <w:rPr>
                <w:sz w:val="20"/>
                <w:szCs w:val="20"/>
                <w:color w:val="auto"/>
              </w:rPr>
            </w:pPr>
            <w:r>
              <w:rPr>
                <w:rFonts w:ascii="Arial" w:cs="Arial" w:eastAsia="Arial" w:hAnsi="Arial"/>
                <w:sz w:val="13"/>
                <w:szCs w:val="13"/>
                <w:b w:val="1"/>
                <w:bCs w:val="1"/>
                <w:color w:val="auto"/>
                <w:w w:val="92"/>
              </w:rPr>
              <w:t>in Active</w:t>
            </w:r>
          </w:p>
        </w:tc>
        <w:tc>
          <w:tcPr>
            <w:tcW w:w="540" w:type="dxa"/>
            <w:vAlign w:val="bottom"/>
          </w:tcPr>
          <w:p>
            <w:pPr>
              <w:spacing w:after="0"/>
              <w:rPr>
                <w:sz w:val="10"/>
                <w:szCs w:val="10"/>
                <w:color w:val="auto"/>
              </w:rPr>
            </w:pPr>
          </w:p>
        </w:tc>
        <w:tc>
          <w:tcPr>
            <w:tcW w:w="1380" w:type="dxa"/>
            <w:vAlign w:val="bottom"/>
            <w:gridSpan w:val="2"/>
          </w:tcPr>
          <w:p>
            <w:pPr>
              <w:jc w:val="center"/>
              <w:ind w:right="680"/>
              <w:spacing w:after="0" w:line="125" w:lineRule="exact"/>
              <w:rPr>
                <w:sz w:val="20"/>
                <w:szCs w:val="20"/>
                <w:color w:val="auto"/>
              </w:rPr>
            </w:pPr>
            <w:r>
              <w:rPr>
                <w:rFonts w:ascii="Arial" w:cs="Arial" w:eastAsia="Arial" w:hAnsi="Arial"/>
                <w:sz w:val="13"/>
                <w:szCs w:val="13"/>
                <w:b w:val="1"/>
                <w:bCs w:val="1"/>
                <w:color w:val="auto"/>
                <w:w w:val="97"/>
              </w:rPr>
              <w:t>Other</w:t>
            </w:r>
          </w:p>
        </w:tc>
        <w:tc>
          <w:tcPr>
            <w:tcW w:w="1420" w:type="dxa"/>
            <w:vAlign w:val="bottom"/>
          </w:tcPr>
          <w:p>
            <w:pPr>
              <w:jc w:val="center"/>
              <w:ind w:left="206"/>
              <w:spacing w:after="0" w:line="12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5"/>
        </w:trPr>
        <w:tc>
          <w:tcPr>
            <w:tcW w:w="2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20" w:type="dxa"/>
            <w:vAlign w:val="bottom"/>
            <w:gridSpan w:val="2"/>
          </w:tcPr>
          <w:p>
            <w:pPr>
              <w:jc w:val="center"/>
              <w:ind w:right="660"/>
              <w:spacing w:after="0" w:line="125" w:lineRule="exact"/>
              <w:rPr>
                <w:sz w:val="20"/>
                <w:szCs w:val="20"/>
                <w:color w:val="auto"/>
              </w:rPr>
            </w:pPr>
            <w:r>
              <w:rPr>
                <w:rFonts w:ascii="Arial" w:cs="Arial" w:eastAsia="Arial" w:hAnsi="Arial"/>
                <w:sz w:val="13"/>
                <w:szCs w:val="13"/>
                <w:b w:val="1"/>
                <w:bCs w:val="1"/>
                <w:color w:val="auto"/>
                <w:w w:val="96"/>
              </w:rPr>
              <w:t>Markets for</w:t>
            </w:r>
          </w:p>
        </w:tc>
        <w:tc>
          <w:tcPr>
            <w:tcW w:w="540" w:type="dxa"/>
            <w:vAlign w:val="bottom"/>
          </w:tcPr>
          <w:p>
            <w:pPr>
              <w:spacing w:after="0"/>
              <w:rPr>
                <w:sz w:val="10"/>
                <w:szCs w:val="10"/>
                <w:color w:val="auto"/>
              </w:rPr>
            </w:pPr>
          </w:p>
        </w:tc>
        <w:tc>
          <w:tcPr>
            <w:tcW w:w="1380" w:type="dxa"/>
            <w:vAlign w:val="bottom"/>
            <w:gridSpan w:val="2"/>
          </w:tcPr>
          <w:p>
            <w:pPr>
              <w:jc w:val="center"/>
              <w:ind w:right="660"/>
              <w:spacing w:after="0" w:line="125" w:lineRule="exact"/>
              <w:rPr>
                <w:sz w:val="20"/>
                <w:szCs w:val="20"/>
                <w:color w:val="auto"/>
              </w:rPr>
            </w:pPr>
            <w:r>
              <w:rPr>
                <w:rFonts w:ascii="Arial" w:cs="Arial" w:eastAsia="Arial" w:hAnsi="Arial"/>
                <w:sz w:val="13"/>
                <w:szCs w:val="13"/>
                <w:b w:val="1"/>
                <w:bCs w:val="1"/>
                <w:color w:val="auto"/>
                <w:w w:val="90"/>
              </w:rPr>
              <w:t>Observable</w:t>
            </w:r>
          </w:p>
        </w:tc>
        <w:tc>
          <w:tcPr>
            <w:tcW w:w="1420" w:type="dxa"/>
            <w:vAlign w:val="bottom"/>
          </w:tcPr>
          <w:p>
            <w:pPr>
              <w:jc w:val="center"/>
              <w:ind w:left="206"/>
              <w:spacing w:after="0" w:line="125" w:lineRule="exact"/>
              <w:rPr>
                <w:sz w:val="20"/>
                <w:szCs w:val="20"/>
                <w:color w:val="auto"/>
              </w:rPr>
            </w:pPr>
            <w:r>
              <w:rPr>
                <w:rFonts w:ascii="Arial" w:cs="Arial" w:eastAsia="Arial" w:hAnsi="Arial"/>
                <w:sz w:val="13"/>
                <w:szCs w:val="13"/>
                <w:b w:val="1"/>
                <w:bCs w:val="1"/>
                <w:color w:val="auto"/>
                <w:w w:val="90"/>
              </w:rPr>
              <w:t>Unobservable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73"/>
        </w:trPr>
        <w:tc>
          <w:tcPr>
            <w:tcW w:w="2760" w:type="dxa"/>
            <w:vAlign w:val="bottom"/>
          </w:tcPr>
          <w:p>
            <w:pPr>
              <w:spacing w:after="0"/>
              <w:rPr>
                <w:sz w:val="15"/>
                <w:szCs w:val="15"/>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Identical Assets</w:t>
            </w:r>
          </w:p>
        </w:tc>
        <w:tc>
          <w:tcPr>
            <w:tcW w:w="540" w:type="dxa"/>
            <w:vAlign w:val="bottom"/>
          </w:tcPr>
          <w:p>
            <w:pPr>
              <w:spacing w:after="0"/>
              <w:rPr>
                <w:sz w:val="15"/>
                <w:szCs w:val="15"/>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92"/>
              </w:rPr>
              <w:t>Inputs</w:t>
            </w:r>
          </w:p>
        </w:tc>
        <w:tc>
          <w:tcPr>
            <w:tcW w:w="1420" w:type="dxa"/>
            <w:vAlign w:val="bottom"/>
          </w:tcPr>
          <w:p>
            <w:pPr>
              <w:jc w:val="center"/>
              <w:ind w:left="206"/>
              <w:spacing w:after="0"/>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8"/>
        </w:trPr>
        <w:tc>
          <w:tcPr>
            <w:tcW w:w="2760" w:type="dxa"/>
            <w:vAlign w:val="bottom"/>
            <w:tcBorders>
              <w:bottom w:val="single" w:sz="8" w:color="CCEEFF"/>
            </w:tcBorders>
          </w:tcPr>
          <w:p>
            <w:pPr>
              <w:ind w:left="420"/>
              <w:spacing w:after="0"/>
              <w:rPr>
                <w:sz w:val="20"/>
                <w:szCs w:val="20"/>
                <w:color w:val="auto"/>
              </w:rPr>
            </w:pPr>
            <w:r>
              <w:rPr>
                <w:rFonts w:ascii="Arial" w:cs="Arial" w:eastAsia="Arial" w:hAnsi="Arial"/>
                <w:sz w:val="13"/>
                <w:szCs w:val="13"/>
                <w:b w:val="1"/>
                <w:bCs w:val="1"/>
                <w:color w:val="auto"/>
              </w:rPr>
              <w:t>As of September 30, 2021</w:t>
            </w:r>
          </w:p>
        </w:tc>
        <w:tc>
          <w:tcPr>
            <w:tcW w:w="5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5"/>
              </w:rPr>
              <w:t>Level 1</w:t>
            </w:r>
          </w:p>
        </w:tc>
        <w:tc>
          <w:tcPr>
            <w:tcW w:w="10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0"/>
              </w:rPr>
              <w:t>Level 2</w:t>
            </w:r>
          </w:p>
        </w:tc>
        <w:tc>
          <w:tcPr>
            <w:tcW w:w="100" w:type="dxa"/>
            <w:vAlign w:val="bottom"/>
            <w:tcBorders>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center"/>
              <w:ind w:left="626"/>
              <w:spacing w:after="0"/>
              <w:rPr>
                <w:sz w:val="20"/>
                <w:szCs w:val="20"/>
                <w:color w:val="auto"/>
              </w:rPr>
            </w:pPr>
            <w:r>
              <w:rPr>
                <w:rFonts w:ascii="Arial" w:cs="Arial" w:eastAsia="Arial" w:hAnsi="Arial"/>
                <w:sz w:val="13"/>
                <w:szCs w:val="13"/>
                <w:b w:val="1"/>
                <w:bCs w:val="1"/>
                <w:color w:val="auto"/>
                <w:w w:val="90"/>
              </w:rPr>
              <w:t>Level 3</w:t>
            </w:r>
          </w:p>
        </w:tc>
        <w:tc>
          <w:tcPr>
            <w:tcW w:w="3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Total</w:t>
            </w:r>
          </w:p>
        </w:tc>
      </w:tr>
      <w:tr>
        <w:trPr>
          <w:trHeight w:val="193"/>
        </w:trPr>
        <w:tc>
          <w:tcPr>
            <w:tcW w:w="2760" w:type="dxa"/>
            <w:vAlign w:val="bottom"/>
            <w:shd w:val="clear" w:color="auto" w:fill="CCEEFF"/>
          </w:tcPr>
          <w:p>
            <w:pPr>
              <w:ind w:left="420"/>
              <w:spacing w:after="0" w:line="194" w:lineRule="exact"/>
              <w:rPr>
                <w:sz w:val="20"/>
                <w:szCs w:val="20"/>
                <w:color w:val="auto"/>
              </w:rPr>
            </w:pPr>
            <w:r>
              <w:rPr>
                <w:rFonts w:ascii="Arial" w:cs="Arial" w:eastAsia="Arial" w:hAnsi="Arial"/>
                <w:sz w:val="17"/>
                <w:szCs w:val="17"/>
                <w:b w:val="1"/>
                <w:bCs w:val="1"/>
                <w:color w:val="auto"/>
              </w:rPr>
              <w:t>Assets</w:t>
            </w: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2"/>
        </w:trPr>
        <w:tc>
          <w:tcPr>
            <w:tcW w:w="2760" w:type="dxa"/>
            <w:vAlign w:val="bottom"/>
          </w:tcPr>
          <w:p>
            <w:pPr>
              <w:ind w:left="420"/>
              <w:spacing w:after="0"/>
              <w:rPr>
                <w:sz w:val="20"/>
                <w:szCs w:val="20"/>
                <w:color w:val="auto"/>
              </w:rPr>
            </w:pPr>
            <w:r>
              <w:rPr>
                <w:rFonts w:ascii="Arial" w:cs="Arial" w:eastAsia="Arial" w:hAnsi="Arial"/>
                <w:sz w:val="17"/>
                <w:szCs w:val="17"/>
                <w:color w:val="auto"/>
              </w:rPr>
              <w:t>Mutual funds*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
              <w:spacing w:after="0"/>
              <w:rPr>
                <w:sz w:val="20"/>
                <w:szCs w:val="20"/>
                <w:color w:val="auto"/>
              </w:rPr>
            </w:pPr>
            <w:r>
              <w:rPr>
                <w:rFonts w:ascii="Arial" w:cs="Arial" w:eastAsia="Arial" w:hAnsi="Arial"/>
                <w:sz w:val="17"/>
                <w:szCs w:val="17"/>
                <w:color w:val="auto"/>
              </w:rPr>
              <w:t>119,756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119,756</w:t>
            </w:r>
          </w:p>
        </w:tc>
      </w:tr>
      <w:tr>
        <w:trPr>
          <w:trHeight w:val="212"/>
        </w:trPr>
        <w:tc>
          <w:tcPr>
            <w:tcW w:w="276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Derivative financial instruments</w:t>
            </w:r>
          </w:p>
        </w:tc>
        <w:tc>
          <w:tcPr>
            <w:tcW w:w="5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12,761</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12,761</w:t>
            </w:r>
          </w:p>
        </w:tc>
      </w:tr>
      <w:tr>
        <w:trPr>
          <w:trHeight w:val="205"/>
        </w:trPr>
        <w:tc>
          <w:tcPr>
            <w:tcW w:w="2760" w:type="dxa"/>
            <w:vAlign w:val="bottom"/>
          </w:tcPr>
          <w:p>
            <w:pPr>
              <w:ind w:left="420"/>
              <w:spacing w:after="0" w:line="193" w:lineRule="exact"/>
              <w:rPr>
                <w:sz w:val="20"/>
                <w:szCs w:val="20"/>
                <w:color w:val="auto"/>
              </w:rPr>
            </w:pPr>
            <w:r>
              <w:rPr>
                <w:rFonts w:ascii="Arial" w:cs="Arial" w:eastAsia="Arial" w:hAnsi="Arial"/>
                <w:sz w:val="17"/>
                <w:szCs w:val="17"/>
                <w:color w:val="auto"/>
              </w:rPr>
              <w:t>Total</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
              <w:spacing w:after="0"/>
              <w:rPr>
                <w:sz w:val="20"/>
                <w:szCs w:val="20"/>
                <w:color w:val="auto"/>
              </w:rPr>
            </w:pPr>
            <w:r>
              <w:rPr>
                <w:rFonts w:ascii="Arial" w:cs="Arial" w:eastAsia="Arial" w:hAnsi="Arial"/>
                <w:sz w:val="17"/>
                <w:szCs w:val="17"/>
                <w:color w:val="auto"/>
              </w:rPr>
              <w:t>119,756</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
              <w:spacing w:after="0"/>
              <w:rPr>
                <w:sz w:val="20"/>
                <w:szCs w:val="20"/>
                <w:color w:val="auto"/>
              </w:rPr>
            </w:pPr>
            <w:r>
              <w:rPr>
                <w:rFonts w:ascii="Arial" w:cs="Arial" w:eastAsia="Arial" w:hAnsi="Arial"/>
                <w:sz w:val="17"/>
                <w:szCs w:val="17"/>
                <w:color w:val="auto"/>
              </w:rPr>
              <w:t>12,761</w:t>
            </w:r>
          </w:p>
        </w:tc>
        <w:tc>
          <w:tcPr>
            <w:tcW w:w="100" w:type="dxa"/>
            <w:vAlign w:val="bottom"/>
          </w:tcPr>
          <w:p>
            <w:pPr>
              <w:spacing w:after="0"/>
              <w:rPr>
                <w:sz w:val="17"/>
                <w:szCs w:val="17"/>
                <w:color w:val="auto"/>
              </w:rPr>
            </w:pPr>
          </w:p>
        </w:tc>
        <w:tc>
          <w:tcPr>
            <w:tcW w:w="1420" w:type="dxa"/>
            <w:vAlign w:val="bottom"/>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132,517</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2760" w:type="dxa"/>
            <w:vAlign w:val="bottom"/>
            <w:shd w:val="clear" w:color="auto" w:fill="CCEEFF"/>
          </w:tcPr>
          <w:p>
            <w:pPr>
              <w:ind w:left="420"/>
              <w:spacing w:after="0" w:line="177" w:lineRule="exact"/>
              <w:rPr>
                <w:sz w:val="20"/>
                <w:szCs w:val="20"/>
                <w:color w:val="auto"/>
              </w:rPr>
            </w:pPr>
            <w:r>
              <w:rPr>
                <w:rFonts w:ascii="Arial" w:cs="Arial" w:eastAsia="Arial" w:hAnsi="Arial"/>
                <w:sz w:val="17"/>
                <w:szCs w:val="17"/>
                <w:b w:val="1"/>
                <w:bCs w:val="1"/>
                <w:color w:val="auto"/>
              </w:rPr>
              <w:t>Liabilities</w:t>
            </w: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2"/>
        </w:trPr>
        <w:tc>
          <w:tcPr>
            <w:tcW w:w="27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w w:val="98"/>
              </w:rPr>
              <w:t>Derivative financial instruments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7"/>
                <w:szCs w:val="17"/>
                <w:color w:val="auto"/>
              </w:rPr>
              <w:t>4,323</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84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4,323</w:t>
            </w:r>
          </w:p>
        </w:tc>
      </w:tr>
      <w:tr>
        <w:trPr>
          <w:trHeight w:val="225"/>
        </w:trPr>
        <w:tc>
          <w:tcPr>
            <w:tcW w:w="2760" w:type="dxa"/>
            <w:vAlign w:val="bottom"/>
            <w:shd w:val="clear" w:color="auto" w:fill="CCEEFF"/>
          </w:tcPr>
          <w:p>
            <w:pPr>
              <w:ind w:left="420"/>
              <w:spacing w:after="0" w:line="193" w:lineRule="exact"/>
              <w:rPr>
                <w:sz w:val="20"/>
                <w:szCs w:val="20"/>
                <w:color w:val="auto"/>
              </w:rPr>
            </w:pPr>
            <w:r>
              <w:rPr>
                <w:rFonts w:ascii="Arial" w:cs="Arial" w:eastAsia="Arial" w:hAnsi="Arial"/>
                <w:sz w:val="17"/>
                <w:szCs w:val="17"/>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4,323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4,323</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25"/>
        </w:trPr>
        <w:tc>
          <w:tcPr>
            <w:tcW w:w="27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center"/>
              <w:ind w:right="240"/>
              <w:spacing w:after="0" w:line="125" w:lineRule="exact"/>
              <w:rPr>
                <w:sz w:val="20"/>
                <w:szCs w:val="20"/>
                <w:color w:val="auto"/>
              </w:rPr>
            </w:pPr>
            <w:r>
              <w:rPr>
                <w:rFonts w:ascii="Arial" w:cs="Arial" w:eastAsia="Arial" w:hAnsi="Arial"/>
                <w:sz w:val="13"/>
                <w:szCs w:val="13"/>
                <w:b w:val="1"/>
                <w:bCs w:val="1"/>
                <w:color w:val="auto"/>
                <w:w w:val="92"/>
              </w:rPr>
              <w:t>Quoted Prices</w:t>
            </w:r>
          </w:p>
        </w:tc>
        <w:tc>
          <w:tcPr>
            <w:tcW w:w="54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240"/>
              <w:spacing w:after="0" w:line="125" w:lineRule="exact"/>
              <w:rPr>
                <w:sz w:val="20"/>
                <w:szCs w:val="20"/>
                <w:color w:val="auto"/>
              </w:rPr>
            </w:pPr>
            <w:r>
              <w:rPr>
                <w:rFonts w:ascii="Arial" w:cs="Arial" w:eastAsia="Arial" w:hAnsi="Arial"/>
                <w:sz w:val="13"/>
                <w:szCs w:val="13"/>
                <w:b w:val="1"/>
                <w:bCs w:val="1"/>
                <w:color w:val="auto"/>
                <w:w w:val="93"/>
              </w:rPr>
              <w:t>Significant</w:t>
            </w:r>
          </w:p>
        </w:tc>
        <w:tc>
          <w:tcPr>
            <w:tcW w:w="1420" w:type="dxa"/>
            <w:vAlign w:val="bottom"/>
            <w:shd w:val="clear" w:color="auto" w:fill="CCEEFF"/>
          </w:tcPr>
          <w:p>
            <w:pPr>
              <w:jc w:val="center"/>
              <w:ind w:left="626"/>
              <w:spacing w:after="0" w:line="125" w:lineRule="exact"/>
              <w:rPr>
                <w:sz w:val="20"/>
                <w:szCs w:val="20"/>
                <w:color w:val="auto"/>
              </w:rPr>
            </w:pPr>
            <w:r>
              <w:rPr>
                <w:rFonts w:ascii="Arial" w:cs="Arial" w:eastAsia="Arial" w:hAnsi="Arial"/>
                <w:sz w:val="13"/>
                <w:szCs w:val="13"/>
                <w:b w:val="1"/>
                <w:bCs w:val="1"/>
                <w:color w:val="auto"/>
                <w:w w:val="90"/>
              </w:rPr>
              <w:t>Significant</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25"/>
        </w:trPr>
        <w:tc>
          <w:tcPr>
            <w:tcW w:w="27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center"/>
              <w:ind w:right="640"/>
              <w:spacing w:after="0" w:line="125" w:lineRule="exact"/>
              <w:rPr>
                <w:sz w:val="20"/>
                <w:szCs w:val="20"/>
                <w:color w:val="auto"/>
              </w:rPr>
            </w:pPr>
            <w:r>
              <w:rPr>
                <w:rFonts w:ascii="Arial" w:cs="Arial" w:eastAsia="Arial" w:hAnsi="Arial"/>
                <w:sz w:val="13"/>
                <w:szCs w:val="13"/>
                <w:b w:val="1"/>
                <w:bCs w:val="1"/>
                <w:color w:val="auto"/>
                <w:w w:val="92"/>
              </w:rPr>
              <w:t>in Active</w:t>
            </w:r>
          </w:p>
        </w:tc>
        <w:tc>
          <w:tcPr>
            <w:tcW w:w="54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680"/>
              <w:spacing w:after="0" w:line="125" w:lineRule="exact"/>
              <w:rPr>
                <w:sz w:val="20"/>
                <w:szCs w:val="20"/>
                <w:color w:val="auto"/>
              </w:rPr>
            </w:pPr>
            <w:r>
              <w:rPr>
                <w:rFonts w:ascii="Arial" w:cs="Arial" w:eastAsia="Arial" w:hAnsi="Arial"/>
                <w:sz w:val="13"/>
                <w:szCs w:val="13"/>
                <w:b w:val="1"/>
                <w:bCs w:val="1"/>
                <w:color w:val="auto"/>
                <w:w w:val="97"/>
              </w:rPr>
              <w:t>Other</w:t>
            </w:r>
          </w:p>
        </w:tc>
        <w:tc>
          <w:tcPr>
            <w:tcW w:w="1420" w:type="dxa"/>
            <w:vAlign w:val="bottom"/>
            <w:shd w:val="clear" w:color="auto" w:fill="CCEEFF"/>
          </w:tcPr>
          <w:p>
            <w:pPr>
              <w:jc w:val="center"/>
              <w:ind w:left="206"/>
              <w:spacing w:after="0" w:line="12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25"/>
        </w:trPr>
        <w:tc>
          <w:tcPr>
            <w:tcW w:w="27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center"/>
              <w:ind w:right="660"/>
              <w:spacing w:after="0" w:line="125" w:lineRule="exact"/>
              <w:rPr>
                <w:sz w:val="20"/>
                <w:szCs w:val="20"/>
                <w:color w:val="auto"/>
              </w:rPr>
            </w:pPr>
            <w:r>
              <w:rPr>
                <w:rFonts w:ascii="Arial" w:cs="Arial" w:eastAsia="Arial" w:hAnsi="Arial"/>
                <w:sz w:val="13"/>
                <w:szCs w:val="13"/>
                <w:b w:val="1"/>
                <w:bCs w:val="1"/>
                <w:color w:val="auto"/>
                <w:w w:val="96"/>
              </w:rPr>
              <w:t>Markets for</w:t>
            </w:r>
          </w:p>
        </w:tc>
        <w:tc>
          <w:tcPr>
            <w:tcW w:w="54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660"/>
              <w:spacing w:after="0" w:line="125" w:lineRule="exact"/>
              <w:rPr>
                <w:sz w:val="20"/>
                <w:szCs w:val="20"/>
                <w:color w:val="auto"/>
              </w:rPr>
            </w:pPr>
            <w:r>
              <w:rPr>
                <w:rFonts w:ascii="Arial" w:cs="Arial" w:eastAsia="Arial" w:hAnsi="Arial"/>
                <w:sz w:val="13"/>
                <w:szCs w:val="13"/>
                <w:b w:val="1"/>
                <w:bCs w:val="1"/>
                <w:color w:val="auto"/>
                <w:w w:val="90"/>
              </w:rPr>
              <w:t>Observable</w:t>
            </w:r>
          </w:p>
        </w:tc>
        <w:tc>
          <w:tcPr>
            <w:tcW w:w="1420" w:type="dxa"/>
            <w:vAlign w:val="bottom"/>
            <w:shd w:val="clear" w:color="auto" w:fill="CCEEFF"/>
          </w:tcPr>
          <w:p>
            <w:pPr>
              <w:jc w:val="center"/>
              <w:ind w:left="206"/>
              <w:spacing w:after="0" w:line="125" w:lineRule="exact"/>
              <w:rPr>
                <w:sz w:val="20"/>
                <w:szCs w:val="20"/>
                <w:color w:val="auto"/>
              </w:rPr>
            </w:pPr>
            <w:r>
              <w:rPr>
                <w:rFonts w:ascii="Arial" w:cs="Arial" w:eastAsia="Arial" w:hAnsi="Arial"/>
                <w:sz w:val="13"/>
                <w:szCs w:val="13"/>
                <w:b w:val="1"/>
                <w:bCs w:val="1"/>
                <w:color w:val="auto"/>
                <w:w w:val="90"/>
              </w:rPr>
              <w:t>Unobservable</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75"/>
        </w:trPr>
        <w:tc>
          <w:tcPr>
            <w:tcW w:w="2760" w:type="dxa"/>
            <w:vAlign w:val="bottom"/>
            <w:shd w:val="clear" w:color="auto" w:fill="CCEEFF"/>
          </w:tcPr>
          <w:p>
            <w:pPr>
              <w:spacing w:after="0"/>
              <w:rPr>
                <w:sz w:val="15"/>
                <w:szCs w:val="15"/>
                <w:color w:val="auto"/>
              </w:rPr>
            </w:pPr>
          </w:p>
        </w:tc>
        <w:tc>
          <w:tcPr>
            <w:tcW w:w="18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88"/>
              </w:rPr>
              <w:t>Identical Assets</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ind w:right="485"/>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center"/>
              <w:ind w:left="206"/>
              <w:spacing w:after="0"/>
              <w:rPr>
                <w:sz w:val="20"/>
                <w:szCs w:val="20"/>
                <w:color w:val="auto"/>
              </w:rPr>
            </w:pPr>
            <w:r>
              <w:rPr>
                <w:rFonts w:ascii="Arial" w:cs="Arial" w:eastAsia="Arial" w:hAnsi="Arial"/>
                <w:sz w:val="13"/>
                <w:szCs w:val="13"/>
                <w:b w:val="1"/>
                <w:bCs w:val="1"/>
                <w:color w:val="auto"/>
                <w:w w:val="97"/>
              </w:rPr>
              <w:t>Inputs</w:t>
            </w:r>
          </w:p>
        </w:tc>
        <w:tc>
          <w:tcPr>
            <w:tcW w:w="3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r>
      <w:tr>
        <w:trPr>
          <w:trHeight w:val="177"/>
        </w:trPr>
        <w:tc>
          <w:tcPr>
            <w:tcW w:w="2760" w:type="dxa"/>
            <w:vAlign w:val="bottom"/>
          </w:tcPr>
          <w:p>
            <w:pPr>
              <w:ind w:left="420"/>
              <w:spacing w:after="0"/>
              <w:rPr>
                <w:sz w:val="20"/>
                <w:szCs w:val="20"/>
                <w:color w:val="auto"/>
              </w:rPr>
            </w:pPr>
            <w:r>
              <w:rPr>
                <w:rFonts w:ascii="Arial" w:cs="Arial" w:eastAsia="Arial" w:hAnsi="Arial"/>
                <w:sz w:val="15"/>
                <w:szCs w:val="15"/>
                <w:b w:val="1"/>
                <w:bCs w:val="1"/>
                <w:color w:val="auto"/>
              </w:rPr>
              <w:t>As of December 31, 2020</w:t>
            </w:r>
          </w:p>
        </w:tc>
        <w:tc>
          <w:tcPr>
            <w:tcW w:w="5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Level 1</w:t>
            </w:r>
          </w:p>
        </w:tc>
        <w:tc>
          <w:tcPr>
            <w:tcW w:w="5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2</w:t>
            </w:r>
          </w:p>
        </w:tc>
        <w:tc>
          <w:tcPr>
            <w:tcW w:w="1420" w:type="dxa"/>
            <w:vAlign w:val="bottom"/>
          </w:tcPr>
          <w:p>
            <w:pPr>
              <w:jc w:val="center"/>
              <w:ind w:left="626"/>
              <w:spacing w:after="0"/>
              <w:rPr>
                <w:sz w:val="20"/>
                <w:szCs w:val="20"/>
                <w:color w:val="auto"/>
              </w:rPr>
            </w:pPr>
            <w:r>
              <w:rPr>
                <w:rFonts w:ascii="Arial" w:cs="Arial" w:eastAsia="Arial" w:hAnsi="Arial"/>
                <w:sz w:val="13"/>
                <w:szCs w:val="13"/>
                <w:b w:val="1"/>
                <w:bCs w:val="1"/>
                <w:color w:val="auto"/>
                <w:w w:val="90"/>
              </w:rPr>
              <w:t>Level 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ind w:right="500"/>
              <w:spacing w:after="0"/>
              <w:rPr>
                <w:sz w:val="20"/>
                <w:szCs w:val="20"/>
                <w:color w:val="auto"/>
              </w:rPr>
            </w:pPr>
            <w:r>
              <w:rPr>
                <w:rFonts w:ascii="Arial" w:cs="Arial" w:eastAsia="Arial" w:hAnsi="Arial"/>
                <w:sz w:val="13"/>
                <w:szCs w:val="13"/>
                <w:b w:val="1"/>
                <w:bCs w:val="1"/>
                <w:color w:val="auto"/>
              </w:rPr>
              <w:t>Total</w:t>
            </w:r>
          </w:p>
        </w:tc>
      </w:tr>
      <w:tr>
        <w:trPr>
          <w:trHeight w:val="195"/>
        </w:trPr>
        <w:tc>
          <w:tcPr>
            <w:tcW w:w="27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7"/>
                <w:szCs w:val="17"/>
                <w:b w:val="1"/>
                <w:bCs w:val="1"/>
                <w:color w:val="auto"/>
              </w:rPr>
              <w:t>Assets</w:t>
            </w:r>
          </w:p>
        </w:tc>
        <w:tc>
          <w:tcPr>
            <w:tcW w:w="5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12"/>
        </w:trPr>
        <w:tc>
          <w:tcPr>
            <w:tcW w:w="2760" w:type="dxa"/>
            <w:vAlign w:val="bottom"/>
          </w:tcPr>
          <w:p>
            <w:pPr>
              <w:ind w:left="420"/>
              <w:spacing w:after="0"/>
              <w:rPr>
                <w:sz w:val="20"/>
                <w:szCs w:val="20"/>
                <w:color w:val="auto"/>
              </w:rPr>
            </w:pPr>
            <w:r>
              <w:rPr>
                <w:rFonts w:ascii="Arial" w:cs="Arial" w:eastAsia="Arial" w:hAnsi="Arial"/>
                <w:sz w:val="17"/>
                <w:szCs w:val="17"/>
                <w:color w:val="auto"/>
              </w:rPr>
              <w:t>Mutual funds*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
              <w:spacing w:after="0"/>
              <w:rPr>
                <w:sz w:val="20"/>
                <w:szCs w:val="20"/>
                <w:color w:val="auto"/>
              </w:rPr>
            </w:pPr>
            <w:r>
              <w:rPr>
                <w:rFonts w:ascii="Arial" w:cs="Arial" w:eastAsia="Arial" w:hAnsi="Arial"/>
                <w:sz w:val="17"/>
                <w:szCs w:val="17"/>
                <w:color w:val="auto"/>
              </w:rPr>
              <w:t>160,441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160,441</w:t>
            </w:r>
          </w:p>
        </w:tc>
      </w:tr>
      <w:tr>
        <w:trPr>
          <w:trHeight w:val="212"/>
        </w:trPr>
        <w:tc>
          <w:tcPr>
            <w:tcW w:w="276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Derivative financial instruments</w:t>
            </w:r>
          </w:p>
        </w:tc>
        <w:tc>
          <w:tcPr>
            <w:tcW w:w="5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16,688</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16,688</w:t>
            </w:r>
          </w:p>
        </w:tc>
      </w:tr>
      <w:tr>
        <w:trPr>
          <w:trHeight w:val="205"/>
        </w:trPr>
        <w:tc>
          <w:tcPr>
            <w:tcW w:w="2760" w:type="dxa"/>
            <w:vAlign w:val="bottom"/>
          </w:tcPr>
          <w:p>
            <w:pPr>
              <w:ind w:left="420"/>
              <w:spacing w:after="0" w:line="193" w:lineRule="exact"/>
              <w:rPr>
                <w:sz w:val="20"/>
                <w:szCs w:val="20"/>
                <w:color w:val="auto"/>
              </w:rPr>
            </w:pPr>
            <w:r>
              <w:rPr>
                <w:rFonts w:ascii="Arial" w:cs="Arial" w:eastAsia="Arial" w:hAnsi="Arial"/>
                <w:sz w:val="17"/>
                <w:szCs w:val="17"/>
                <w:color w:val="auto"/>
              </w:rPr>
              <w:t>Total</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
              <w:spacing w:after="0"/>
              <w:rPr>
                <w:sz w:val="20"/>
                <w:szCs w:val="20"/>
                <w:color w:val="auto"/>
              </w:rPr>
            </w:pPr>
            <w:r>
              <w:rPr>
                <w:rFonts w:ascii="Arial" w:cs="Arial" w:eastAsia="Arial" w:hAnsi="Arial"/>
                <w:sz w:val="17"/>
                <w:szCs w:val="17"/>
                <w:color w:val="auto"/>
              </w:rPr>
              <w:t>160,441</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
              <w:spacing w:after="0"/>
              <w:rPr>
                <w:sz w:val="20"/>
                <w:szCs w:val="20"/>
                <w:color w:val="auto"/>
              </w:rPr>
            </w:pPr>
            <w:r>
              <w:rPr>
                <w:rFonts w:ascii="Arial" w:cs="Arial" w:eastAsia="Arial" w:hAnsi="Arial"/>
                <w:sz w:val="17"/>
                <w:szCs w:val="17"/>
                <w:color w:val="auto"/>
              </w:rPr>
              <w:t>16,688</w:t>
            </w:r>
          </w:p>
        </w:tc>
        <w:tc>
          <w:tcPr>
            <w:tcW w:w="100" w:type="dxa"/>
            <w:vAlign w:val="bottom"/>
          </w:tcPr>
          <w:p>
            <w:pPr>
              <w:spacing w:after="0"/>
              <w:rPr>
                <w:sz w:val="17"/>
                <w:szCs w:val="17"/>
                <w:color w:val="auto"/>
              </w:rPr>
            </w:pPr>
          </w:p>
        </w:tc>
        <w:tc>
          <w:tcPr>
            <w:tcW w:w="1420" w:type="dxa"/>
            <w:vAlign w:val="bottom"/>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177,129</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2760" w:type="dxa"/>
            <w:vAlign w:val="bottom"/>
            <w:shd w:val="clear" w:color="auto" w:fill="CCEEFF"/>
          </w:tcPr>
          <w:p>
            <w:pPr>
              <w:ind w:left="420"/>
              <w:spacing w:after="0" w:line="177" w:lineRule="exact"/>
              <w:rPr>
                <w:sz w:val="20"/>
                <w:szCs w:val="20"/>
                <w:color w:val="auto"/>
              </w:rPr>
            </w:pPr>
            <w:r>
              <w:rPr>
                <w:rFonts w:ascii="Arial" w:cs="Arial" w:eastAsia="Arial" w:hAnsi="Arial"/>
                <w:sz w:val="17"/>
                <w:szCs w:val="17"/>
                <w:b w:val="1"/>
                <w:bCs w:val="1"/>
                <w:color w:val="auto"/>
              </w:rPr>
              <w:t>Liabilities</w:t>
            </w: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2"/>
        </w:trPr>
        <w:tc>
          <w:tcPr>
            <w:tcW w:w="27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w w:val="98"/>
              </w:rPr>
              <w:t>Derivative financial instruments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7"/>
                <w:szCs w:val="17"/>
                <w:color w:val="auto"/>
              </w:rPr>
              <w:t>464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84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r>
      <w:tr>
        <w:trPr>
          <w:trHeight w:val="225"/>
        </w:trPr>
        <w:tc>
          <w:tcPr>
            <w:tcW w:w="2760" w:type="dxa"/>
            <w:vAlign w:val="bottom"/>
            <w:shd w:val="clear" w:color="auto" w:fill="CCEEFF"/>
          </w:tcPr>
          <w:p>
            <w:pPr>
              <w:ind w:left="420"/>
              <w:spacing w:after="0" w:line="193" w:lineRule="exact"/>
              <w:rPr>
                <w:sz w:val="20"/>
                <w:szCs w:val="20"/>
                <w:color w:val="auto"/>
              </w:rPr>
            </w:pPr>
            <w:r>
              <w:rPr>
                <w:rFonts w:ascii="Arial" w:cs="Arial" w:eastAsia="Arial" w:hAnsi="Arial"/>
                <w:sz w:val="17"/>
                <w:szCs w:val="17"/>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Represents those short-term investments, which are carried at the fair value option under ASC 825 "Financial Instruments.”</w:t>
      </w:r>
    </w:p>
    <w:p>
      <w:pPr>
        <w:jc w:val="both"/>
        <w:ind w:firstLine="300"/>
        <w:spacing w:after="0" w:line="224"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of foreign currency forward exchange contracts. Fair values for</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financial instruments are based on independent sources including highly rated financial institutions and are classified as Level 2. Refer to Note 16 - Derivatives and Hedge Accounting to the unaudited consolidated financial statements for further details.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carried at fair value</w:t>
      </w:r>
      <w:r>
        <w:rPr>
          <w:rFonts w:ascii="Arial" w:cs="Arial" w:eastAsia="Arial" w:hAnsi="Arial"/>
          <w:sz w:val="17"/>
          <w:szCs w:val="17"/>
          <w:color w:val="auto"/>
        </w:rPr>
        <w:t>:</w:t>
      </w:r>
    </w:p>
    <w:p>
      <w:pPr>
        <w:spacing w:after="0" w:line="204" w:lineRule="exact"/>
        <w:rPr>
          <w:sz w:val="20"/>
          <w:szCs w:val="20"/>
          <w:color w:val="auto"/>
        </w:rPr>
      </w:pPr>
    </w:p>
    <w:p>
      <w:pPr>
        <w:jc w:val="both"/>
        <w:ind w:firstLine="375"/>
        <w:spacing w:after="0" w:line="261" w:lineRule="auto"/>
        <w:rPr>
          <w:sz w:val="20"/>
          <w:szCs w:val="20"/>
          <w:color w:val="auto"/>
        </w:rPr>
      </w:pPr>
      <w:r>
        <w:rPr>
          <w:rFonts w:ascii="Arial" w:cs="Arial" w:eastAsia="Arial" w:hAnsi="Arial"/>
          <w:sz w:val="15"/>
          <w:szCs w:val="15"/>
          <w:color w:val="auto"/>
        </w:rPr>
        <w:t>The Company’s other financial instruments not carried at fair value consist primarily of cash and cash equivalents, short-term investments (except investments in mutual funds, as disclosed above), restricted cash, accrued interest on term deposits, accrued capital expenditures, accrued expenses and interest payable on borrowings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217"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The Company settled the Notes during the three months ended September 30, 2021. Refer to Note 17 - Borrowings to the unaudited consolidated financial statements for further details.</w:t>
      </w:r>
    </w:p>
    <w:p>
      <w:pPr>
        <w:spacing w:after="0" w:line="188" w:lineRule="exact"/>
        <w:rPr>
          <w:sz w:val="20"/>
          <w:szCs w:val="20"/>
          <w:color w:val="auto"/>
        </w:rPr>
      </w:pPr>
    </w:p>
    <w:p>
      <w:pPr>
        <w:jc w:val="both"/>
        <w:ind w:firstLine="375"/>
        <w:spacing w:after="0" w:line="298" w:lineRule="auto"/>
        <w:rPr>
          <w:sz w:val="20"/>
          <w:szCs w:val="20"/>
          <w:color w:val="auto"/>
        </w:rPr>
      </w:pPr>
      <w:r>
        <w:rPr>
          <w:rFonts w:ascii="Arial" w:cs="Arial" w:eastAsia="Arial" w:hAnsi="Arial"/>
          <w:sz w:val="15"/>
          <w:szCs w:val="15"/>
          <w:color w:val="auto"/>
        </w:rPr>
        <w:t>The total estimated fair value of the Notes as of December 31, 2020 was $152,384. The fair value was determined based on market yields for similar convertible notes as of December 31, 2020. The Company considers the fair value of the Notes to be a Level 2 measurement due to the limited inputs available for its fair valuation.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Derivatives and Hedge Accounting</w:t>
      </w:r>
    </w:p>
    <w:p>
      <w:pPr>
        <w:spacing w:after="0" w:line="221" w:lineRule="exact"/>
        <w:rPr>
          <w:sz w:val="20"/>
          <w:szCs w:val="20"/>
          <w:color w:val="auto"/>
        </w:rPr>
      </w:pPr>
    </w:p>
    <w:p>
      <w:pPr>
        <w:jc w:val="both"/>
        <w:ind w:firstLine="375"/>
        <w:spacing w:after="0" w:line="261" w:lineRule="auto"/>
        <w:rPr>
          <w:sz w:val="20"/>
          <w:szCs w:val="20"/>
          <w:color w:val="auto"/>
        </w:rPr>
      </w:pPr>
      <w:r>
        <w:rPr>
          <w:rFonts w:ascii="Arial" w:cs="Arial" w:eastAsia="Arial" w:hAnsi="Arial"/>
          <w:sz w:val="15"/>
          <w:szCs w:val="15"/>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$515,850 as of September 30, 2021 and $451,935 as of December 31, 2020.</w:t>
      </w:r>
    </w:p>
    <w:p>
      <w:pPr>
        <w:spacing w:after="0" w:line="174" w:lineRule="exact"/>
        <w:rPr>
          <w:sz w:val="20"/>
          <w:szCs w:val="20"/>
          <w:color w:val="auto"/>
        </w:rPr>
      </w:pPr>
    </w:p>
    <w:p>
      <w:pPr>
        <w:jc w:val="both"/>
        <w:ind w:firstLine="375"/>
        <w:spacing w:after="0" w:line="226" w:lineRule="auto"/>
        <w:rPr>
          <w:sz w:val="20"/>
          <w:szCs w:val="20"/>
          <w:color w:val="auto"/>
        </w:rPr>
      </w:pPr>
      <w:r>
        <w:rPr>
          <w:rFonts w:ascii="Arial" w:cs="Arial" w:eastAsia="Arial" w:hAnsi="Arial"/>
          <w:sz w:val="17"/>
          <w:szCs w:val="17"/>
          <w:color w:val="auto"/>
        </w:rPr>
        <w:t>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of unaudited consolidated statements of income as a part of “Cost of revenues,” “General and administrative expenses,” “Selling and marketing expenses,” “Depreciation and amortization expense,” as applicable.</w:t>
      </w:r>
    </w:p>
    <w:p>
      <w:pPr>
        <w:spacing w:after="0" w:line="188"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90"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The Company estimates that approximately $5,695 of derivative gains, net, excluding tax effects, included in AOCL, representing changes in the value of cash flow hedges, could be reclassified into earnings within the next twelve months based on exchange rates prevailing as of September 30, 2021. At September 30, 2021, the maximum outstanding term of the cash flow hedges was 45 months.</w:t>
      </w:r>
    </w:p>
    <w:p>
      <w:pPr>
        <w:spacing w:after="0" w:line="190" w:lineRule="exact"/>
        <w:rPr>
          <w:sz w:val="20"/>
          <w:szCs w:val="20"/>
          <w:color w:val="auto"/>
        </w:rPr>
      </w:pPr>
    </w:p>
    <w:p>
      <w:pPr>
        <w:jc w:val="both"/>
        <w:ind w:firstLine="375"/>
        <w:spacing w:after="0" w:line="220" w:lineRule="auto"/>
        <w:rPr>
          <w:sz w:val="20"/>
          <w:szCs w:val="20"/>
          <w:color w:val="auto"/>
        </w:rPr>
      </w:pPr>
      <w:r>
        <w:rPr>
          <w:rFonts w:ascii="Arial" w:cs="Arial" w:eastAsia="Arial" w:hAnsi="Arial"/>
          <w:sz w:val="17"/>
          <w:szCs w:val="17"/>
          <w:color w:val="auto"/>
        </w:rPr>
        <w:t>The Company also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unaudited consolidated statements of income and are included in the foreign exchange gain/(loss) line item. The Company’s primary exchange rate exposure is with the Indian rupee, the U.K. pound sterling (GBP) and the Philippine peso. The Company also has exposure to Colombian pesos (COP), Czech koruna, the Euro (EUR), South African ZAR, the Australian dollar (AUD) and other local currencies in which it operates. Outstanding foreign currency forward contracts amounted to USD 140,119, GBP 5,911, EUR 1,005 and COP 4,675,248 as of September 30, 2021 and USD 143,394, GBP 6,753, EUR 2,447 and COP 8,287,950 as of December 31, 2020.</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Company uses forward contracts designated as net investment hedges to hedge the foreign currency risks related to our investments in foreign subsidiaries.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Gains and losses on these net investment hedges are recognized in AOCL as part of foreign currency translation adjustments.</w:t>
      </w:r>
    </w:p>
    <w:p>
      <w:pPr>
        <w:spacing w:after="0" w:line="203"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7"/>
          <w:szCs w:val="17"/>
          <w:color w:val="auto"/>
        </w:rPr>
        <w:t>All of the assets and liabilities related to our foreign exchange forward contracts are subject to master netting arrangements with each individual counterparty. These master netting arrangements generally provide for net settlement of all outstanding contracts with the counterparty in the case of an event of default or a termination event. We have presented all of the assets and liabilities related to our foreign exchange forward contracts on a gross basis, with no offsets, in our unaudited consolidated statements of financial position. There is no financial collateral (including cash collateral) provided or received by us related to our foreign exchange forward contracts.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tables set forth the fair value of the foreign currency exchange contracts and their location on the unaudited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740" w:type="dxa"/>
        <w:tblCellMar>
          <w:top w:w="0" w:type="dxa"/>
          <w:left w:w="0" w:type="dxa"/>
          <w:bottom w:w="0" w:type="dxa"/>
          <w:right w:w="0" w:type="dxa"/>
        </w:tblCellMar>
      </w:tblPr>
      <w:tr>
        <w:trPr>
          <w:trHeight w:val="196"/>
        </w:trPr>
        <w:tc>
          <w:tcPr>
            <w:tcW w:w="538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Derivatives designated as hedging instruments:</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b w:val="1"/>
                <w:bCs w:val="1"/>
                <w:color w:val="auto"/>
              </w:rPr>
              <w:t>As of</w:t>
            </w:r>
          </w:p>
        </w:tc>
        <w:tc>
          <w:tcPr>
            <w:tcW w:w="1740" w:type="dxa"/>
            <w:vAlign w:val="bottom"/>
            <w:tcBorders>
              <w:bottom w:val="single" w:sz="8" w:color="auto"/>
            </w:tcBorders>
          </w:tcPr>
          <w:p>
            <w:pPr>
              <w:spacing w:after="0"/>
              <w:rPr>
                <w:sz w:val="17"/>
                <w:szCs w:val="17"/>
                <w:color w:val="auto"/>
              </w:rPr>
            </w:pPr>
          </w:p>
        </w:tc>
      </w:tr>
      <w:tr>
        <w:trPr>
          <w:trHeight w:val="192"/>
        </w:trPr>
        <w:tc>
          <w:tcPr>
            <w:tcW w:w="538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Foreign currency exchange contracts</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b w:val="1"/>
                <w:bCs w:val="1"/>
                <w:color w:val="auto"/>
                <w:w w:val="94"/>
              </w:rPr>
              <w:t>September 30, 2021</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w w:val="99"/>
              </w:rPr>
              <w:t>December 31, 2020</w:t>
            </w:r>
          </w:p>
        </w:tc>
      </w:tr>
      <w:tr>
        <w:trPr>
          <w:trHeight w:val="208"/>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 current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9,740</w:t>
            </w:r>
          </w:p>
        </w:tc>
      </w:tr>
      <w:tr>
        <w:trPr>
          <w:trHeight w:val="212"/>
        </w:trPr>
        <w:tc>
          <w:tcPr>
            <w:tcW w:w="5480" w:type="dxa"/>
            <w:vAlign w:val="bottom"/>
            <w:gridSpan w:val="2"/>
          </w:tcPr>
          <w:p>
            <w:pPr>
              <w:ind w:left="440"/>
              <w:spacing w:after="0"/>
              <w:rPr>
                <w:sz w:val="20"/>
                <w:szCs w:val="20"/>
                <w:color w:val="auto"/>
              </w:rPr>
            </w:pPr>
            <w:r>
              <w:rPr>
                <w:rFonts w:ascii="Arial" w:cs="Arial" w:eastAsia="Arial" w:hAnsi="Arial"/>
                <w:sz w:val="17"/>
                <w:szCs w:val="17"/>
                <w:color w:val="auto"/>
              </w:rPr>
              <w:t>Other assets</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5,390</w:t>
            </w:r>
          </w:p>
        </w:tc>
        <w:tc>
          <w:tcPr>
            <w:tcW w:w="100" w:type="dxa"/>
            <w:vAlign w:val="bottom"/>
          </w:tcPr>
          <w:p>
            <w:pPr>
              <w:spacing w:after="0"/>
              <w:rPr>
                <w:sz w:val="18"/>
                <w:szCs w:val="18"/>
                <w:color w:val="auto"/>
              </w:rPr>
            </w:pPr>
          </w:p>
        </w:tc>
        <w:tc>
          <w:tcPr>
            <w:tcW w:w="66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6,933</w:t>
            </w:r>
          </w:p>
        </w:tc>
      </w:tr>
      <w:tr>
        <w:trPr>
          <w:trHeight w:val="212"/>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Accrued expenses and other current liabilities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12"/>
        </w:trPr>
        <w:tc>
          <w:tcPr>
            <w:tcW w:w="5480" w:type="dxa"/>
            <w:vAlign w:val="bottom"/>
            <w:gridSpan w:val="2"/>
          </w:tcPr>
          <w:p>
            <w:pPr>
              <w:ind w:left="440"/>
              <w:spacing w:after="0"/>
              <w:rPr>
                <w:sz w:val="20"/>
                <w:szCs w:val="20"/>
                <w:color w:val="auto"/>
              </w:rPr>
            </w:pPr>
            <w:r>
              <w:rPr>
                <w:rFonts w:ascii="Arial" w:cs="Arial" w:eastAsia="Arial" w:hAnsi="Arial"/>
                <w:sz w:val="17"/>
                <w:szCs w:val="17"/>
                <w:color w:val="auto"/>
              </w:rPr>
              <w:t>Other non-current liabilities</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2,504</w:t>
            </w:r>
          </w:p>
        </w:tc>
        <w:tc>
          <w:tcPr>
            <w:tcW w:w="100" w:type="dxa"/>
            <w:vAlign w:val="bottom"/>
          </w:tcPr>
          <w:p>
            <w:pPr>
              <w:spacing w:after="0"/>
              <w:rPr>
                <w:sz w:val="18"/>
                <w:szCs w:val="18"/>
                <w:color w:val="auto"/>
              </w:rPr>
            </w:pPr>
          </w:p>
        </w:tc>
        <w:tc>
          <w:tcPr>
            <w:tcW w:w="66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50"/>
        </w:trPr>
        <w:tc>
          <w:tcPr>
            <w:tcW w:w="5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340"/>
          </w:cols>
          <w:pgMar w:left="320" w:top="123" w:right="239" w:bottom="1440" w:gutter="0" w:footer="0" w:header="0"/>
        </w:sectPr>
      </w:pPr>
    </w:p>
    <w:p>
      <w:pPr>
        <w:ind w:left="1180"/>
        <w:spacing w:after="0"/>
        <w:rPr>
          <w:sz w:val="20"/>
          <w:szCs w:val="20"/>
          <w:color w:val="auto"/>
        </w:rPr>
      </w:pPr>
      <w:r>
        <w:rPr>
          <w:rFonts w:ascii="Arial" w:cs="Arial" w:eastAsia="Arial" w:hAnsi="Arial"/>
          <w:sz w:val="13"/>
          <w:szCs w:val="13"/>
          <w:b w:val="1"/>
          <w:bCs w:val="1"/>
          <w:color w:val="auto"/>
        </w:rPr>
        <w:t>Derivatives not designated as hedging instruments:</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Foreign currency exchange contracts</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Arial" w:cs="Arial" w:eastAsia="Arial" w:hAnsi="Arial"/>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6461125"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1125" cy="134620"/>
                    </a:xfrm>
                    <a:prstGeom prst="rect">
                      <a:avLst/>
                    </a:prstGeom>
                    <a:noFill/>
                  </pic:spPr>
                </pic:pic>
              </a:graphicData>
            </a:graphic>
          </wp:anchor>
        </w:drawing>
      </w:r>
    </w:p>
    <w:p>
      <w:pPr>
        <w:spacing w:after="0" w:line="20" w:lineRule="exact"/>
        <w:rPr>
          <w:sz w:val="20"/>
          <w:szCs w:val="20"/>
          <w:color w:val="auto"/>
        </w:rPr>
      </w:pPr>
    </w:p>
    <w:p>
      <w:pPr>
        <w:spacing w:after="0"/>
        <w:tabs>
          <w:tab w:leader="none" w:pos="2400" w:val="left"/>
        </w:tabs>
        <w:rPr>
          <w:sz w:val="20"/>
          <w:szCs w:val="20"/>
          <w:color w:val="auto"/>
        </w:rPr>
      </w:pPr>
      <w:r>
        <w:rPr>
          <w:rFonts w:ascii="Arial" w:cs="Arial" w:eastAsia="Arial" w:hAnsi="Arial"/>
          <w:sz w:val="15"/>
          <w:szCs w:val="15"/>
          <w:b w:val="1"/>
          <w:bCs w:val="1"/>
          <w:color w:val="auto"/>
        </w:rPr>
        <w:t>September 30, 2021</w:t>
      </w:r>
      <w:r>
        <w:rPr>
          <w:sz w:val="20"/>
          <w:szCs w:val="20"/>
          <w:color w:val="auto"/>
        </w:rPr>
        <w:tab/>
      </w:r>
      <w:r>
        <w:rPr>
          <w:rFonts w:ascii="Arial" w:cs="Arial" w:eastAsia="Arial" w:hAnsi="Arial"/>
          <w:sz w:val="13"/>
          <w:szCs w:val="13"/>
          <w:b w:val="1"/>
          <w:bCs w:val="1"/>
          <w:color w:val="auto"/>
        </w:rPr>
        <w:t>December 31, 2020</w:t>
      </w:r>
    </w:p>
    <w:p>
      <w:pPr>
        <w:spacing w:after="0" w:line="21" w:lineRule="exact"/>
        <w:rPr>
          <w:sz w:val="20"/>
          <w:szCs w:val="20"/>
          <w:color w:val="auto"/>
        </w:rPr>
      </w:pPr>
    </w:p>
    <w:p>
      <w:pPr>
        <w:sectPr>
          <w:pgSz w:w="11900" w:h="16838" w:orient="portrait"/>
          <w:cols w:equalWidth="0" w:num="2">
            <w:col w:w="6180" w:space="720"/>
            <w:col w:w="4440"/>
          </w:cols>
          <w:pgMar w:left="320" w:top="123" w:right="239" w:bottom="1440" w:gutter="0" w:footer="0" w:header="0"/>
          <w:type w:val="continuous"/>
        </w:sectPr>
      </w:pPr>
    </w:p>
    <w:tbl>
      <w:tblPr>
        <w:tblLayout w:type="fixed"/>
        <w:tblInd w:w="740" w:type="dxa"/>
        <w:tblCellMar>
          <w:top w:w="0" w:type="dxa"/>
          <w:left w:w="0" w:type="dxa"/>
          <w:bottom w:w="0" w:type="dxa"/>
          <w:right w:w="0" w:type="dxa"/>
        </w:tblCellMar>
      </w:tblPr>
      <w:tr>
        <w:trPr>
          <w:trHeight w:val="211"/>
        </w:trPr>
        <w:tc>
          <w:tcPr>
            <w:tcW w:w="5380" w:type="dxa"/>
            <w:vAlign w:val="bottom"/>
            <w:tcBorders>
              <w:top w:val="single" w:sz="8" w:color="auto"/>
            </w:tcBorders>
          </w:tcPr>
          <w:p>
            <w:pPr>
              <w:ind w:left="44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ind w:right="61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ind w:right="697"/>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12"/>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Accrued expenses and other current liabilities</w:t>
            </w:r>
          </w:p>
        </w:tc>
        <w:tc>
          <w:tcPr>
            <w:tcW w:w="1200" w:type="dxa"/>
            <w:vAlign w:val="bottom"/>
            <w:shd w:val="clear" w:color="auto" w:fill="CCEEFF"/>
          </w:tcPr>
          <w:p>
            <w:pPr>
              <w:jc w:val="right"/>
              <w:ind w:right="61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9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r>
    </w:tbl>
    <w:p>
      <w:pPr>
        <w:spacing w:after="0" w:line="275" w:lineRule="exact"/>
        <w:rPr>
          <w:sz w:val="20"/>
          <w:szCs w:val="20"/>
          <w:color w:val="auto"/>
        </w:rPr>
      </w:pPr>
    </w:p>
    <w:p>
      <w:pPr>
        <w:ind w:right="100" w:firstLine="375"/>
        <w:spacing w:after="0" w:line="237" w:lineRule="auto"/>
        <w:rPr>
          <w:sz w:val="20"/>
          <w:szCs w:val="20"/>
          <w:color w:val="auto"/>
        </w:rPr>
      </w:pPr>
      <w:r>
        <w:rPr>
          <w:rFonts w:ascii="Arial" w:cs="Arial" w:eastAsia="Arial" w:hAnsi="Arial"/>
          <w:sz w:val="17"/>
          <w:szCs w:val="17"/>
          <w:color w:val="auto"/>
        </w:rPr>
        <w:t>The following tables set forth the effect of foreign currency exchange contracts on the unaudited consolidated statements of income and accumulated other comprehensive loss for the three and nine months ended September 30, 2021 and 2020:</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5"/>
                <w:szCs w:val="15"/>
                <w:b w:val="1"/>
                <w:bCs w:val="1"/>
                <w:color w:val="auto"/>
                <w:w w:val="95"/>
              </w:rPr>
              <w:t>Three months ended September 30,</w:t>
            </w:r>
          </w:p>
        </w:tc>
        <w:tc>
          <w:tcPr>
            <w:tcW w:w="100" w:type="dxa"/>
            <w:vAlign w:val="bottom"/>
          </w:tcPr>
          <w:p>
            <w:pPr>
              <w:spacing w:after="0"/>
              <w:rPr>
                <w:sz w:val="17"/>
                <w:szCs w:val="17"/>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Nine months ended September 30,</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2"/>
        </w:trPr>
        <w:tc>
          <w:tcPr>
            <w:tcW w:w="420" w:type="dxa"/>
            <w:vAlign w:val="bottom"/>
          </w:tcPr>
          <w:p>
            <w:pPr>
              <w:spacing w:after="0"/>
              <w:rPr>
                <w:sz w:val="16"/>
                <w:szCs w:val="16"/>
                <w:color w:val="auto"/>
              </w:rPr>
            </w:pPr>
          </w:p>
        </w:tc>
        <w:tc>
          <w:tcPr>
            <w:tcW w:w="346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Forward Exchange Contracts:</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95"/>
        </w:trPr>
        <w:tc>
          <w:tcPr>
            <w:tcW w:w="420" w:type="dxa"/>
            <w:vAlign w:val="bottom"/>
          </w:tcPr>
          <w:p>
            <w:pPr>
              <w:spacing w:after="0"/>
              <w:rPr>
                <w:sz w:val="16"/>
                <w:szCs w:val="16"/>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5"/>
                <w:szCs w:val="15"/>
                <w:b w:val="1"/>
                <w:bCs w:val="1"/>
                <w:color w:val="auto"/>
              </w:rPr>
              <w:t>Unrealized gain/(loss) recognized in AOCL</w:t>
            </w:r>
          </w:p>
        </w:tc>
        <w:tc>
          <w:tcPr>
            <w:tcW w:w="7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420" w:type="dxa"/>
            <w:vAlign w:val="bottom"/>
          </w:tcPr>
          <w:p>
            <w:pPr>
              <w:spacing w:after="0"/>
              <w:rPr>
                <w:sz w:val="14"/>
                <w:szCs w:val="14"/>
                <w:color w:val="auto"/>
              </w:rPr>
            </w:pPr>
          </w:p>
        </w:tc>
        <w:tc>
          <w:tcPr>
            <w:tcW w:w="3560" w:type="dxa"/>
            <w:vAlign w:val="bottom"/>
            <w:gridSpan w:val="2"/>
          </w:tcPr>
          <w:p>
            <w:pPr>
              <w:ind w:left="420"/>
              <w:spacing w:after="0" w:line="163" w:lineRule="exact"/>
              <w:rPr>
                <w:sz w:val="20"/>
                <w:szCs w:val="20"/>
                <w:color w:val="auto"/>
              </w:rPr>
            </w:pPr>
            <w:r>
              <w:rPr>
                <w:rFonts w:ascii="Arial" w:cs="Arial" w:eastAsia="Arial" w:hAnsi="Arial"/>
                <w:sz w:val="17"/>
                <w:szCs w:val="17"/>
                <w:color w:val="auto"/>
              </w:rPr>
              <w:t>Derivatives in cash flow hedging</w:t>
            </w:r>
          </w:p>
        </w:tc>
        <w:tc>
          <w:tcPr>
            <w:tcW w:w="700" w:type="dxa"/>
            <w:vAlign w:val="bottom"/>
          </w:tcPr>
          <w:p>
            <w:pPr>
              <w:jc w:val="right"/>
              <w:ind w:right="97"/>
              <w:spacing w:after="0" w:line="163"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63" w:lineRule="exact"/>
              <w:rPr>
                <w:sz w:val="20"/>
                <w:szCs w:val="20"/>
                <w:color w:val="auto"/>
              </w:rPr>
            </w:pPr>
            <w:r>
              <w:rPr>
                <w:rFonts w:ascii="Arial" w:cs="Arial" w:eastAsia="Arial" w:hAnsi="Arial"/>
                <w:sz w:val="17"/>
                <w:szCs w:val="17"/>
                <w:color w:val="auto"/>
              </w:rPr>
              <w:t>261</w:t>
            </w:r>
          </w:p>
        </w:tc>
        <w:tc>
          <w:tcPr>
            <w:tcW w:w="100" w:type="dxa"/>
            <w:vAlign w:val="bottom"/>
          </w:tcPr>
          <w:p>
            <w:pPr>
              <w:spacing w:after="0"/>
              <w:rPr>
                <w:sz w:val="14"/>
                <w:szCs w:val="14"/>
                <w:color w:val="auto"/>
              </w:rPr>
            </w:pPr>
          </w:p>
        </w:tc>
        <w:tc>
          <w:tcPr>
            <w:tcW w:w="720" w:type="dxa"/>
            <w:vAlign w:val="bottom"/>
          </w:tcPr>
          <w:p>
            <w:pPr>
              <w:jc w:val="right"/>
              <w:ind w:right="137"/>
              <w:spacing w:after="0" w:line="163"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63" w:lineRule="exact"/>
              <w:rPr>
                <w:sz w:val="20"/>
                <w:szCs w:val="20"/>
                <w:color w:val="auto"/>
              </w:rPr>
            </w:pPr>
            <w:r>
              <w:rPr>
                <w:rFonts w:ascii="Arial" w:cs="Arial" w:eastAsia="Arial" w:hAnsi="Arial"/>
                <w:sz w:val="17"/>
                <w:szCs w:val="17"/>
                <w:color w:val="auto"/>
              </w:rPr>
              <w:t>12,165</w:t>
            </w:r>
          </w:p>
        </w:tc>
        <w:tc>
          <w:tcPr>
            <w:tcW w:w="100" w:type="dxa"/>
            <w:vAlign w:val="bottom"/>
          </w:tcPr>
          <w:p>
            <w:pPr>
              <w:spacing w:after="0"/>
              <w:rPr>
                <w:sz w:val="14"/>
                <w:szCs w:val="14"/>
                <w:color w:val="auto"/>
              </w:rPr>
            </w:pPr>
          </w:p>
        </w:tc>
        <w:tc>
          <w:tcPr>
            <w:tcW w:w="1260" w:type="dxa"/>
            <w:vAlign w:val="bottom"/>
          </w:tcPr>
          <w:p>
            <w:pPr>
              <w:jc w:val="right"/>
              <w:ind w:right="681"/>
              <w:spacing w:after="0" w:line="163" w:lineRule="exact"/>
              <w:rPr>
                <w:sz w:val="20"/>
                <w:szCs w:val="20"/>
                <w:color w:val="auto"/>
              </w:rPr>
            </w:pPr>
            <w:r>
              <w:rPr>
                <w:rFonts w:ascii="Arial" w:cs="Arial" w:eastAsia="Arial" w:hAnsi="Arial"/>
                <w:sz w:val="17"/>
                <w:szCs w:val="17"/>
                <w:color w:val="auto"/>
              </w:rPr>
              <w:t>$</w:t>
            </w:r>
          </w:p>
        </w:tc>
        <w:tc>
          <w:tcPr>
            <w:tcW w:w="520" w:type="dxa"/>
            <w:vAlign w:val="bottom"/>
          </w:tcPr>
          <w:p>
            <w:pPr>
              <w:jc w:val="right"/>
              <w:spacing w:after="0" w:line="163" w:lineRule="exact"/>
              <w:rPr>
                <w:sz w:val="20"/>
                <w:szCs w:val="20"/>
                <w:color w:val="auto"/>
              </w:rPr>
            </w:pPr>
            <w:r>
              <w:rPr>
                <w:rFonts w:ascii="Arial" w:cs="Arial" w:eastAsia="Arial" w:hAnsi="Arial"/>
                <w:sz w:val="17"/>
                <w:szCs w:val="17"/>
                <w:color w:val="auto"/>
              </w:rPr>
              <w:t>(42)</w:t>
            </w:r>
          </w:p>
        </w:tc>
        <w:tc>
          <w:tcPr>
            <w:tcW w:w="80" w:type="dxa"/>
            <w:vAlign w:val="bottom"/>
          </w:tcPr>
          <w:p>
            <w:pPr>
              <w:spacing w:after="0"/>
              <w:rPr>
                <w:sz w:val="14"/>
                <w:szCs w:val="14"/>
                <w:color w:val="auto"/>
              </w:rPr>
            </w:pPr>
          </w:p>
        </w:tc>
        <w:tc>
          <w:tcPr>
            <w:tcW w:w="1300" w:type="dxa"/>
            <w:vAlign w:val="bottom"/>
          </w:tcPr>
          <w:p>
            <w:pPr>
              <w:jc w:val="right"/>
              <w:ind w:right="700"/>
              <w:spacing w:after="0" w:line="163" w:lineRule="exact"/>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auto"/>
                <w:w w:val="89"/>
              </w:rPr>
              <w:t>5,040</w:t>
            </w:r>
          </w:p>
        </w:tc>
      </w:tr>
      <w:tr>
        <w:trPr>
          <w:trHeight w:val="212"/>
        </w:trPr>
        <w:tc>
          <w:tcPr>
            <w:tcW w:w="4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relationships</w:t>
            </w: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0" w:type="dxa"/>
            <w:vAlign w:val="bottom"/>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50"/>
        </w:trPr>
        <w:tc>
          <w:tcPr>
            <w:tcW w:w="420" w:type="dxa"/>
            <w:vAlign w:val="bottom"/>
          </w:tcPr>
          <w:p>
            <w:pPr>
              <w:spacing w:after="0"/>
              <w:rPr>
                <w:sz w:val="13"/>
                <w:szCs w:val="13"/>
                <w:color w:val="auto"/>
              </w:rPr>
            </w:pPr>
          </w:p>
        </w:tc>
        <w:tc>
          <w:tcPr>
            <w:tcW w:w="3560" w:type="dxa"/>
            <w:vAlign w:val="bottom"/>
            <w:gridSpan w:val="2"/>
          </w:tcPr>
          <w:p>
            <w:pPr>
              <w:ind w:left="420"/>
              <w:spacing w:after="0" w:line="150" w:lineRule="exact"/>
              <w:rPr>
                <w:sz w:val="20"/>
                <w:szCs w:val="20"/>
                <w:color w:val="auto"/>
              </w:rPr>
            </w:pPr>
            <w:r>
              <w:rPr>
                <w:rFonts w:ascii="Arial" w:cs="Arial" w:eastAsia="Arial" w:hAnsi="Arial"/>
                <w:sz w:val="15"/>
                <w:szCs w:val="15"/>
                <w:b w:val="1"/>
                <w:bCs w:val="1"/>
                <w:color w:val="auto"/>
              </w:rPr>
              <w:t>Gain/(loss) recognized in consolidated</w:t>
            </w: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4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5"/>
                <w:szCs w:val="15"/>
                <w:b w:val="1"/>
                <w:bCs w:val="1"/>
                <w:color w:val="auto"/>
              </w:rPr>
              <w:t>statements of income</w:t>
            </w: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5"/>
        </w:trPr>
        <w:tc>
          <w:tcPr>
            <w:tcW w:w="420" w:type="dxa"/>
            <w:vAlign w:val="bottom"/>
          </w:tcPr>
          <w:p>
            <w:pPr>
              <w:spacing w:after="0"/>
              <w:rPr>
                <w:sz w:val="14"/>
                <w:szCs w:val="14"/>
                <w:color w:val="auto"/>
              </w:rPr>
            </w:pPr>
          </w:p>
        </w:tc>
        <w:tc>
          <w:tcPr>
            <w:tcW w:w="3560" w:type="dxa"/>
            <w:vAlign w:val="bottom"/>
            <w:gridSpan w:val="2"/>
            <w:shd w:val="clear" w:color="auto" w:fill="CCEEFF"/>
          </w:tcPr>
          <w:p>
            <w:pPr>
              <w:ind w:left="420"/>
              <w:spacing w:after="0" w:line="165" w:lineRule="exact"/>
              <w:rPr>
                <w:sz w:val="20"/>
                <w:szCs w:val="20"/>
                <w:color w:val="auto"/>
              </w:rPr>
            </w:pPr>
            <w:r>
              <w:rPr>
                <w:rFonts w:ascii="Arial" w:cs="Arial" w:eastAsia="Arial" w:hAnsi="Arial"/>
                <w:sz w:val="17"/>
                <w:szCs w:val="17"/>
                <w:color w:val="auto"/>
              </w:rPr>
              <w:t>Derivatives not designated as hedging</w:t>
            </w:r>
          </w:p>
        </w:tc>
        <w:tc>
          <w:tcPr>
            <w:tcW w:w="700" w:type="dxa"/>
            <w:vAlign w:val="bottom"/>
            <w:shd w:val="clear" w:color="auto" w:fill="CCEEFF"/>
          </w:tcPr>
          <w:p>
            <w:pPr>
              <w:jc w:val="right"/>
              <w:ind w:right="97"/>
              <w:spacing w:after="0" w:line="165"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65" w:lineRule="exact"/>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37"/>
              <w:spacing w:after="0" w:line="165"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65" w:lineRule="exact"/>
              <w:rPr>
                <w:sz w:val="20"/>
                <w:szCs w:val="20"/>
                <w:color w:val="auto"/>
              </w:rPr>
            </w:pPr>
            <w:r>
              <w:rPr>
                <w:rFonts w:ascii="Arial" w:cs="Arial" w:eastAsia="Arial" w:hAnsi="Arial"/>
                <w:sz w:val="17"/>
                <w:szCs w:val="17"/>
                <w:color w:val="auto"/>
              </w:rPr>
              <w:t>3,372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81"/>
              <w:spacing w:after="0" w:line="165"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65" w:lineRule="exact"/>
              <w:rPr>
                <w:sz w:val="20"/>
                <w:szCs w:val="20"/>
                <w:color w:val="auto"/>
              </w:rPr>
            </w:pPr>
            <w:r>
              <w:rPr>
                <w:rFonts w:ascii="Arial" w:cs="Arial" w:eastAsia="Arial" w:hAnsi="Arial"/>
                <w:sz w:val="17"/>
                <w:szCs w:val="17"/>
                <w:color w:val="auto"/>
                <w:w w:val="89"/>
              </w:rPr>
              <w:t>(1,054)</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700"/>
              <w:spacing w:after="0" w:line="165" w:lineRule="exact"/>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80"/>
              <w:spacing w:after="0" w:line="165" w:lineRule="exact"/>
              <w:rPr>
                <w:sz w:val="20"/>
                <w:szCs w:val="20"/>
                <w:color w:val="auto"/>
              </w:rPr>
            </w:pPr>
            <w:r>
              <w:rPr>
                <w:rFonts w:ascii="Arial" w:cs="Arial" w:eastAsia="Arial" w:hAnsi="Arial"/>
                <w:sz w:val="17"/>
                <w:szCs w:val="17"/>
                <w:color w:val="auto"/>
                <w:w w:val="89"/>
              </w:rPr>
              <w:t>2,429</w:t>
            </w:r>
          </w:p>
        </w:tc>
      </w:tr>
      <w:tr>
        <w:trPr>
          <w:trHeight w:val="212"/>
        </w:trPr>
        <w:tc>
          <w:tcPr>
            <w:tcW w:w="4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instruments</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837"/>
        </w:trPr>
        <w:tc>
          <w:tcPr>
            <w:tcW w:w="4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5"/>
        </w:trPr>
        <w:tc>
          <w:tcPr>
            <w:tcW w:w="42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type w:val="continuous"/>
        </w:sectPr>
      </w:pPr>
    </w:p>
    <w:bookmarkStart w:id="26" w:name="page27"/>
    <w:bookmarkEnd w:id="2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right="180" w:firstLine="412"/>
        <w:spacing w:after="0" w:line="238" w:lineRule="auto"/>
        <w:rPr>
          <w:sz w:val="20"/>
          <w:szCs w:val="20"/>
          <w:color w:val="auto"/>
        </w:rPr>
      </w:pPr>
      <w:r>
        <w:rPr>
          <w:rFonts w:ascii="Arial" w:cs="Arial" w:eastAsia="Arial" w:hAnsi="Arial"/>
          <w:sz w:val="15"/>
          <w:szCs w:val="15"/>
          <w:b w:val="1"/>
          <w:bCs w:val="1"/>
          <w:color w:val="auto"/>
        </w:rPr>
        <w:t>Location and amount of gain/(loss) recognized in unaudited consolidated statements of income for cash flow hedging relationships and derivatives not designated as hedging instruments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780" w:type="dxa"/>
            <w:vAlign w:val="bottom"/>
            <w:tcBorders>
              <w:top w:val="single" w:sz="8" w:color="auto"/>
              <w:bottom w:val="single" w:sz="8" w:color="auto"/>
            </w:tcBorders>
            <w:gridSpan w:val="4"/>
          </w:tcPr>
          <w:p>
            <w:pPr>
              <w:jc w:val="right"/>
              <w:ind w:right="278"/>
              <w:spacing w:after="0"/>
              <w:rPr>
                <w:sz w:val="20"/>
                <w:szCs w:val="20"/>
                <w:color w:val="auto"/>
              </w:rPr>
            </w:pPr>
            <w:r>
              <w:rPr>
                <w:rFonts w:ascii="Arial" w:cs="Arial" w:eastAsia="Arial" w:hAnsi="Arial"/>
                <w:sz w:val="15"/>
                <w:szCs w:val="15"/>
                <w:b w:val="1"/>
                <w:bCs w:val="1"/>
                <w:color w:val="auto"/>
                <w:w w:val="94"/>
              </w:rPr>
              <w:t>Three months ended September 30,</w:t>
            </w: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3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5"/>
                <w:szCs w:val="15"/>
                <w:b w:val="1"/>
                <w:bCs w:val="1"/>
                <w:color w:val="auto"/>
              </w:rPr>
              <w:t>2021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5"/>
                <w:szCs w:val="15"/>
                <w:b w:val="1"/>
                <w:bCs w:val="1"/>
                <w:color w:val="auto"/>
              </w:rPr>
              <w:t>2020</w:t>
            </w: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Arial" w:cs="Arial" w:eastAsia="Arial" w:hAnsi="Arial"/>
                <w:sz w:val="15"/>
                <w:szCs w:val="15"/>
                <w:b w:val="1"/>
                <w:bCs w:val="1"/>
                <w:color w:val="auto"/>
              </w:rPr>
              <w:t>As per unaudited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Gain/(loss)</w:t>
            </w:r>
          </w:p>
        </w:tc>
        <w:tc>
          <w:tcPr>
            <w:tcW w:w="1660" w:type="dxa"/>
            <w:vAlign w:val="bottom"/>
            <w:gridSpan w:val="2"/>
          </w:tcPr>
          <w:p>
            <w:pPr>
              <w:jc w:val="right"/>
              <w:spacing w:after="0" w:line="146" w:lineRule="exact"/>
              <w:rPr>
                <w:sz w:val="20"/>
                <w:szCs w:val="20"/>
                <w:color w:val="auto"/>
              </w:rPr>
            </w:pPr>
            <w:r>
              <w:rPr>
                <w:rFonts w:ascii="Arial" w:cs="Arial" w:eastAsia="Arial" w:hAnsi="Arial"/>
                <w:sz w:val="15"/>
                <w:szCs w:val="15"/>
                <w:b w:val="1"/>
                <w:bCs w:val="1"/>
                <w:color w:val="auto"/>
              </w:rPr>
              <w:t>As per unaudited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5"/>
                <w:szCs w:val="15"/>
                <w:b w:val="1"/>
                <w:bCs w:val="1"/>
                <w:color w:val="auto"/>
                <w:w w:val="89"/>
              </w:rPr>
              <w:t>Gain/(loss) on</w:t>
            </w: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2"/>
            <w:vMerge w:val="restart"/>
          </w:tcPr>
          <w:p>
            <w:pPr>
              <w:ind w:left="420"/>
              <w:spacing w:after="0" w:line="150" w:lineRule="exact"/>
              <w:rPr>
                <w:sz w:val="20"/>
                <w:szCs w:val="20"/>
                <w:color w:val="auto"/>
              </w:rPr>
            </w:pPr>
            <w:r>
              <w:rPr>
                <w:rFonts w:ascii="Arial" w:cs="Arial" w:eastAsia="Arial" w:hAnsi="Arial"/>
                <w:sz w:val="15"/>
                <w:szCs w:val="15"/>
                <w:b w:val="1"/>
                <w:bCs w:val="1"/>
                <w:color w:val="auto"/>
              </w:rPr>
              <w:t>consolidated</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60" w:type="dxa"/>
            <w:vAlign w:val="bottom"/>
            <w:gridSpan w:val="2"/>
            <w:vMerge w:val="restart"/>
          </w:tcPr>
          <w:p>
            <w:pPr>
              <w:ind w:left="440"/>
              <w:spacing w:after="0" w:line="150" w:lineRule="exact"/>
              <w:rPr>
                <w:sz w:val="20"/>
                <w:szCs w:val="20"/>
                <w:color w:val="auto"/>
              </w:rPr>
            </w:pPr>
            <w:r>
              <w:rPr>
                <w:rFonts w:ascii="Arial" w:cs="Arial" w:eastAsia="Arial" w:hAnsi="Arial"/>
                <w:sz w:val="15"/>
                <w:szCs w:val="15"/>
                <w:b w:val="1"/>
                <w:bCs w:val="1"/>
                <w:color w:val="auto"/>
              </w:rPr>
              <w:t>consolidated</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3"/>
            <w:vMerge w:val="restart"/>
          </w:tcPr>
          <w:p>
            <w:pPr>
              <w:ind w:left="160"/>
              <w:spacing w:after="0" w:line="150" w:lineRule="exact"/>
              <w:rPr>
                <w:sz w:val="20"/>
                <w:szCs w:val="20"/>
                <w:color w:val="auto"/>
              </w:rPr>
            </w:pPr>
            <w:r>
              <w:rPr>
                <w:rFonts w:ascii="Arial" w:cs="Arial" w:eastAsia="Arial" w:hAnsi="Arial"/>
                <w:sz w:val="15"/>
                <w:szCs w:val="15"/>
                <w:b w:val="1"/>
                <w:bCs w:val="1"/>
                <w:color w:val="auto"/>
              </w:rPr>
              <w:t>on foreign currency</w:t>
            </w:r>
          </w:p>
        </w:tc>
        <w:tc>
          <w:tcPr>
            <w:tcW w:w="1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gridSpan w:val="3"/>
            <w:vMerge w:val="restart"/>
          </w:tcPr>
          <w:p>
            <w:pPr>
              <w:jc w:val="right"/>
              <w:ind w:right="280"/>
              <w:spacing w:after="0" w:line="150" w:lineRule="exact"/>
              <w:rPr>
                <w:sz w:val="20"/>
                <w:szCs w:val="20"/>
                <w:color w:val="auto"/>
              </w:rPr>
            </w:pPr>
            <w:r>
              <w:rPr>
                <w:rFonts w:ascii="Arial" w:cs="Arial" w:eastAsia="Arial" w:hAnsi="Arial"/>
                <w:sz w:val="15"/>
                <w:szCs w:val="15"/>
                <w:b w:val="1"/>
                <w:bCs w:val="1"/>
                <w:color w:val="auto"/>
              </w:rPr>
              <w:t>foreign currency</w:t>
            </w: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2"/>
            <w:vMerge w:val="restart"/>
          </w:tcPr>
          <w:p>
            <w:pPr>
              <w:jc w:val="right"/>
              <w:ind w:right="338"/>
              <w:spacing w:after="0" w:line="150" w:lineRule="exact"/>
              <w:rPr>
                <w:sz w:val="20"/>
                <w:szCs w:val="20"/>
                <w:color w:val="auto"/>
              </w:rPr>
            </w:pPr>
            <w:r>
              <w:rPr>
                <w:rFonts w:ascii="Arial" w:cs="Arial" w:eastAsia="Arial" w:hAnsi="Arial"/>
                <w:sz w:val="15"/>
                <w:szCs w:val="15"/>
                <w:b w:val="1"/>
                <w:bCs w:val="1"/>
                <w:color w:val="auto"/>
              </w:rPr>
              <w:t>statements of</w:t>
            </w:r>
          </w:p>
        </w:tc>
        <w:tc>
          <w:tcPr>
            <w:tcW w:w="100" w:type="dxa"/>
            <w:vAlign w:val="bottom"/>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1660" w:type="dxa"/>
            <w:vAlign w:val="bottom"/>
            <w:gridSpan w:val="2"/>
            <w:vMerge w:val="restart"/>
          </w:tcPr>
          <w:p>
            <w:pPr>
              <w:jc w:val="right"/>
              <w:ind w:right="318"/>
              <w:spacing w:after="0" w:line="150" w:lineRule="exact"/>
              <w:rPr>
                <w:sz w:val="20"/>
                <w:szCs w:val="20"/>
                <w:color w:val="auto"/>
              </w:rPr>
            </w:pPr>
            <w:r>
              <w:rPr>
                <w:rFonts w:ascii="Arial" w:cs="Arial" w:eastAsia="Arial" w:hAnsi="Arial"/>
                <w:sz w:val="15"/>
                <w:szCs w:val="15"/>
                <w:b w:val="1"/>
                <w:bCs w:val="1"/>
                <w:color w:val="auto"/>
              </w:rPr>
              <w:t>statements of</w:t>
            </w:r>
          </w:p>
        </w:tc>
        <w:tc>
          <w:tcPr>
            <w:tcW w:w="100" w:type="dxa"/>
            <w:vAlign w:val="bottom"/>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3"/>
            <w:vMerge w:val="restart"/>
          </w:tcPr>
          <w:p>
            <w:pPr>
              <w:ind w:left="180"/>
              <w:spacing w:after="0"/>
              <w:rPr>
                <w:sz w:val="20"/>
                <w:szCs w:val="20"/>
                <w:color w:val="auto"/>
              </w:rPr>
            </w:pPr>
            <w:r>
              <w:rPr>
                <w:rFonts w:ascii="Arial" w:cs="Arial" w:eastAsia="Arial" w:hAnsi="Arial"/>
                <w:sz w:val="15"/>
                <w:szCs w:val="15"/>
                <w:b w:val="1"/>
                <w:bCs w:val="1"/>
                <w:color w:val="auto"/>
              </w:rPr>
              <w:t>exchange contracts</w:t>
            </w:r>
          </w:p>
        </w:tc>
        <w:tc>
          <w:tcPr>
            <w:tcW w:w="1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gridSpan w:val="3"/>
            <w:vMerge w:val="restart"/>
          </w:tcPr>
          <w:p>
            <w:pPr>
              <w:jc w:val="right"/>
              <w:ind w:right="200"/>
              <w:spacing w:after="0"/>
              <w:rPr>
                <w:sz w:val="20"/>
                <w:szCs w:val="20"/>
                <w:color w:val="auto"/>
              </w:rPr>
            </w:pPr>
            <w:r>
              <w:rPr>
                <w:rFonts w:ascii="Arial" w:cs="Arial" w:eastAsia="Arial" w:hAnsi="Arial"/>
                <w:sz w:val="15"/>
                <w:szCs w:val="15"/>
                <w:b w:val="1"/>
                <w:bCs w:val="1"/>
                <w:color w:val="auto"/>
                <w:w w:val="99"/>
              </w:rPr>
              <w:t>exchange contracts</w:t>
            </w: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vMerge w:val="restart"/>
          </w:tcPr>
          <w:p>
            <w:pPr>
              <w:jc w:val="right"/>
              <w:ind w:right="518"/>
              <w:spacing w:after="0"/>
              <w:rPr>
                <w:sz w:val="20"/>
                <w:szCs w:val="20"/>
                <w:color w:val="auto"/>
              </w:rPr>
            </w:pPr>
            <w:r>
              <w:rPr>
                <w:rFonts w:ascii="Arial" w:cs="Arial" w:eastAsia="Arial" w:hAnsi="Arial"/>
                <w:sz w:val="15"/>
                <w:szCs w:val="15"/>
                <w:b w:val="1"/>
                <w:bCs w:val="1"/>
                <w:color w:val="auto"/>
                <w:w w:val="95"/>
              </w:rPr>
              <w:t>income</w:t>
            </w: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vMerge w:val="restart"/>
          </w:tcPr>
          <w:p>
            <w:pPr>
              <w:jc w:val="right"/>
              <w:ind w:right="518"/>
              <w:spacing w:after="0"/>
              <w:rPr>
                <w:sz w:val="20"/>
                <w:szCs w:val="20"/>
                <w:color w:val="auto"/>
              </w:rPr>
            </w:pPr>
            <w:r>
              <w:rPr>
                <w:rFonts w:ascii="Arial" w:cs="Arial" w:eastAsia="Arial" w:hAnsi="Arial"/>
                <w:sz w:val="15"/>
                <w:szCs w:val="15"/>
                <w:b w:val="1"/>
                <w:bCs w:val="1"/>
                <w:color w:val="auto"/>
                <w:w w:val="91"/>
              </w:rPr>
              <w:t>income</w:t>
            </w:r>
          </w:p>
        </w:tc>
        <w:tc>
          <w:tcPr>
            <w:tcW w:w="1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20" w:type="dxa"/>
            <w:vAlign w:val="bottom"/>
          </w:tcPr>
          <w:p>
            <w:pPr>
              <w:spacing w:after="0"/>
              <w:rPr>
                <w:sz w:val="6"/>
                <w:szCs w:val="6"/>
                <w:color w:val="auto"/>
              </w:rPr>
            </w:pPr>
          </w:p>
        </w:tc>
        <w:tc>
          <w:tcPr>
            <w:tcW w:w="3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5"/>
                <w:szCs w:val="15"/>
                <w:b w:val="1"/>
                <w:bCs w:val="1"/>
                <w:color w:val="auto"/>
              </w:rPr>
              <w:t>Cash flow hedging relationships</w:t>
            </w: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020" w:type="dxa"/>
            <w:vAlign w:val="bottom"/>
            <w:gridSpan w:val="2"/>
          </w:tcPr>
          <w:p>
            <w:pPr>
              <w:ind w:left="420"/>
              <w:spacing w:after="0" w:line="163" w:lineRule="exact"/>
              <w:rPr>
                <w:sz w:val="20"/>
                <w:szCs w:val="20"/>
                <w:color w:val="auto"/>
              </w:rPr>
            </w:pPr>
            <w:r>
              <w:rPr>
                <w:rFonts w:ascii="Arial" w:cs="Arial" w:eastAsia="Arial" w:hAnsi="Arial"/>
                <w:sz w:val="17"/>
                <w:szCs w:val="17"/>
                <w:color w:val="auto"/>
                <w:w w:val="97"/>
              </w:rPr>
              <w:t>Location in unaudited consolidated statements of</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income where gain/(loss) was reclassed from AOCL</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3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7"/>
                <w:szCs w:val="17"/>
                <w:color w:val="auto"/>
              </w:rPr>
              <w:t>Cost of revenues</w:t>
            </w:r>
          </w:p>
        </w:tc>
        <w:tc>
          <w:tcPr>
            <w:tcW w:w="540" w:type="dxa"/>
            <w:vAlign w:val="bottom"/>
          </w:tcPr>
          <w:p>
            <w:pPr>
              <w:ind w:left="4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177,743</w:t>
            </w:r>
          </w:p>
        </w:tc>
        <w:tc>
          <w:tcPr>
            <w:tcW w:w="680" w:type="dxa"/>
            <w:vAlign w:val="bottom"/>
            <w:gridSpan w:val="2"/>
          </w:tcPr>
          <w:p>
            <w:pPr>
              <w:jc w:val="right"/>
              <w:ind w:right="2"/>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1,801</w:t>
            </w:r>
          </w:p>
        </w:tc>
        <w:tc>
          <w:tcPr>
            <w:tcW w:w="100" w:type="dxa"/>
            <w:vAlign w:val="bottom"/>
          </w:tcPr>
          <w:p>
            <w:pPr>
              <w:spacing w:after="0"/>
              <w:rPr>
                <w:sz w:val="18"/>
                <w:szCs w:val="18"/>
                <w:color w:val="auto"/>
              </w:rPr>
            </w:pPr>
          </w:p>
        </w:tc>
        <w:tc>
          <w:tcPr>
            <w:tcW w:w="560" w:type="dxa"/>
            <w:vAlign w:val="bottom"/>
          </w:tcPr>
          <w:p>
            <w:pPr>
              <w:ind w:left="4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152,087</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General and administrative expenses</w:t>
            </w:r>
          </w:p>
        </w:tc>
        <w:tc>
          <w:tcPr>
            <w:tcW w:w="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20" w:type="dxa"/>
            <w:vAlign w:val="bottom"/>
            <w:gridSpan w:val="2"/>
          </w:tcPr>
          <w:p>
            <w:pPr>
              <w:ind w:left="420"/>
              <w:spacing w:after="0"/>
              <w:rPr>
                <w:sz w:val="20"/>
                <w:szCs w:val="20"/>
                <w:color w:val="auto"/>
              </w:rPr>
            </w:pPr>
            <w:r>
              <w:rPr>
                <w:rFonts w:ascii="Arial" w:cs="Arial" w:eastAsia="Arial" w:hAnsi="Arial"/>
                <w:sz w:val="17"/>
                <w:szCs w:val="17"/>
                <w:color w:val="auto"/>
              </w:rPr>
              <w:t>Selling and marketing expenses</w:t>
            </w:r>
          </w:p>
        </w:tc>
        <w:tc>
          <w:tcPr>
            <w:tcW w:w="540" w:type="dxa"/>
            <w:vAlign w:val="bottom"/>
          </w:tcPr>
          <w:p>
            <w:pPr>
              <w:ind w:left="4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21,672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560" w:type="dxa"/>
            <w:vAlign w:val="bottom"/>
          </w:tcPr>
          <w:p>
            <w:pPr>
              <w:ind w:left="4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15,290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Depreciation and amortization expense</w:t>
            </w:r>
          </w:p>
        </w:tc>
        <w:tc>
          <w:tcPr>
            <w:tcW w:w="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402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 before tax</w:t>
            </w: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2,150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Income tax (expense)/benefit relating to above</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4020" w:type="dxa"/>
            <w:vAlign w:val="bottom"/>
            <w:gridSpan w:val="2"/>
          </w:tcPr>
          <w:p>
            <w:pPr>
              <w:ind w:left="420"/>
              <w:spacing w:after="0"/>
              <w:rPr>
                <w:sz w:val="20"/>
                <w:szCs w:val="20"/>
                <w:color w:val="auto"/>
              </w:rPr>
            </w:pPr>
            <w:r>
              <w:rPr>
                <w:rFonts w:ascii="Arial" w:cs="Arial" w:eastAsia="Arial" w:hAnsi="Arial"/>
                <w:sz w:val="15"/>
                <w:szCs w:val="15"/>
                <w:b w:val="1"/>
                <w:bCs w:val="1"/>
                <w:color w:val="auto"/>
              </w:rPr>
              <w:t>Net of tax</w:t>
            </w: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gridSpan w:val="2"/>
          </w:tcPr>
          <w:p>
            <w:pPr>
              <w:jc w:val="right"/>
              <w:ind w:right="2"/>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1,780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4020" w:type="dxa"/>
            <w:vAlign w:val="bottom"/>
            <w:gridSpan w:val="2"/>
          </w:tcPr>
          <w:p>
            <w:pPr>
              <w:ind w:left="420"/>
              <w:spacing w:after="0"/>
              <w:rPr>
                <w:sz w:val="20"/>
                <w:szCs w:val="20"/>
                <w:color w:val="auto"/>
              </w:rPr>
            </w:pPr>
            <w:r>
              <w:rPr>
                <w:rFonts w:ascii="Arial" w:cs="Arial" w:eastAsia="Arial" w:hAnsi="Arial"/>
                <w:sz w:val="15"/>
                <w:szCs w:val="15"/>
                <w:b w:val="1"/>
                <w:bCs w:val="1"/>
                <w:color w:val="auto"/>
                <w:w w:val="98"/>
              </w:rPr>
              <w:t>Derivatives not designated as hedging instruments</w:t>
            </w: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4020" w:type="dxa"/>
            <w:vAlign w:val="bottom"/>
            <w:gridSpan w:val="2"/>
            <w:shd w:val="clear" w:color="auto" w:fill="CCEEFF"/>
          </w:tcPr>
          <w:p>
            <w:pPr>
              <w:ind w:left="420"/>
              <w:spacing w:after="0" w:line="165" w:lineRule="exact"/>
              <w:rPr>
                <w:sz w:val="20"/>
                <w:szCs w:val="20"/>
                <w:color w:val="auto"/>
              </w:rPr>
            </w:pPr>
            <w:r>
              <w:rPr>
                <w:rFonts w:ascii="Arial" w:cs="Arial" w:eastAsia="Arial" w:hAnsi="Arial"/>
                <w:sz w:val="17"/>
                <w:szCs w:val="17"/>
                <w:color w:val="auto"/>
                <w:w w:val="97"/>
              </w:rPr>
              <w:t>Location in unaudited consolidated statements of</w:t>
            </w: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where gain/(loss) was recognized</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Foreign exchange gain/(loss), net</w:t>
            </w:r>
          </w:p>
        </w:tc>
        <w:tc>
          <w:tcPr>
            <w:tcW w:w="5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4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1,171</w:t>
            </w:r>
          </w:p>
        </w:tc>
        <w:tc>
          <w:tcPr>
            <w:tcW w:w="680" w:type="dxa"/>
            <w:vAlign w:val="bottom"/>
            <w:gridSpan w:val="2"/>
          </w:tcPr>
          <w:p>
            <w:pPr>
              <w:jc w:val="right"/>
              <w:ind w:right="2"/>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7"/>
                <w:szCs w:val="17"/>
                <w:color w:val="auto"/>
              </w:rPr>
            </w:pPr>
          </w:p>
        </w:tc>
        <w:tc>
          <w:tcPr>
            <w:tcW w:w="560" w:type="dxa"/>
            <w:vAlign w:val="bottom"/>
          </w:tcPr>
          <w:p>
            <w:pPr>
              <w:ind w:left="4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716</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3,372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ind w:right="318"/>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80" w:firstLine="412"/>
        <w:spacing w:after="0" w:line="238" w:lineRule="auto"/>
        <w:rPr>
          <w:sz w:val="20"/>
          <w:szCs w:val="20"/>
          <w:color w:val="auto"/>
        </w:rPr>
      </w:pPr>
      <w:r>
        <w:rPr>
          <w:rFonts w:ascii="Arial" w:cs="Arial" w:eastAsia="Arial" w:hAnsi="Arial"/>
          <w:sz w:val="15"/>
          <w:szCs w:val="15"/>
          <w:b w:val="1"/>
          <w:bCs w:val="1"/>
          <w:color w:val="auto"/>
        </w:rPr>
        <w:t>Location and amount of gain/(loss) recognized in unaudited consolidated statements of income for cash flow hedging relationships and derivatives not designated as hedging instruments</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96"/>
        </w:trPr>
        <w:tc>
          <w:tcPr>
            <w:tcW w:w="40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2920" w:type="dxa"/>
            <w:vAlign w:val="bottom"/>
            <w:tcBorders>
              <w:top w:val="single" w:sz="8" w:color="auto"/>
              <w:bottom w:val="single" w:sz="8" w:color="auto"/>
            </w:tcBorders>
            <w:gridSpan w:val="5"/>
          </w:tcPr>
          <w:p>
            <w:pPr>
              <w:jc w:val="right"/>
              <w:ind w:right="500"/>
              <w:spacing w:after="0"/>
              <w:rPr>
                <w:sz w:val="20"/>
                <w:szCs w:val="20"/>
                <w:color w:val="auto"/>
              </w:rPr>
            </w:pPr>
            <w:r>
              <w:rPr>
                <w:rFonts w:ascii="Arial" w:cs="Arial" w:eastAsia="Arial" w:hAnsi="Arial"/>
                <w:sz w:val="15"/>
                <w:szCs w:val="15"/>
                <w:b w:val="1"/>
                <w:bCs w:val="1"/>
                <w:color w:val="auto"/>
                <w:w w:val="97"/>
              </w:rPr>
              <w:t>Nine months ended September 30,</w:t>
            </w:r>
          </w:p>
        </w:tc>
        <w:tc>
          <w:tcPr>
            <w:tcW w:w="6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5"/>
                <w:szCs w:val="15"/>
                <w:b w:val="1"/>
                <w:bCs w:val="1"/>
                <w:color w:val="auto"/>
                <w:w w:val="83"/>
              </w:rPr>
              <w:t>2021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2020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right"/>
              <w:ind w:right="59"/>
              <w:spacing w:after="0" w:line="146" w:lineRule="exact"/>
              <w:rPr>
                <w:sz w:val="20"/>
                <w:szCs w:val="20"/>
                <w:color w:val="auto"/>
              </w:rPr>
            </w:pPr>
            <w:r>
              <w:rPr>
                <w:rFonts w:ascii="Arial" w:cs="Arial" w:eastAsia="Arial" w:hAnsi="Arial"/>
                <w:sz w:val="15"/>
                <w:szCs w:val="15"/>
                <w:b w:val="1"/>
                <w:bCs w:val="1"/>
                <w:color w:val="auto"/>
                <w:w w:val="91"/>
              </w:rPr>
              <w:t>As per unaudited</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Gain/(loss) on</w:t>
            </w:r>
          </w:p>
        </w:tc>
        <w:tc>
          <w:tcPr>
            <w:tcW w:w="1760" w:type="dxa"/>
            <w:vAlign w:val="bottom"/>
            <w:gridSpan w:val="3"/>
          </w:tcPr>
          <w:p>
            <w:pPr>
              <w:ind w:left="480"/>
              <w:spacing w:after="0" w:line="146" w:lineRule="exact"/>
              <w:rPr>
                <w:sz w:val="20"/>
                <w:szCs w:val="20"/>
                <w:color w:val="auto"/>
              </w:rPr>
            </w:pPr>
            <w:r>
              <w:rPr>
                <w:rFonts w:ascii="Arial" w:cs="Arial" w:eastAsia="Arial" w:hAnsi="Arial"/>
                <w:sz w:val="15"/>
                <w:szCs w:val="15"/>
                <w:b w:val="1"/>
                <w:bCs w:val="1"/>
                <w:color w:val="auto"/>
              </w:rPr>
              <w:t>As per unaudited</w:t>
            </w:r>
          </w:p>
        </w:tc>
        <w:tc>
          <w:tcPr>
            <w:tcW w:w="6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Gain/(loss)</w:t>
            </w:r>
          </w:p>
        </w:tc>
        <w:tc>
          <w:tcPr>
            <w:tcW w:w="0" w:type="dxa"/>
            <w:vAlign w:val="bottom"/>
          </w:tcPr>
          <w:p>
            <w:pPr>
              <w:spacing w:after="0"/>
              <w:rPr>
                <w:sz w:val="1"/>
                <w:szCs w:val="1"/>
                <w:color w:val="auto"/>
              </w:rPr>
            </w:pPr>
          </w:p>
        </w:tc>
      </w:tr>
      <w:tr>
        <w:trPr>
          <w:trHeight w:val="75"/>
        </w:trPr>
        <w:tc>
          <w:tcPr>
            <w:tcW w:w="4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gridSpan w:val="2"/>
            <w:vMerge w:val="restart"/>
          </w:tcPr>
          <w:p>
            <w:pPr>
              <w:jc w:val="center"/>
              <w:spacing w:after="0" w:line="150" w:lineRule="exact"/>
              <w:rPr>
                <w:sz w:val="20"/>
                <w:szCs w:val="20"/>
                <w:color w:val="auto"/>
              </w:rPr>
            </w:pPr>
            <w:r>
              <w:rPr>
                <w:rFonts w:ascii="Arial" w:cs="Arial" w:eastAsia="Arial" w:hAnsi="Arial"/>
                <w:sz w:val="15"/>
                <w:szCs w:val="15"/>
                <w:b w:val="1"/>
                <w:bCs w:val="1"/>
                <w:color w:val="auto"/>
                <w:w w:val="86"/>
              </w:rPr>
              <w:t>consolidated</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760" w:type="dxa"/>
            <w:vAlign w:val="bottom"/>
            <w:gridSpan w:val="3"/>
            <w:vMerge w:val="restart"/>
          </w:tcPr>
          <w:p>
            <w:pPr>
              <w:ind w:left="440"/>
              <w:spacing w:after="0" w:line="150" w:lineRule="exact"/>
              <w:rPr>
                <w:sz w:val="20"/>
                <w:szCs w:val="20"/>
                <w:color w:val="auto"/>
              </w:rPr>
            </w:pPr>
            <w:r>
              <w:rPr>
                <w:rFonts w:ascii="Arial" w:cs="Arial" w:eastAsia="Arial" w:hAnsi="Arial"/>
                <w:sz w:val="15"/>
                <w:szCs w:val="15"/>
                <w:b w:val="1"/>
                <w:bCs w:val="1"/>
                <w:color w:val="auto"/>
              </w:rPr>
              <w:t>consolidated</w:t>
            </w:r>
          </w:p>
        </w:tc>
        <w:tc>
          <w:tcPr>
            <w:tcW w:w="6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gridSpan w:val="3"/>
            <w:vMerge w:val="restart"/>
          </w:tcPr>
          <w:p>
            <w:pPr>
              <w:jc w:val="center"/>
              <w:ind w:right="60"/>
              <w:spacing w:after="0" w:line="150" w:lineRule="exact"/>
              <w:rPr>
                <w:sz w:val="20"/>
                <w:szCs w:val="20"/>
                <w:color w:val="auto"/>
              </w:rPr>
            </w:pPr>
            <w:r>
              <w:rPr>
                <w:rFonts w:ascii="Arial" w:cs="Arial" w:eastAsia="Arial" w:hAnsi="Arial"/>
                <w:sz w:val="15"/>
                <w:szCs w:val="15"/>
                <w:b w:val="1"/>
                <w:bCs w:val="1"/>
                <w:color w:val="auto"/>
                <w:w w:val="89"/>
              </w:rPr>
              <w:t>foreign currency</w:t>
            </w:r>
          </w:p>
        </w:tc>
        <w:tc>
          <w:tcPr>
            <w:tcW w:w="1760" w:type="dxa"/>
            <w:vAlign w:val="bottom"/>
            <w:gridSpan w:val="3"/>
            <w:vMerge w:val="continue"/>
          </w:tcPr>
          <w:p>
            <w:pPr>
              <w:spacing w:after="0"/>
              <w:rPr>
                <w:sz w:val="6"/>
                <w:szCs w:val="6"/>
                <w:color w:val="auto"/>
              </w:rPr>
            </w:pPr>
          </w:p>
        </w:tc>
        <w:tc>
          <w:tcPr>
            <w:tcW w:w="1460" w:type="dxa"/>
            <w:vAlign w:val="bottom"/>
            <w:gridSpan w:val="2"/>
            <w:vMerge w:val="restart"/>
          </w:tcPr>
          <w:p>
            <w:pPr>
              <w:jc w:val="right"/>
              <w:spacing w:after="0" w:line="150" w:lineRule="exact"/>
              <w:rPr>
                <w:sz w:val="20"/>
                <w:szCs w:val="20"/>
                <w:color w:val="auto"/>
              </w:rPr>
            </w:pPr>
            <w:r>
              <w:rPr>
                <w:rFonts w:ascii="Arial" w:cs="Arial" w:eastAsia="Arial" w:hAnsi="Arial"/>
                <w:sz w:val="15"/>
                <w:szCs w:val="15"/>
                <w:b w:val="1"/>
                <w:bCs w:val="1"/>
                <w:color w:val="auto"/>
              </w:rPr>
              <w:t>on foreign currenc</w:t>
            </w:r>
          </w:p>
        </w:tc>
        <w:tc>
          <w:tcPr>
            <w:tcW w:w="0" w:type="dxa"/>
            <w:vAlign w:val="bottom"/>
          </w:tcPr>
          <w:p>
            <w:pPr>
              <w:spacing w:after="0"/>
              <w:rPr>
                <w:sz w:val="1"/>
                <w:szCs w:val="1"/>
                <w:color w:val="auto"/>
              </w:rPr>
            </w:pPr>
          </w:p>
        </w:tc>
      </w:tr>
      <w:tr>
        <w:trPr>
          <w:trHeight w:val="75"/>
        </w:trPr>
        <w:tc>
          <w:tcPr>
            <w:tcW w:w="4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gridSpan w:val="2"/>
            <w:vMerge w:val="restart"/>
          </w:tcPr>
          <w:p>
            <w:pPr>
              <w:jc w:val="center"/>
              <w:spacing w:after="0" w:line="150" w:lineRule="exact"/>
              <w:rPr>
                <w:sz w:val="20"/>
                <w:szCs w:val="20"/>
                <w:color w:val="auto"/>
              </w:rPr>
            </w:pPr>
            <w:r>
              <w:rPr>
                <w:rFonts w:ascii="Arial" w:cs="Arial" w:eastAsia="Arial" w:hAnsi="Arial"/>
                <w:sz w:val="15"/>
                <w:szCs w:val="15"/>
                <w:b w:val="1"/>
                <w:bCs w:val="1"/>
                <w:color w:val="auto"/>
                <w:w w:val="88"/>
              </w:rPr>
              <w:t>statements of</w:t>
            </w:r>
          </w:p>
        </w:tc>
        <w:tc>
          <w:tcPr>
            <w:tcW w:w="8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1760" w:type="dxa"/>
            <w:vAlign w:val="bottom"/>
            <w:gridSpan w:val="3"/>
            <w:vMerge w:val="restart"/>
          </w:tcPr>
          <w:p>
            <w:pPr>
              <w:jc w:val="right"/>
              <w:ind w:right="500"/>
              <w:spacing w:after="0" w:line="150" w:lineRule="exact"/>
              <w:rPr>
                <w:sz w:val="20"/>
                <w:szCs w:val="20"/>
                <w:color w:val="auto"/>
              </w:rPr>
            </w:pPr>
            <w:r>
              <w:rPr>
                <w:rFonts w:ascii="Arial" w:cs="Arial" w:eastAsia="Arial" w:hAnsi="Arial"/>
                <w:sz w:val="15"/>
                <w:szCs w:val="15"/>
                <w:b w:val="1"/>
                <w:bCs w:val="1"/>
                <w:color w:val="auto"/>
              </w:rPr>
              <w:t>statements of</w:t>
            </w: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gridSpan w:val="3"/>
            <w:vMerge w:val="restart"/>
          </w:tcPr>
          <w:p>
            <w:pPr>
              <w:jc w:val="center"/>
              <w:ind w:right="60"/>
              <w:spacing w:after="0"/>
              <w:rPr>
                <w:sz w:val="20"/>
                <w:szCs w:val="20"/>
                <w:color w:val="auto"/>
              </w:rPr>
            </w:pPr>
            <w:r>
              <w:rPr>
                <w:rFonts w:ascii="Arial" w:cs="Arial" w:eastAsia="Arial" w:hAnsi="Arial"/>
                <w:sz w:val="15"/>
                <w:szCs w:val="15"/>
                <w:b w:val="1"/>
                <w:bCs w:val="1"/>
                <w:color w:val="auto"/>
                <w:w w:val="86"/>
              </w:rPr>
              <w:t>exchange contracts</w:t>
            </w:r>
          </w:p>
        </w:tc>
        <w:tc>
          <w:tcPr>
            <w:tcW w:w="1760" w:type="dxa"/>
            <w:vAlign w:val="bottom"/>
            <w:gridSpan w:val="3"/>
            <w:vMerge w:val="continue"/>
          </w:tcPr>
          <w:p>
            <w:pPr>
              <w:spacing w:after="0"/>
              <w:rPr>
                <w:sz w:val="6"/>
                <w:szCs w:val="6"/>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exchange contract</w:t>
            </w: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vMerge w:val="restart"/>
          </w:tcPr>
          <w:p>
            <w:pPr>
              <w:jc w:val="center"/>
              <w:ind w:right="459"/>
              <w:spacing w:after="0"/>
              <w:rPr>
                <w:sz w:val="20"/>
                <w:szCs w:val="20"/>
                <w:color w:val="auto"/>
              </w:rPr>
            </w:pPr>
            <w:r>
              <w:rPr>
                <w:rFonts w:ascii="Arial" w:cs="Arial" w:eastAsia="Arial" w:hAnsi="Arial"/>
                <w:sz w:val="15"/>
                <w:szCs w:val="15"/>
                <w:b w:val="1"/>
                <w:bCs w:val="1"/>
                <w:color w:val="auto"/>
                <w:w w:val="87"/>
              </w:rPr>
              <w:t>income</w:t>
            </w:r>
          </w:p>
        </w:tc>
        <w:tc>
          <w:tcPr>
            <w:tcW w:w="8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vMerge w:val="restart"/>
          </w:tcPr>
          <w:p>
            <w:pPr>
              <w:jc w:val="right"/>
              <w:ind w:right="518"/>
              <w:spacing w:after="0"/>
              <w:rPr>
                <w:sz w:val="20"/>
                <w:szCs w:val="20"/>
                <w:color w:val="auto"/>
              </w:rPr>
            </w:pPr>
            <w:r>
              <w:rPr>
                <w:rFonts w:ascii="Arial" w:cs="Arial" w:eastAsia="Arial" w:hAnsi="Arial"/>
                <w:sz w:val="15"/>
                <w:szCs w:val="15"/>
                <w:b w:val="1"/>
                <w:bCs w:val="1"/>
                <w:color w:val="auto"/>
                <w:w w:val="91"/>
              </w:rPr>
              <w:t>income</w:t>
            </w:r>
          </w:p>
        </w:tc>
        <w:tc>
          <w:tcPr>
            <w:tcW w:w="100" w:type="dxa"/>
            <w:vAlign w:val="bottom"/>
            <w:vMerge w:val="restart"/>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0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080" w:type="dxa"/>
            <w:vAlign w:val="bottom"/>
            <w:gridSpan w:val="2"/>
            <w:shd w:val="clear" w:color="auto" w:fill="CCEEFF"/>
          </w:tcPr>
          <w:p>
            <w:pPr>
              <w:ind w:left="420"/>
              <w:spacing w:after="0"/>
              <w:rPr>
                <w:sz w:val="20"/>
                <w:szCs w:val="20"/>
                <w:color w:val="auto"/>
              </w:rPr>
            </w:pPr>
            <w:r>
              <w:rPr>
                <w:rFonts w:ascii="Arial" w:cs="Arial" w:eastAsia="Arial" w:hAnsi="Arial"/>
                <w:sz w:val="15"/>
                <w:szCs w:val="15"/>
                <w:b w:val="1"/>
                <w:bCs w:val="1"/>
                <w:color w:val="auto"/>
              </w:rPr>
              <w:t>Cash flow hedging relationships</w:t>
            </w: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gridSpan w:val="2"/>
          </w:tcPr>
          <w:p>
            <w:pPr>
              <w:ind w:left="420"/>
              <w:spacing w:after="0" w:line="163" w:lineRule="exact"/>
              <w:rPr>
                <w:sz w:val="20"/>
                <w:szCs w:val="20"/>
                <w:color w:val="auto"/>
              </w:rPr>
            </w:pPr>
            <w:r>
              <w:rPr>
                <w:rFonts w:ascii="Arial" w:cs="Arial" w:eastAsia="Arial" w:hAnsi="Arial"/>
                <w:sz w:val="17"/>
                <w:szCs w:val="17"/>
                <w:color w:val="auto"/>
                <w:w w:val="98"/>
              </w:rPr>
              <w:t>Location in unaudited consolidated statements of</w:t>
            </w: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80" w:type="dxa"/>
            <w:vAlign w:val="bottom"/>
            <w:gridSpan w:val="2"/>
          </w:tcPr>
          <w:p>
            <w:pPr>
              <w:spacing w:after="0"/>
              <w:rPr>
                <w:sz w:val="20"/>
                <w:szCs w:val="20"/>
                <w:color w:val="auto"/>
              </w:rPr>
            </w:pPr>
            <w:r>
              <w:rPr>
                <w:rFonts w:ascii="Arial" w:cs="Arial" w:eastAsia="Arial" w:hAnsi="Arial"/>
                <w:sz w:val="17"/>
                <w:szCs w:val="17"/>
                <w:color w:val="auto"/>
              </w:rPr>
              <w:t>income where gain/(loss) was reclassed from AOCL</w:t>
            </w: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080" w:type="dxa"/>
            <w:vAlign w:val="bottom"/>
            <w:gridSpan w:val="2"/>
          </w:tcPr>
          <w:p>
            <w:pPr>
              <w:ind w:left="420"/>
              <w:spacing w:after="0"/>
              <w:rPr>
                <w:sz w:val="20"/>
                <w:szCs w:val="20"/>
                <w:color w:val="auto"/>
              </w:rPr>
            </w:pPr>
            <w:r>
              <w:rPr>
                <w:rFonts w:ascii="Arial" w:cs="Arial" w:eastAsia="Arial" w:hAnsi="Arial"/>
                <w:sz w:val="17"/>
                <w:szCs w:val="17"/>
                <w:color w:val="auto"/>
              </w:rPr>
              <w:t>Cost of revenues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507,265</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6,643</w:t>
            </w:r>
          </w:p>
        </w:tc>
        <w:tc>
          <w:tcPr>
            <w:tcW w:w="80" w:type="dxa"/>
            <w:vAlign w:val="bottom"/>
          </w:tcPr>
          <w:p>
            <w:pPr>
              <w:spacing w:after="0"/>
              <w:rPr>
                <w:sz w:val="18"/>
                <w:szCs w:val="18"/>
                <w:color w:val="auto"/>
              </w:rPr>
            </w:pPr>
          </w:p>
        </w:tc>
        <w:tc>
          <w:tcPr>
            <w:tcW w:w="560" w:type="dxa"/>
            <w:vAlign w:val="bottom"/>
          </w:tcPr>
          <w:p>
            <w:pPr>
              <w:ind w:left="4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473,144</w:t>
            </w:r>
          </w:p>
        </w:tc>
        <w:tc>
          <w:tcPr>
            <w:tcW w:w="10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0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General and administrative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103,369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84,501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080" w:type="dxa"/>
            <w:vAlign w:val="bottom"/>
            <w:gridSpan w:val="2"/>
          </w:tcPr>
          <w:p>
            <w:pPr>
              <w:ind w:left="420"/>
              <w:spacing w:after="0"/>
              <w:rPr>
                <w:sz w:val="20"/>
                <w:szCs w:val="20"/>
                <w:color w:val="auto"/>
              </w:rPr>
            </w:pPr>
            <w:r>
              <w:rPr>
                <w:rFonts w:ascii="Arial" w:cs="Arial" w:eastAsia="Arial" w:hAnsi="Arial"/>
                <w:sz w:val="17"/>
                <w:szCs w:val="17"/>
                <w:color w:val="auto"/>
              </w:rPr>
              <w:t>Selling and marketing expenses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59,631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8"/>
                <w:szCs w:val="18"/>
                <w:color w:val="auto"/>
              </w:rPr>
            </w:pPr>
          </w:p>
        </w:tc>
        <w:tc>
          <w:tcPr>
            <w:tcW w:w="560" w:type="dxa"/>
            <w:vAlign w:val="bottom"/>
          </w:tcPr>
          <w:p>
            <w:pPr>
              <w:ind w:left="4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42,797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Depreciation and amortization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36,716</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37,280</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08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 before tax</w:t>
            </w: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7,845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0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Income tax benefit/(expense) relating to above</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80" w:type="dxa"/>
            <w:vAlign w:val="bottom"/>
            <w:gridSpan w:val="2"/>
          </w:tcPr>
          <w:p>
            <w:pPr>
              <w:ind w:left="420"/>
              <w:spacing w:after="0"/>
              <w:rPr>
                <w:sz w:val="20"/>
                <w:szCs w:val="20"/>
                <w:color w:val="auto"/>
              </w:rPr>
            </w:pPr>
            <w:r>
              <w:rPr>
                <w:rFonts w:ascii="Arial" w:cs="Arial" w:eastAsia="Arial" w:hAnsi="Arial"/>
                <w:sz w:val="15"/>
                <w:szCs w:val="15"/>
                <w:b w:val="1"/>
                <w:bCs w:val="1"/>
                <w:color w:val="auto"/>
              </w:rPr>
              <w:t>Net of tax</w:t>
            </w: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6,659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80" w:type="dxa"/>
            <w:vAlign w:val="bottom"/>
            <w:gridSpan w:val="2"/>
          </w:tcPr>
          <w:p>
            <w:pPr>
              <w:ind w:left="420"/>
              <w:spacing w:after="0"/>
              <w:rPr>
                <w:sz w:val="20"/>
                <w:szCs w:val="20"/>
                <w:color w:val="auto"/>
              </w:rPr>
            </w:pPr>
            <w:r>
              <w:rPr>
                <w:rFonts w:ascii="Arial" w:cs="Arial" w:eastAsia="Arial" w:hAnsi="Arial"/>
                <w:sz w:val="15"/>
                <w:szCs w:val="15"/>
                <w:b w:val="1"/>
                <w:bCs w:val="1"/>
                <w:color w:val="auto"/>
                <w:w w:val="99"/>
              </w:rPr>
              <w:t>Derivatives not designated as hedging instruments</w:t>
            </w: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80" w:type="dxa"/>
            <w:vAlign w:val="bottom"/>
            <w:gridSpan w:val="2"/>
            <w:shd w:val="clear" w:color="auto" w:fill="CCEEFF"/>
          </w:tcPr>
          <w:p>
            <w:pPr>
              <w:ind w:left="420"/>
              <w:spacing w:after="0" w:line="165" w:lineRule="exact"/>
              <w:rPr>
                <w:sz w:val="20"/>
                <w:szCs w:val="20"/>
                <w:color w:val="auto"/>
              </w:rPr>
            </w:pPr>
            <w:r>
              <w:rPr>
                <w:rFonts w:ascii="Arial" w:cs="Arial" w:eastAsia="Arial" w:hAnsi="Arial"/>
                <w:sz w:val="17"/>
                <w:szCs w:val="17"/>
                <w:color w:val="auto"/>
                <w:w w:val="98"/>
              </w:rPr>
              <w:t>Location in unaudited consolidated statements of</w:t>
            </w:r>
          </w:p>
        </w:tc>
        <w:tc>
          <w:tcPr>
            <w:tcW w:w="5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where gain/(loss) was recognized</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0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Foreign exchange gain/(loss),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2,958</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3,452</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5"/>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2,958</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(1,054)</w:t>
            </w:r>
          </w:p>
        </w:tc>
        <w:tc>
          <w:tcPr>
            <w:tcW w:w="80" w:type="dxa"/>
            <w:vAlign w:val="bottom"/>
          </w:tcPr>
          <w:p>
            <w:pPr>
              <w:spacing w:after="0"/>
              <w:rPr>
                <w:sz w:val="17"/>
                <w:szCs w:val="17"/>
                <w:color w:val="auto"/>
              </w:rPr>
            </w:pPr>
          </w:p>
        </w:tc>
        <w:tc>
          <w:tcPr>
            <w:tcW w:w="560" w:type="dxa"/>
            <w:vAlign w:val="bottom"/>
          </w:tcPr>
          <w:p>
            <w:pPr>
              <w:ind w:left="4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3,452</w:t>
            </w:r>
          </w:p>
        </w:tc>
        <w:tc>
          <w:tcPr>
            <w:tcW w:w="100" w:type="dxa"/>
            <w:vAlign w:val="bottom"/>
          </w:tcPr>
          <w:p>
            <w:pPr>
              <w:spacing w:after="0"/>
              <w:rPr>
                <w:sz w:val="17"/>
                <w:szCs w:val="17"/>
                <w:color w:val="auto"/>
              </w:rPr>
            </w:pPr>
          </w:p>
        </w:tc>
        <w:tc>
          <w:tcPr>
            <w:tcW w:w="62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Effect of net investment hedges on accumulated other comprehensive loss:</w:t>
      </w:r>
    </w:p>
    <w:p>
      <w:pPr>
        <w:spacing w:after="0" w:line="154" w:lineRule="exact"/>
        <w:rPr>
          <w:sz w:val="20"/>
          <w:szCs w:val="20"/>
          <w:color w:val="auto"/>
        </w:rPr>
      </w:pPr>
    </w:p>
    <w:tbl>
      <w:tblPr>
        <w:tblLayout w:type="fixed"/>
        <w:tblInd w:w="42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tcBorders>
              <w:bottom w:val="single" w:sz="8" w:color="auto"/>
            </w:tcBorders>
            <w:gridSpan w:val="4"/>
          </w:tcPr>
          <w:p>
            <w:pPr>
              <w:jc w:val="center"/>
              <w:ind w:left="763"/>
              <w:spacing w:after="0"/>
              <w:rPr>
                <w:sz w:val="20"/>
                <w:szCs w:val="20"/>
                <w:color w:val="auto"/>
              </w:rPr>
            </w:pPr>
            <w:r>
              <w:rPr>
                <w:rFonts w:ascii="Arial" w:cs="Arial" w:eastAsia="Arial" w:hAnsi="Arial"/>
                <w:sz w:val="15"/>
                <w:szCs w:val="15"/>
                <w:b w:val="1"/>
                <w:bCs w:val="1"/>
                <w:color w:val="auto"/>
                <w:w w:val="88"/>
              </w:rPr>
              <w:t>Three months ended 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5"/>
                <w:szCs w:val="15"/>
                <w:b w:val="1"/>
                <w:bCs w:val="1"/>
                <w:color w:val="auto"/>
              </w:rPr>
              <w:t>Nine months ended September 30,</w:t>
            </w:r>
          </w:p>
        </w:tc>
      </w:tr>
      <w:tr>
        <w:trPr>
          <w:trHeight w:val="192"/>
        </w:trPr>
        <w:tc>
          <w:tcPr>
            <w:tcW w:w="3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4"/>
          </w:tcPr>
          <w:p>
            <w:pPr>
              <w:jc w:val="center"/>
              <w:ind w:left="783"/>
              <w:spacing w:after="0"/>
              <w:rPr>
                <w:sz w:val="20"/>
                <w:szCs w:val="20"/>
                <w:color w:val="auto"/>
              </w:rPr>
            </w:pPr>
            <w:r>
              <w:rPr>
                <w:rFonts w:ascii="Arial" w:cs="Arial" w:eastAsia="Arial" w:hAnsi="Arial"/>
                <w:sz w:val="15"/>
                <w:szCs w:val="15"/>
                <w:b w:val="1"/>
                <w:bCs w:val="1"/>
                <w:color w:val="auto"/>
                <w:w w:val="90"/>
              </w:rPr>
              <w:t>Amount of loss recognized in AOCL</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5"/>
                <w:szCs w:val="15"/>
                <w:b w:val="1"/>
                <w:bCs w:val="1"/>
                <w:color w:val="auto"/>
              </w:rPr>
              <w:t>Amount of loss recognized in AOCL</w:t>
            </w:r>
          </w:p>
        </w:tc>
      </w:tr>
      <w:tr>
        <w:trPr>
          <w:trHeight w:val="208"/>
        </w:trPr>
        <w:tc>
          <w:tcPr>
            <w:tcW w:w="338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w w:val="96"/>
              </w:rPr>
              <w:t>Net investment hedging relationships</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b w:val="1"/>
                <w:bCs w:val="1"/>
                <w:color w:val="auto"/>
              </w:rPr>
              <w:t>2020</w:t>
            </w:r>
          </w:p>
        </w:tc>
      </w:tr>
      <w:tr>
        <w:trPr>
          <w:trHeight w:val="205"/>
        </w:trPr>
        <w:tc>
          <w:tcPr>
            <w:tcW w:w="3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Foreign exchange contracts</w:t>
            </w:r>
          </w:p>
        </w:tc>
        <w:tc>
          <w:tcPr>
            <w:tcW w:w="1520" w:type="dxa"/>
            <w:vAlign w:val="bottom"/>
            <w:shd w:val="clear" w:color="auto" w:fill="CCEEFF"/>
          </w:tcPr>
          <w:p>
            <w:pPr>
              <w:jc w:val="right"/>
              <w:ind w:right="923"/>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941"/>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1,134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Borrowings</w:t>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summarizes the Company’s debt position as of September 30, 2021 and December 31, 2020.</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5"/>
                <w:szCs w:val="15"/>
                <w:b w:val="1"/>
                <w:bCs w:val="1"/>
                <w:color w:val="auto"/>
              </w:rPr>
              <w:t>As of September 30, 2021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380"/>
              <w:spacing w:after="0"/>
              <w:rPr>
                <w:sz w:val="20"/>
                <w:szCs w:val="20"/>
                <w:color w:val="auto"/>
              </w:rPr>
            </w:pPr>
            <w:r>
              <w:rPr>
                <w:rFonts w:ascii="Arial" w:cs="Arial" w:eastAsia="Arial" w:hAnsi="Arial"/>
                <w:sz w:val="15"/>
                <w:szCs w:val="15"/>
                <w:b w:val="1"/>
                <w:bCs w:val="1"/>
                <w:color w:val="auto"/>
                <w:w w:val="88"/>
              </w:rPr>
              <w:t>As of December 31, 2020</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160" w:type="dxa"/>
            <w:vAlign w:val="bottom"/>
          </w:tcPr>
          <w:p>
            <w:pPr>
              <w:spacing w:after="0"/>
              <w:rPr>
                <w:sz w:val="12"/>
                <w:szCs w:val="12"/>
                <w:color w:val="auto"/>
              </w:rPr>
            </w:pPr>
          </w:p>
        </w:tc>
        <w:tc>
          <w:tcPr>
            <w:tcW w:w="18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w w:val="99"/>
              </w:rPr>
              <w:t>Revolving Credit Facility</w:t>
            </w: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Total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ind w:left="240"/>
              <w:spacing w:after="0" w:line="146" w:lineRule="exact"/>
              <w:rPr>
                <w:sz w:val="20"/>
                <w:szCs w:val="20"/>
                <w:color w:val="auto"/>
              </w:rPr>
            </w:pPr>
            <w:r>
              <w:rPr>
                <w:rFonts w:ascii="Arial" w:cs="Arial" w:eastAsia="Arial" w:hAnsi="Arial"/>
                <w:sz w:val="15"/>
                <w:szCs w:val="15"/>
                <w:b w:val="1"/>
                <w:bCs w:val="1"/>
                <w:color w:val="auto"/>
              </w:rPr>
              <w:t>Revolving Credit</w:t>
            </w:r>
          </w:p>
        </w:tc>
        <w:tc>
          <w:tcPr>
            <w:tcW w:w="28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Notes</w:t>
            </w:r>
          </w:p>
        </w:tc>
        <w:tc>
          <w:tcPr>
            <w:tcW w:w="320" w:type="dxa"/>
            <w:vAlign w:val="bottom"/>
          </w:tcPr>
          <w:p>
            <w:pPr>
              <w:spacing w:after="0"/>
              <w:rPr>
                <w:sz w:val="12"/>
                <w:szCs w:val="12"/>
                <w:color w:val="auto"/>
              </w:rPr>
            </w:pPr>
          </w:p>
        </w:tc>
        <w:tc>
          <w:tcPr>
            <w:tcW w:w="1100" w:type="dxa"/>
            <w:vAlign w:val="bottom"/>
            <w:vMerge w:val="restart"/>
          </w:tcPr>
          <w:p>
            <w:pPr>
              <w:jc w:val="right"/>
              <w:ind w:right="458"/>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Facility</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5"/>
              </w:rPr>
              <w:t>Current portion of long-term borrowings</w:t>
            </w:r>
          </w:p>
        </w:tc>
        <w:tc>
          <w:tcPr>
            <w:tcW w:w="54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15,000</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8"/>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15,000</w:t>
            </w:r>
          </w:p>
        </w:tc>
        <w:tc>
          <w:tcPr>
            <w:tcW w:w="10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860"/>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8"/>
              </w:rPr>
              <w:t>25,000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25,000</w:t>
            </w: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borrowings</w:t>
            </w:r>
          </w:p>
        </w:tc>
        <w:tc>
          <w:tcPr>
            <w:tcW w:w="540" w:type="dxa"/>
            <w:vAlign w:val="bottom"/>
            <w:shd w:val="clear" w:color="auto" w:fill="CCEEFF"/>
          </w:tcPr>
          <w:p>
            <w:pPr>
              <w:jc w:val="right"/>
              <w:ind w:right="358"/>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170,000</w:t>
            </w:r>
          </w:p>
        </w:tc>
        <w:tc>
          <w:tcPr>
            <w:tcW w:w="100" w:type="dxa"/>
            <w:vAlign w:val="bottom"/>
          </w:tcPr>
          <w:p>
            <w:pPr>
              <w:spacing w:after="0"/>
              <w:rPr>
                <w:sz w:val="18"/>
                <w:szCs w:val="18"/>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64,000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214,000</w:t>
            </w:r>
          </w:p>
        </w:tc>
        <w:tc>
          <w:tcPr>
            <w:tcW w:w="0" w:type="dxa"/>
            <w:vAlign w:val="bottom"/>
          </w:tcPr>
          <w:p>
            <w:pPr>
              <w:spacing w:after="0"/>
              <w:rPr>
                <w:sz w:val="1"/>
                <w:szCs w:val="1"/>
                <w:color w:val="auto"/>
              </w:rPr>
            </w:pPr>
          </w:p>
        </w:tc>
      </w:tr>
      <w:tr>
        <w:trPr>
          <w:trHeight w:val="212"/>
        </w:trPr>
        <w:tc>
          <w:tcPr>
            <w:tcW w:w="3160" w:type="dxa"/>
            <w:vAlign w:val="bottom"/>
          </w:tcPr>
          <w:p>
            <w:pPr>
              <w:ind w:left="20"/>
              <w:spacing w:after="0"/>
              <w:rPr>
                <w:sz w:val="20"/>
                <w:szCs w:val="20"/>
                <w:color w:val="auto"/>
              </w:rPr>
            </w:pPr>
            <w:r>
              <w:rPr>
                <w:rFonts w:ascii="Arial" w:cs="Arial" w:eastAsia="Arial" w:hAnsi="Arial"/>
                <w:sz w:val="17"/>
                <w:szCs w:val="17"/>
                <w:color w:val="auto"/>
              </w:rPr>
              <w:t>Unamortized debt discount</w:t>
            </w:r>
          </w:p>
        </w:tc>
        <w:tc>
          <w:tcPr>
            <w:tcW w:w="5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(11,236)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(11,236)</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issuance costs*</w:t>
            </w:r>
          </w:p>
        </w:tc>
        <w:tc>
          <w:tcPr>
            <w:tcW w:w="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0" w:type="dxa"/>
            <w:vAlign w:val="bottom"/>
          </w:tcPr>
          <w:p>
            <w:pPr>
              <w:spacing w:after="0"/>
              <w:rPr>
                <w:sz w:val="1"/>
                <w:szCs w:val="1"/>
                <w:color w:val="auto"/>
              </w:rPr>
            </w:pPr>
          </w:p>
        </w:tc>
      </w:tr>
      <w:tr>
        <w:trPr>
          <w:trHeight w:val="217"/>
        </w:trPr>
        <w:tc>
          <w:tcPr>
            <w:tcW w:w="3160" w:type="dxa"/>
            <w:vAlign w:val="bottom"/>
          </w:tcPr>
          <w:p>
            <w:pPr>
              <w:ind w:left="20"/>
              <w:spacing w:after="0"/>
              <w:rPr>
                <w:sz w:val="20"/>
                <w:szCs w:val="20"/>
                <w:color w:val="auto"/>
              </w:rPr>
            </w:pPr>
            <w:r>
              <w:rPr>
                <w:rFonts w:ascii="Arial" w:cs="Arial" w:eastAsia="Arial" w:hAnsi="Arial"/>
                <w:sz w:val="17"/>
                <w:szCs w:val="17"/>
                <w:b w:val="1"/>
                <w:bCs w:val="1"/>
                <w:color w:val="auto"/>
              </w:rPr>
              <w:t>Long-term borrowings</w:t>
            </w:r>
          </w:p>
        </w:tc>
        <w:tc>
          <w:tcPr>
            <w:tcW w:w="540" w:type="dxa"/>
            <w:vAlign w:val="bottom"/>
          </w:tcPr>
          <w:p>
            <w:pPr>
              <w:jc w:val="right"/>
              <w:ind w:right="358"/>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170,000</w:t>
            </w:r>
          </w:p>
        </w:tc>
        <w:tc>
          <w:tcPr>
            <w:tcW w:w="80" w:type="dxa"/>
            <w:vAlign w:val="bottom"/>
          </w:tcPr>
          <w:p>
            <w:pPr>
              <w:spacing w:after="0"/>
              <w:rPr>
                <w:sz w:val="18"/>
                <w:szCs w:val="18"/>
                <w:color w:val="auto"/>
              </w:rPr>
            </w:pPr>
          </w:p>
        </w:tc>
        <w:tc>
          <w:tcPr>
            <w:tcW w:w="1100" w:type="dxa"/>
            <w:vAlign w:val="bottom"/>
          </w:tcPr>
          <w:p>
            <w:pPr>
              <w:jc w:val="right"/>
              <w:ind w:right="918"/>
              <w:spacing w:after="0"/>
              <w:rPr>
                <w:sz w:val="20"/>
                <w:szCs w:val="20"/>
                <w:color w:val="auto"/>
              </w:rPr>
            </w:pPr>
            <w:r>
              <w:rPr>
                <w:rFonts w:ascii="Arial" w:cs="Arial" w:eastAsia="Arial" w:hAnsi="Arial"/>
                <w:sz w:val="17"/>
                <w:szCs w:val="17"/>
                <w:b w:val="1"/>
                <w:bCs w:val="1"/>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w w:val="91"/>
              </w:rPr>
              <w:t>170,000</w:t>
            </w:r>
          </w:p>
        </w:tc>
        <w:tc>
          <w:tcPr>
            <w:tcW w:w="1140" w:type="dxa"/>
            <w:vAlign w:val="bottom"/>
            <w:gridSpan w:val="2"/>
          </w:tcPr>
          <w:p>
            <w:pPr>
              <w:jc w:val="right"/>
              <w:ind w:right="860"/>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w w:val="88"/>
              </w:rPr>
              <w:t>64,000</w:t>
            </w:r>
          </w:p>
        </w:tc>
        <w:tc>
          <w:tcPr>
            <w:tcW w:w="8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137,961</w:t>
            </w:r>
          </w:p>
        </w:tc>
        <w:tc>
          <w:tcPr>
            <w:tcW w:w="8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201,961</w:t>
            </w:r>
          </w:p>
        </w:tc>
        <w:tc>
          <w:tcPr>
            <w:tcW w:w="0" w:type="dxa"/>
            <w:vAlign w:val="bottom"/>
          </w:tcPr>
          <w:p>
            <w:pPr>
              <w:spacing w:after="0"/>
              <w:rPr>
                <w:sz w:val="1"/>
                <w:szCs w:val="1"/>
                <w:color w:val="auto"/>
              </w:rPr>
            </w:pPr>
          </w:p>
        </w:tc>
      </w:tr>
      <w:tr>
        <w:trPr>
          <w:trHeight w:val="205"/>
        </w:trPr>
        <w:tc>
          <w:tcPr>
            <w:tcW w:w="3160" w:type="dxa"/>
            <w:vAlign w:val="bottom"/>
          </w:tcPr>
          <w:p>
            <w:pPr>
              <w:ind w:left="20"/>
              <w:spacing w:after="0"/>
              <w:rPr>
                <w:sz w:val="20"/>
                <w:szCs w:val="20"/>
                <w:color w:val="auto"/>
              </w:rPr>
            </w:pPr>
            <w:r>
              <w:rPr>
                <w:rFonts w:ascii="Arial" w:cs="Arial" w:eastAsia="Arial" w:hAnsi="Arial"/>
                <w:sz w:val="17"/>
                <w:szCs w:val="17"/>
                <w:b w:val="1"/>
                <w:bCs w:val="1"/>
                <w:color w:val="auto"/>
              </w:rPr>
              <w:t>Total borrowings</w:t>
            </w:r>
          </w:p>
        </w:tc>
        <w:tc>
          <w:tcPr>
            <w:tcW w:w="5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185,000</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185,000</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89,000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137,961</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226,961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firstLine="412"/>
        <w:spacing w:after="0" w:line="237" w:lineRule="auto"/>
        <w:rPr>
          <w:sz w:val="20"/>
          <w:szCs w:val="20"/>
          <w:color w:val="auto"/>
        </w:rPr>
      </w:pPr>
      <w:r>
        <w:rPr>
          <w:rFonts w:ascii="Arial" w:cs="Arial" w:eastAsia="Arial" w:hAnsi="Arial"/>
          <w:sz w:val="17"/>
          <w:szCs w:val="17"/>
          <w:color w:val="auto"/>
        </w:rPr>
        <w:t>*Unamortized debt issuance costs for the Company’s revolving Credit Facility of $297 and $490 as of September 30, 2021 and December 31, 2020, respectively, are presented under “Other current assets” and “Other assets,” as applicable in the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204"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The Company’s $300,000 revolving credit facility pursuant to its credit agreement (the “Credit Agreement”) with certain lenders and Citibank N.A. as Administrative Agent (the “Credit Facility”) carried an effective interest rate as shown below.</w:t>
      </w:r>
    </w:p>
    <w:p>
      <w:pPr>
        <w:spacing w:after="0" w:line="238"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5"/>
                <w:szCs w:val="15"/>
                <w:b w:val="1"/>
                <w:bCs w:val="1"/>
                <w:color w:val="auto"/>
              </w:rPr>
              <w:t>Nine months ended September 30,</w:t>
            </w:r>
          </w:p>
        </w:tc>
        <w:tc>
          <w:tcPr>
            <w:tcW w:w="220" w:type="dxa"/>
            <w:vAlign w:val="bottom"/>
            <w:tcBorders>
              <w:bottom w:val="single" w:sz="8" w:color="auto"/>
            </w:tcBorders>
          </w:tcPr>
          <w:p>
            <w:pPr>
              <w:spacing w:after="0"/>
              <w:rPr>
                <w:sz w:val="17"/>
                <w:szCs w:val="17"/>
                <w:color w:val="auto"/>
              </w:rPr>
            </w:pPr>
          </w:p>
        </w:tc>
      </w:tr>
      <w:tr>
        <w:trPr>
          <w:trHeight w:val="192"/>
        </w:trPr>
        <w:tc>
          <w:tcPr>
            <w:tcW w:w="43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b w:val="1"/>
                <w:bCs w:val="1"/>
                <w:color w:val="auto"/>
              </w:rPr>
              <w:t>2021</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b w:val="1"/>
                <w:bCs w:val="1"/>
                <w:color w:val="auto"/>
              </w:rPr>
              <w:t>2021</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auto"/>
            </w:tcBorders>
          </w:tcPr>
          <w:p>
            <w:pPr>
              <w:spacing w:after="0"/>
              <w:rPr>
                <w:sz w:val="16"/>
                <w:szCs w:val="16"/>
                <w:color w:val="auto"/>
              </w:rPr>
            </w:pPr>
          </w:p>
        </w:tc>
      </w:tr>
      <w:tr>
        <w:trPr>
          <w:trHeight w:val="208"/>
        </w:trPr>
        <w:tc>
          <w:tcPr>
            <w:tcW w:w="43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Effective Interest Rate</w:t>
            </w:r>
          </w:p>
        </w:tc>
        <w:tc>
          <w:tcPr>
            <w:tcW w:w="1220" w:type="dxa"/>
            <w:vAlign w:val="bottom"/>
            <w:shd w:val="clear" w:color="auto" w:fill="CCEEFF"/>
          </w:tcPr>
          <w:p>
            <w:pPr>
              <w:jc w:val="right"/>
              <w:ind w:right="202"/>
              <w:spacing w:after="0"/>
              <w:rPr>
                <w:sz w:val="20"/>
                <w:szCs w:val="20"/>
                <w:color w:val="auto"/>
              </w:rPr>
            </w:pPr>
            <w:r>
              <w:rPr>
                <w:rFonts w:ascii="Arial" w:cs="Arial" w:eastAsia="Arial" w:hAnsi="Arial"/>
                <w:sz w:val="17"/>
                <w:szCs w:val="17"/>
                <w:color w:val="auto"/>
              </w:rPr>
              <w:t>2.3</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1"/>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22"/>
              <w:spacing w:after="0"/>
              <w:rPr>
                <w:sz w:val="20"/>
                <w:szCs w:val="20"/>
                <w:color w:val="auto"/>
              </w:rPr>
            </w:pPr>
            <w:r>
              <w:rPr>
                <w:rFonts w:ascii="Arial" w:cs="Arial" w:eastAsia="Arial" w:hAnsi="Arial"/>
                <w:sz w:val="17"/>
                <w:szCs w:val="17"/>
                <w:color w:val="auto"/>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1"/>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75"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As of September 30, 2021 and December 31, 2020, the Company was in compliance with all financial and non-financial covenants listed under the Credit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217"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5"/>
          <w:szCs w:val="15"/>
          <w:color w:val="auto"/>
        </w:rPr>
        <w:t>On October 1, 2018, the Company entered into an investment agreement (the “Investment Agreement”) with Orogen Echo LLC (the “Purchaser”), an affiliate of The Orogen Group LLC, relating to the issuance to the Purchaser of $150,000, in an aggregate principal amount of the Notes. The transactions contemplated by the Investment Agreement, including the issuance of the Notes, closed on October 4, 2018. The Notes carried interest at a rate of 3.5% per annum, payable semi-annually in arrears in cash on April 1 and October 1 of each year. The Notes were convertible at an initial conversion rate of 13.3333 shares of the common stock per one thousand dollar principal amount of the Notes (which represented an initial conversion price of approximately $75 per share). The Company had the option to redeem the principal amount of the Notes, at its option, in whole but not in part, at a purchase price equal to the principal amount plus accrued and unpaid interest on or after October 1, 2021, if the closing sale price of the common stock exceeded 150% of the then-current conversion price for 20 or more trading days in the 30 consecutive trading day period preceding the Company’s exercise of this redemption right (including the trading day immediately prior to the date of the notice of redemption). The Company had the option to elect to settle conversions of the Notes by paying or delivering, as the case may be, cash, shares of the Company’s common stock or a combination of cash and shares of the Company’s common stock.</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Notes carried an effective interest rate as shown below: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79"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29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5"/>
                <w:szCs w:val="15"/>
                <w:b w:val="1"/>
                <w:bCs w:val="1"/>
                <w:color w:val="auto"/>
              </w:rPr>
              <w:t>Nine months ended September 30,</w:t>
            </w:r>
          </w:p>
        </w:tc>
        <w:tc>
          <w:tcPr>
            <w:tcW w:w="220" w:type="dxa"/>
            <w:vAlign w:val="bottom"/>
            <w:tcBorders>
              <w:bottom w:val="single" w:sz="8" w:color="auto"/>
            </w:tcBorders>
          </w:tcPr>
          <w:p>
            <w:pPr>
              <w:spacing w:after="0"/>
              <w:rPr>
                <w:sz w:val="17"/>
                <w:szCs w:val="17"/>
                <w:color w:val="auto"/>
              </w:rPr>
            </w:pPr>
          </w:p>
        </w:tc>
      </w:tr>
      <w:tr>
        <w:trPr>
          <w:trHeight w:val="192"/>
        </w:trPr>
        <w:tc>
          <w:tcPr>
            <w:tcW w:w="4360" w:type="dxa"/>
            <w:vAlign w:val="bottom"/>
          </w:tcPr>
          <w:p>
            <w:pPr>
              <w:spacing w:after="0"/>
              <w:rPr>
                <w:sz w:val="16"/>
                <w:szCs w:val="16"/>
                <w:color w:val="auto"/>
              </w:rPr>
            </w:pPr>
          </w:p>
        </w:tc>
        <w:tc>
          <w:tcPr>
            <w:tcW w:w="1240" w:type="dxa"/>
            <w:vAlign w:val="bottom"/>
          </w:tcPr>
          <w:p>
            <w:pPr>
              <w:jc w:val="right"/>
              <w:ind w:right="62"/>
              <w:spacing w:after="0"/>
              <w:rPr>
                <w:sz w:val="20"/>
                <w:szCs w:val="20"/>
                <w:color w:val="auto"/>
              </w:rPr>
            </w:pPr>
            <w:r>
              <w:rPr>
                <w:rFonts w:ascii="Arial" w:cs="Arial" w:eastAsia="Arial" w:hAnsi="Arial"/>
                <w:sz w:val="15"/>
                <w:szCs w:val="15"/>
                <w:b w:val="1"/>
                <w:bCs w:val="1"/>
                <w:color w:val="auto"/>
              </w:rPr>
              <w:t>2021</w:t>
            </w:r>
          </w:p>
        </w:tc>
        <w:tc>
          <w:tcPr>
            <w:tcW w:w="700" w:type="dxa"/>
            <w:vAlign w:val="bottom"/>
          </w:tcPr>
          <w:p>
            <w:pPr>
              <w:spacing w:after="0"/>
              <w:rPr>
                <w:sz w:val="16"/>
                <w:szCs w:val="16"/>
                <w:color w:val="auto"/>
              </w:rPr>
            </w:pPr>
          </w:p>
        </w:tc>
        <w:tc>
          <w:tcPr>
            <w:tcW w:w="1000" w:type="dxa"/>
            <w:vAlign w:val="bottom"/>
          </w:tcPr>
          <w:p>
            <w:pPr>
              <w:jc w:val="right"/>
              <w:ind w:right="121"/>
              <w:spacing w:after="0"/>
              <w:rPr>
                <w:sz w:val="20"/>
                <w:szCs w:val="20"/>
                <w:color w:val="auto"/>
              </w:rPr>
            </w:pPr>
            <w:r>
              <w:rPr>
                <w:rFonts w:ascii="Arial" w:cs="Arial" w:eastAsia="Arial" w:hAnsi="Arial"/>
                <w:sz w:val="15"/>
                <w:szCs w:val="15"/>
                <w:b w:val="1"/>
                <w:bCs w:val="1"/>
                <w:color w:val="auto"/>
              </w:rPr>
              <w:t>2020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62"/>
              <w:spacing w:after="0"/>
              <w:rPr>
                <w:sz w:val="20"/>
                <w:szCs w:val="20"/>
                <w:color w:val="auto"/>
              </w:rPr>
            </w:pPr>
            <w:r>
              <w:rPr>
                <w:rFonts w:ascii="Arial" w:cs="Arial" w:eastAsia="Arial" w:hAnsi="Arial"/>
                <w:sz w:val="15"/>
                <w:szCs w:val="15"/>
                <w:b w:val="1"/>
                <w:bCs w:val="1"/>
                <w:color w:val="auto"/>
              </w:rPr>
              <w:t>2021</w:t>
            </w:r>
          </w:p>
        </w:tc>
        <w:tc>
          <w:tcPr>
            <w:tcW w:w="700" w:type="dxa"/>
            <w:vAlign w:val="bottom"/>
          </w:tcPr>
          <w:p>
            <w:pPr>
              <w:spacing w:after="0"/>
              <w:rPr>
                <w:sz w:val="16"/>
                <w:szCs w:val="16"/>
                <w:color w:val="auto"/>
              </w:rPr>
            </w:pPr>
          </w:p>
        </w:tc>
        <w:tc>
          <w:tcPr>
            <w:tcW w:w="1000" w:type="dxa"/>
            <w:vAlign w:val="bottom"/>
          </w:tcPr>
          <w:p>
            <w:pPr>
              <w:jc w:val="right"/>
              <w:ind w:right="121"/>
              <w:spacing w:after="0"/>
              <w:rPr>
                <w:sz w:val="20"/>
                <w:szCs w:val="20"/>
                <w:color w:val="auto"/>
              </w:rPr>
            </w:pPr>
            <w:r>
              <w:rPr>
                <w:rFonts w:ascii="Arial" w:cs="Arial" w:eastAsia="Arial" w:hAnsi="Arial"/>
                <w:sz w:val="15"/>
                <w:szCs w:val="15"/>
                <w:b w:val="1"/>
                <w:bCs w:val="1"/>
                <w:color w:val="auto"/>
              </w:rPr>
              <w:t>2020</w:t>
            </w:r>
          </w:p>
        </w:tc>
        <w:tc>
          <w:tcPr>
            <w:tcW w:w="220" w:type="dxa"/>
            <w:vAlign w:val="bottom"/>
          </w:tcPr>
          <w:p>
            <w:pPr>
              <w:spacing w:after="0"/>
              <w:rPr>
                <w:sz w:val="16"/>
                <w:szCs w:val="16"/>
                <w:color w:val="auto"/>
              </w:rPr>
            </w:pPr>
          </w:p>
        </w:tc>
      </w:tr>
      <w:tr>
        <w:trPr>
          <w:trHeight w:val="215"/>
        </w:trPr>
        <w:tc>
          <w:tcPr>
            <w:tcW w:w="43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Effective Interest Rate</w:t>
            </w:r>
          </w:p>
        </w:tc>
        <w:tc>
          <w:tcPr>
            <w:tcW w:w="1240" w:type="dxa"/>
            <w:vAlign w:val="bottom"/>
            <w:shd w:val="clear" w:color="auto" w:fill="CCEEFF"/>
          </w:tcPr>
          <w:p>
            <w:pPr>
              <w:jc w:val="right"/>
              <w:ind w:right="222"/>
              <w:spacing w:after="0"/>
              <w:rPr>
                <w:sz w:val="20"/>
                <w:szCs w:val="20"/>
                <w:color w:val="auto"/>
              </w:rPr>
            </w:pPr>
            <w:r>
              <w:rPr>
                <w:rFonts w:ascii="Arial" w:cs="Arial" w:eastAsia="Arial" w:hAnsi="Arial"/>
                <w:sz w:val="17"/>
                <w:szCs w:val="17"/>
                <w:color w:val="auto"/>
              </w:rPr>
              <w:t>3.6</w:t>
            </w:r>
          </w:p>
        </w:tc>
        <w:tc>
          <w:tcPr>
            <w:tcW w:w="70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01"/>
              <w:spacing w:after="0"/>
              <w:rPr>
                <w:sz w:val="20"/>
                <w:szCs w:val="20"/>
                <w:color w:val="auto"/>
              </w:rPr>
            </w:pPr>
            <w:r>
              <w:rPr>
                <w:rFonts w:ascii="Arial" w:cs="Arial" w:eastAsia="Arial" w:hAnsi="Arial"/>
                <w:sz w:val="17"/>
                <w:szCs w:val="17"/>
                <w:color w:val="auto"/>
              </w:rPr>
              <w:t>3.6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22"/>
              <w:spacing w:after="0"/>
              <w:rPr>
                <w:sz w:val="20"/>
                <w:szCs w:val="20"/>
                <w:color w:val="auto"/>
              </w:rPr>
            </w:pPr>
            <w:r>
              <w:rPr>
                <w:rFonts w:ascii="Arial" w:cs="Arial" w:eastAsia="Arial" w:hAnsi="Arial"/>
                <w:sz w:val="17"/>
                <w:szCs w:val="17"/>
                <w:color w:val="auto"/>
              </w:rPr>
              <w:t>3.6</w:t>
            </w:r>
          </w:p>
        </w:tc>
        <w:tc>
          <w:tcPr>
            <w:tcW w:w="70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81"/>
              <w:spacing w:after="0"/>
              <w:rPr>
                <w:sz w:val="20"/>
                <w:szCs w:val="20"/>
                <w:color w:val="auto"/>
              </w:rPr>
            </w:pPr>
            <w:r>
              <w:rPr>
                <w:rFonts w:ascii="Arial" w:cs="Arial" w:eastAsia="Arial" w:hAnsi="Arial"/>
                <w:sz w:val="17"/>
                <w:szCs w:val="17"/>
                <w:color w:val="auto"/>
              </w:rPr>
              <w:t>3.6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87" w:lineRule="exact"/>
        <w:rPr>
          <w:sz w:val="20"/>
          <w:szCs w:val="20"/>
          <w:color w:val="auto"/>
        </w:rPr>
      </w:pPr>
    </w:p>
    <w:p>
      <w:pPr>
        <w:jc w:val="both"/>
        <w:ind w:firstLine="375"/>
        <w:spacing w:after="0" w:line="234" w:lineRule="auto"/>
        <w:rPr>
          <w:sz w:val="20"/>
          <w:szCs w:val="20"/>
          <w:color w:val="auto"/>
        </w:rPr>
      </w:pPr>
      <w:r>
        <w:rPr>
          <w:rFonts w:ascii="Arial" w:cs="Arial" w:eastAsia="Arial" w:hAnsi="Arial"/>
          <w:sz w:val="16"/>
          <w:szCs w:val="16"/>
          <w:color w:val="auto"/>
        </w:rPr>
        <w:t>On August 27, 2021, the Company entered into a Payoff and Termination Agreement (the “Payoff and Termination Agreement”) with the Purchaser, pursuant to which the Company prepaid and settled its outstanding obligations under the Notes for an aggregate consideration of $236,742, excluding accrued and unpaid interest under the Notes calculated through, and including, August 26, 2021, in the form of a combination of cash and shares of the Company’s common stock. As a result, the Company made a cash payment of $200,000 to the Purchaser and satisfied the remainder of the obligation under the Notes by issuing to the Purchaser 310,394 shares of the Company’s common stock calculated at $118.37 per share based on a 20-day volume weighted average price ending on, and including, August 26, 2021. The Company satisfied the cash payment obligation under the Payoff and Termination Agreement by drawing $200,000 from its existing revolving Credit Facility, and the Company’s common stock was issued from its existing treasury shares. Refer to Note 18 - Capital Structure to the unaudited consolidated financial statements for further details.</w:t>
      </w:r>
    </w:p>
    <w:p>
      <w:pPr>
        <w:spacing w:after="0" w:line="188" w:lineRule="exact"/>
        <w:rPr>
          <w:sz w:val="20"/>
          <w:szCs w:val="20"/>
          <w:color w:val="auto"/>
        </w:rPr>
      </w:pPr>
    </w:p>
    <w:p>
      <w:pPr>
        <w:jc w:val="both"/>
        <w:ind w:firstLine="375"/>
        <w:spacing w:after="0" w:line="223" w:lineRule="auto"/>
        <w:rPr>
          <w:sz w:val="20"/>
          <w:szCs w:val="20"/>
          <w:color w:val="auto"/>
        </w:rPr>
      </w:pPr>
      <w:r>
        <w:rPr>
          <w:rFonts w:ascii="Arial" w:cs="Arial" w:eastAsia="Arial" w:hAnsi="Arial"/>
          <w:sz w:val="17"/>
          <w:szCs w:val="17"/>
          <w:color w:val="auto"/>
        </w:rPr>
        <w:t>The aggregate consideration of $236,742 was allocated between the debt and equity components in an amount of $152,742 and $84,000, respectively. The consideration was first allocated to the fair value of debt component and the remaining was allocated to the equity component. The fair value of the debt component was calculated using a discounted cash flow technique, which considered debt issuances with similar features of the Company’s debt, without the conversion feature. The resulting effective interest rate for the Notes was 2.9% per annum at the time of settlement. The portion allocated to the equity component was recorded as additional paid-in capital.</w:t>
      </w:r>
    </w:p>
    <w:p>
      <w:pPr>
        <w:spacing w:after="0" w:line="190" w:lineRule="exact"/>
        <w:rPr>
          <w:sz w:val="20"/>
          <w:szCs w:val="20"/>
          <w:color w:val="auto"/>
        </w:rPr>
      </w:pPr>
    </w:p>
    <w:p>
      <w:pPr>
        <w:jc w:val="both"/>
        <w:ind w:firstLine="375"/>
        <w:spacing w:after="0"/>
        <w:rPr>
          <w:sz w:val="20"/>
          <w:szCs w:val="20"/>
          <w:color w:val="auto"/>
        </w:rPr>
      </w:pPr>
      <w:r>
        <w:rPr>
          <w:rFonts w:ascii="Arial" w:cs="Arial" w:eastAsia="Arial" w:hAnsi="Arial"/>
          <w:sz w:val="16"/>
          <w:szCs w:val="16"/>
          <w:color w:val="auto"/>
        </w:rPr>
        <w:t>Immediately prior to the settlement of the Notes, the carrying amount of the debt component of the Notes, net of unamortized debt discount and issuance costs, was $139,897. During the three months ended September 30, 2021, the Company recognized a loss on settlement of the Notes of $12,845, representing the difference between the fair value of the consideration allocated to the debt component and the carrying value of the debt component immediately before settlement, and is presented as “Loss on settlement of convertible notes,” in the Company’s unaudited consolidated statements of income.</w:t>
      </w:r>
    </w:p>
    <w:p>
      <w:pPr>
        <w:spacing w:after="0" w:line="188"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During the three and nine months ended September 30, 2021 and 2020, the Company recognized interest expense and amortization of debt discount, on the Notes as below:</w:t>
      </w:r>
    </w:p>
    <w:p>
      <w:pPr>
        <w:spacing w:after="0" w:line="238"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2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0" w:type="dxa"/>
            <w:vAlign w:val="bottom"/>
            <w:gridSpan w:val="6"/>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2940" w:type="dxa"/>
            <w:vAlign w:val="bottom"/>
            <w:gridSpan w:val="6"/>
          </w:tcPr>
          <w:p>
            <w:pPr>
              <w:jc w:val="right"/>
              <w:ind w:right="240"/>
              <w:spacing w:after="0"/>
              <w:rPr>
                <w:sz w:val="20"/>
                <w:szCs w:val="20"/>
                <w:color w:val="auto"/>
              </w:rPr>
            </w:pPr>
            <w:r>
              <w:rPr>
                <w:rFonts w:ascii="Arial" w:cs="Arial" w:eastAsia="Arial" w:hAnsi="Arial"/>
                <w:sz w:val="15"/>
                <w:szCs w:val="15"/>
                <w:b w:val="1"/>
                <w:bCs w:val="1"/>
                <w:color w:val="auto"/>
              </w:rPr>
              <w:t>Nine months ended September 30,</w:t>
            </w:r>
          </w:p>
        </w:tc>
      </w:tr>
      <w:tr>
        <w:trPr>
          <w:trHeight w:val="192"/>
        </w:trPr>
        <w:tc>
          <w:tcPr>
            <w:tcW w:w="220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3"/>
          </w:tcPr>
          <w:p>
            <w:pPr>
              <w:jc w:val="right"/>
              <w:ind w:right="337"/>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2020</w:t>
            </w:r>
          </w:p>
        </w:tc>
      </w:tr>
      <w:tr>
        <w:trPr>
          <w:trHeight w:val="208"/>
        </w:trPr>
        <w:tc>
          <w:tcPr>
            <w:tcW w:w="46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Interest expense on the Notes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9"/>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3,442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3,938</w:t>
            </w:r>
          </w:p>
        </w:tc>
      </w:tr>
      <w:tr>
        <w:trPr>
          <w:trHeight w:val="212"/>
        </w:trPr>
        <w:tc>
          <w:tcPr>
            <w:tcW w:w="4600" w:type="dxa"/>
            <w:vAlign w:val="bottom"/>
            <w:gridSpan w:val="2"/>
          </w:tcPr>
          <w:p>
            <w:pPr>
              <w:ind w:left="380"/>
              <w:spacing w:after="0"/>
              <w:rPr>
                <w:sz w:val="20"/>
                <w:szCs w:val="20"/>
                <w:color w:val="auto"/>
              </w:rPr>
            </w:pPr>
            <w:r>
              <w:rPr>
                <w:rFonts w:ascii="Arial" w:cs="Arial" w:eastAsia="Arial" w:hAnsi="Arial"/>
                <w:sz w:val="17"/>
                <w:szCs w:val="17"/>
                <w:color w:val="auto"/>
              </w:rPr>
              <w:t>Amortization of debt discount on the Notes</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33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3"/>
              </w:rPr>
              <w:t>1,795</w:t>
            </w:r>
          </w:p>
        </w:tc>
        <w:tc>
          <w:tcPr>
            <w:tcW w:w="80" w:type="dxa"/>
            <w:vAlign w:val="bottom"/>
          </w:tcPr>
          <w:p>
            <w:pPr>
              <w:spacing w:after="0"/>
              <w:rPr>
                <w:sz w:val="18"/>
                <w:szCs w:val="18"/>
                <w:color w:val="auto"/>
              </w:rPr>
            </w:pPr>
          </w:p>
        </w:tc>
        <w:tc>
          <w:tcPr>
            <w:tcW w:w="64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1,943</w:t>
            </w:r>
          </w:p>
        </w:tc>
      </w:tr>
      <w:tr>
        <w:trPr>
          <w:trHeight w:val="499"/>
        </w:trPr>
        <w:tc>
          <w:tcPr>
            <w:tcW w:w="6620" w:type="dxa"/>
            <w:vAlign w:val="bottom"/>
            <w:gridSpan w:val="6"/>
          </w:tcPr>
          <w:p>
            <w:pPr>
              <w:jc w:val="right"/>
              <w:spacing w:after="0"/>
              <w:rPr>
                <w:sz w:val="20"/>
                <w:szCs w:val="20"/>
                <w:color w:val="auto"/>
              </w:rPr>
            </w:pPr>
            <w:r>
              <w:rPr>
                <w:rFonts w:ascii="Arial" w:cs="Arial" w:eastAsia="Arial" w:hAnsi="Arial"/>
                <w:sz w:val="17"/>
                <w:szCs w:val="17"/>
                <w:color w:val="auto"/>
                <w:w w:val="88"/>
              </w:rPr>
              <w:t>Expected payments for all of the Company's borrowings as of September 30, 2021 were as follows: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7"/>
        </w:trPr>
        <w:tc>
          <w:tcPr>
            <w:tcW w:w="2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gridSpan w:val="5"/>
          </w:tcPr>
          <w:p>
            <w:pPr>
              <w:ind w:left="540"/>
              <w:spacing w:after="0"/>
              <w:rPr>
                <w:sz w:val="20"/>
                <w:szCs w:val="20"/>
                <w:color w:val="auto"/>
              </w:rPr>
            </w:pPr>
            <w:r>
              <w:rPr>
                <w:rFonts w:ascii="Arial" w:cs="Arial" w:eastAsia="Arial" w:hAnsi="Arial"/>
                <w:sz w:val="17"/>
                <w:szCs w:val="17"/>
                <w:b w:val="1"/>
                <w:bCs w:val="1"/>
                <w:color w:val="auto"/>
              </w:rPr>
              <w:t>Revolving Credit</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2"/>
        </w:trPr>
        <w:tc>
          <w:tcPr>
            <w:tcW w:w="2200" w:type="dxa"/>
            <w:vAlign w:val="bottom"/>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3"/>
          </w:tcPr>
          <w:p>
            <w:pPr>
              <w:ind w:left="700"/>
              <w:spacing w:after="0"/>
              <w:rPr>
                <w:sz w:val="20"/>
                <w:szCs w:val="20"/>
                <w:color w:val="auto"/>
              </w:rPr>
            </w:pPr>
            <w:r>
              <w:rPr>
                <w:rFonts w:ascii="Arial" w:cs="Arial" w:eastAsia="Arial" w:hAnsi="Arial"/>
                <w:sz w:val="17"/>
                <w:szCs w:val="17"/>
                <w:b w:val="1"/>
                <w:bCs w:val="1"/>
                <w:color w:val="auto"/>
                <w:w w:val="95"/>
              </w:rPr>
              <w:t>Facility</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5"/>
        </w:trPr>
        <w:tc>
          <w:tcPr>
            <w:tcW w:w="2200" w:type="dxa"/>
            <w:vAlign w:val="bottom"/>
          </w:tcPr>
          <w:p>
            <w:pPr>
              <w:spacing w:after="0"/>
              <w:rPr>
                <w:sz w:val="17"/>
                <w:szCs w:val="17"/>
                <w:color w:val="auto"/>
              </w:rPr>
            </w:pPr>
          </w:p>
        </w:tc>
        <w:tc>
          <w:tcPr>
            <w:tcW w:w="240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6"/>
              </w:rPr>
              <w:t>2021 (October - December)</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2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4600" w:type="dxa"/>
            <w:vAlign w:val="bottom"/>
            <w:gridSpan w:val="2"/>
          </w:tcPr>
          <w:p>
            <w:pPr>
              <w:ind w:left="2580"/>
              <w:spacing w:after="0"/>
              <w:rPr>
                <w:sz w:val="20"/>
                <w:szCs w:val="20"/>
                <w:color w:val="auto"/>
              </w:rPr>
            </w:pPr>
            <w:r>
              <w:rPr>
                <w:rFonts w:ascii="Arial" w:cs="Arial" w:eastAsia="Arial" w:hAnsi="Arial"/>
                <w:sz w:val="17"/>
                <w:szCs w:val="17"/>
                <w:color w:val="auto"/>
              </w:rPr>
              <w:t>2022</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1"/>
              </w:rPr>
              <w:t>170,000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200" w:type="dxa"/>
            <w:vAlign w:val="bottom"/>
          </w:tcPr>
          <w:p>
            <w:pPr>
              <w:spacing w:after="0"/>
              <w:rPr>
                <w:sz w:val="19"/>
                <w:szCs w:val="19"/>
                <w:color w:val="auto"/>
              </w:rPr>
            </w:pPr>
          </w:p>
        </w:tc>
        <w:tc>
          <w:tcPr>
            <w:tcW w:w="24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7"/>
                <w:szCs w:val="17"/>
                <w:b w:val="1"/>
                <w:bCs w:val="1"/>
                <w:color w:val="auto"/>
              </w:rPr>
              <w:t>Total</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185,000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217"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6"/>
          <w:szCs w:val="16"/>
          <w:color w:val="auto"/>
        </w:rPr>
        <w:t>In the ordinary course of business, the Company provides standby letters of credit to third parties primarily for facility leases. As of September 30, 2021 and December 31, 2020, the Company had outstanding letters of credit of $461, each, that were not recognized in the consolidated balance sheets.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Capital Structure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one class of common stock outstanding.</w:t>
      </w:r>
    </w:p>
    <w:p>
      <w:pPr>
        <w:spacing w:after="0" w:line="217" w:lineRule="exact"/>
        <w:rPr>
          <w:sz w:val="20"/>
          <w:szCs w:val="20"/>
          <w:color w:val="auto"/>
        </w:rPr>
      </w:pPr>
    </w:p>
    <w:p>
      <w:pPr>
        <w:jc w:val="both"/>
        <w:ind w:firstLine="412"/>
        <w:spacing w:after="0" w:line="237" w:lineRule="auto"/>
        <w:rPr>
          <w:sz w:val="20"/>
          <w:szCs w:val="20"/>
          <w:color w:val="auto"/>
        </w:rPr>
      </w:pPr>
      <w:r>
        <w:rPr>
          <w:rFonts w:ascii="Arial" w:cs="Arial" w:eastAsia="Arial" w:hAnsi="Arial"/>
          <w:sz w:val="17"/>
          <w:szCs w:val="17"/>
          <w:color w:val="auto"/>
        </w:rPr>
        <w:t>The Company purchased shares of common stock from employees in connection with withholding tax payments related to the vesting of restricted stock units and performance-based restricted stock units, as below:</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Shares</w:t>
            </w:r>
          </w:p>
        </w:tc>
        <w:tc>
          <w:tcPr>
            <w:tcW w:w="1860" w:type="dxa"/>
            <w:vAlign w:val="bottom"/>
            <w:gridSpan w:val="2"/>
            <w:vMerge w:val="restart"/>
          </w:tcPr>
          <w:p>
            <w:pPr>
              <w:ind w:left="460"/>
              <w:spacing w:after="0"/>
              <w:rPr>
                <w:sz w:val="20"/>
                <w:szCs w:val="20"/>
                <w:color w:val="auto"/>
              </w:rPr>
            </w:pPr>
            <w:r>
              <w:rPr>
                <w:rFonts w:ascii="Arial" w:cs="Arial" w:eastAsia="Arial" w:hAnsi="Arial"/>
                <w:sz w:val="17"/>
                <w:szCs w:val="17"/>
                <w:b w:val="1"/>
                <w:bCs w:val="1"/>
                <w:color w:val="auto"/>
                <w:w w:val="87"/>
              </w:rPr>
              <w:t>Total consideration</w:t>
            </w:r>
          </w:p>
        </w:tc>
        <w:tc>
          <w:tcPr>
            <w:tcW w:w="8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tcPr>
          <w:p>
            <w:pPr>
              <w:jc w:val="right"/>
              <w:ind w:right="177"/>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repurchased</w:t>
            </w:r>
          </w:p>
        </w:tc>
        <w:tc>
          <w:tcPr>
            <w:tcW w:w="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200" w:type="dxa"/>
            <w:vAlign w:val="bottom"/>
            <w:tcBorders>
              <w:bottom w:val="single" w:sz="8" w:color="auto"/>
            </w:tcBorders>
            <w:gridSpan w:val="2"/>
          </w:tcPr>
          <w:p>
            <w:pPr>
              <w:jc w:val="right"/>
              <w:ind w:right="57"/>
              <w:spacing w:after="0" w:line="212" w:lineRule="exact"/>
              <w:rPr>
                <w:sz w:val="20"/>
                <w:szCs w:val="20"/>
                <w:color w:val="auto"/>
              </w:rPr>
            </w:pPr>
            <w:r>
              <w:rPr>
                <w:rFonts w:ascii="Arial" w:cs="Arial" w:eastAsia="Arial" w:hAnsi="Arial"/>
                <w:sz w:val="17"/>
                <w:szCs w:val="17"/>
                <w:b w:val="1"/>
                <w:bCs w:val="1"/>
                <w:color w:val="auto"/>
                <w:w w:val="91"/>
              </w:rPr>
              <w:t xml:space="preserve">purchase price per share </w:t>
            </w:r>
            <w:r>
              <w:rPr>
                <w:rFonts w:ascii="Arial" w:cs="Arial" w:eastAsia="Arial" w:hAnsi="Arial"/>
                <w:sz w:val="21"/>
                <w:szCs w:val="21"/>
                <w:b w:val="1"/>
                <w:bCs w:val="1"/>
                <w:color w:val="auto"/>
                <w:w w:val="91"/>
                <w:vertAlign w:val="superscript"/>
              </w:rPr>
              <w:t>(1)</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Three months ended September 30, 2021</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120" w:type="dxa"/>
            <w:vAlign w:val="bottom"/>
          </w:tcPr>
          <w:p>
            <w:pPr>
              <w:ind w:left="420"/>
              <w:spacing w:after="0"/>
              <w:rPr>
                <w:sz w:val="20"/>
                <w:szCs w:val="20"/>
                <w:color w:val="auto"/>
              </w:rPr>
            </w:pPr>
            <w:r>
              <w:rPr>
                <w:rFonts w:ascii="Arial" w:cs="Arial" w:eastAsia="Arial" w:hAnsi="Arial"/>
                <w:sz w:val="17"/>
                <w:szCs w:val="17"/>
                <w:color w:val="auto"/>
              </w:rPr>
              <w:t>Three months ended September 30, 2020</w:t>
            </w: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ind w:left="4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5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120" w:type="dxa"/>
            <w:vAlign w:val="bottom"/>
          </w:tcPr>
          <w:p>
            <w:pPr>
              <w:ind w:left="420"/>
              <w:spacing w:after="0"/>
              <w:rPr>
                <w:sz w:val="20"/>
                <w:szCs w:val="20"/>
                <w:color w:val="auto"/>
              </w:rPr>
            </w:pPr>
            <w:r>
              <w:rPr>
                <w:rFonts w:ascii="Arial" w:cs="Arial" w:eastAsia="Arial" w:hAnsi="Arial"/>
                <w:sz w:val="17"/>
                <w:szCs w:val="17"/>
                <w:color w:val="auto"/>
              </w:rPr>
              <w:t>Nine months ended September 30, 2021</w:t>
            </w:r>
          </w:p>
        </w:tc>
        <w:tc>
          <w:tcPr>
            <w:tcW w:w="1340" w:type="dxa"/>
            <w:vAlign w:val="bottom"/>
          </w:tcPr>
          <w:p>
            <w:pPr>
              <w:jc w:val="right"/>
              <w:spacing w:after="0"/>
              <w:rPr>
                <w:sz w:val="20"/>
                <w:szCs w:val="20"/>
                <w:color w:val="auto"/>
              </w:rPr>
            </w:pPr>
            <w:r>
              <w:rPr>
                <w:rFonts w:ascii="Arial" w:cs="Arial" w:eastAsia="Arial" w:hAnsi="Arial"/>
                <w:sz w:val="17"/>
                <w:szCs w:val="17"/>
                <w:color w:val="auto"/>
              </w:rPr>
              <w:t>25,450</w:t>
            </w:r>
          </w:p>
        </w:tc>
        <w:tc>
          <w:tcPr>
            <w:tcW w:w="80" w:type="dxa"/>
            <w:vAlign w:val="bottom"/>
          </w:tcPr>
          <w:p>
            <w:pPr>
              <w:spacing w:after="0"/>
              <w:rPr>
                <w:sz w:val="18"/>
                <w:szCs w:val="18"/>
                <w:color w:val="auto"/>
              </w:rPr>
            </w:pPr>
          </w:p>
        </w:tc>
        <w:tc>
          <w:tcPr>
            <w:tcW w:w="960" w:type="dxa"/>
            <w:vAlign w:val="bottom"/>
          </w:tcPr>
          <w:p>
            <w:pPr>
              <w:ind w:left="4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79.18</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Nine months ended September 30, 2020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26,601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75.63</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375"/>
        <w:spacing w:after="0" w:line="226" w:lineRule="auto"/>
        <w:rPr>
          <w:sz w:val="20"/>
          <w:szCs w:val="20"/>
          <w:color w:val="auto"/>
        </w:rPr>
      </w:pPr>
      <w:r>
        <w:rPr>
          <w:rFonts w:ascii="Arial" w:cs="Arial" w:eastAsia="Arial" w:hAnsi="Arial"/>
          <w:sz w:val="17"/>
          <w:szCs w:val="17"/>
          <w:color w:val="auto"/>
        </w:rPr>
        <w:t>On December 16, 2019, the Company’s Board of Directors authorized a $200,000 common stock repurchase program beginning January 1, 2020 through December 31, 2022 (the "2019 Repurchase Program"). Under the 2019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purchased shares of its common stock, including commissions, under the 2019 Repurchase Program, as below:</w:t>
      </w:r>
    </w:p>
    <w:p>
      <w:pPr>
        <w:spacing w:after="0" w:line="196"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Shares</w:t>
            </w:r>
          </w:p>
        </w:tc>
        <w:tc>
          <w:tcPr>
            <w:tcW w:w="52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Arial" w:cs="Arial" w:eastAsia="Arial" w:hAnsi="Arial"/>
                <w:sz w:val="17"/>
                <w:szCs w:val="17"/>
                <w:b w:val="1"/>
                <w:bCs w:val="1"/>
                <w:color w:val="auto"/>
              </w:rPr>
              <w:t>Total consideration</w:t>
            </w:r>
          </w:p>
        </w:tc>
        <w:tc>
          <w:tcPr>
            <w:tcW w:w="600" w:type="dxa"/>
            <w:vAlign w:val="bottom"/>
          </w:tcPr>
          <w:p>
            <w:pPr>
              <w:spacing w:after="0"/>
              <w:rPr>
                <w:sz w:val="16"/>
                <w:szCs w:val="16"/>
                <w:color w:val="auto"/>
              </w:rPr>
            </w:pPr>
          </w:p>
        </w:tc>
        <w:tc>
          <w:tcPr>
            <w:tcW w:w="1660" w:type="dxa"/>
            <w:vAlign w:val="bottom"/>
          </w:tcPr>
          <w:p>
            <w:pPr>
              <w:jc w:val="right"/>
              <w:ind w:right="197"/>
              <w:spacing w:after="0"/>
              <w:rPr>
                <w:sz w:val="20"/>
                <w:szCs w:val="20"/>
                <w:color w:val="auto"/>
              </w:rPr>
            </w:pPr>
            <w:r>
              <w:rPr>
                <w:rFonts w:ascii="Arial" w:cs="Arial" w:eastAsia="Arial" w:hAnsi="Arial"/>
                <w:sz w:val="17"/>
                <w:szCs w:val="17"/>
                <w:b w:val="1"/>
                <w:bCs w:val="1"/>
                <w:color w:val="auto"/>
                <w:w w:val="93"/>
              </w:rPr>
              <w:t>Weighted average</w:t>
            </w:r>
          </w:p>
        </w:tc>
      </w:tr>
      <w:tr>
        <w:trPr>
          <w:trHeight w:val="212"/>
        </w:trPr>
        <w:tc>
          <w:tcPr>
            <w:tcW w:w="468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repurchased</w:t>
            </w: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2"/>
          </w:tcPr>
          <w:p>
            <w:pPr>
              <w:jc w:val="right"/>
              <w:ind w:right="77"/>
              <w:spacing w:after="0" w:line="212" w:lineRule="exact"/>
              <w:rPr>
                <w:sz w:val="20"/>
                <w:szCs w:val="20"/>
                <w:color w:val="auto"/>
              </w:rPr>
            </w:pPr>
            <w:r>
              <w:rPr>
                <w:rFonts w:ascii="Arial" w:cs="Arial" w:eastAsia="Arial" w:hAnsi="Arial"/>
                <w:sz w:val="17"/>
                <w:szCs w:val="17"/>
                <w:b w:val="1"/>
                <w:bCs w:val="1"/>
                <w:color w:val="auto"/>
                <w:w w:val="92"/>
              </w:rPr>
              <w:t xml:space="preserve">purchase price per share </w:t>
            </w:r>
            <w:r>
              <w:rPr>
                <w:rFonts w:ascii="Arial" w:cs="Arial" w:eastAsia="Arial" w:hAnsi="Arial"/>
                <w:sz w:val="21"/>
                <w:szCs w:val="21"/>
                <w:b w:val="1"/>
                <w:bCs w:val="1"/>
                <w:color w:val="auto"/>
                <w:w w:val="92"/>
                <w:vertAlign w:val="superscript"/>
              </w:rPr>
              <w:t>(1)</w:t>
            </w:r>
          </w:p>
        </w:tc>
      </w:tr>
      <w:tr>
        <w:trPr>
          <w:trHeight w:val="205"/>
        </w:trPr>
        <w:tc>
          <w:tcPr>
            <w:tcW w:w="4680" w:type="dxa"/>
            <w:vAlign w:val="bottom"/>
            <w:tcBorders>
              <w:top w:val="single" w:sz="8" w:color="CCEEFF"/>
            </w:tcBorders>
            <w:shd w:val="clear" w:color="auto" w:fill="CCEEFF"/>
          </w:tcPr>
          <w:p>
            <w:pPr>
              <w:ind w:left="420"/>
              <w:spacing w:after="0" w:line="193" w:lineRule="exact"/>
              <w:rPr>
                <w:sz w:val="20"/>
                <w:szCs w:val="20"/>
                <w:color w:val="auto"/>
              </w:rPr>
            </w:pPr>
            <w:r>
              <w:rPr>
                <w:rFonts w:ascii="Arial" w:cs="Arial" w:eastAsia="Arial" w:hAnsi="Arial"/>
                <w:sz w:val="17"/>
                <w:szCs w:val="17"/>
                <w:color w:val="auto"/>
              </w:rPr>
              <w:t>Three months ended September 30, 2021</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244,580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28,196</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115.28</w:t>
            </w:r>
          </w:p>
        </w:tc>
      </w:tr>
      <w:tr>
        <w:trPr>
          <w:trHeight w:val="212"/>
        </w:trPr>
        <w:tc>
          <w:tcPr>
            <w:tcW w:w="4680" w:type="dxa"/>
            <w:vAlign w:val="bottom"/>
          </w:tcPr>
          <w:p>
            <w:pPr>
              <w:ind w:left="420"/>
              <w:spacing w:after="0"/>
              <w:rPr>
                <w:sz w:val="20"/>
                <w:szCs w:val="20"/>
                <w:color w:val="auto"/>
              </w:rPr>
            </w:pPr>
            <w:r>
              <w:rPr>
                <w:rFonts w:ascii="Arial" w:cs="Arial" w:eastAsia="Arial" w:hAnsi="Arial"/>
                <w:sz w:val="17"/>
                <w:szCs w:val="17"/>
                <w:color w:val="auto"/>
              </w:rPr>
              <w:t>Three months ended September 30, 2020</w:t>
            </w:r>
          </w:p>
        </w:tc>
        <w:tc>
          <w:tcPr>
            <w:tcW w:w="1400" w:type="dxa"/>
            <w:vAlign w:val="bottom"/>
          </w:tcPr>
          <w:p>
            <w:pPr>
              <w:jc w:val="right"/>
              <w:spacing w:after="0"/>
              <w:rPr>
                <w:sz w:val="20"/>
                <w:szCs w:val="20"/>
                <w:color w:val="auto"/>
              </w:rPr>
            </w:pPr>
            <w:r>
              <w:rPr>
                <w:rFonts w:ascii="Arial" w:cs="Arial" w:eastAsia="Arial" w:hAnsi="Arial"/>
                <w:sz w:val="17"/>
                <w:szCs w:val="17"/>
                <w:color w:val="auto"/>
              </w:rPr>
              <w:t>389,575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24,906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63.93</w:t>
            </w:r>
          </w:p>
        </w:tc>
      </w:tr>
      <w:tr>
        <w:trPr>
          <w:trHeight w:val="250"/>
        </w:trPr>
        <w:tc>
          <w:tcPr>
            <w:tcW w:w="46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12"/>
        </w:trPr>
        <w:tc>
          <w:tcPr>
            <w:tcW w:w="4680" w:type="dxa"/>
            <w:vAlign w:val="bottom"/>
          </w:tcPr>
          <w:p>
            <w:pPr>
              <w:ind w:left="420"/>
              <w:spacing w:after="0"/>
              <w:rPr>
                <w:sz w:val="20"/>
                <w:szCs w:val="20"/>
                <w:color w:val="auto"/>
              </w:rPr>
            </w:pPr>
            <w:r>
              <w:rPr>
                <w:rFonts w:ascii="Arial" w:cs="Arial" w:eastAsia="Arial" w:hAnsi="Arial"/>
                <w:sz w:val="17"/>
                <w:szCs w:val="17"/>
                <w:color w:val="auto"/>
              </w:rPr>
              <w:t>Nine months ended September 30, 2021</w:t>
            </w:r>
          </w:p>
        </w:tc>
        <w:tc>
          <w:tcPr>
            <w:tcW w:w="1400" w:type="dxa"/>
            <w:vAlign w:val="bottom"/>
          </w:tcPr>
          <w:p>
            <w:pPr>
              <w:jc w:val="right"/>
              <w:spacing w:after="0"/>
              <w:rPr>
                <w:sz w:val="20"/>
                <w:szCs w:val="20"/>
                <w:color w:val="auto"/>
              </w:rPr>
            </w:pPr>
            <w:r>
              <w:rPr>
                <w:rFonts w:ascii="Arial" w:cs="Arial" w:eastAsia="Arial" w:hAnsi="Arial"/>
                <w:sz w:val="17"/>
                <w:szCs w:val="17"/>
                <w:color w:val="auto"/>
              </w:rPr>
              <w:t>844,656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83,605</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98.98</w:t>
            </w:r>
          </w:p>
        </w:tc>
      </w:tr>
      <w:tr>
        <w:trPr>
          <w:trHeight w:val="212"/>
        </w:trPr>
        <w:tc>
          <w:tcPr>
            <w:tcW w:w="4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Nine months ended September 30, 2020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565,340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36,889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65.25</w:t>
            </w:r>
          </w:p>
        </w:tc>
      </w:tr>
    </w:tbl>
    <w:p>
      <w:pPr>
        <w:spacing w:after="0" w:line="275" w:lineRule="exact"/>
        <w:rPr>
          <w:sz w:val="20"/>
          <w:szCs w:val="20"/>
          <w:color w:val="auto"/>
        </w:rPr>
      </w:pPr>
    </w:p>
    <w:p>
      <w:pPr>
        <w:ind w:firstLine="412"/>
        <w:spacing w:after="0" w:line="237" w:lineRule="auto"/>
        <w:tabs>
          <w:tab w:leader="none" w:pos="577"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weighted average purchase price per share was the closing price of the Company's share of common stock on the Nasdaq Global Select Market on the trading day prior to the vesting date of the shares of restricted stock.</w:t>
      </w:r>
    </w:p>
    <w:p>
      <w:pPr>
        <w:spacing w:after="0" w:line="188" w:lineRule="exact"/>
        <w:rPr>
          <w:sz w:val="20"/>
          <w:szCs w:val="20"/>
          <w:color w:val="auto"/>
        </w:rPr>
      </w:pPr>
    </w:p>
    <w:p>
      <w:pPr>
        <w:ind w:firstLine="375"/>
        <w:spacing w:after="0" w:line="237" w:lineRule="auto"/>
        <w:rPr>
          <w:sz w:val="20"/>
          <w:szCs w:val="20"/>
          <w:color w:val="auto"/>
        </w:rPr>
      </w:pPr>
      <w:r>
        <w:rPr>
          <w:rFonts w:ascii="Arial" w:cs="Arial" w:eastAsia="Arial" w:hAnsi="Arial"/>
          <w:sz w:val="17"/>
          <w:szCs w:val="17"/>
          <w:color w:val="auto"/>
        </w:rPr>
        <w:t>Repurchased shares have been recorded as treasury shares and will be held until the Company’s Board of Directors designates that these shares be retired or used for other purposes.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2019 Repurchase Program may be suspended or discontinued at any time.</w:t>
      </w:r>
    </w:p>
    <w:p>
      <w:pPr>
        <w:spacing w:after="0" w:line="204" w:lineRule="exact"/>
        <w:rPr>
          <w:sz w:val="20"/>
          <w:szCs w:val="20"/>
          <w:color w:val="auto"/>
        </w:rPr>
      </w:pPr>
    </w:p>
    <w:p>
      <w:pPr>
        <w:jc w:val="both"/>
        <w:ind w:right="280" w:firstLine="375"/>
        <w:spacing w:after="0" w:line="229" w:lineRule="auto"/>
        <w:rPr>
          <w:sz w:val="20"/>
          <w:szCs w:val="20"/>
          <w:color w:val="auto"/>
        </w:rPr>
      </w:pPr>
      <w:r>
        <w:rPr>
          <w:rFonts w:ascii="Arial" w:cs="Arial" w:eastAsia="Arial" w:hAnsi="Arial"/>
          <w:sz w:val="17"/>
          <w:szCs w:val="17"/>
          <w:color w:val="auto"/>
        </w:rPr>
        <w:t>In connection with the settlement of the Notes, the Company issued to the Purchaser 310,394 shares of the Company's common stock. This common stock was issued from the Company’s existing treasury shares. The excess of issuance price of the Company’s treasury stock over its weighted average cost was recognized in additional paid-in-capital.</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Employee Benefit Plans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9" w:lineRule="exact"/>
        <w:rPr>
          <w:sz w:val="20"/>
          <w:szCs w:val="20"/>
          <w:color w:val="auto"/>
        </w:rPr>
      </w:pPr>
    </w:p>
    <w:p>
      <w:pPr>
        <w:jc w:val="both"/>
        <w:ind w:firstLine="375"/>
        <w:spacing w:after="0" w:line="221" w:lineRule="auto"/>
        <w:rPr>
          <w:sz w:val="20"/>
          <w:szCs w:val="20"/>
          <w:color w:val="auto"/>
        </w:rPr>
      </w:pPr>
      <w:r>
        <w:rPr>
          <w:rFonts w:ascii="Arial" w:cs="Arial" w:eastAsia="Arial" w:hAnsi="Arial"/>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Components of net periodic benefit costs, were as follows: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3"/>
                <w:szCs w:val="13"/>
                <w:b w:val="1"/>
                <w:bCs w:val="1"/>
                <w:color w:val="auto"/>
                <w:w w:val="96"/>
              </w:rPr>
              <w:t>Nine months ended September 30,</w:t>
            </w:r>
          </w:p>
        </w:tc>
      </w:tr>
      <w:tr>
        <w:trPr>
          <w:trHeight w:val="171"/>
        </w:trPr>
        <w:tc>
          <w:tcPr>
            <w:tcW w:w="5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2020</w:t>
            </w:r>
          </w:p>
        </w:tc>
      </w:tr>
      <w:tr>
        <w:trPr>
          <w:trHeight w:val="206"/>
        </w:trPr>
        <w:tc>
          <w:tcPr>
            <w:tcW w:w="52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Service cost</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r>
      <w:tr>
        <w:trPr>
          <w:trHeight w:val="212"/>
        </w:trPr>
        <w:tc>
          <w:tcPr>
            <w:tcW w:w="524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722</w:t>
            </w: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r>
      <w:tr>
        <w:trPr>
          <w:trHeight w:val="212"/>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actuarial loss, gross of tax</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r>
      <w:tr>
        <w:trPr>
          <w:trHeight w:val="230"/>
        </w:trPr>
        <w:tc>
          <w:tcPr>
            <w:tcW w:w="524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Net gratuity cost</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1,084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5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on amortization of actuarial loss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05"/>
        </w:trPr>
        <w:tc>
          <w:tcPr>
            <w:tcW w:w="5240" w:type="dxa"/>
            <w:vAlign w:val="bottom"/>
          </w:tcPr>
          <w:p>
            <w:pPr>
              <w:ind w:left="20"/>
              <w:spacing w:after="0" w:line="193" w:lineRule="exact"/>
              <w:rPr>
                <w:sz w:val="20"/>
                <w:szCs w:val="20"/>
                <w:color w:val="auto"/>
              </w:rPr>
            </w:pPr>
            <w:r>
              <w:rPr>
                <w:rFonts w:ascii="Arial" w:cs="Arial" w:eastAsia="Arial" w:hAnsi="Arial"/>
                <w:sz w:val="17"/>
                <w:szCs w:val="17"/>
                <w:color w:val="auto"/>
              </w:rPr>
              <w:t>Amortization of actuarial loss, net of tax</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r>
    </w:tbl>
    <w:p>
      <w:pPr>
        <w:spacing w:after="0" w:line="287" w:lineRule="exact"/>
        <w:rPr>
          <w:sz w:val="20"/>
          <w:szCs w:val="20"/>
          <w:color w:val="auto"/>
        </w:rPr>
      </w:pPr>
    </w:p>
    <w:p>
      <w:pPr>
        <w:jc w:val="both"/>
        <w:ind w:firstLine="375"/>
        <w:spacing w:after="0" w:line="223" w:lineRule="auto"/>
        <w:rPr>
          <w:sz w:val="20"/>
          <w:szCs w:val="20"/>
          <w:color w:val="auto"/>
        </w:rPr>
      </w:pPr>
      <w:r>
        <w:rPr>
          <w:rFonts w:ascii="Arial" w:cs="Arial" w:eastAsia="Arial" w:hAnsi="Arial"/>
          <w:sz w:val="17"/>
          <w:szCs w:val="17"/>
          <w:color w:val="auto"/>
        </w:rPr>
        <w:t>The India Plan is partially funded whereas the Philippines plan is unfunded. The Company makes annual contributions to the employees' gratuity fund of the India Plan established with Life Insurance Corporation of India and HDFC Standard Life Insurance Company.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expects to earn a return of approximately 6.8% per annum on the India Plan for the year ended December 31, 2021.</w:t>
      </w:r>
    </w:p>
    <w:p>
      <w:pPr>
        <w:spacing w:after="0" w:line="324"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 assets at January 1, 2021</w:t>
            </w:r>
          </w:p>
        </w:tc>
        <w:tc>
          <w:tcPr>
            <w:tcW w:w="580" w:type="dxa"/>
            <w:vAlign w:val="bottom"/>
            <w:shd w:val="clear" w:color="auto" w:fill="CCEEFF"/>
          </w:tcPr>
          <w:p>
            <w:pPr>
              <w:jc w:val="right"/>
              <w:ind w:right="39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11,512</w:t>
            </w:r>
          </w:p>
        </w:tc>
      </w:tr>
      <w:tr>
        <w:trPr>
          <w:trHeight w:val="212"/>
        </w:trPr>
        <w:tc>
          <w:tcPr>
            <w:tcW w:w="7620" w:type="dxa"/>
            <w:vAlign w:val="bottom"/>
          </w:tcPr>
          <w:p>
            <w:pPr>
              <w:ind w:left="20"/>
              <w:spacing w:after="0"/>
              <w:rPr>
                <w:sz w:val="20"/>
                <w:szCs w:val="20"/>
                <w:color w:val="auto"/>
              </w:rPr>
            </w:pPr>
            <w:r>
              <w:rPr>
                <w:rFonts w:ascii="Arial" w:cs="Arial" w:eastAsia="Arial" w:hAnsi="Arial"/>
                <w:sz w:val="17"/>
                <w:szCs w:val="17"/>
                <w:color w:val="auto"/>
              </w:rPr>
              <w:t>Actual return</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628</w:t>
            </w: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Employer contribution</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3,375</w:t>
            </w:r>
          </w:p>
        </w:tc>
      </w:tr>
      <w:tr>
        <w:trPr>
          <w:trHeight w:val="212"/>
        </w:trPr>
        <w:tc>
          <w:tcPr>
            <w:tcW w:w="7620" w:type="dxa"/>
            <w:vAlign w:val="bottom"/>
          </w:tcPr>
          <w:p>
            <w:pPr>
              <w:ind w:left="20"/>
              <w:spacing w:after="0"/>
              <w:rPr>
                <w:sz w:val="20"/>
                <w:szCs w:val="20"/>
                <w:color w:val="auto"/>
              </w:rPr>
            </w:pPr>
            <w:r>
              <w:rPr>
                <w:rFonts w:ascii="Arial" w:cs="Arial" w:eastAsia="Arial" w:hAnsi="Arial"/>
                <w:sz w:val="17"/>
                <w:szCs w:val="17"/>
                <w:color w:val="auto"/>
              </w:rPr>
              <w:t>Benefits paid</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(1,188)</w:t>
            </w: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r>
      <w:tr>
        <w:trPr>
          <w:trHeight w:val="205"/>
        </w:trPr>
        <w:tc>
          <w:tcPr>
            <w:tcW w:w="7620" w:type="dxa"/>
            <w:vAlign w:val="bottom"/>
          </w:tcPr>
          <w:p>
            <w:pPr>
              <w:ind w:left="20"/>
              <w:spacing w:after="0"/>
              <w:rPr>
                <w:sz w:val="20"/>
                <w:szCs w:val="20"/>
                <w:color w:val="auto"/>
              </w:rPr>
            </w:pPr>
            <w:r>
              <w:rPr>
                <w:rFonts w:ascii="Arial" w:cs="Arial" w:eastAsia="Arial" w:hAnsi="Arial"/>
                <w:sz w:val="17"/>
                <w:szCs w:val="17"/>
                <w:color w:val="auto"/>
              </w:rPr>
              <w:t>Plan assets at September 30, 2021</w:t>
            </w:r>
          </w:p>
        </w:tc>
        <w:tc>
          <w:tcPr>
            <w:tcW w:w="58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14,123</w:t>
            </w:r>
          </w:p>
        </w:tc>
      </w:tr>
      <w:tr>
        <w:trPr>
          <w:trHeight w:val="20"/>
        </w:trPr>
        <w:tc>
          <w:tcPr>
            <w:tcW w:w="7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4.0% of employee compensation within certain limits.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accrual for contributions to the 401(k) Plans were as follows:</w:t>
      </w:r>
    </w:p>
    <w:p>
      <w:pPr>
        <w:spacing w:after="0" w:line="254"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3000" w:type="dxa"/>
            <w:vAlign w:val="bottom"/>
            <w:gridSpan w:val="6"/>
          </w:tcPr>
          <w:p>
            <w:pPr>
              <w:ind w:left="520"/>
              <w:spacing w:after="0"/>
              <w:rPr>
                <w:sz w:val="20"/>
                <w:szCs w:val="20"/>
                <w:color w:val="auto"/>
              </w:rPr>
            </w:pPr>
            <w:r>
              <w:rPr>
                <w:rFonts w:ascii="Arial" w:cs="Arial" w:eastAsia="Arial" w:hAnsi="Arial"/>
                <w:sz w:val="15"/>
                <w:szCs w:val="15"/>
                <w:b w:val="1"/>
                <w:bCs w:val="1"/>
                <w:color w:val="auto"/>
                <w:w w:val="96"/>
              </w:rPr>
              <w:t>Three months ended September 30,</w:t>
            </w:r>
          </w:p>
        </w:tc>
        <w:tc>
          <w:tcPr>
            <w:tcW w:w="500" w:type="dxa"/>
            <w:vAlign w:val="bottom"/>
          </w:tcPr>
          <w:p>
            <w:pPr>
              <w:spacing w:after="0"/>
              <w:rPr>
                <w:sz w:val="17"/>
                <w:szCs w:val="17"/>
                <w:color w:val="auto"/>
              </w:rPr>
            </w:pPr>
          </w:p>
        </w:tc>
        <w:tc>
          <w:tcPr>
            <w:tcW w:w="2400" w:type="dxa"/>
            <w:vAlign w:val="bottom"/>
            <w:gridSpan w:val="4"/>
          </w:tcPr>
          <w:p>
            <w:pPr>
              <w:jc w:val="right"/>
              <w:ind w:right="105"/>
              <w:spacing w:after="0"/>
              <w:rPr>
                <w:sz w:val="20"/>
                <w:szCs w:val="20"/>
                <w:color w:val="auto"/>
              </w:rPr>
            </w:pPr>
            <w:r>
              <w:rPr>
                <w:rFonts w:ascii="Arial" w:cs="Arial" w:eastAsia="Arial" w:hAnsi="Arial"/>
                <w:sz w:val="15"/>
                <w:szCs w:val="15"/>
                <w:b w:val="1"/>
                <w:bCs w:val="1"/>
                <w:color w:val="auto"/>
                <w:w w:val="89"/>
              </w:rPr>
              <w:t>Nine months ended September 30,</w:t>
            </w:r>
          </w:p>
        </w:tc>
      </w:tr>
      <w:tr>
        <w:trPr>
          <w:trHeight w:val="169"/>
        </w:trPr>
        <w:tc>
          <w:tcPr>
            <w:tcW w:w="496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2020</w:t>
            </w:r>
          </w:p>
        </w:tc>
      </w:tr>
      <w:tr>
        <w:trPr>
          <w:trHeight w:val="231"/>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Contribution to the 401(k) Plans</w:t>
            </w:r>
          </w:p>
        </w:tc>
        <w:tc>
          <w:tcPr>
            <w:tcW w:w="10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789</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2,661</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2,841</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2,916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41" w:lineRule="exact"/>
        <w:rPr>
          <w:sz w:val="20"/>
          <w:szCs w:val="20"/>
          <w:color w:val="auto"/>
        </w:rPr>
      </w:pPr>
    </w:p>
    <w:p>
      <w:pPr>
        <w:ind w:right="360" w:firstLine="450"/>
        <w:spacing w:after="0" w:line="265" w:lineRule="auto"/>
        <w:rPr>
          <w:sz w:val="20"/>
          <w:szCs w:val="20"/>
          <w:color w:val="auto"/>
        </w:rPr>
      </w:pPr>
      <w:r>
        <w:rPr>
          <w:rFonts w:ascii="Arial" w:cs="Arial" w:eastAsia="Arial" w:hAnsi="Arial"/>
          <w:sz w:val="17"/>
          <w:szCs w:val="17"/>
          <w:color w:val="auto"/>
        </w:rPr>
        <w:t>The Company's contribution for various defined benefit plans on behalf of employees in India, the Philippines, the Czech Republic, South Africa, Colombia, Australia and Singapore were as follows:</w:t>
      </w:r>
    </w:p>
    <w:p>
      <w:pPr>
        <w:spacing w:after="0" w:line="230"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5"/>
          </w:tcPr>
          <w:p>
            <w:pPr>
              <w:spacing w:after="0"/>
              <w:rPr>
                <w:sz w:val="20"/>
                <w:szCs w:val="20"/>
                <w:color w:val="auto"/>
              </w:rPr>
            </w:pPr>
            <w:r>
              <w:rPr>
                <w:rFonts w:ascii="Arial" w:cs="Arial" w:eastAsia="Arial" w:hAnsi="Arial"/>
                <w:sz w:val="15"/>
                <w:szCs w:val="15"/>
                <w:b w:val="1"/>
                <w:bCs w:val="1"/>
                <w:color w:val="auto"/>
                <w:w w:val="96"/>
              </w:rPr>
              <w:t>Three months ended September 30,</w:t>
            </w:r>
          </w:p>
        </w:tc>
        <w:tc>
          <w:tcPr>
            <w:tcW w:w="500" w:type="dxa"/>
            <w:vAlign w:val="bottom"/>
          </w:tcPr>
          <w:p>
            <w:pPr>
              <w:spacing w:after="0"/>
              <w:rPr>
                <w:sz w:val="17"/>
                <w:szCs w:val="17"/>
                <w:color w:val="auto"/>
              </w:rPr>
            </w:pPr>
          </w:p>
        </w:tc>
        <w:tc>
          <w:tcPr>
            <w:tcW w:w="2360" w:type="dxa"/>
            <w:vAlign w:val="bottom"/>
            <w:gridSpan w:val="4"/>
          </w:tcPr>
          <w:p>
            <w:pPr>
              <w:jc w:val="right"/>
              <w:ind w:right="85"/>
              <w:spacing w:after="0"/>
              <w:rPr>
                <w:sz w:val="20"/>
                <w:szCs w:val="20"/>
                <w:color w:val="auto"/>
              </w:rPr>
            </w:pPr>
            <w:r>
              <w:rPr>
                <w:rFonts w:ascii="Arial" w:cs="Arial" w:eastAsia="Arial" w:hAnsi="Arial"/>
                <w:sz w:val="15"/>
                <w:szCs w:val="15"/>
                <w:b w:val="1"/>
                <w:bCs w:val="1"/>
                <w:color w:val="auto"/>
                <w:w w:val="88"/>
              </w:rPr>
              <w:t>Nine months ended September 30,</w:t>
            </w:r>
          </w:p>
        </w:tc>
      </w:tr>
      <w:tr>
        <w:trPr>
          <w:trHeight w:val="169"/>
        </w:trPr>
        <w:tc>
          <w:tcPr>
            <w:tcW w:w="492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2020</w:t>
            </w:r>
          </w:p>
        </w:tc>
      </w:tr>
      <w:tr>
        <w:trPr>
          <w:trHeight w:val="231"/>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Contribution to the defined benefit plans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10,617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w:t>
      </w:r>
    </w:p>
    <w:p>
      <w:pPr>
        <w:spacing w:after="0" w:line="233" w:lineRule="exact"/>
        <w:rPr>
          <w:sz w:val="20"/>
          <w:szCs w:val="20"/>
          <w:color w:val="auto"/>
        </w:rPr>
      </w:pPr>
    </w:p>
    <w:p>
      <w:pPr>
        <w:jc w:val="both"/>
        <w:ind w:firstLine="375"/>
        <w:spacing w:after="0"/>
        <w:rPr>
          <w:sz w:val="20"/>
          <w:szCs w:val="20"/>
          <w:color w:val="auto"/>
        </w:rPr>
      </w:pPr>
      <w:r>
        <w:rPr>
          <w:rFonts w:ascii="Arial" w:cs="Arial" w:eastAsia="Arial" w:hAnsi="Arial"/>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88"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5"/>
          <w:szCs w:val="15"/>
          <w:color w:val="auto"/>
        </w:rPr>
        <w:t xml:space="preserve">The Company had performed an evaluation of its contracts with suppliers in accordance with Topic 842, </w:t>
      </w:r>
      <w:r>
        <w:rPr>
          <w:rFonts w:ascii="Arial" w:cs="Arial" w:eastAsia="Arial" w:hAnsi="Arial"/>
          <w:sz w:val="15"/>
          <w:szCs w:val="15"/>
          <w:i w:val="1"/>
          <w:iCs w:val="1"/>
          <w:color w:val="auto"/>
        </w:rPr>
        <w:t>Leases</w:t>
      </w:r>
      <w:r>
        <w:rPr>
          <w:rFonts w:ascii="Arial" w:cs="Arial" w:eastAsia="Arial" w:hAnsi="Arial"/>
          <w:sz w:val="15"/>
          <w:szCs w:val="15"/>
          <w:color w:val="auto"/>
        </w:rPr>
        <w:t>, and had determined that, except for leases for office facilities, motor vehicles and other equipment as described above, none of the Company’s contracts contain a lease. In assessment of the lease term, the Company considers the extension option as part of its lease term for those lease arrangements where the Company is reasonably certain of availing the extension option. As part of the Company’s effort to moderate the impact of COVID-19, the Company continued to evaluate its office facilities to determine where it can exit, consolidate, or otherwise optimize its use of office space. During the nine months ended September 30, 2021 and year ended December 31, 2020, the Company changed the lease term for certain of its leases and recognized the resultant amount of the remeasurement of the lease liability as an adjustment to the ROU assets.</w:t>
      </w:r>
    </w:p>
    <w:p>
      <w:pPr>
        <w:spacing w:after="0" w:line="178"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The impact of COVID-19 on the economic environment is uncertain and has caused variability in the determination of the incremental borrowing rate and extension option, which have an impact on measurement of lease liabilities and ROU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balance sheet information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48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b w:val="1"/>
                <w:bCs w:val="1"/>
                <w:color w:val="auto"/>
              </w:rPr>
              <w:t>As of</w:t>
            </w:r>
          </w:p>
        </w:tc>
        <w:tc>
          <w:tcPr>
            <w:tcW w:w="1560" w:type="dxa"/>
            <w:vAlign w:val="bottom"/>
            <w:tcBorders>
              <w:bottom w:val="single" w:sz="8" w:color="auto"/>
            </w:tcBorders>
          </w:tcPr>
          <w:p>
            <w:pPr>
              <w:spacing w:after="0"/>
              <w:rPr>
                <w:sz w:val="17"/>
                <w:szCs w:val="17"/>
                <w:color w:val="auto"/>
              </w:rPr>
            </w:pPr>
          </w:p>
        </w:tc>
      </w:tr>
      <w:tr>
        <w:trPr>
          <w:trHeight w:val="192"/>
        </w:trPr>
        <w:tc>
          <w:tcPr>
            <w:tcW w:w="62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94"/>
              </w:rPr>
              <w:t>September 30, 2021</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94"/>
              </w:rPr>
              <w:t>December 31, 2020</w:t>
            </w:r>
          </w:p>
        </w:tc>
      </w:tr>
      <w:tr>
        <w:trPr>
          <w:trHeight w:val="183"/>
        </w:trPr>
        <w:tc>
          <w:tcPr>
            <w:tcW w:w="6280" w:type="dxa"/>
            <w:vAlign w:val="bottom"/>
            <w:shd w:val="clear" w:color="auto" w:fill="CCEEFF"/>
          </w:tcPr>
          <w:p>
            <w:pPr>
              <w:ind w:left="420"/>
              <w:spacing w:after="0"/>
              <w:rPr>
                <w:sz w:val="20"/>
                <w:szCs w:val="20"/>
                <w:color w:val="auto"/>
              </w:rPr>
            </w:pPr>
            <w:r>
              <w:rPr>
                <w:rFonts w:ascii="Arial" w:cs="Arial" w:eastAsia="Arial" w:hAnsi="Arial"/>
                <w:sz w:val="15"/>
                <w:szCs w:val="15"/>
                <w:b w:val="1"/>
                <w:bCs w:val="1"/>
                <w:color w:val="auto"/>
              </w:rPr>
              <w:t>Operating Lease</w:t>
            </w: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7"/>
        </w:trPr>
        <w:tc>
          <w:tcPr>
            <w:tcW w:w="6280" w:type="dxa"/>
            <w:vAlign w:val="bottom"/>
          </w:tcPr>
          <w:p>
            <w:pPr>
              <w:ind w:left="420"/>
              <w:spacing w:after="0"/>
              <w:rPr>
                <w:sz w:val="20"/>
                <w:szCs w:val="20"/>
                <w:color w:val="auto"/>
              </w:rPr>
            </w:pPr>
            <w:r>
              <w:rPr>
                <w:rFonts w:ascii="Arial" w:cs="Arial" w:eastAsia="Arial" w:hAnsi="Arial"/>
                <w:sz w:val="15"/>
                <w:szCs w:val="15"/>
                <w:color w:val="auto"/>
              </w:rPr>
              <w:t>Operating lease right-of-use assets</w:t>
            </w: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81,324</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91,918</w:t>
            </w:r>
          </w:p>
        </w:tc>
      </w:tr>
      <w:tr>
        <w:trPr>
          <w:trHeight w:val="233"/>
        </w:trPr>
        <w:tc>
          <w:tcPr>
            <w:tcW w:w="62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r>
      <w:tr>
        <w:trPr>
          <w:trHeight w:val="197"/>
        </w:trPr>
        <w:tc>
          <w:tcPr>
            <w:tcW w:w="6280" w:type="dxa"/>
            <w:vAlign w:val="bottom"/>
          </w:tcPr>
          <w:p>
            <w:pPr>
              <w:ind w:left="420"/>
              <w:spacing w:after="0"/>
              <w:rPr>
                <w:sz w:val="20"/>
                <w:szCs w:val="20"/>
                <w:color w:val="auto"/>
              </w:rPr>
            </w:pPr>
            <w:r>
              <w:rPr>
                <w:rFonts w:ascii="Arial" w:cs="Arial" w:eastAsia="Arial" w:hAnsi="Arial"/>
                <w:sz w:val="15"/>
                <w:szCs w:val="15"/>
                <w:color w:val="auto"/>
              </w:rPr>
              <w:t>Operating lease liabilities - Current</w:t>
            </w: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18,340</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18,894</w:t>
            </w:r>
          </w:p>
        </w:tc>
      </w:tr>
      <w:tr>
        <w:trPr>
          <w:trHeight w:val="203"/>
        </w:trPr>
        <w:tc>
          <w:tcPr>
            <w:tcW w:w="62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Operating lease liabilities - Non-current</w:t>
            </w:r>
          </w:p>
        </w:tc>
        <w:tc>
          <w:tcPr>
            <w:tcW w:w="5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73,939</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84,874</w:t>
            </w:r>
          </w:p>
        </w:tc>
      </w:tr>
      <w:tr>
        <w:trPr>
          <w:trHeight w:val="189"/>
        </w:trPr>
        <w:tc>
          <w:tcPr>
            <w:tcW w:w="6280" w:type="dxa"/>
            <w:vAlign w:val="bottom"/>
          </w:tcPr>
          <w:p>
            <w:pPr>
              <w:ind w:left="620"/>
              <w:spacing w:after="0"/>
              <w:rPr>
                <w:sz w:val="20"/>
                <w:szCs w:val="20"/>
                <w:color w:val="auto"/>
              </w:rPr>
            </w:pPr>
            <w:r>
              <w:rPr>
                <w:rFonts w:ascii="Arial" w:cs="Arial" w:eastAsia="Arial" w:hAnsi="Arial"/>
                <w:sz w:val="15"/>
                <w:szCs w:val="15"/>
                <w:b w:val="1"/>
                <w:bCs w:val="1"/>
                <w:color w:val="auto"/>
              </w:rPr>
              <w:t>Total operating lease liabilities</w:t>
            </w: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92,279</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103,768</w:t>
            </w:r>
          </w:p>
        </w:tc>
      </w:tr>
      <w:tr>
        <w:trPr>
          <w:trHeight w:val="183"/>
        </w:trPr>
        <w:tc>
          <w:tcPr>
            <w:tcW w:w="62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r>
      <w:tr>
        <w:trPr>
          <w:trHeight w:val="197"/>
        </w:trPr>
        <w:tc>
          <w:tcPr>
            <w:tcW w:w="6280" w:type="dxa"/>
            <w:vAlign w:val="bottom"/>
          </w:tcPr>
          <w:p>
            <w:pPr>
              <w:ind w:left="420"/>
              <w:spacing w:after="0"/>
              <w:rPr>
                <w:sz w:val="20"/>
                <w:szCs w:val="20"/>
                <w:color w:val="auto"/>
              </w:rPr>
            </w:pPr>
            <w:r>
              <w:rPr>
                <w:rFonts w:ascii="Arial" w:cs="Arial" w:eastAsia="Arial" w:hAnsi="Arial"/>
                <w:sz w:val="15"/>
                <w:szCs w:val="15"/>
                <w:b w:val="1"/>
                <w:bCs w:val="1"/>
                <w:color w:val="auto"/>
              </w:rPr>
              <w:t>Finance Lease</w:t>
            </w:r>
          </w:p>
        </w:tc>
        <w:tc>
          <w:tcPr>
            <w:tcW w:w="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62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Property and equipment, gross</w:t>
            </w: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1,853</w:t>
            </w:r>
          </w:p>
        </w:tc>
      </w:tr>
      <w:tr>
        <w:trPr>
          <w:trHeight w:val="197"/>
        </w:trPr>
        <w:tc>
          <w:tcPr>
            <w:tcW w:w="628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Accumulated depreciation</w:t>
            </w:r>
          </w:p>
        </w:tc>
        <w:tc>
          <w:tcPr>
            <w:tcW w:w="5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(2,191)</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(1,382)</w:t>
            </w:r>
          </w:p>
        </w:tc>
      </w:tr>
      <w:tr>
        <w:trPr>
          <w:trHeight w:val="192"/>
        </w:trPr>
        <w:tc>
          <w:tcPr>
            <w:tcW w:w="6280" w:type="dxa"/>
            <w:vAlign w:val="bottom"/>
            <w:shd w:val="clear" w:color="auto" w:fill="CCEEFF"/>
          </w:tcPr>
          <w:p>
            <w:pPr>
              <w:ind w:left="620"/>
              <w:spacing w:after="0"/>
              <w:rPr>
                <w:sz w:val="20"/>
                <w:szCs w:val="20"/>
                <w:color w:val="auto"/>
              </w:rPr>
            </w:pPr>
            <w:r>
              <w:rPr>
                <w:rFonts w:ascii="Arial" w:cs="Arial" w:eastAsia="Arial" w:hAnsi="Arial"/>
                <w:sz w:val="15"/>
                <w:szCs w:val="15"/>
                <w:color w:val="auto"/>
              </w:rPr>
              <w:t>Property and equipment, net</w:t>
            </w: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w:t>
            </w:r>
          </w:p>
        </w:tc>
      </w:tr>
      <w:tr>
        <w:trPr>
          <w:trHeight w:val="183"/>
        </w:trPr>
        <w:tc>
          <w:tcPr>
            <w:tcW w:w="62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00"/>
        </w:trPr>
        <w:tc>
          <w:tcPr>
            <w:tcW w:w="62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Finance lease liabilities - Current</w:t>
            </w: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r>
      <w:tr>
        <w:trPr>
          <w:trHeight w:val="197"/>
        </w:trPr>
        <w:tc>
          <w:tcPr>
            <w:tcW w:w="628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Finance lease liabilities - Non-current</w:t>
            </w:r>
          </w:p>
        </w:tc>
        <w:tc>
          <w:tcPr>
            <w:tcW w:w="5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w:t>
            </w:r>
          </w:p>
        </w:tc>
      </w:tr>
      <w:tr>
        <w:trPr>
          <w:trHeight w:val="212"/>
        </w:trPr>
        <w:tc>
          <w:tcPr>
            <w:tcW w:w="6280" w:type="dxa"/>
            <w:vAlign w:val="bottom"/>
            <w:shd w:val="clear" w:color="auto" w:fill="CCEEFF"/>
          </w:tcPr>
          <w:p>
            <w:pPr>
              <w:ind w:left="620"/>
              <w:spacing w:after="0"/>
              <w:rPr>
                <w:sz w:val="20"/>
                <w:szCs w:val="20"/>
                <w:color w:val="auto"/>
              </w:rPr>
            </w:pPr>
            <w:r>
              <w:rPr>
                <w:rFonts w:ascii="Arial" w:cs="Arial" w:eastAsia="Arial" w:hAnsi="Arial"/>
                <w:sz w:val="15"/>
                <w:szCs w:val="15"/>
                <w:b w:val="1"/>
                <w:bCs w:val="1"/>
                <w:color w:val="auto"/>
              </w:rPr>
              <w:t>Total finance lease liabilities</w:t>
            </w: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660" w:firstLine="450"/>
        <w:spacing w:after="0" w:line="237" w:lineRule="auto"/>
        <w:rPr>
          <w:sz w:val="20"/>
          <w:szCs w:val="20"/>
          <w:color w:val="auto"/>
        </w:rPr>
      </w:pPr>
      <w:r>
        <w:rPr>
          <w:rFonts w:ascii="Arial" w:cs="Arial" w:eastAsia="Arial" w:hAnsi="Arial"/>
          <w:sz w:val="17"/>
          <w:szCs w:val="17"/>
          <w:color w:val="auto"/>
        </w:rPr>
        <w:t>Finance lease liabilities are presented as a part of “Accrued expenses and other current liabilities” and “Other non-current liabilities,” as applicable, in the Company’s consolidated balance sheets.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lease cost, which are included in the Company's unaudited consolidated statements of income, are as follows:</w:t>
      </w:r>
    </w:p>
    <w:p>
      <w:pPr>
        <w:spacing w:after="0" w:line="234" w:lineRule="exact"/>
        <w:rPr>
          <w:sz w:val="20"/>
          <w:szCs w:val="20"/>
          <w:color w:val="auto"/>
        </w:rPr>
      </w:pPr>
    </w:p>
    <w:tbl>
      <w:tblPr>
        <w:tblLayout w:type="fixed"/>
        <w:tblInd w:w="440" w:type="dxa"/>
        <w:tblCellMar>
          <w:top w:w="0" w:type="dxa"/>
          <w:left w:w="0" w:type="dxa"/>
          <w:bottom w:w="0" w:type="dxa"/>
          <w:right w:w="0" w:type="dxa"/>
        </w:tblCellMar>
      </w:tblPr>
      <w:tr>
        <w:trPr>
          <w:trHeight w:val="212"/>
        </w:trPr>
        <w:tc>
          <w:tcPr>
            <w:tcW w:w="3740" w:type="dxa"/>
            <w:vAlign w:val="bottom"/>
            <w:tcBorders>
              <w:bottom w:val="single" w:sz="8" w:color="CCEEFF"/>
            </w:tcBorders>
          </w:tcPr>
          <w:p>
            <w:pPr>
              <w:ind w:left="480"/>
              <w:spacing w:after="0"/>
              <w:rPr>
                <w:sz w:val="20"/>
                <w:szCs w:val="20"/>
                <w:color w:val="auto"/>
              </w:rPr>
            </w:pPr>
            <w:r>
              <w:rPr>
                <w:rFonts w:ascii="Arial" w:cs="Arial" w:eastAsia="Arial" w:hAnsi="Arial"/>
                <w:sz w:val="15"/>
                <w:szCs w:val="15"/>
                <w:b w:val="1"/>
                <w:bCs w:val="1"/>
                <w:color w:val="auto"/>
              </w:rPr>
              <w:t>Lease cost</w:t>
            </w:r>
          </w:p>
        </w:tc>
        <w:tc>
          <w:tcPr>
            <w:tcW w:w="74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5"/>
              </w:rPr>
              <w:t>Three months ended September 30,</w:t>
            </w: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Nine months ended September 30,</w:t>
            </w:r>
          </w:p>
        </w:tc>
        <w:tc>
          <w:tcPr>
            <w:tcW w:w="200" w:type="dxa"/>
            <w:vAlign w:val="bottom"/>
            <w:tcBorders>
              <w:top w:val="single" w:sz="8" w:color="auto"/>
              <w:bottom w:val="single" w:sz="8" w:color="auto"/>
            </w:tcBorders>
          </w:tcPr>
          <w:p>
            <w:pPr>
              <w:spacing w:after="0"/>
              <w:rPr>
                <w:sz w:val="18"/>
                <w:szCs w:val="18"/>
                <w:color w:val="auto"/>
              </w:rPr>
            </w:pPr>
          </w:p>
        </w:tc>
      </w:tr>
      <w:tr>
        <w:trPr>
          <w:trHeight w:val="192"/>
        </w:trPr>
        <w:tc>
          <w:tcPr>
            <w:tcW w:w="3740" w:type="dxa"/>
            <w:vAlign w:val="bottom"/>
            <w:shd w:val="clear" w:color="auto" w:fill="CCEEFF"/>
          </w:tcPr>
          <w:p>
            <w:pPr>
              <w:ind w:left="480"/>
              <w:spacing w:after="0"/>
              <w:rPr>
                <w:sz w:val="20"/>
                <w:szCs w:val="20"/>
                <w:color w:val="auto"/>
              </w:rPr>
            </w:pPr>
            <w:r>
              <w:rPr>
                <w:rFonts w:ascii="Arial" w:cs="Arial" w:eastAsia="Arial" w:hAnsi="Arial"/>
                <w:sz w:val="15"/>
                <w:szCs w:val="15"/>
                <w:b w:val="1"/>
                <w:bCs w:val="1"/>
                <w:color w:val="auto"/>
              </w:rPr>
              <w:t>Finance lease:</w:t>
            </w:r>
          </w:p>
        </w:tc>
        <w:tc>
          <w:tcPr>
            <w:tcW w:w="7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b w:val="1"/>
                <w:bCs w:val="1"/>
                <w:color w:val="auto"/>
              </w:rPr>
              <w:t>2021</w:t>
            </w:r>
          </w:p>
        </w:tc>
        <w:tc>
          <w:tcPr>
            <w:tcW w:w="10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2020</w:t>
            </w:r>
          </w:p>
        </w:tc>
        <w:tc>
          <w:tcPr>
            <w:tcW w:w="4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bottom w:val="single" w:sz="8" w:color="auto"/>
            </w:tcBorders>
            <w:shd w:val="clear" w:color="auto" w:fill="CCEEFF"/>
          </w:tcPr>
          <w:p>
            <w:pPr>
              <w:spacing w:after="0"/>
              <w:rPr>
                <w:sz w:val="16"/>
                <w:szCs w:val="16"/>
                <w:color w:val="auto"/>
              </w:rPr>
            </w:pPr>
          </w:p>
        </w:tc>
      </w:tr>
      <w:tr>
        <w:trPr>
          <w:trHeight w:val="189"/>
        </w:trPr>
        <w:tc>
          <w:tcPr>
            <w:tcW w:w="3740" w:type="dxa"/>
            <w:vAlign w:val="bottom"/>
          </w:tcPr>
          <w:p>
            <w:pPr>
              <w:ind w:left="780"/>
              <w:spacing w:after="0"/>
              <w:rPr>
                <w:sz w:val="20"/>
                <w:szCs w:val="20"/>
                <w:color w:val="auto"/>
              </w:rPr>
            </w:pPr>
            <w:r>
              <w:rPr>
                <w:rFonts w:ascii="Arial" w:cs="Arial" w:eastAsia="Arial" w:hAnsi="Arial"/>
                <w:sz w:val="15"/>
                <w:szCs w:val="15"/>
                <w:color w:val="auto"/>
              </w:rPr>
              <w:t>Amortization of right-of-use assets</w:t>
            </w:r>
          </w:p>
        </w:tc>
        <w:tc>
          <w:tcPr>
            <w:tcW w:w="74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6"/>
                <w:szCs w:val="16"/>
                <w:color w:val="auto"/>
              </w:rPr>
            </w:pPr>
          </w:p>
        </w:tc>
        <w:tc>
          <w:tcPr>
            <w:tcW w:w="1360" w:type="dxa"/>
            <w:vAlign w:val="bottom"/>
          </w:tcPr>
          <w:p>
            <w:pPr>
              <w:jc w:val="right"/>
              <w:ind w:right="745"/>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6"/>
                <w:szCs w:val="16"/>
                <w:color w:val="auto"/>
              </w:rPr>
            </w:pPr>
          </w:p>
        </w:tc>
        <w:tc>
          <w:tcPr>
            <w:tcW w:w="1300" w:type="dxa"/>
            <w:vAlign w:val="bottom"/>
          </w:tcPr>
          <w:p>
            <w:pPr>
              <w:jc w:val="right"/>
              <w:ind w:right="685"/>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5"/>
              <w:spacing w:after="0"/>
              <w:rPr>
                <w:sz w:val="20"/>
                <w:szCs w:val="20"/>
                <w:color w:val="auto"/>
              </w:rPr>
            </w:pPr>
            <w:r>
              <w:rPr>
                <w:rFonts w:ascii="Arial" w:cs="Arial" w:eastAsia="Arial" w:hAnsi="Arial"/>
                <w:sz w:val="15"/>
                <w:szCs w:val="15"/>
                <w:color w:val="auto"/>
              </w:rPr>
              <w:t>149</w:t>
            </w:r>
          </w:p>
        </w:tc>
        <w:tc>
          <w:tcPr>
            <w:tcW w:w="80" w:type="dxa"/>
            <w:vAlign w:val="bottom"/>
          </w:tcPr>
          <w:p>
            <w:pPr>
              <w:spacing w:after="0"/>
              <w:rPr>
                <w:sz w:val="16"/>
                <w:szCs w:val="16"/>
                <w:color w:val="auto"/>
              </w:rPr>
            </w:pPr>
          </w:p>
        </w:tc>
        <w:tc>
          <w:tcPr>
            <w:tcW w:w="1300" w:type="dxa"/>
            <w:vAlign w:val="bottom"/>
          </w:tcPr>
          <w:p>
            <w:pPr>
              <w:jc w:val="right"/>
              <w:ind w:right="68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r>
      <w:tr>
        <w:trPr>
          <w:trHeight w:val="203"/>
        </w:trPr>
        <w:tc>
          <w:tcPr>
            <w:tcW w:w="3740" w:type="dxa"/>
            <w:vAlign w:val="bottom"/>
            <w:shd w:val="clear" w:color="auto" w:fill="CCEEFF"/>
          </w:tcPr>
          <w:p>
            <w:pPr>
              <w:ind w:left="780"/>
              <w:spacing w:after="0"/>
              <w:rPr>
                <w:sz w:val="20"/>
                <w:szCs w:val="20"/>
                <w:color w:val="auto"/>
              </w:rPr>
            </w:pPr>
            <w:r>
              <w:rPr>
                <w:rFonts w:ascii="Arial" w:cs="Arial" w:eastAsia="Arial" w:hAnsi="Arial"/>
                <w:sz w:val="15"/>
                <w:szCs w:val="15"/>
                <w:color w:val="auto"/>
              </w:rPr>
              <w:t>Interest on lease liabilities</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49</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0"/>
        </w:trPr>
        <w:tc>
          <w:tcPr>
            <w:tcW w:w="3740" w:type="dxa"/>
            <w:vAlign w:val="bottom"/>
            <w:tcBorders>
              <w:bottom w:val="single" w:sz="8" w:color="CCEEFF"/>
            </w:tcBorders>
          </w:tcPr>
          <w:p>
            <w:pPr>
              <w:ind w:left="480"/>
              <w:spacing w:after="0" w:line="200" w:lineRule="exact"/>
              <w:rPr>
                <w:sz w:val="20"/>
                <w:szCs w:val="20"/>
                <w:color w:val="auto"/>
              </w:rPr>
            </w:pPr>
            <w:r>
              <w:rPr>
                <w:rFonts w:ascii="Arial" w:cs="Arial" w:eastAsia="Arial" w:hAnsi="Arial"/>
                <w:sz w:val="15"/>
                <w:szCs w:val="15"/>
                <w:b w:val="1"/>
                <w:bCs w:val="1"/>
                <w:color w:val="auto"/>
              </w:rPr>
              <w:t>Operating lease</w:t>
            </w:r>
            <w:r>
              <w:rPr>
                <w:rFonts w:ascii="Arial" w:cs="Arial" w:eastAsia="Arial" w:hAnsi="Arial"/>
                <w:sz w:val="19"/>
                <w:szCs w:val="19"/>
                <w:b w:val="1"/>
                <w:bCs w:val="1"/>
                <w:color w:val="auto"/>
                <w:vertAlign w:val="superscript"/>
              </w:rPr>
              <w:t>(a)</w:t>
            </w:r>
          </w:p>
        </w:tc>
        <w:tc>
          <w:tcPr>
            <w:tcW w:w="7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6,380</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6,781</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1"/>
              </w:rPr>
              <w:t>20,012</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20</w:t>
            </w:r>
          </w:p>
        </w:tc>
      </w:tr>
      <w:tr>
        <w:trPr>
          <w:trHeight w:val="217"/>
        </w:trPr>
        <w:tc>
          <w:tcPr>
            <w:tcW w:w="3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Total lease cost</w:t>
            </w:r>
          </w:p>
        </w:tc>
        <w:tc>
          <w:tcPr>
            <w:tcW w:w="7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6,437</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6,843</w:t>
            </w: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1"/>
              </w:rPr>
              <w:t>20,210</w:t>
            </w: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Supplemental cash flow and other information related to leases are as follows:</w:t>
      </w: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463"/>
              <w:spacing w:after="0"/>
              <w:rPr>
                <w:sz w:val="20"/>
                <w:szCs w:val="20"/>
                <w:color w:val="auto"/>
              </w:rPr>
            </w:pPr>
            <w:r>
              <w:rPr>
                <w:rFonts w:ascii="Arial" w:cs="Arial" w:eastAsia="Arial" w:hAnsi="Arial"/>
                <w:sz w:val="15"/>
                <w:szCs w:val="15"/>
                <w:b w:val="1"/>
                <w:bCs w:val="1"/>
                <w:color w:val="auto"/>
              </w:rPr>
              <w:t>Nine months ended September 30,</w:t>
            </w:r>
          </w:p>
        </w:tc>
      </w:tr>
      <w:tr>
        <w:trPr>
          <w:trHeight w:val="189"/>
        </w:trPr>
        <w:tc>
          <w:tcPr>
            <w:tcW w:w="7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2020</w:t>
            </w:r>
          </w:p>
        </w:tc>
      </w:tr>
      <w:tr>
        <w:trPr>
          <w:trHeight w:val="183"/>
        </w:trPr>
        <w:tc>
          <w:tcPr>
            <w:tcW w:w="7100" w:type="dxa"/>
            <w:vAlign w:val="bottom"/>
          </w:tcPr>
          <w:p>
            <w:pPr>
              <w:ind w:left="20"/>
              <w:spacing w:after="0"/>
              <w:rPr>
                <w:sz w:val="20"/>
                <w:szCs w:val="20"/>
                <w:color w:val="auto"/>
              </w:rPr>
            </w:pPr>
            <w:r>
              <w:rPr>
                <w:rFonts w:ascii="Arial" w:cs="Arial" w:eastAsia="Arial" w:hAnsi="Arial"/>
                <w:sz w:val="15"/>
                <w:szCs w:val="15"/>
                <w:color w:val="auto"/>
              </w:rPr>
              <w:t>Cash payments for amounts included in the measurement of lease liabilities :</w:t>
            </w: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7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 cash outflows for operating leases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19,654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19,780</w:t>
            </w:r>
          </w:p>
        </w:tc>
      </w:tr>
      <w:tr>
        <w:trPr>
          <w:trHeight w:val="197"/>
        </w:trPr>
        <w:tc>
          <w:tcPr>
            <w:tcW w:w="7100" w:type="dxa"/>
            <w:vAlign w:val="bottom"/>
          </w:tcPr>
          <w:p>
            <w:pPr>
              <w:ind w:left="320"/>
              <w:spacing w:after="0"/>
              <w:rPr>
                <w:sz w:val="20"/>
                <w:szCs w:val="20"/>
                <w:color w:val="auto"/>
              </w:rPr>
            </w:pPr>
            <w:r>
              <w:rPr>
                <w:rFonts w:ascii="Arial" w:cs="Arial" w:eastAsia="Arial" w:hAnsi="Arial"/>
                <w:sz w:val="15"/>
                <w:szCs w:val="15"/>
                <w:color w:val="auto"/>
              </w:rPr>
              <w:t>Operating cash outflows for finance leases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23"/>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3"/>
              <w:spacing w:after="0"/>
              <w:rPr>
                <w:sz w:val="20"/>
                <w:szCs w:val="20"/>
                <w:color w:val="auto"/>
              </w:rPr>
            </w:pPr>
            <w:r>
              <w:rPr>
                <w:rFonts w:ascii="Arial" w:cs="Arial" w:eastAsia="Arial" w:hAnsi="Arial"/>
                <w:sz w:val="15"/>
                <w:szCs w:val="15"/>
                <w:color w:val="auto"/>
              </w:rPr>
              <w:t>60</w:t>
            </w:r>
          </w:p>
        </w:tc>
      </w:tr>
      <w:tr>
        <w:trPr>
          <w:trHeight w:val="203"/>
        </w:trPr>
        <w:tc>
          <w:tcPr>
            <w:tcW w:w="7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Financing cash outflows for finance leases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180</w:t>
            </w:r>
          </w:p>
        </w:tc>
      </w:tr>
      <w:tr>
        <w:trPr>
          <w:trHeight w:val="197"/>
        </w:trPr>
        <w:tc>
          <w:tcPr>
            <w:tcW w:w="7100" w:type="dxa"/>
            <w:vAlign w:val="bottom"/>
          </w:tcPr>
          <w:p>
            <w:pPr>
              <w:ind w:left="20"/>
              <w:spacing w:after="0"/>
              <w:rPr>
                <w:sz w:val="20"/>
                <w:szCs w:val="20"/>
                <w:color w:val="auto"/>
              </w:rPr>
            </w:pPr>
            <w:r>
              <w:rPr>
                <w:rFonts w:ascii="Arial" w:cs="Arial" w:eastAsia="Arial" w:hAnsi="Arial"/>
                <w:sz w:val="15"/>
                <w:szCs w:val="15"/>
                <w:color w:val="auto"/>
              </w:rPr>
              <w:t>Right-of-use assets obtained in exchange for new operating lease liabilities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23"/>
              <w:spacing w:after="0"/>
              <w:rPr>
                <w:sz w:val="20"/>
                <w:szCs w:val="20"/>
                <w:color w:val="auto"/>
              </w:rPr>
            </w:pPr>
            <w:r>
              <w:rPr>
                <w:rFonts w:ascii="Arial" w:cs="Arial" w:eastAsia="Arial" w:hAnsi="Arial"/>
                <w:sz w:val="15"/>
                <w:szCs w:val="15"/>
                <w:color w:val="auto"/>
              </w:rPr>
              <w:t>4,647</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3"/>
              <w:spacing w:after="0"/>
              <w:rPr>
                <w:sz w:val="20"/>
                <w:szCs w:val="20"/>
                <w:color w:val="auto"/>
              </w:rPr>
            </w:pPr>
            <w:r>
              <w:rPr>
                <w:rFonts w:ascii="Arial" w:cs="Arial" w:eastAsia="Arial" w:hAnsi="Arial"/>
                <w:sz w:val="15"/>
                <w:szCs w:val="15"/>
                <w:color w:val="auto"/>
              </w:rPr>
              <w:t>19,900</w:t>
            </w:r>
          </w:p>
        </w:tc>
      </w:tr>
      <w:tr>
        <w:trPr>
          <w:trHeight w:val="203"/>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Right-of-use assets obtained in exchange for new finance lease liabilities</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90</w:t>
            </w:r>
          </w:p>
        </w:tc>
      </w:tr>
      <w:tr>
        <w:trPr>
          <w:trHeight w:val="197"/>
        </w:trPr>
        <w:tc>
          <w:tcPr>
            <w:tcW w:w="7100" w:type="dxa"/>
            <w:vAlign w:val="bottom"/>
          </w:tcPr>
          <w:p>
            <w:pPr>
              <w:ind w:left="20"/>
              <w:spacing w:after="0"/>
              <w:rPr>
                <w:sz w:val="20"/>
                <w:szCs w:val="20"/>
                <w:color w:val="auto"/>
              </w:rPr>
            </w:pPr>
            <w:r>
              <w:rPr>
                <w:rFonts w:ascii="Arial" w:cs="Arial" w:eastAsia="Arial" w:hAnsi="Arial"/>
                <w:sz w:val="15"/>
                <w:szCs w:val="15"/>
                <w:color w:val="auto"/>
              </w:rPr>
              <w:t>Weighted-average remaining lease term (in years)</w:t>
            </w: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7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Finance lease</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1.9 years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years</w:t>
            </w:r>
          </w:p>
        </w:tc>
      </w:tr>
      <w:tr>
        <w:trPr>
          <w:trHeight w:val="212"/>
        </w:trPr>
        <w:tc>
          <w:tcPr>
            <w:tcW w:w="7100" w:type="dxa"/>
            <w:vAlign w:val="bottom"/>
          </w:tcPr>
          <w:p>
            <w:pPr>
              <w:ind w:left="320"/>
              <w:spacing w:after="0"/>
              <w:rPr>
                <w:sz w:val="20"/>
                <w:szCs w:val="20"/>
                <w:color w:val="auto"/>
              </w:rPr>
            </w:pPr>
            <w:r>
              <w:rPr>
                <w:rFonts w:ascii="Arial" w:cs="Arial" w:eastAsia="Arial" w:hAnsi="Arial"/>
                <w:sz w:val="15"/>
                <w:szCs w:val="15"/>
                <w:color w:val="auto"/>
              </w:rPr>
              <w:t>Operating lease</w:t>
            </w:r>
          </w:p>
        </w:tc>
        <w:tc>
          <w:tcPr>
            <w:tcW w:w="10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auto"/>
              </w:rPr>
              <w:t>5.9 years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 years</w:t>
            </w:r>
          </w:p>
        </w:tc>
      </w:tr>
      <w:tr>
        <w:trPr>
          <w:trHeight w:val="200"/>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discount rate</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7"/>
        </w:trPr>
        <w:tc>
          <w:tcPr>
            <w:tcW w:w="7100" w:type="dxa"/>
            <w:vAlign w:val="bottom"/>
          </w:tcPr>
          <w:p>
            <w:pPr>
              <w:ind w:left="320"/>
              <w:spacing w:after="0"/>
              <w:rPr>
                <w:sz w:val="20"/>
                <w:szCs w:val="20"/>
                <w:color w:val="auto"/>
              </w:rPr>
            </w:pPr>
            <w:r>
              <w:rPr>
                <w:rFonts w:ascii="Arial" w:cs="Arial" w:eastAsia="Arial" w:hAnsi="Arial"/>
                <w:sz w:val="15"/>
                <w:szCs w:val="15"/>
                <w:color w:val="auto"/>
              </w:rPr>
              <w:t>Finance lease</w:t>
            </w: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14.3 %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10.3 %</w:t>
            </w:r>
          </w:p>
        </w:tc>
      </w:tr>
      <w:tr>
        <w:trPr>
          <w:trHeight w:val="203"/>
        </w:trPr>
        <w:tc>
          <w:tcPr>
            <w:tcW w:w="71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Operating lease</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7.5 %</w:t>
            </w:r>
          </w:p>
        </w:tc>
      </w:tr>
    </w:tbl>
    <w:p>
      <w:pPr>
        <w:spacing w:after="0" w:line="362" w:lineRule="exact"/>
        <w:rPr>
          <w:sz w:val="20"/>
          <w:szCs w:val="20"/>
          <w:color w:val="auto"/>
        </w:rPr>
      </w:pPr>
    </w:p>
    <w:p>
      <w:pPr>
        <w:ind w:firstLine="375"/>
        <w:spacing w:after="0" w:line="237" w:lineRule="auto"/>
        <w:rPr>
          <w:sz w:val="20"/>
          <w:szCs w:val="20"/>
          <w:color w:val="auto"/>
        </w:rPr>
      </w:pPr>
      <w:r>
        <w:rPr>
          <w:rFonts w:ascii="Arial" w:cs="Arial" w:eastAsia="Arial" w:hAnsi="Arial"/>
          <w:sz w:val="17"/>
          <w:szCs w:val="17"/>
          <w:color w:val="auto"/>
        </w:rPr>
        <w:t>The Company determines the incremental borrowing rate by adjusting the benchmark reference rates, with appropriate financing spreads applicable to the respective geographies where the leases were entered and lease specific adjustments for the effects of collateral.</w:t>
      </w:r>
    </w:p>
    <w:p>
      <w:pPr>
        <w:spacing w:after="0" w:line="188" w:lineRule="exact"/>
        <w:rPr>
          <w:sz w:val="20"/>
          <w:szCs w:val="20"/>
          <w:color w:val="auto"/>
        </w:rPr>
      </w:pPr>
    </w:p>
    <w:p>
      <w:pPr>
        <w:ind w:firstLine="375"/>
        <w:spacing w:after="0" w:line="237" w:lineRule="auto"/>
        <w:rPr>
          <w:sz w:val="20"/>
          <w:szCs w:val="20"/>
          <w:color w:val="auto"/>
        </w:rPr>
      </w:pPr>
      <w:r>
        <w:rPr>
          <w:rFonts w:ascii="Arial" w:cs="Arial" w:eastAsia="Arial" w:hAnsi="Arial"/>
          <w:sz w:val="17"/>
          <w:szCs w:val="17"/>
          <w:color w:val="auto"/>
        </w:rPr>
        <w:t>During the nine months ended September 30, 2021 and year ended December 31, 2020, the Company modified certain of its operating leases, resulting in a reduction of its lease liabilities by $1,022 and $3,143 respectively, with a corresponding reduction in ROU assets.</w:t>
      </w:r>
    </w:p>
    <w:p>
      <w:pPr>
        <w:spacing w:after="0" w:line="188" w:lineRule="exact"/>
        <w:rPr>
          <w:sz w:val="20"/>
          <w:szCs w:val="20"/>
          <w:color w:val="auto"/>
        </w:rPr>
      </w:pPr>
    </w:p>
    <w:p>
      <w:pPr>
        <w:ind w:firstLine="375"/>
        <w:spacing w:after="0" w:line="237" w:lineRule="auto"/>
        <w:rPr>
          <w:sz w:val="20"/>
          <w:szCs w:val="20"/>
          <w:color w:val="auto"/>
        </w:rPr>
      </w:pPr>
      <w:r>
        <w:rPr>
          <w:rFonts w:ascii="Arial" w:cs="Arial" w:eastAsia="Arial" w:hAnsi="Arial"/>
          <w:sz w:val="17"/>
          <w:szCs w:val="17"/>
          <w:color w:val="auto"/>
        </w:rPr>
        <w:t>As of September 30, 2021, the Company did not have any significant leases that have not yet commenced but that create significant rights and obligations for the Company.</w:t>
      </w:r>
    </w:p>
    <w:p>
      <w:pPr>
        <w:spacing w:after="0" w:line="38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Maturities of lease liabilities as of September 30, 2021 were as follows:</w:t>
      </w: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Arial" w:cs="Arial" w:eastAsia="Arial" w:hAnsi="Arial"/>
                <w:sz w:val="15"/>
                <w:szCs w:val="15"/>
                <w:b w:val="1"/>
                <w:bCs w:val="1"/>
                <w:color w:val="auto"/>
              </w:rPr>
              <w:t>Operating Leases</w:t>
            </w:r>
          </w:p>
        </w:tc>
        <w:tc>
          <w:tcPr>
            <w:tcW w:w="240" w:type="dxa"/>
            <w:vAlign w:val="bottom"/>
          </w:tcPr>
          <w:p>
            <w:pPr>
              <w:spacing w:after="0"/>
              <w:rPr>
                <w:sz w:val="17"/>
                <w:szCs w:val="17"/>
                <w:color w:val="auto"/>
              </w:rPr>
            </w:pPr>
          </w:p>
        </w:tc>
        <w:tc>
          <w:tcPr>
            <w:tcW w:w="1500" w:type="dxa"/>
            <w:vAlign w:val="bottom"/>
          </w:tcPr>
          <w:p>
            <w:pPr>
              <w:jc w:val="right"/>
              <w:ind w:right="324"/>
              <w:spacing w:after="0"/>
              <w:rPr>
                <w:sz w:val="20"/>
                <w:szCs w:val="20"/>
                <w:color w:val="auto"/>
              </w:rPr>
            </w:pPr>
            <w:r>
              <w:rPr>
                <w:rFonts w:ascii="Arial" w:cs="Arial" w:eastAsia="Arial" w:hAnsi="Arial"/>
                <w:sz w:val="15"/>
                <w:szCs w:val="15"/>
                <w:b w:val="1"/>
                <w:bCs w:val="1"/>
                <w:color w:val="auto"/>
                <w:w w:val="96"/>
              </w:rPr>
              <w:t>Finance Leases</w:t>
            </w:r>
          </w:p>
        </w:tc>
      </w:tr>
      <w:tr>
        <w:trPr>
          <w:trHeight w:val="195"/>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 (October 1 - December 31)</w:t>
            </w: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6,032</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71</w:t>
            </w:r>
          </w:p>
        </w:tc>
      </w:tr>
      <w:tr>
        <w:trPr>
          <w:trHeight w:val="197"/>
        </w:trPr>
        <w:tc>
          <w:tcPr>
            <w:tcW w:w="6760" w:type="dxa"/>
            <w:vAlign w:val="bottom"/>
          </w:tcPr>
          <w:p>
            <w:pPr>
              <w:ind w:left="20"/>
              <w:spacing w:after="0"/>
              <w:rPr>
                <w:sz w:val="20"/>
                <w:szCs w:val="20"/>
                <w:color w:val="auto"/>
              </w:rPr>
            </w:pPr>
            <w:r>
              <w:rPr>
                <w:rFonts w:ascii="Arial" w:cs="Arial" w:eastAsia="Arial" w:hAnsi="Arial"/>
                <w:sz w:val="15"/>
                <w:szCs w:val="15"/>
                <w:color w:val="auto"/>
              </w:rPr>
              <w:t>2022</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24,371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190</w:t>
            </w:r>
          </w:p>
        </w:tc>
      </w:t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145</w:t>
            </w:r>
          </w:p>
        </w:tc>
      </w:tr>
      <w:tr>
        <w:trPr>
          <w:trHeight w:val="197"/>
        </w:trPr>
        <w:tc>
          <w:tcPr>
            <w:tcW w:w="6760" w:type="dxa"/>
            <w:vAlign w:val="bottom"/>
          </w:tcPr>
          <w:p>
            <w:pPr>
              <w:ind w:left="20"/>
              <w:spacing w:after="0"/>
              <w:rPr>
                <w:sz w:val="20"/>
                <w:szCs w:val="20"/>
                <w:color w:val="auto"/>
              </w:rPr>
            </w:pPr>
            <w:r>
              <w:rPr>
                <w:rFonts w:ascii="Arial" w:cs="Arial" w:eastAsia="Arial" w:hAnsi="Arial"/>
                <w:sz w:val="15"/>
                <w:szCs w:val="15"/>
                <w:color w:val="auto"/>
              </w:rPr>
              <w:t>2024</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17,643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69</w:t>
            </w:r>
          </w:p>
        </w:tc>
      </w:t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w:t>
            </w:r>
          </w:p>
        </w:tc>
      </w:tr>
      <w:tr>
        <w:trPr>
          <w:trHeight w:val="197"/>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2026 and 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34,698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w:t>
            </w:r>
          </w:p>
        </w:tc>
      </w:tr>
      <w:tr>
        <w:trPr>
          <w:trHeight w:val="195"/>
        </w:trPr>
        <w:tc>
          <w:tcPr>
            <w:tcW w:w="6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lease payments</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116,562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523</w:t>
            </w:r>
          </w:p>
        </w:tc>
      </w:tr>
      <w:tr>
        <w:trPr>
          <w:trHeight w:val="212"/>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Imputed interest</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24,283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98</w:t>
            </w:r>
          </w:p>
        </w:tc>
      </w:tr>
      <w:tr>
        <w:trPr>
          <w:trHeight w:val="21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Present value of lease liabilities</w:t>
            </w: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92,279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Maturities of lease liabilities as of December 31, 2020 were as follows: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5"/>
                <w:szCs w:val="15"/>
                <w:b w:val="1"/>
                <w:bCs w:val="1"/>
                <w:color w:val="auto"/>
              </w:rPr>
              <w:t>Operating Leases</w:t>
            </w:r>
          </w:p>
        </w:tc>
        <w:tc>
          <w:tcPr>
            <w:tcW w:w="260" w:type="dxa"/>
            <w:vAlign w:val="bottom"/>
          </w:tcPr>
          <w:p>
            <w:pPr>
              <w:spacing w:after="0"/>
              <w:rPr>
                <w:sz w:val="17"/>
                <w:szCs w:val="17"/>
                <w:color w:val="auto"/>
              </w:rPr>
            </w:pPr>
          </w:p>
        </w:tc>
        <w:tc>
          <w:tcPr>
            <w:tcW w:w="1520" w:type="dxa"/>
            <w:vAlign w:val="bottom"/>
          </w:tcPr>
          <w:p>
            <w:pPr>
              <w:jc w:val="right"/>
              <w:ind w:right="325"/>
              <w:spacing w:after="0"/>
              <w:rPr>
                <w:sz w:val="20"/>
                <w:szCs w:val="20"/>
                <w:color w:val="auto"/>
              </w:rPr>
            </w:pPr>
            <w:r>
              <w:rPr>
                <w:rFonts w:ascii="Arial" w:cs="Arial" w:eastAsia="Arial" w:hAnsi="Arial"/>
                <w:sz w:val="15"/>
                <w:szCs w:val="15"/>
                <w:b w:val="1"/>
                <w:bCs w:val="1"/>
                <w:color w:val="auto"/>
                <w:w w:val="98"/>
              </w:rPr>
              <w:t>Finance Leases</w:t>
            </w:r>
          </w:p>
        </w:tc>
      </w:tr>
      <w:tr>
        <w:trPr>
          <w:trHeight w:val="195"/>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25,829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w:t>
            </w:r>
          </w:p>
        </w:tc>
      </w:tr>
      <w:tr>
        <w:trPr>
          <w:trHeight w:val="197"/>
        </w:trPr>
        <w:tc>
          <w:tcPr>
            <w:tcW w:w="6520" w:type="dxa"/>
            <w:vAlign w:val="bottom"/>
          </w:tcPr>
          <w:p>
            <w:pPr>
              <w:ind w:left="20"/>
              <w:spacing w:after="0"/>
              <w:rPr>
                <w:sz w:val="20"/>
                <w:szCs w:val="20"/>
                <w:color w:val="auto"/>
              </w:rPr>
            </w:pPr>
            <w:r>
              <w:rPr>
                <w:rFonts w:ascii="Arial" w:cs="Arial" w:eastAsia="Arial" w:hAnsi="Arial"/>
                <w:sz w:val="15"/>
                <w:szCs w:val="15"/>
                <w:color w:val="auto"/>
              </w:rPr>
              <w:t>2022</w:t>
            </w:r>
          </w:p>
        </w:tc>
        <w:tc>
          <w:tcPr>
            <w:tcW w:w="2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24,316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194</w:t>
            </w:r>
          </w:p>
        </w:tc>
      </w:tr>
      <w:tr>
        <w:trPr>
          <w:trHeight w:val="203"/>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r>
      <w:tr>
        <w:trPr>
          <w:trHeight w:val="197"/>
        </w:trPr>
        <w:tc>
          <w:tcPr>
            <w:tcW w:w="6520" w:type="dxa"/>
            <w:vAlign w:val="bottom"/>
          </w:tcPr>
          <w:p>
            <w:pPr>
              <w:ind w:left="20"/>
              <w:spacing w:after="0"/>
              <w:rPr>
                <w:sz w:val="20"/>
                <w:szCs w:val="20"/>
                <w:color w:val="auto"/>
              </w:rPr>
            </w:pPr>
            <w:r>
              <w:rPr>
                <w:rFonts w:ascii="Arial" w:cs="Arial" w:eastAsia="Arial" w:hAnsi="Arial"/>
                <w:sz w:val="15"/>
                <w:szCs w:val="15"/>
                <w:color w:val="auto"/>
              </w:rPr>
              <w:t>2024</w:t>
            </w:r>
          </w:p>
        </w:tc>
        <w:tc>
          <w:tcPr>
            <w:tcW w:w="2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17,084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03"/>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19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2026 and thereafter</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34,334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lease payments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w:t>
            </w:r>
          </w:p>
        </w:tc>
      </w:tr>
      <w:tr>
        <w:trPr>
          <w:trHeight w:val="19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Imputed interest</w:t>
            </w: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29,610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r>
      <w:tr>
        <w:trPr>
          <w:trHeight w:val="21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Present value of lease liabilities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103,768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Income Taxes</w:t>
      </w:r>
    </w:p>
    <w:p>
      <w:pPr>
        <w:spacing w:after="0" w:line="221"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 The impact of COVID-19 on the economic environment is uncertain and may change the annual effective tax rate, which could impact tax expense.</w:t>
      </w:r>
    </w:p>
    <w:p>
      <w:pPr>
        <w:spacing w:after="0" w:line="190" w:lineRule="exact"/>
        <w:rPr>
          <w:sz w:val="20"/>
          <w:szCs w:val="20"/>
          <w:color w:val="auto"/>
        </w:rPr>
      </w:pPr>
    </w:p>
    <w:p>
      <w:pPr>
        <w:jc w:val="both"/>
        <w:ind w:firstLine="375"/>
        <w:spacing w:after="0" w:line="257" w:lineRule="auto"/>
        <w:rPr>
          <w:sz w:val="20"/>
          <w:szCs w:val="20"/>
          <w:color w:val="auto"/>
        </w:rPr>
      </w:pPr>
      <w:r>
        <w:rPr>
          <w:rFonts w:ascii="Arial" w:cs="Arial" w:eastAsia="Arial" w:hAnsi="Arial"/>
          <w:sz w:val="15"/>
          <w:szCs w:val="15"/>
          <w:color w:val="auto"/>
        </w:rPr>
        <w:t>The Company's effective tax rate decreased from 24.3% during the three months ended September 30, 2020 to 13.7% during the three months ended September 30, 2021. The Company recorded income tax expense of $4,196 and $8,490 for the three months ended September 30, 2021 and 2020, respectively. The decrease in income tax expense was primarily a result of (i) the recording of a one-time deferred tax benefit of $2,400 on settlement of the Notes during the three months ended September 30, 2021, (ii) the recording of excess tax benefits related to stock awards of $528 pursuant to ASU No. 2016-09 during the three months ended September 30, 2021, and (iii) lower profit during the three months ended September 30, 2021, compared to the three months ended September 30, 2020.</w:t>
      </w:r>
    </w:p>
    <w:p>
      <w:pPr>
        <w:spacing w:after="0" w:line="175" w:lineRule="exact"/>
        <w:rPr>
          <w:sz w:val="20"/>
          <w:szCs w:val="20"/>
          <w:color w:val="auto"/>
        </w:rPr>
      </w:pPr>
    </w:p>
    <w:p>
      <w:pPr>
        <w:jc w:val="both"/>
        <w:ind w:firstLine="412"/>
        <w:spacing w:after="0" w:line="234" w:lineRule="auto"/>
        <w:rPr>
          <w:sz w:val="20"/>
          <w:szCs w:val="20"/>
          <w:color w:val="auto"/>
        </w:rPr>
      </w:pPr>
      <w:r>
        <w:rPr>
          <w:rFonts w:ascii="Arial" w:cs="Arial" w:eastAsia="Arial" w:hAnsi="Arial"/>
          <w:sz w:val="16"/>
          <w:szCs w:val="16"/>
          <w:color w:val="auto"/>
        </w:rPr>
        <w:t>The Company's effective tax rate decreased from 24.3% during the nine months ended September 30, 2020 to 20.3% during the nine months ended September 30, 2021. The Company recorded income tax expense of $22,019 and $18,416 for the nine months ended September 30, 2021 and 2020, respectively. The increase in the income tax expense was primarily a result of higher profit during the nine months ended September 30, 2021, compared to the nine months ended September 30, 2020, and the recording of higher excess tax benefits related to stock awards of $1,874 pursuant to ASU No. 2016-09 during the nine months ended September 30, 2020, compared to $1,556 during the nine months ended September 30, 2021, partially offset by (i) the recording of a one-time deferred tax benefit of $2,400 on settlement of the Notes during the nine months ended September 30, 2021, and (ii) the recording of a one-time tax expense of $1,320 due to election of a new tax regime, during the nine months ended September 30, 2020, for two of the Company's Indian subsidiaries that provides for a lower tax rate on earnings in exchange for foregoing certain tax credits, including minimum alternative tax credits.</w:t>
      </w:r>
    </w:p>
    <w:p>
      <w:pPr>
        <w:spacing w:after="0" w:line="188"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5"/>
          <w:szCs w:val="15"/>
          <w:color w:val="auto"/>
        </w:rPr>
        <w:t>During the three months ended September 30, 2021, the Company repatriated to the United States $17,000 (net of $908 withholding taxes) from India. During the nine months ended September 30, 2021, the Company repatriated to the United States $66,000 (net of $3,494 withholding taxes) from India and $42,500 (net of $7,494 withholding taxes) from the Philippines. As of September 30, 2021, the Company accrued withholding taxes of $10,988 associated with these distributions and increased the Company’s deferred tax assets. These distributions do not constitute a change in the Company’s permanent reinvestment assertion. The Company bases its decision to continue to indefinitely reinvest earnings in India and the Philippines on its estimate of the working capital required to support its operations in these geographies and periodically reviews its capital initiatives to support and expand the Company’s global operations, as well as an economically viable rate of return on its investments made in India and the Philippines as compared to those made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Income tax (deferred) recognized in “Other comprehensive income / (loss)” were as follows: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60" w:type="dxa"/>
            <w:vAlign w:val="bottom"/>
            <w:shd w:val="clear" w:color="auto" w:fill="CCEEFF"/>
          </w:tcPr>
          <w:p>
            <w:pPr>
              <w:spacing w:after="0"/>
              <w:rPr>
                <w:sz w:val="17"/>
                <w:szCs w:val="17"/>
                <w:color w:val="auto"/>
              </w:rPr>
            </w:pPr>
          </w:p>
        </w:tc>
        <w:tc>
          <w:tcPr>
            <w:tcW w:w="3220" w:type="dxa"/>
            <w:vAlign w:val="bottom"/>
            <w:gridSpan w:val="6"/>
            <w:shd w:val="clear" w:color="auto" w:fill="CCEEFF"/>
          </w:tcPr>
          <w:p>
            <w:pPr>
              <w:ind w:left="440"/>
              <w:spacing w:after="0"/>
              <w:rPr>
                <w:sz w:val="20"/>
                <w:szCs w:val="20"/>
                <w:color w:val="auto"/>
              </w:rPr>
            </w:pPr>
            <w:r>
              <w:rPr>
                <w:rFonts w:ascii="Arial" w:cs="Arial" w:eastAsia="Arial" w:hAnsi="Arial"/>
                <w:sz w:val="15"/>
                <w:szCs w:val="15"/>
                <w:b w:val="1"/>
                <w:bCs w:val="1"/>
                <w:color w:val="auto"/>
              </w:rPr>
              <w:t>Three months ended September 30,</w:t>
            </w:r>
          </w:p>
        </w:tc>
        <w:tc>
          <w:tcPr>
            <w:tcW w:w="340" w:type="dxa"/>
            <w:vAlign w:val="bottom"/>
            <w:shd w:val="clear" w:color="auto" w:fill="CCEEFF"/>
          </w:tcPr>
          <w:p>
            <w:pPr>
              <w:spacing w:after="0"/>
              <w:rPr>
                <w:sz w:val="17"/>
                <w:szCs w:val="17"/>
                <w:color w:val="auto"/>
              </w:rPr>
            </w:pPr>
          </w:p>
        </w:tc>
        <w:tc>
          <w:tcPr>
            <w:tcW w:w="3020" w:type="dxa"/>
            <w:vAlign w:val="bottom"/>
            <w:gridSpan w:val="4"/>
            <w:shd w:val="clear" w:color="auto" w:fill="CCEEFF"/>
          </w:tcPr>
          <w:p>
            <w:pPr>
              <w:jc w:val="right"/>
              <w:ind w:right="498"/>
              <w:spacing w:after="0"/>
              <w:rPr>
                <w:sz w:val="20"/>
                <w:szCs w:val="20"/>
                <w:color w:val="auto"/>
              </w:rPr>
            </w:pPr>
            <w:r>
              <w:rPr>
                <w:rFonts w:ascii="Arial" w:cs="Arial" w:eastAsia="Arial" w:hAnsi="Arial"/>
                <w:sz w:val="15"/>
                <w:szCs w:val="15"/>
                <w:b w:val="1"/>
                <w:bCs w:val="1"/>
                <w:color w:val="auto"/>
                <w:w w:val="98"/>
              </w:rPr>
              <w:t>Nine months ended September 30,</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taxes benefit / (expense) recognized on:</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Arial" w:cs="Arial" w:eastAsia="Arial" w:hAnsi="Arial"/>
                <w:sz w:val="17"/>
                <w:szCs w:val="17"/>
                <w:color w:val="auto"/>
              </w:rPr>
              <w:t>Unrealized loss on cash flow hedges</w:t>
            </w:r>
          </w:p>
        </w:tc>
        <w:tc>
          <w:tcPr>
            <w:tcW w:w="980" w:type="dxa"/>
            <w:vAlign w:val="bottom"/>
          </w:tcPr>
          <w:p>
            <w:pPr>
              <w:jc w:val="right"/>
              <w:ind w:right="801"/>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(2,728)</w:t>
            </w:r>
          </w:p>
        </w:tc>
        <w:tc>
          <w:tcPr>
            <w:tcW w:w="8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(1,201)</w:t>
            </w:r>
          </w:p>
        </w:tc>
        <w:tc>
          <w:tcPr>
            <w:tcW w:w="8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adjustment for cash flow hedges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Arial" w:cs="Arial" w:eastAsia="Arial" w:hAnsi="Arial"/>
                <w:sz w:val="17"/>
                <w:szCs w:val="17"/>
                <w:color w:val="auto"/>
              </w:rPr>
              <w:t>Reclassification adjustment for retirement benefits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tax rate changes on retirement benefits</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currency translation gain/(loss)</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2,142</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Total income tax benefit / (expense) recognized in other</w:t>
            </w:r>
          </w:p>
        </w:tc>
        <w:tc>
          <w:tcPr>
            <w:tcW w:w="980" w:type="dxa"/>
            <w:vAlign w:val="bottom"/>
            <w:vMerge w:val="restart"/>
            <w:shd w:val="clear" w:color="auto" w:fill="CCEEFF"/>
          </w:tcPr>
          <w:p>
            <w:pPr>
              <w:jc w:val="right"/>
              <w:ind w:right="801"/>
              <w:spacing w:after="0"/>
              <w:rPr>
                <w:sz w:val="20"/>
                <w:szCs w:val="20"/>
                <w:color w:val="auto"/>
              </w:rPr>
            </w:pPr>
            <w:r>
              <w:rPr>
                <w:rFonts w:ascii="Arial" w:cs="Arial" w:eastAsia="Arial" w:hAnsi="Arial"/>
                <w:sz w:val="17"/>
                <w:szCs w:val="17"/>
                <w:b w:val="1"/>
                <w:bCs w:val="1"/>
                <w:color w:val="auto"/>
                <w:w w:val="84"/>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(4,956)</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1,690</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1,689</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b w:val="1"/>
                <w:bCs w:val="1"/>
                <w:color w:val="auto"/>
              </w:rPr>
              <w:t>comprehensive income / (loss)</w:t>
            </w: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Stock-Based Compensation</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109"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4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8"/>
              </w:rPr>
              <w:t>Three months ended September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3"/>
                <w:szCs w:val="13"/>
                <w:b w:val="1"/>
                <w:bCs w:val="1"/>
                <w:color w:val="auto"/>
                <w:w w:val="99"/>
              </w:rPr>
              <w:t>Nine months ended September 30,</w:t>
            </w:r>
          </w:p>
        </w:tc>
      </w:tr>
      <w:tr>
        <w:trPr>
          <w:trHeight w:val="171"/>
        </w:trPr>
        <w:tc>
          <w:tcPr>
            <w:tcW w:w="4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2020</w:t>
            </w:r>
          </w:p>
        </w:tc>
      </w:tr>
      <w:tr>
        <w:trPr>
          <w:trHeight w:val="206"/>
        </w:trPr>
        <w:tc>
          <w:tcPr>
            <w:tcW w:w="4300" w:type="dxa"/>
            <w:vAlign w:val="bottom"/>
            <w:shd w:val="clear" w:color="auto" w:fill="CCEEFF"/>
          </w:tcPr>
          <w:p>
            <w:pPr>
              <w:ind w:left="380"/>
              <w:spacing w:after="0" w:line="194" w:lineRule="exact"/>
              <w:rPr>
                <w:sz w:val="20"/>
                <w:szCs w:val="20"/>
                <w:color w:val="auto"/>
              </w:rPr>
            </w:pPr>
            <w:r>
              <w:rPr>
                <w:rFonts w:ascii="Arial" w:cs="Arial" w:eastAsia="Arial" w:hAnsi="Arial"/>
                <w:sz w:val="17"/>
                <w:szCs w:val="17"/>
                <w:color w:val="auto"/>
              </w:rPr>
              <w:t>Cost of revenues</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82"/>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1,723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4,765</w:t>
            </w:r>
          </w:p>
        </w:tc>
      </w:tr>
      <w:tr>
        <w:trPr>
          <w:trHeight w:val="212"/>
        </w:trPr>
        <w:tc>
          <w:tcPr>
            <w:tcW w:w="4300" w:type="dxa"/>
            <w:vAlign w:val="bottom"/>
          </w:tcPr>
          <w:p>
            <w:pPr>
              <w:ind w:left="380"/>
              <w:spacing w:after="0"/>
              <w:rPr>
                <w:sz w:val="20"/>
                <w:szCs w:val="20"/>
                <w:color w:val="auto"/>
              </w:rPr>
            </w:pPr>
            <w:r>
              <w:rPr>
                <w:rFonts w:ascii="Arial" w:cs="Arial" w:eastAsia="Arial" w:hAnsi="Arial"/>
                <w:sz w:val="17"/>
                <w:szCs w:val="17"/>
                <w:color w:val="auto"/>
              </w:rPr>
              <w:t>General and administrative expenses</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3,358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12,337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8,038</w:t>
            </w:r>
          </w:p>
        </w:tc>
      </w:tr>
      <w:tr>
        <w:trPr>
          <w:trHeight w:val="212"/>
        </w:trPr>
        <w:tc>
          <w:tcPr>
            <w:tcW w:w="43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Selling and marketing expenses</w:t>
            </w:r>
          </w:p>
        </w:tc>
        <w:tc>
          <w:tcPr>
            <w:tcW w:w="6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4,265</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3,265</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10,871</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8,047</w:t>
            </w:r>
          </w:p>
        </w:tc>
      </w:tr>
      <w:tr>
        <w:trPr>
          <w:trHeight w:val="205"/>
        </w:trPr>
        <w:tc>
          <w:tcPr>
            <w:tcW w:w="4300" w:type="dxa"/>
            <w:vAlign w:val="bottom"/>
          </w:tcPr>
          <w:p>
            <w:pPr>
              <w:ind w:left="380"/>
              <w:spacing w:after="0" w:line="193" w:lineRule="exact"/>
              <w:rPr>
                <w:sz w:val="20"/>
                <w:szCs w:val="20"/>
                <w:color w:val="auto"/>
              </w:rPr>
            </w:pPr>
            <w:r>
              <w:rPr>
                <w:rFonts w:ascii="Arial" w:cs="Arial" w:eastAsia="Arial" w:hAnsi="Arial"/>
                <w:sz w:val="17"/>
                <w:szCs w:val="17"/>
                <w:color w:val="auto"/>
              </w:rPr>
              <w:t>Total</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10,894</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582"/>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8,346</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28,796</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20,850</w:t>
            </w:r>
          </w:p>
        </w:tc>
      </w:tr>
      <w:tr>
        <w:trPr>
          <w:trHeight w:val="20"/>
        </w:trPr>
        <w:tc>
          <w:tcPr>
            <w:tcW w:w="4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September 30, 2021, the Company had 1,732,630 shares available for grant under the 2018 Omnibus Incentive Plan.</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Stock Options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 option activity under the Company’s stock-based compensation plans is shown below:</w:t>
      </w:r>
    </w:p>
    <w:p>
      <w:pPr>
        <w:spacing w:after="0" w:line="19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Weighted-Average</w:t>
            </w:r>
          </w:p>
        </w:tc>
        <w:tc>
          <w:tcPr>
            <w:tcW w:w="22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0"/>
              </w:rPr>
              <w:t>Aggregate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Weighted-Average</w:t>
            </w:r>
          </w:p>
        </w:tc>
        <w:tc>
          <w:tcPr>
            <w:tcW w:w="0" w:type="dxa"/>
            <w:vAlign w:val="bottom"/>
          </w:tcPr>
          <w:p>
            <w:pPr>
              <w:spacing w:after="0"/>
              <w:rPr>
                <w:sz w:val="1"/>
                <w:szCs w:val="1"/>
                <w:color w:val="auto"/>
              </w:rPr>
            </w:pPr>
          </w:p>
        </w:tc>
      </w:tr>
      <w:tr>
        <w:trPr>
          <w:trHeight w:val="62"/>
        </w:trPr>
        <w:tc>
          <w:tcPr>
            <w:tcW w:w="4880" w:type="dxa"/>
            <w:vAlign w:val="bottom"/>
          </w:tcPr>
          <w:p>
            <w:pPr>
              <w:spacing w:after="0"/>
              <w:rPr>
                <w:sz w:val="5"/>
                <w:szCs w:val="5"/>
                <w:color w:val="auto"/>
              </w:rPr>
            </w:pPr>
          </w:p>
        </w:tc>
        <w:tc>
          <w:tcPr>
            <w:tcW w:w="1360" w:type="dxa"/>
            <w:vAlign w:val="bottom"/>
            <w:gridSpan w:val="2"/>
            <w:vMerge w:val="restart"/>
          </w:tcPr>
          <w:p>
            <w:pPr>
              <w:jc w:val="center"/>
              <w:ind w:right="100"/>
              <w:spacing w:after="0" w:line="125" w:lineRule="exact"/>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vMerge w:val="restart"/>
          </w:tcPr>
          <w:p>
            <w:pPr>
              <w:jc w:val="center"/>
              <w:spacing w:after="0" w:line="125"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62"/>
        </w:trPr>
        <w:tc>
          <w:tcPr>
            <w:tcW w:w="48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220"/>
              <w:spacing w:after="0" w:line="125" w:lineRule="exact"/>
              <w:rPr>
                <w:sz w:val="20"/>
                <w:szCs w:val="20"/>
                <w:color w:val="auto"/>
              </w:rPr>
            </w:pPr>
            <w:r>
              <w:rPr>
                <w:rFonts w:ascii="Arial" w:cs="Arial" w:eastAsia="Arial" w:hAnsi="Arial"/>
                <w:sz w:val="13"/>
                <w:szCs w:val="13"/>
                <w:b w:val="1"/>
                <w:bCs w:val="1"/>
                <w:color w:val="auto"/>
                <w:w w:val="89"/>
              </w:rPr>
              <w:t>Exercise</w:t>
            </w:r>
          </w:p>
        </w:tc>
        <w:tc>
          <w:tcPr>
            <w:tcW w:w="220" w:type="dxa"/>
            <w:vAlign w:val="bottom"/>
          </w:tcPr>
          <w:p>
            <w:pPr>
              <w:spacing w:after="0"/>
              <w:rPr>
                <w:sz w:val="5"/>
                <w:szCs w:val="5"/>
                <w:color w:val="auto"/>
              </w:rPr>
            </w:pPr>
          </w:p>
        </w:tc>
        <w:tc>
          <w:tcPr>
            <w:tcW w:w="1160" w:type="dxa"/>
            <w:vAlign w:val="bottom"/>
            <w:gridSpan w:val="2"/>
            <w:vMerge w:val="restart"/>
          </w:tcPr>
          <w:p>
            <w:pPr>
              <w:jc w:val="center"/>
              <w:ind w:right="320"/>
              <w:spacing w:after="0" w:line="125" w:lineRule="exact"/>
              <w:rPr>
                <w:sz w:val="20"/>
                <w:szCs w:val="20"/>
                <w:color w:val="auto"/>
              </w:rPr>
            </w:pPr>
            <w:r>
              <w:rPr>
                <w:rFonts w:ascii="Arial" w:cs="Arial" w:eastAsia="Arial" w:hAnsi="Arial"/>
                <w:sz w:val="13"/>
                <w:szCs w:val="13"/>
                <w:b w:val="1"/>
                <w:bCs w:val="1"/>
                <w:color w:val="auto"/>
                <w:w w:val="94"/>
              </w:rPr>
              <w:t>Intrinsic</w:t>
            </w: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880" w:type="dxa"/>
            <w:vAlign w:val="bottom"/>
          </w:tcPr>
          <w:p>
            <w:pPr>
              <w:spacing w:after="0"/>
              <w:rPr>
                <w:sz w:val="5"/>
                <w:szCs w:val="5"/>
                <w:color w:val="auto"/>
              </w:rPr>
            </w:pPr>
          </w:p>
        </w:tc>
        <w:tc>
          <w:tcPr>
            <w:tcW w:w="1360" w:type="dxa"/>
            <w:vAlign w:val="bottom"/>
            <w:gridSpan w:val="2"/>
            <w:vMerge w:val="restart"/>
          </w:tcPr>
          <w:p>
            <w:pPr>
              <w:jc w:val="center"/>
              <w:ind w:right="100"/>
              <w:spacing w:after="0" w:line="125" w:lineRule="exact"/>
              <w:rPr>
                <w:sz w:val="20"/>
                <w:szCs w:val="20"/>
                <w:color w:val="auto"/>
              </w:rPr>
            </w:pPr>
            <w:r>
              <w:rPr>
                <w:rFonts w:ascii="Arial" w:cs="Arial" w:eastAsia="Arial" w:hAnsi="Arial"/>
                <w:sz w:val="13"/>
                <w:szCs w:val="13"/>
                <w:b w:val="1"/>
                <w:bCs w:val="1"/>
                <w:color w:val="auto"/>
                <w:w w:val="93"/>
              </w:rPr>
              <w:t>Options</w:t>
            </w: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vMerge w:val="restart"/>
          </w:tcPr>
          <w:p>
            <w:pPr>
              <w:jc w:val="center"/>
              <w:spacing w:after="0" w:line="125" w:lineRule="exact"/>
              <w:rPr>
                <w:sz w:val="20"/>
                <w:szCs w:val="20"/>
                <w:color w:val="auto"/>
              </w:rPr>
            </w:pPr>
            <w:r>
              <w:rPr>
                <w:rFonts w:ascii="Arial" w:cs="Arial" w:eastAsia="Arial" w:hAnsi="Arial"/>
                <w:sz w:val="13"/>
                <w:szCs w:val="13"/>
                <w:b w:val="1"/>
                <w:bCs w:val="1"/>
                <w:color w:val="auto"/>
                <w:w w:val="96"/>
              </w:rPr>
              <w:t>Contractual</w:t>
            </w:r>
          </w:p>
        </w:tc>
        <w:tc>
          <w:tcPr>
            <w:tcW w:w="0" w:type="dxa"/>
            <w:vAlign w:val="bottom"/>
          </w:tcPr>
          <w:p>
            <w:pPr>
              <w:spacing w:after="0"/>
              <w:rPr>
                <w:sz w:val="1"/>
                <w:szCs w:val="1"/>
                <w:color w:val="auto"/>
              </w:rPr>
            </w:pPr>
          </w:p>
        </w:tc>
      </w:tr>
      <w:tr>
        <w:trPr>
          <w:trHeight w:val="62"/>
        </w:trPr>
        <w:tc>
          <w:tcPr>
            <w:tcW w:w="48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Price</w:t>
            </w:r>
          </w:p>
        </w:tc>
        <w:tc>
          <w:tcPr>
            <w:tcW w:w="220" w:type="dxa"/>
            <w:vAlign w:val="bottom"/>
          </w:tcPr>
          <w:p>
            <w:pPr>
              <w:spacing w:after="0"/>
              <w:rPr>
                <w:sz w:val="5"/>
                <w:szCs w:val="5"/>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2"/>
              </w:rPr>
              <w:t>Value</w:t>
            </w: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48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Life (Years)</w:t>
            </w:r>
          </w:p>
        </w:tc>
        <w:tc>
          <w:tcPr>
            <w:tcW w:w="0" w:type="dxa"/>
            <w:vAlign w:val="bottom"/>
          </w:tcPr>
          <w:p>
            <w:pPr>
              <w:spacing w:after="0"/>
              <w:rPr>
                <w:sz w:val="1"/>
                <w:szCs w:val="1"/>
                <w:color w:val="auto"/>
              </w:rPr>
            </w:pPr>
          </w:p>
        </w:tc>
      </w:tr>
      <w:tr>
        <w:trPr>
          <w:trHeight w:val="64"/>
        </w:trPr>
        <w:tc>
          <w:tcPr>
            <w:tcW w:w="48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Outstanding at December 31, 2020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1,866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ind w:left="1040"/>
              <w:spacing w:after="0"/>
              <w:rPr>
                <w:sz w:val="20"/>
                <w:szCs w:val="20"/>
                <w:color w:val="auto"/>
              </w:rPr>
            </w:pPr>
            <w:r>
              <w:rPr>
                <w:rFonts w:ascii="Arial" w:cs="Arial" w:eastAsia="Arial" w:hAnsi="Arial"/>
                <w:sz w:val="17"/>
                <w:szCs w:val="17"/>
                <w:color w:val="auto"/>
                <w:w w:val="84"/>
              </w:rPr>
              <w:t>1.9</w:t>
            </w:r>
          </w:p>
        </w:tc>
        <w:tc>
          <w:tcPr>
            <w:tcW w:w="0" w:type="dxa"/>
            <w:vAlign w:val="bottom"/>
          </w:tcPr>
          <w:p>
            <w:pPr>
              <w:spacing w:after="0"/>
              <w:rPr>
                <w:sz w:val="1"/>
                <w:szCs w:val="1"/>
                <w:color w:val="auto"/>
              </w:rPr>
            </w:pPr>
          </w:p>
        </w:tc>
      </w:tr>
      <w:tr>
        <w:trPr>
          <w:trHeight w:val="212"/>
        </w:trPr>
        <w:tc>
          <w:tcPr>
            <w:tcW w:w="4880" w:type="dxa"/>
            <w:vAlign w:val="bottom"/>
          </w:tcPr>
          <w:p>
            <w:pPr>
              <w:ind w:left="400"/>
              <w:spacing w:after="0"/>
              <w:rPr>
                <w:sz w:val="20"/>
                <w:szCs w:val="20"/>
                <w:color w:val="auto"/>
              </w:rPr>
            </w:pPr>
            <w:r>
              <w:rPr>
                <w:rFonts w:ascii="Arial" w:cs="Arial" w:eastAsia="Arial" w:hAnsi="Arial"/>
                <w:sz w:val="17"/>
                <w:szCs w:val="17"/>
                <w:color w:val="auto"/>
              </w:rPr>
              <w:t>Granted</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tcPr>
          <w:p>
            <w:pPr>
              <w:ind w:left="10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2,475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880" w:type="dxa"/>
            <w:vAlign w:val="bottom"/>
          </w:tcPr>
          <w:p>
            <w:pPr>
              <w:ind w:left="400"/>
              <w:spacing w:after="0"/>
              <w:rPr>
                <w:sz w:val="20"/>
                <w:szCs w:val="20"/>
                <w:color w:val="auto"/>
              </w:rPr>
            </w:pPr>
            <w:r>
              <w:rPr>
                <w:rFonts w:ascii="Arial" w:cs="Arial" w:eastAsia="Arial" w:hAnsi="Arial"/>
                <w:sz w:val="17"/>
                <w:szCs w:val="17"/>
                <w:color w:val="auto"/>
              </w:rPr>
              <w:t>Forfeited</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tcPr>
          <w:p>
            <w:pPr>
              <w:ind w:left="10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4880" w:type="dxa"/>
            <w:vAlign w:val="bottom"/>
            <w:tcBorders>
              <w:top w:val="single" w:sz="8" w:color="CCEEFF"/>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Outstanding at September 30,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295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60" w:type="dxa"/>
            <w:vAlign w:val="bottom"/>
            <w:tcBorders>
              <w:top w:val="single" w:sz="8" w:color="auto"/>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182"/>
        </w:trPr>
        <w:tc>
          <w:tcPr>
            <w:tcW w:w="4880" w:type="dxa"/>
            <w:vAlign w:val="bottom"/>
            <w:tcBorders>
              <w:top w:val="single" w:sz="8" w:color="CCEEFF"/>
            </w:tcBorders>
          </w:tcPr>
          <w:p>
            <w:pPr>
              <w:ind w:left="20"/>
              <w:spacing w:after="0" w:line="182" w:lineRule="exact"/>
              <w:rPr>
                <w:sz w:val="20"/>
                <w:szCs w:val="20"/>
                <w:color w:val="auto"/>
              </w:rPr>
            </w:pPr>
            <w:r>
              <w:rPr>
                <w:rFonts w:ascii="Arial" w:cs="Arial" w:eastAsia="Arial" w:hAnsi="Arial"/>
                <w:sz w:val="17"/>
                <w:szCs w:val="17"/>
                <w:color w:val="auto"/>
              </w:rPr>
              <w:t>Vested and exercisable at September 30, 2021</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b w:val="1"/>
                <w:bCs w:val="1"/>
                <w:color w:val="auto"/>
              </w:rPr>
              <w:t>3,093</w:t>
            </w:r>
          </w:p>
        </w:tc>
        <w:tc>
          <w:tcPr>
            <w:tcW w:w="10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b w:val="1"/>
                <w:bCs w:val="1"/>
                <w:color w:val="auto"/>
              </w:rPr>
              <w:t>27.62</w:t>
            </w:r>
          </w:p>
        </w:tc>
        <w:tc>
          <w:tcPr>
            <w:tcW w:w="10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37"/>
              <w:spacing w:after="0" w:line="182" w:lineRule="exact"/>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bottom w:val="single" w:sz="8" w:color="auto"/>
            </w:tcBorders>
          </w:tcPr>
          <w:p>
            <w:pPr>
              <w:jc w:val="right"/>
              <w:ind w:right="2"/>
              <w:spacing w:after="0" w:line="182" w:lineRule="exact"/>
              <w:rPr>
                <w:sz w:val="20"/>
                <w:szCs w:val="20"/>
                <w:color w:val="auto"/>
              </w:rPr>
            </w:pPr>
            <w:r>
              <w:rPr>
                <w:rFonts w:ascii="Arial" w:cs="Arial" w:eastAsia="Arial" w:hAnsi="Arial"/>
                <w:sz w:val="17"/>
                <w:szCs w:val="17"/>
                <w:b w:val="1"/>
                <w:bCs w:val="1"/>
                <w:color w:val="auto"/>
              </w:rPr>
              <w:t>295</w:t>
            </w:r>
          </w:p>
        </w:tc>
        <w:tc>
          <w:tcPr>
            <w:tcW w:w="100" w:type="dxa"/>
            <w:vAlign w:val="bottom"/>
            <w:tcBorders>
              <w:top w:val="single" w:sz="8" w:color="CCEEFF"/>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ind w:left="1040"/>
              <w:spacing w:after="0" w:line="182"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Restricted Stock Units</w:t>
      </w:r>
    </w:p>
    <w:p>
      <w:pPr>
        <w:spacing w:after="0" w:line="200" w:lineRule="exact"/>
        <w:rPr>
          <w:sz w:val="20"/>
          <w:szCs w:val="20"/>
          <w:color w:val="auto"/>
        </w:rPr>
      </w:pPr>
    </w:p>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Restricted stock unit activity under the Company’s stock-based compensation plans is shown below:</w:t>
      </w:r>
    </w:p>
    <w:p>
      <w:pPr>
        <w:spacing w:after="0" w:line="121"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594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902"/>
              <w:spacing w:after="0"/>
              <w:rPr>
                <w:sz w:val="20"/>
                <w:szCs w:val="20"/>
                <w:color w:val="auto"/>
              </w:rPr>
            </w:pPr>
            <w:r>
              <w:rPr>
                <w:rFonts w:ascii="Arial" w:cs="Arial" w:eastAsia="Arial" w:hAnsi="Arial"/>
                <w:sz w:val="13"/>
                <w:szCs w:val="13"/>
                <w:b w:val="1"/>
                <w:bCs w:val="1"/>
                <w:color w:val="auto"/>
                <w:w w:val="93"/>
              </w:rPr>
              <w:t>Restricted Stock</w:t>
            </w:r>
          </w:p>
        </w:tc>
        <w:tc>
          <w:tcPr>
            <w:tcW w:w="0" w:type="dxa"/>
            <w:vAlign w:val="bottom"/>
          </w:tcPr>
          <w:p>
            <w:pPr>
              <w:spacing w:after="0"/>
              <w:rPr>
                <w:sz w:val="1"/>
                <w:szCs w:val="1"/>
                <w:color w:val="auto"/>
              </w:rPr>
            </w:pPr>
          </w:p>
        </w:tc>
      </w:tr>
      <w:tr>
        <w:trPr>
          <w:trHeight w:val="122"/>
        </w:trPr>
        <w:tc>
          <w:tcPr>
            <w:tcW w:w="5940" w:type="dxa"/>
            <w:vAlign w:val="bottom"/>
          </w:tcPr>
          <w:p>
            <w:pPr>
              <w:spacing w:after="0"/>
              <w:rPr>
                <w:sz w:val="10"/>
                <w:szCs w:val="10"/>
                <w:color w:val="auto"/>
              </w:rPr>
            </w:pPr>
          </w:p>
        </w:tc>
        <w:tc>
          <w:tcPr>
            <w:tcW w:w="1300" w:type="dxa"/>
            <w:vAlign w:val="bottom"/>
            <w:vMerge w:val="restart"/>
          </w:tcPr>
          <w:p>
            <w:pPr>
              <w:jc w:val="right"/>
              <w:ind w:right="140"/>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tcPr>
          <w:p>
            <w:pPr>
              <w:jc w:val="right"/>
              <w:ind w:right="142"/>
              <w:spacing w:after="0" w:line="123" w:lineRule="exact"/>
              <w:rPr>
                <w:sz w:val="20"/>
                <w:szCs w:val="20"/>
                <w:color w:val="auto"/>
              </w:rPr>
            </w:pPr>
            <w:r>
              <w:rPr>
                <w:rFonts w:ascii="Arial" w:cs="Arial" w:eastAsia="Arial" w:hAnsi="Arial"/>
                <w:sz w:val="13"/>
                <w:szCs w:val="13"/>
                <w:b w:val="1"/>
                <w:bCs w:val="1"/>
                <w:color w:val="auto"/>
                <w:w w:val="93"/>
              </w:rPr>
              <w:t>Weighted Average</w:t>
            </w:r>
          </w:p>
        </w:tc>
        <w:tc>
          <w:tcPr>
            <w:tcW w:w="0" w:type="dxa"/>
            <w:vAlign w:val="bottom"/>
          </w:tcPr>
          <w:p>
            <w:pPr>
              <w:spacing w:after="0"/>
              <w:rPr>
                <w:sz w:val="1"/>
                <w:szCs w:val="1"/>
                <w:color w:val="auto"/>
              </w:rPr>
            </w:pPr>
          </w:p>
        </w:tc>
      </w:tr>
      <w:tr>
        <w:trPr>
          <w:trHeight w:val="102"/>
        </w:trPr>
        <w:tc>
          <w:tcPr>
            <w:tcW w:w="59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vMerge w:val="restart"/>
          </w:tcPr>
          <w:p>
            <w:pPr>
              <w:jc w:val="right"/>
              <w:ind w:right="542"/>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71"/>
        </w:trPr>
        <w:tc>
          <w:tcPr>
            <w:tcW w:w="5940" w:type="dxa"/>
            <w:vAlign w:val="bottom"/>
            <w:tcBorders>
              <w:bottom w:val="single" w:sz="8" w:color="CCEEFF"/>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ind w:left="380"/>
              <w:spacing w:after="0" w:line="194" w:lineRule="exact"/>
              <w:rPr>
                <w:sz w:val="20"/>
                <w:szCs w:val="20"/>
                <w:color w:val="auto"/>
              </w:rPr>
            </w:pPr>
            <w:r>
              <w:rPr>
                <w:rFonts w:ascii="Arial" w:cs="Arial" w:eastAsia="Arial" w:hAnsi="Arial"/>
                <w:sz w:val="17"/>
                <w:szCs w:val="17"/>
                <w:color w:val="auto"/>
              </w:rPr>
              <w:t>Outstanding at 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903,666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67.84</w:t>
            </w:r>
          </w:p>
        </w:tc>
        <w:tc>
          <w:tcPr>
            <w:tcW w:w="0" w:type="dxa"/>
            <w:vAlign w:val="bottom"/>
          </w:tcPr>
          <w:p>
            <w:pPr>
              <w:spacing w:after="0"/>
              <w:rPr>
                <w:sz w:val="1"/>
                <w:szCs w:val="1"/>
                <w:color w:val="auto"/>
              </w:rPr>
            </w:pPr>
          </w:p>
        </w:tc>
      </w:tr>
      <w:tr>
        <w:trPr>
          <w:trHeight w:val="212"/>
        </w:trPr>
        <w:tc>
          <w:tcPr>
            <w:tcW w:w="5940" w:type="dxa"/>
            <w:vAlign w:val="bottom"/>
          </w:tcPr>
          <w:p>
            <w:pPr>
              <w:ind w:left="760"/>
              <w:spacing w:after="0"/>
              <w:rPr>
                <w:sz w:val="20"/>
                <w:szCs w:val="20"/>
                <w:color w:val="auto"/>
              </w:rPr>
            </w:pPr>
            <w:r>
              <w:rPr>
                <w:rFonts w:ascii="Arial" w:cs="Arial" w:eastAsia="Arial" w:hAnsi="Arial"/>
                <w:sz w:val="17"/>
                <w:szCs w:val="17"/>
                <w:color w:val="auto"/>
              </w:rPr>
              <w:t>Granted</w:t>
            </w:r>
          </w:p>
        </w:tc>
        <w:tc>
          <w:tcPr>
            <w:tcW w:w="1300" w:type="dxa"/>
            <w:vAlign w:val="bottom"/>
          </w:tcPr>
          <w:p>
            <w:pPr>
              <w:jc w:val="right"/>
              <w:spacing w:after="0"/>
              <w:rPr>
                <w:sz w:val="20"/>
                <w:szCs w:val="20"/>
                <w:color w:val="auto"/>
              </w:rPr>
            </w:pPr>
            <w:r>
              <w:rPr>
                <w:rFonts w:ascii="Arial" w:cs="Arial" w:eastAsia="Arial" w:hAnsi="Arial"/>
                <w:sz w:val="17"/>
                <w:szCs w:val="17"/>
                <w:color w:val="auto"/>
              </w:rPr>
              <w:t>547,866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96.28</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(334,905)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63.69</w:t>
            </w:r>
          </w:p>
        </w:tc>
        <w:tc>
          <w:tcPr>
            <w:tcW w:w="0" w:type="dxa"/>
            <w:vAlign w:val="bottom"/>
          </w:tcPr>
          <w:p>
            <w:pPr>
              <w:spacing w:after="0"/>
              <w:rPr>
                <w:sz w:val="1"/>
                <w:szCs w:val="1"/>
                <w:color w:val="auto"/>
              </w:rPr>
            </w:pPr>
          </w:p>
        </w:tc>
      </w:tr>
      <w:tr>
        <w:trPr>
          <w:trHeight w:val="212"/>
        </w:trPr>
        <w:tc>
          <w:tcPr>
            <w:tcW w:w="5940" w:type="dxa"/>
            <w:vAlign w:val="bottom"/>
            <w:tcBorders>
              <w:bottom w:val="single" w:sz="8" w:color="CCEEFF"/>
            </w:tcBorders>
          </w:tcPr>
          <w:p>
            <w:pPr>
              <w:ind w:left="760"/>
              <w:spacing w:after="0"/>
              <w:rPr>
                <w:sz w:val="20"/>
                <w:szCs w:val="20"/>
                <w:color w:val="auto"/>
              </w:rPr>
            </w:pPr>
            <w:r>
              <w:rPr>
                <w:rFonts w:ascii="Arial" w:cs="Arial" w:eastAsia="Arial" w:hAnsi="Arial"/>
                <w:sz w:val="17"/>
                <w:szCs w:val="17"/>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(63,104)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73.21</w:t>
            </w:r>
          </w:p>
        </w:tc>
        <w:tc>
          <w:tcPr>
            <w:tcW w:w="0" w:type="dxa"/>
            <w:vAlign w:val="bottom"/>
          </w:tcPr>
          <w:p>
            <w:pPr>
              <w:spacing w:after="0"/>
              <w:rPr>
                <w:sz w:val="1"/>
                <w:szCs w:val="1"/>
                <w:color w:val="auto"/>
              </w:rPr>
            </w:pPr>
          </w:p>
        </w:tc>
      </w:tr>
      <w:tr>
        <w:trPr>
          <w:trHeight w:val="225"/>
        </w:trPr>
        <w:tc>
          <w:tcPr>
            <w:tcW w:w="5940" w:type="dxa"/>
            <w:vAlign w:val="bottom"/>
            <w:shd w:val="clear" w:color="auto" w:fill="CCEEFF"/>
          </w:tcPr>
          <w:p>
            <w:pPr>
              <w:ind w:left="380"/>
              <w:spacing w:after="0" w:line="193" w:lineRule="exact"/>
              <w:rPr>
                <w:sz w:val="20"/>
                <w:szCs w:val="20"/>
                <w:color w:val="auto"/>
              </w:rPr>
            </w:pPr>
            <w:r>
              <w:rPr>
                <w:rFonts w:ascii="Arial" w:cs="Arial" w:eastAsia="Arial" w:hAnsi="Arial"/>
                <w:sz w:val="17"/>
                <w:szCs w:val="17"/>
                <w:color w:val="auto"/>
              </w:rPr>
              <w:t>Outstanding at September 30, 2021*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1,053,523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firstLine="374"/>
        <w:spacing w:after="0" w:line="237" w:lineRule="auto"/>
        <w:tabs>
          <w:tab w:leader="none" w:pos="517"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As of September 30, 2021 and December 31, 2020 restricted stock units vested for which the underlying common stock is yet to be issued was 200,542 and 181,638 respectively.</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2021, unrecognized compensation cost of $70,370 is expected to be expensed over a weighted average period of 2.7 years.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Based Stock Awards</w:t>
      </w:r>
    </w:p>
    <w:p>
      <w:pPr>
        <w:spacing w:after="0" w:line="221" w:lineRule="exact"/>
        <w:rPr>
          <w:sz w:val="20"/>
          <w:szCs w:val="20"/>
          <w:color w:val="auto"/>
        </w:rPr>
      </w:pPr>
    </w:p>
    <w:p>
      <w:pPr>
        <w:jc w:val="both"/>
        <w:ind w:firstLine="375"/>
        <w:spacing w:after="0" w:line="261" w:lineRule="auto"/>
        <w:rPr>
          <w:sz w:val="20"/>
          <w:szCs w:val="20"/>
          <w:color w:val="auto"/>
        </w:rPr>
      </w:pPr>
      <w:r>
        <w:rPr>
          <w:rFonts w:ascii="Arial" w:cs="Arial" w:eastAsia="Arial" w:hAnsi="Arial"/>
          <w:sz w:val="15"/>
          <w:szCs w:val="15"/>
          <w:color w:val="auto"/>
        </w:rPr>
        <w:t>Under the 2018 Plan, the Company grants performance-based restricted stock units (“PRSUs”) to executive officers and other specified employees. During the nine months ended September 30, 2021, the Company granted PRSUs that cliff vest at the end of a three year period based on a market condition that is contingent on the Company's meeting the total shareholder return relative to a group of peer companies specified under the program measured over a three-year performance period. The award recipient may earn up to two hundred percent (200%) of the PRSUs granted based on the actual achievement of targets.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Performance restricted stock unit activity under the Company’s stock plans is shown below:</w:t>
      </w:r>
    </w:p>
    <w:p>
      <w:pPr>
        <w:spacing w:after="0" w:line="96" w:lineRule="exact"/>
        <w:rPr>
          <w:sz w:val="20"/>
          <w:szCs w:val="20"/>
          <w:color w:val="auto"/>
        </w:rPr>
      </w:pPr>
    </w:p>
    <w:tbl>
      <w:tblPr>
        <w:tblLayout w:type="fixed"/>
        <w:tblInd w:w="600" w:type="dxa"/>
        <w:tblCellMar>
          <w:top w:w="0" w:type="dxa"/>
          <w:left w:w="0" w:type="dxa"/>
          <w:bottom w:w="0" w:type="dxa"/>
          <w:right w:w="0" w:type="dxa"/>
        </w:tblCellMar>
      </w:tblPr>
      <w:tr>
        <w:trPr>
          <w:trHeight w:val="178"/>
        </w:trPr>
        <w:tc>
          <w:tcPr>
            <w:tcW w:w="4300" w:type="dxa"/>
            <w:vAlign w:val="bottom"/>
          </w:tcPr>
          <w:p>
            <w:pPr>
              <w:spacing w:after="0"/>
              <w:rPr>
                <w:sz w:val="15"/>
                <w:szCs w:val="15"/>
                <w:color w:val="auto"/>
              </w:rPr>
            </w:pPr>
          </w:p>
        </w:tc>
        <w:tc>
          <w:tcPr>
            <w:tcW w:w="3120" w:type="dxa"/>
            <w:vAlign w:val="bottom"/>
            <w:gridSpan w:val="5"/>
          </w:tcPr>
          <w:p>
            <w:pPr>
              <w:ind w:left="1040"/>
              <w:spacing w:after="0"/>
              <w:rPr>
                <w:sz w:val="20"/>
                <w:szCs w:val="20"/>
                <w:color w:val="auto"/>
              </w:rPr>
            </w:pPr>
            <w:r>
              <w:rPr>
                <w:rFonts w:ascii="Arial" w:cs="Arial" w:eastAsia="Arial" w:hAnsi="Arial"/>
                <w:sz w:val="13"/>
                <w:szCs w:val="13"/>
                <w:b w:val="1"/>
                <w:bCs w:val="1"/>
                <w:color w:val="auto"/>
              </w:rPr>
              <w:t>Revenue Based PRSUs</w:t>
            </w:r>
          </w:p>
        </w:tc>
        <w:tc>
          <w:tcPr>
            <w:tcW w:w="3020" w:type="dxa"/>
            <w:vAlign w:val="bottom"/>
            <w:gridSpan w:val="4"/>
          </w:tcPr>
          <w:p>
            <w:pPr>
              <w:jc w:val="right"/>
              <w:ind w:right="342"/>
              <w:spacing w:after="0"/>
              <w:rPr>
                <w:sz w:val="20"/>
                <w:szCs w:val="20"/>
                <w:color w:val="auto"/>
              </w:rPr>
            </w:pPr>
            <w:r>
              <w:rPr>
                <w:rFonts w:ascii="Arial" w:cs="Arial" w:eastAsia="Arial" w:hAnsi="Arial"/>
                <w:sz w:val="13"/>
                <w:szCs w:val="13"/>
                <w:b w:val="1"/>
                <w:bCs w:val="1"/>
                <w:color w:val="auto"/>
              </w:rPr>
              <w:t>Market Condition Based PRSUs</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1380" w:type="dxa"/>
            <w:vAlign w:val="bottom"/>
            <w:tcBorders>
              <w:top w:val="single" w:sz="8" w:color="auto"/>
            </w:tcBorders>
            <w:gridSpan w:val="2"/>
            <w:vMerge w:val="restart"/>
          </w:tcPr>
          <w:p>
            <w:pPr>
              <w:ind w:left="580"/>
              <w:spacing w:after="0"/>
              <w:rPr>
                <w:sz w:val="20"/>
                <w:szCs w:val="20"/>
                <w:color w:val="auto"/>
              </w:rPr>
            </w:pPr>
            <w:r>
              <w:rPr>
                <w:rFonts w:ascii="Arial" w:cs="Arial" w:eastAsia="Arial" w:hAnsi="Arial"/>
                <w:sz w:val="13"/>
                <w:szCs w:val="13"/>
                <w:b w:val="1"/>
                <w:bCs w:val="1"/>
                <w:color w:val="auto"/>
              </w:rPr>
              <w:t>Number</w:t>
            </w:r>
          </w:p>
        </w:tc>
        <w:tc>
          <w:tcPr>
            <w:tcW w:w="4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2"/>
              <w:spacing w:after="0" w:line="123" w:lineRule="exact"/>
              <w:rPr>
                <w:sz w:val="20"/>
                <w:szCs w:val="20"/>
                <w:color w:val="auto"/>
              </w:rPr>
            </w:pPr>
            <w:r>
              <w:rPr>
                <w:rFonts w:ascii="Arial" w:cs="Arial" w:eastAsia="Arial" w:hAnsi="Arial"/>
                <w:sz w:val="13"/>
                <w:szCs w:val="13"/>
                <w:b w:val="1"/>
                <w:bCs w:val="1"/>
                <w:color w:val="auto"/>
                <w:w w:val="89"/>
              </w:rPr>
              <w:t>Weighted Average</w:t>
            </w:r>
          </w:p>
        </w:tc>
        <w:tc>
          <w:tcPr>
            <w:tcW w:w="100" w:type="dxa"/>
            <w:vAlign w:val="bottom"/>
          </w:tcPr>
          <w:p>
            <w:pPr>
              <w:spacing w:after="0"/>
              <w:rPr>
                <w:sz w:val="10"/>
                <w:szCs w:val="10"/>
                <w:color w:val="auto"/>
              </w:rPr>
            </w:pPr>
          </w:p>
        </w:tc>
        <w:tc>
          <w:tcPr>
            <w:tcW w:w="1360" w:type="dxa"/>
            <w:vAlign w:val="bottom"/>
            <w:tcBorders>
              <w:top w:val="single" w:sz="8" w:color="auto"/>
            </w:tcBorders>
            <w:gridSpan w:val="2"/>
            <w:vMerge w:val="restart"/>
          </w:tcPr>
          <w:p>
            <w:pPr>
              <w:ind w:left="580"/>
              <w:spacing w:after="0"/>
              <w:rPr>
                <w:sz w:val="20"/>
                <w:szCs w:val="20"/>
                <w:color w:val="auto"/>
              </w:rPr>
            </w:pPr>
            <w:r>
              <w:rPr>
                <w:rFonts w:ascii="Arial" w:cs="Arial" w:eastAsia="Arial" w:hAnsi="Arial"/>
                <w:sz w:val="13"/>
                <w:szCs w:val="13"/>
                <w:b w:val="1"/>
                <w:bCs w:val="1"/>
                <w:color w:val="auto"/>
              </w:rPr>
              <w:t>Number</w:t>
            </w:r>
          </w:p>
        </w:tc>
        <w:tc>
          <w:tcPr>
            <w:tcW w:w="4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42"/>
              <w:spacing w:after="0" w:line="123" w:lineRule="exact"/>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02"/>
        </w:trPr>
        <w:tc>
          <w:tcPr>
            <w:tcW w:w="430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3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71"/>
        </w:trPr>
        <w:tc>
          <w:tcPr>
            <w:tcW w:w="4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300" w:type="dxa"/>
            <w:vAlign w:val="bottom"/>
            <w:tcBorders>
              <w:top w:val="single" w:sz="8" w:color="CCEEFF"/>
            </w:tcBorders>
            <w:shd w:val="clear" w:color="auto" w:fill="CCEEFF"/>
          </w:tcPr>
          <w:p>
            <w:pPr>
              <w:ind w:left="380"/>
              <w:spacing w:after="0" w:line="194" w:lineRule="exact"/>
              <w:rPr>
                <w:sz w:val="20"/>
                <w:szCs w:val="20"/>
                <w:color w:val="auto"/>
              </w:rPr>
            </w:pPr>
            <w:r>
              <w:rPr>
                <w:rFonts w:ascii="Arial" w:cs="Arial" w:eastAsia="Arial" w:hAnsi="Arial"/>
                <w:sz w:val="17"/>
                <w:szCs w:val="17"/>
                <w:color w:val="auto"/>
              </w:rPr>
              <w:t>Outstanding at December 31, 2020</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105,891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72.33</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105,869</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97.84</w:t>
            </w:r>
          </w:p>
        </w:tc>
        <w:tc>
          <w:tcPr>
            <w:tcW w:w="0" w:type="dxa"/>
            <w:vAlign w:val="bottom"/>
          </w:tcPr>
          <w:p>
            <w:pPr>
              <w:spacing w:after="0"/>
              <w:rPr>
                <w:sz w:val="1"/>
                <w:szCs w:val="1"/>
                <w:color w:val="auto"/>
              </w:rPr>
            </w:pPr>
          </w:p>
        </w:tc>
      </w:tr>
      <w:tr>
        <w:trPr>
          <w:trHeight w:val="212"/>
        </w:trPr>
        <w:tc>
          <w:tcPr>
            <w:tcW w:w="4300" w:type="dxa"/>
            <w:vAlign w:val="bottom"/>
          </w:tcPr>
          <w:p>
            <w:pPr>
              <w:ind w:left="580"/>
              <w:spacing w:after="0"/>
              <w:rPr>
                <w:sz w:val="20"/>
                <w:szCs w:val="20"/>
                <w:color w:val="auto"/>
              </w:rPr>
            </w:pPr>
            <w:r>
              <w:rPr>
                <w:rFonts w:ascii="Arial" w:cs="Arial" w:eastAsia="Arial" w:hAnsi="Arial"/>
                <w:sz w:val="17"/>
                <w:szCs w:val="17"/>
                <w:color w:val="auto"/>
              </w:rPr>
              <w:t>Granted</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121,180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7"/>
                <w:szCs w:val="17"/>
                <w:color w:val="auto"/>
              </w:rPr>
              <w:t>119.80</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Vested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tcPr>
          <w:p>
            <w:pPr>
              <w:ind w:left="580"/>
              <w:spacing w:after="0"/>
              <w:rPr>
                <w:sz w:val="20"/>
                <w:szCs w:val="20"/>
                <w:color w:val="auto"/>
              </w:rPr>
            </w:pPr>
            <w:r>
              <w:rPr>
                <w:rFonts w:ascii="Arial" w:cs="Arial" w:eastAsia="Arial" w:hAnsi="Arial"/>
                <w:sz w:val="17"/>
                <w:szCs w:val="17"/>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78.34</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102.10</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shd w:val="clear" w:color="auto" w:fill="CCEEFF"/>
          </w:tcPr>
          <w:p>
            <w:pPr>
              <w:ind w:left="380"/>
              <w:spacing w:after="0" w:line="193" w:lineRule="exact"/>
              <w:rPr>
                <w:sz w:val="20"/>
                <w:szCs w:val="20"/>
                <w:color w:val="auto"/>
              </w:rPr>
            </w:pPr>
            <w:r>
              <w:rPr>
                <w:rFonts w:ascii="Arial" w:cs="Arial" w:eastAsia="Arial" w:hAnsi="Arial"/>
                <w:sz w:val="17"/>
                <w:szCs w:val="17"/>
                <w:color w:val="auto"/>
              </w:rPr>
              <w:t>Outstanding at September 30, 2021</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105,734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72.32</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226,892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109.57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2021, unrecognized compensation cost of $15,264 is expected to be expensed over a weighted average period of 1.9 years.</w:t>
      </w:r>
    </w:p>
    <w:p>
      <w:pPr>
        <w:spacing w:after="0" w:line="353" w:lineRule="exact"/>
        <w:rPr>
          <w:sz w:val="20"/>
          <w:szCs w:val="20"/>
          <w:color w:val="auto"/>
        </w:rPr>
      </w:pPr>
    </w:p>
    <w:p>
      <w:pPr>
        <w:jc w:val="both"/>
        <w:ind w:firstLine="412"/>
        <w:spacing w:after="0" w:line="264" w:lineRule="auto"/>
        <w:rPr>
          <w:sz w:val="20"/>
          <w:szCs w:val="20"/>
          <w:color w:val="auto"/>
        </w:rPr>
      </w:pPr>
      <w:r>
        <w:rPr>
          <w:rFonts w:ascii="Arial" w:cs="Arial" w:eastAsia="Arial" w:hAnsi="Arial"/>
          <w:sz w:val="16"/>
          <w:szCs w:val="16"/>
          <w:color w:val="auto"/>
        </w:rPr>
        <w:t>The impact of COVID-19 on the economic environment is uncertain and has caused variability in the estimation of number of performance based restricted stock units that will eventually vest and the related compensation cost to be recognized in the unaudited consolidated statements of income.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Related Party Disclosures</w:t>
      </w:r>
    </w:p>
    <w:p>
      <w:pPr>
        <w:spacing w:after="0" w:line="221" w:lineRule="exact"/>
        <w:rPr>
          <w:sz w:val="20"/>
          <w:szCs w:val="20"/>
          <w:color w:val="auto"/>
        </w:rPr>
      </w:pPr>
    </w:p>
    <w:p>
      <w:pPr>
        <w:jc w:val="both"/>
        <w:ind w:firstLine="375"/>
        <w:spacing w:after="0" w:line="226" w:lineRule="auto"/>
        <w:rPr>
          <w:sz w:val="20"/>
          <w:szCs w:val="20"/>
          <w:color w:val="auto"/>
        </w:rPr>
      </w:pPr>
      <w:r>
        <w:rPr>
          <w:rFonts w:ascii="Arial" w:cs="Arial" w:eastAsia="Arial" w:hAnsi="Arial"/>
          <w:sz w:val="17"/>
          <w:szCs w:val="17"/>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 The Company settled the Notes on August 27, 2021. Refer to Note 17 - Borrowings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9" w:lineRule="exact"/>
        <w:rPr>
          <w:sz w:val="20"/>
          <w:szCs w:val="20"/>
          <w:color w:val="auto"/>
        </w:rPr>
      </w:pPr>
    </w:p>
    <w:p>
      <w:pPr>
        <w:ind w:firstLine="375"/>
        <w:spacing w:after="0" w:line="237" w:lineRule="auto"/>
        <w:rPr>
          <w:sz w:val="20"/>
          <w:szCs w:val="20"/>
          <w:color w:val="auto"/>
        </w:rPr>
      </w:pPr>
      <w:r>
        <w:rPr>
          <w:rFonts w:ascii="Arial" w:cs="Arial" w:eastAsia="Arial" w:hAnsi="Arial"/>
          <w:sz w:val="17"/>
          <w:szCs w:val="17"/>
          <w:color w:val="auto"/>
        </w:rPr>
        <w:t>The principal amount outstanding for the Notes was nil as of September 30, 2021 and $150,000 as of December 31, 2020, and interest accrued of nil and $1,313 as of September 30, 2021 and December 31, 2020, respectively, related to the Investment Agreement.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transactions with the Purchaser were recognized by the Company in connection with the Notes:</w:t>
      </w:r>
    </w:p>
    <w:p>
      <w:pPr>
        <w:sectPr>
          <w:pgSz w:w="11900" w:h="16838" w:orient="portrait"/>
          <w:cols w:equalWidth="0" w:num="1">
            <w:col w:w="11240"/>
          </w:cols>
          <w:pgMar w:left="320" w:top="123" w:right="339" w:bottom="1440" w:gutter="0" w:footer="0" w:header="0"/>
        </w:sectPr>
      </w:pPr>
    </w:p>
    <w:p>
      <w:pPr>
        <w:spacing w:after="0" w:line="30" w:lineRule="exact"/>
        <w:rPr>
          <w:sz w:val="20"/>
          <w:szCs w:val="20"/>
          <w:color w:val="auto"/>
        </w:rPr>
      </w:pPr>
    </w:p>
    <w:p>
      <w:pPr>
        <w:jc w:val="center"/>
        <w:ind w:left="558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3274060</wp:posOffset>
            </wp:positionH>
            <wp:positionV relativeFrom="paragraph">
              <wp:posOffset>31750</wp:posOffset>
            </wp:positionV>
            <wp:extent cx="18389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38960" cy="7620"/>
                    </a:xfrm>
                    <a:prstGeom prst="rect">
                      <a:avLst/>
                    </a:prstGeom>
                    <a:noFill/>
                  </pic:spPr>
                </pic:pic>
              </a:graphicData>
            </a:graphic>
          </wp:anchor>
        </w:drawing>
      </w:r>
    </w:p>
    <w:p>
      <w:pPr>
        <w:spacing w:after="0" w:line="43" w:lineRule="exact"/>
        <w:rPr>
          <w:sz w:val="20"/>
          <w:szCs w:val="20"/>
          <w:color w:val="auto"/>
        </w:rPr>
      </w:pPr>
    </w:p>
    <w:p>
      <w:pPr>
        <w:ind w:left="5920"/>
        <w:spacing w:after="0"/>
        <w:tabs>
          <w:tab w:leader="none" w:pos="7360" w:val="left"/>
        </w:tabs>
        <w:rPr>
          <w:sz w:val="20"/>
          <w:szCs w:val="20"/>
          <w:color w:val="auto"/>
        </w:rPr>
      </w:pPr>
      <w:r>
        <w:rPr>
          <w:rFonts w:ascii="Arial" w:cs="Arial" w:eastAsia="Arial" w:hAnsi="Arial"/>
          <w:sz w:val="15"/>
          <w:szCs w:val="15"/>
          <w:b w:val="1"/>
          <w:bCs w:val="1"/>
          <w:color w:val="auto"/>
        </w:rPr>
        <w:t>2021</w:t>
      </w:r>
      <w:r>
        <w:rPr>
          <w:sz w:val="20"/>
          <w:szCs w:val="20"/>
          <w:color w:val="auto"/>
        </w:rPr>
        <w:tab/>
      </w:r>
      <w:r>
        <w:rPr>
          <w:rFonts w:ascii="Arial" w:cs="Arial" w:eastAsia="Arial" w:hAnsi="Arial"/>
          <w:sz w:val="15"/>
          <w:szCs w:val="15"/>
          <w:b w:val="1"/>
          <w:bCs w:val="1"/>
          <w:color w:val="auto"/>
        </w:rPr>
        <w:t>2020</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31750</wp:posOffset>
            </wp:positionV>
            <wp:extent cx="18865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6585" cy="7620"/>
                    </a:xfrm>
                    <a:prstGeom prst="rect">
                      <a:avLst/>
                    </a:prstGeom>
                    <a:noFill/>
                  </pic:spPr>
                </pic:pic>
              </a:graphicData>
            </a:graphic>
          </wp:anchor>
        </w:drawing>
      </w:r>
    </w:p>
    <w:p>
      <w:pPr>
        <w:spacing w:after="0" w:line="43" w:lineRule="exact"/>
        <w:rPr>
          <w:sz w:val="20"/>
          <w:szCs w:val="20"/>
          <w:color w:val="auto"/>
        </w:rPr>
      </w:pPr>
    </w:p>
    <w:p>
      <w:pPr>
        <w:ind w:left="200"/>
        <w:spacing w:after="0"/>
        <w:tabs>
          <w:tab w:leader="none" w:pos="1720" w:val="left"/>
        </w:tabs>
        <w:rPr>
          <w:sz w:val="20"/>
          <w:szCs w:val="20"/>
          <w:color w:val="auto"/>
        </w:rPr>
      </w:pPr>
      <w:r>
        <w:rPr>
          <w:rFonts w:ascii="Arial" w:cs="Arial" w:eastAsia="Arial" w:hAnsi="Arial"/>
          <w:sz w:val="15"/>
          <w:szCs w:val="15"/>
          <w:b w:val="1"/>
          <w:bCs w:val="1"/>
          <w:color w:val="auto"/>
        </w:rPr>
        <w:t>2021</w:t>
      </w:r>
      <w:r>
        <w:rPr>
          <w:sz w:val="20"/>
          <w:szCs w:val="20"/>
          <w:color w:val="auto"/>
        </w:rPr>
        <w:tab/>
      </w:r>
      <w:r>
        <w:rPr>
          <w:rFonts w:ascii="Arial" w:cs="Arial" w:eastAsia="Arial" w:hAnsi="Arial"/>
          <w:sz w:val="15"/>
          <w:szCs w:val="15"/>
          <w:b w:val="1"/>
          <w:bCs w:val="1"/>
          <w:color w:val="auto"/>
        </w:rPr>
        <w:t>2020</w:t>
      </w:r>
    </w:p>
    <w:p>
      <w:pPr>
        <w:spacing w:after="0" w:line="21" w:lineRule="exact"/>
        <w:rPr>
          <w:sz w:val="20"/>
          <w:szCs w:val="20"/>
          <w:color w:val="auto"/>
        </w:rPr>
      </w:pPr>
    </w:p>
    <w:p>
      <w:pPr>
        <w:sectPr>
          <w:pgSz w:w="11900" w:h="16838" w:orient="portrait"/>
          <w:cols w:equalWidth="0" w:num="2">
            <w:col w:w="8000" w:space="720"/>
            <w:col w:w="2520"/>
          </w:cols>
          <w:pgMar w:left="320" w:top="123" w:right="339" w:bottom="1440" w:gutter="0" w:footer="0" w:header="0"/>
          <w:type w:val="continuous"/>
        </w:sectPr>
      </w:pPr>
    </w:p>
    <w:tbl>
      <w:tblPr>
        <w:tblLayout w:type="fixed"/>
        <w:tblInd w:w="380" w:type="dxa"/>
        <w:tblCellMar>
          <w:top w:w="0" w:type="dxa"/>
          <w:left w:w="0" w:type="dxa"/>
          <w:bottom w:w="0" w:type="dxa"/>
          <w:right w:w="0" w:type="dxa"/>
        </w:tblCellMar>
      </w:tblPr>
      <w:tr>
        <w:trPr>
          <w:trHeight w:val="211"/>
        </w:trPr>
        <w:tc>
          <w:tcPr>
            <w:tcW w:w="47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Repayment of the Notes in cash</w:t>
            </w:r>
          </w:p>
        </w:tc>
        <w:tc>
          <w:tcPr>
            <w:tcW w:w="6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200,000</w:t>
            </w:r>
          </w:p>
        </w:tc>
        <w:tc>
          <w:tcPr>
            <w:tcW w:w="56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4780" w:type="dxa"/>
            <w:vAlign w:val="bottom"/>
          </w:tcPr>
          <w:p>
            <w:pPr>
              <w:ind w:left="380"/>
              <w:spacing w:after="0"/>
              <w:rPr>
                <w:sz w:val="20"/>
                <w:szCs w:val="20"/>
                <w:color w:val="auto"/>
              </w:rPr>
            </w:pPr>
            <w:r>
              <w:rPr>
                <w:rFonts w:ascii="Arial" w:cs="Arial" w:eastAsia="Arial" w:hAnsi="Arial"/>
                <w:sz w:val="17"/>
                <w:szCs w:val="17"/>
                <w:color w:val="auto"/>
              </w:rPr>
              <w:t>Issuance of shares of the Company's common stock</w:t>
            </w:r>
          </w:p>
        </w:tc>
        <w:tc>
          <w:tcPr>
            <w:tcW w:w="6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7"/>
              <w:spacing w:after="0"/>
              <w:rPr>
                <w:sz w:val="20"/>
                <w:szCs w:val="20"/>
                <w:color w:val="auto"/>
              </w:rPr>
            </w:pPr>
            <w:r>
              <w:rPr>
                <w:rFonts w:ascii="Arial" w:cs="Arial" w:eastAsia="Arial" w:hAnsi="Arial"/>
                <w:sz w:val="17"/>
                <w:szCs w:val="17"/>
                <w:color w:val="auto"/>
              </w:rPr>
              <w:t>36,742</w:t>
            </w:r>
          </w:p>
        </w:tc>
        <w:tc>
          <w:tcPr>
            <w:tcW w:w="5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36,742</w:t>
            </w:r>
          </w:p>
        </w:tc>
        <w:tc>
          <w:tcPr>
            <w:tcW w:w="80" w:type="dxa"/>
            <w:vAlign w:val="bottom"/>
          </w:tcPr>
          <w:p>
            <w:pPr>
              <w:spacing w:after="0"/>
              <w:rPr>
                <w:sz w:val="19"/>
                <w:szCs w:val="19"/>
                <w:color w:val="auto"/>
              </w:rPr>
            </w:pPr>
          </w:p>
        </w:tc>
        <w:tc>
          <w:tcPr>
            <w:tcW w:w="7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47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Interest expense on the Notes</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817</w:t>
            </w:r>
          </w:p>
        </w:tc>
        <w:tc>
          <w:tcPr>
            <w:tcW w:w="5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3,938</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Commitments and Contingencies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Commitments</w:t>
      </w:r>
    </w:p>
    <w:p>
      <w:pPr>
        <w:spacing w:after="0" w:line="217" w:lineRule="exact"/>
        <w:rPr>
          <w:sz w:val="20"/>
          <w:szCs w:val="20"/>
          <w:color w:val="auto"/>
        </w:rPr>
      </w:pPr>
    </w:p>
    <w:p>
      <w:pPr>
        <w:jc w:val="both"/>
        <w:ind w:firstLine="412"/>
        <w:spacing w:after="0" w:line="298" w:lineRule="auto"/>
        <w:rPr>
          <w:sz w:val="20"/>
          <w:szCs w:val="20"/>
          <w:color w:val="auto"/>
        </w:rPr>
      </w:pPr>
      <w:r>
        <w:rPr>
          <w:rFonts w:ascii="Arial" w:cs="Arial" w:eastAsia="Arial" w:hAnsi="Arial"/>
          <w:sz w:val="15"/>
          <w:szCs w:val="15"/>
          <w:color w:val="auto"/>
        </w:rPr>
        <w:t>At September 30, 2021, the Company had committed to spend approximately $5,200 under agreements to purchase property and equipment. This amount is net of capital advances paid which are recognized in the unaudited consolidated balance sheets as “Capital work in progress” under “Property and equipment, net”.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217"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190"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5"/>
          <w:szCs w:val="15"/>
          <w:color w:val="auto"/>
        </w:rPr>
        <w:t>The Company’s operations centers in the Philippines are registered with the Philippine Economic Zone Authority. The registration provides the Company with certain fiscal incentives on the import of capital goods and local purchase of services and materials and requires ExlService Philippines, Inc. to meet certain performance and investment criteria. The Company believes that these centers have in the past satisfied and will continue to satisfy the required criteria.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29"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6"/>
          <w:szCs w:val="16"/>
          <w:color w:val="auto"/>
        </w:rPr>
        <w:t>Transfer pricing regulations generally require that any controlled intercompany transactions involving related entities be at an arm’s-length price. Accordingly, the Company determines the appropriate transfer prices for transactions among its related entities on the basis of a detailed functional and economic analysis involving benchmarking against transactions among entities that are unrelated. Tax authorities have jurisdiction to review transfer pricing results, and in the event that they determine that the transfer price applied was not appropriate, the Company may incur additional tax, interest and penalties. The Company is currently involved in transfer pricing disputes with Indian tax authorities regarding transactions with some of its related entities. Further, the Company and a U.S. subsidiary are engaged in tax litigation with Indian tax authorities regarding a permanent establishment matter. For the United States, the Philippines and India, tax year 2016 and subsequent tax years remain open for examination by the tax authorities as of September 30, 2021.</w:t>
      </w:r>
    </w:p>
    <w:p>
      <w:pPr>
        <w:spacing w:after="0" w:line="182"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6"/>
          <w:szCs w:val="16"/>
          <w:color w:val="auto"/>
        </w:rPr>
        <w:t>The aggregate amount demanded by Indian tax authorities (net of advance payments, if any) from the Company related to its transfer pricing and other corporate tax issues for tax years 2003 to 2019 and its permanent establishment issues for tax years 2003 to 2006 as of September 30, 2021 and December 31, 2020 is $34,399 and $16,748, respectively. The Company has made payments and/or provided bank guarantees against these demands in the amounts of $8,014 and $8,120, respectively. Amounts paid as deposits in respect of such assessments aggregating to $6,229 and $6,307 as of September 30, 2021 and December 31, 2020, respectively, are included in “Other assets” and amounts deposited for bank guarantees aggregating to $1,785 and $1,813</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9" w:name="page40"/>
    <w:bookmarkEnd w:id="3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8"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as of September 30, 2021 and December 31, 2020, respectively, are included in “Restricted cash” in the non-current assets section of the Company’s unaudited and audited consolidated balance sheets, respectively.</w:t>
      </w:r>
    </w:p>
    <w:p>
      <w:pPr>
        <w:spacing w:after="0" w:line="188"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6"/>
          <w:szCs w:val="16"/>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unaudited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3" w:lineRule="exact"/>
        <w:rPr>
          <w:sz w:val="20"/>
          <w:szCs w:val="20"/>
          <w:color w:val="auto"/>
        </w:rPr>
      </w:pPr>
    </w:p>
    <w:p>
      <w:pPr>
        <w:jc w:val="both"/>
        <w:ind w:firstLine="375"/>
        <w:spacing w:after="0" w:line="269" w:lineRule="auto"/>
        <w:rPr>
          <w:sz w:val="20"/>
          <w:szCs w:val="20"/>
          <w:color w:val="auto"/>
        </w:rPr>
      </w:pPr>
      <w:r>
        <w:rPr>
          <w:rFonts w:ascii="Arial" w:cs="Arial" w:eastAsia="Arial" w:hAnsi="Arial"/>
          <w:sz w:val="15"/>
          <w:szCs w:val="15"/>
          <w:color w:val="auto"/>
        </w:rPr>
        <w:t>In February 2019, there was a judicial pronouncement in India with respect to defined social security contribution benefits payments interpreting certain statutory defined contribution obligations of employees and employers. Currently some of the Company's subsidiaries in India are undergoing assessment with the statutory authorities. As of the reporting date,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The Company will continue to monitor and evaluate its position based on future events and developments in this matter for the implications on the financial statements, if any.</w:t>
      </w:r>
    </w:p>
    <w:p>
      <w:pPr>
        <w:spacing w:after="0" w:line="170" w:lineRule="exact"/>
        <w:rPr>
          <w:sz w:val="20"/>
          <w:szCs w:val="20"/>
          <w:color w:val="auto"/>
        </w:rPr>
      </w:pPr>
    </w:p>
    <w:p>
      <w:pPr>
        <w:jc w:val="both"/>
        <w:ind w:firstLine="375"/>
        <w:spacing w:after="0" w:line="234" w:lineRule="auto"/>
        <w:rPr>
          <w:sz w:val="20"/>
          <w:szCs w:val="20"/>
          <w:color w:val="auto"/>
        </w:rPr>
      </w:pPr>
      <w:r>
        <w:rPr>
          <w:rFonts w:ascii="Arial" w:cs="Arial" w:eastAsia="Arial" w:hAnsi="Arial"/>
          <w:sz w:val="16"/>
          <w:szCs w:val="16"/>
          <w:color w:val="auto"/>
        </w:rPr>
        <w:t>In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amongst others.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 financial statements in the period in which, the Indian Social Security Code becomes effective and the related rules to determine the financial impact are published.</w:t>
      </w:r>
    </w:p>
    <w:p>
      <w:pPr>
        <w:spacing w:after="0" w:line="192" w:lineRule="exact"/>
        <w:rPr>
          <w:sz w:val="20"/>
          <w:szCs w:val="20"/>
          <w:color w:val="auto"/>
        </w:rPr>
      </w:pPr>
    </w:p>
    <w:p>
      <w:pPr>
        <w:jc w:val="both"/>
        <w:ind w:firstLine="375"/>
        <w:spacing w:after="0" w:line="223" w:lineRule="auto"/>
        <w:rPr>
          <w:sz w:val="20"/>
          <w:szCs w:val="20"/>
          <w:color w:val="auto"/>
        </w:rPr>
      </w:pPr>
      <w:r>
        <w:rPr>
          <w:rFonts w:ascii="Arial" w:cs="Arial" w:eastAsia="Arial" w:hAnsi="Arial"/>
          <w:sz w:val="17"/>
          <w:szCs w:val="17"/>
          <w:color w:val="auto"/>
        </w:rPr>
        <w:t>From time to time, the Company, its subsidiaries, and/or their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190" w:lineRule="exact"/>
        <w:rPr>
          <w:sz w:val="20"/>
          <w:szCs w:val="20"/>
          <w:color w:val="auto"/>
        </w:rPr>
      </w:pPr>
    </w:p>
    <w:p>
      <w:pPr>
        <w:jc w:val="both"/>
        <w:ind w:firstLine="375"/>
        <w:spacing w:after="0" w:line="222" w:lineRule="auto"/>
        <w:rPr>
          <w:sz w:val="20"/>
          <w:szCs w:val="20"/>
          <w:color w:val="auto"/>
        </w:rPr>
      </w:pPr>
      <w:r>
        <w:rPr>
          <w:rFonts w:ascii="Arial" w:cs="Arial" w:eastAsia="Arial" w:hAnsi="Arial"/>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33"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2020. Some of the statements in the following discussion are forward looking statements.</w:t>
      </w:r>
    </w:p>
    <w:p>
      <w:pPr>
        <w:spacing w:after="0" w:line="182"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i w:val="1"/>
          <w:iCs w:val="1"/>
          <w:color w:val="auto"/>
        </w:rPr>
        <w:t>We have described in this Quarterly Report on Form 10-Q, the impact of the global Coronavirus Disease 2019 pandemic (“COVID-19”) on our financial results for the three months ended September 30, 2021. See "Cautionary Note Regarding Forward-Looking Statements" below, Item 1A -“Risk Factors” included elsewhere in this Quarterly Report on Form 10-Q and Part I, Item 1A, “Risk Factors” in our Annual Report on Form 10-K for the fiscal year ended December 31, 2020 for further information regarding risks and uncertainties relating to COVID-19.</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3" w:lineRule="exact"/>
        <w:rPr>
          <w:sz w:val="20"/>
          <w:szCs w:val="20"/>
          <w:color w:val="auto"/>
        </w:rPr>
      </w:pPr>
    </w:p>
    <w:p>
      <w:pPr>
        <w:jc w:val="both"/>
        <w:ind w:firstLine="375"/>
        <w:spacing w:after="0" w:line="248" w:lineRule="auto"/>
        <w:rPr>
          <w:sz w:val="20"/>
          <w:szCs w:val="20"/>
          <w:color w:val="auto"/>
        </w:rPr>
      </w:pPr>
      <w:r>
        <w:rPr>
          <w:rFonts w:ascii="Arial" w:cs="Arial" w:eastAsia="Arial" w:hAnsi="Arial"/>
          <w:sz w:val="16"/>
          <w:szCs w:val="16"/>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have been, and will be, amplified by the COVID-19 pandemic (“COVID-19”). These factors include but are not limited to:</w:t>
      </w:r>
    </w:p>
    <w:p>
      <w:pPr>
        <w:spacing w:after="0" w:line="246" w:lineRule="exact"/>
        <w:rPr>
          <w:sz w:val="20"/>
          <w:szCs w:val="20"/>
          <w:color w:val="auto"/>
        </w:rPr>
      </w:pPr>
    </w:p>
    <w:p>
      <w:pPr>
        <w:ind w:left="600" w:right="240" w:hanging="301"/>
        <w:spacing w:after="0" w:line="265" w:lineRule="auto"/>
        <w:tabs>
          <w:tab w:leader="none" w:pos="5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COVID-19 and related response measures on our business, results of operations and financial condition, including the impact of governmental lockdowns and other restrictions on our operations and processes and those of our clients and suppliers;</w:t>
      </w:r>
    </w:p>
    <w:p>
      <w:pPr>
        <w:spacing w:after="0" w:line="17"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dependence on a limited number of clients in a limited number of industries;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worldwide political, economic or business conditions;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negative public reaction in the U.S. or elsewhere to offshore outsourcing;</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our earnings;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attract and retain clients including in a timely manner;</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successfully consummate or integrate strategic acquisitions;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accurately estimate and/or manage the costs and/or timing of winding down businesses;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immigration;</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hire and retain enough sufficiently trained employees to support our operations;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grow our business or effectively manage growth and international operations;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changes in the senior management team;</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competition in our industry;</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telecommunications or technology disruptions or breaches, natural or other disasters, or medical epidemics or pandemics;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withstand the loss of a significant customer;</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realize the entire book value of goodwill and other intangible assets from acquisitions;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make accurate estimates and assumptions in connection with the preparation of our consolidated financial statements;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regulatory, legislative and judicial developments, including changes to or the withdrawal of governmental fiscal incentives;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tax laws or decisions regarding repatriation of funds held abroad;</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ability to service debt or obtain additional financing on favorable terms;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legal liability arising out of customer contracts;</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technological innovation;</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political or economic instability in the geographies in which we operate;</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operational and information security failures arising as a result of remote work solutions adopted due to COVID-19;</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cyber security incidents, data breaches, or other unauthorized disclosure of sensitive or confidential client and customer data; and</w:t>
      </w:r>
    </w:p>
    <w:p>
      <w:pPr>
        <w:spacing w:after="0" w:line="54"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adverse outcome of our disputes with the Indian tax authorities.</w:t>
      </w:r>
    </w:p>
    <w:p>
      <w:pPr>
        <w:spacing w:after="0" w:line="329"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2020. These and other risks could cause actual results to differ materially from those implied by forward-looking statements in this Quarterly Report on Form 10-Q.</w:t>
      </w:r>
    </w:p>
    <w:p>
      <w:pPr>
        <w:spacing w:after="0" w:line="193" w:lineRule="exact"/>
        <w:rPr>
          <w:sz w:val="20"/>
          <w:szCs w:val="20"/>
          <w:color w:val="auto"/>
        </w:rPr>
      </w:pPr>
    </w:p>
    <w:p>
      <w:pPr>
        <w:jc w:val="both"/>
        <w:ind w:firstLine="375"/>
        <w:spacing w:after="0" w:line="305" w:lineRule="auto"/>
        <w:rPr>
          <w:sz w:val="20"/>
          <w:szCs w:val="20"/>
          <w:color w:val="auto"/>
        </w:rPr>
      </w:pPr>
      <w:r>
        <w:rPr>
          <w:rFonts w:ascii="Arial" w:cs="Arial" w:eastAsia="Arial" w:hAnsi="Arial"/>
          <w:sz w:val="15"/>
          <w:szCs w:val="15"/>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21" w:lineRule="exact"/>
        <w:rPr>
          <w:sz w:val="20"/>
          <w:szCs w:val="20"/>
          <w:color w:val="auto"/>
        </w:rPr>
      </w:pPr>
    </w:p>
    <w:p>
      <w:pPr>
        <w:jc w:val="both"/>
        <w:ind w:firstLine="375"/>
        <w:spacing w:after="0" w:line="246" w:lineRule="auto"/>
        <w:rPr>
          <w:sz w:val="20"/>
          <w:szCs w:val="20"/>
          <w:color w:val="auto"/>
        </w:rPr>
      </w:pPr>
      <w:r>
        <w:rPr>
          <w:rFonts w:ascii="Arial" w:cs="Arial" w:eastAsia="Arial" w:hAnsi="Arial"/>
          <w:sz w:val="16"/>
          <w:szCs w:val="16"/>
          <w:color w:val="auto"/>
        </w:rPr>
        <w:t>We are a leading global analytics and digital solutions company that helps our clients build and grow sustainable businesses. By bringing together our deep domain expertise with robust data, powerful analytics, cloud, and AI, we create agile, scalable solutions and execute complex operations for the world’s leading corporations in industries including insurance, healthcare, banking and financial services, media, and retail, among others.</w:t>
      </w:r>
    </w:p>
    <w:p>
      <w:pPr>
        <w:spacing w:after="0" w:line="196"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We operate in the Business Process Management (“BPM”) industry and we provide operations management and analytics services. We manage and report financial information through our four strategic business units: Insurance, Healthcare, Analytics and Emerging Business.</w:t>
      </w:r>
    </w:p>
    <w:p>
      <w:pPr>
        <w:spacing w:after="0" w:line="180"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Philippines, Bulgaria, Colombia, South Africa, Romania and the Czech Republic.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Continued impact of COVID-19 on Our Business</w:t>
      </w:r>
    </w:p>
    <w:p>
      <w:pPr>
        <w:spacing w:after="0" w:line="221" w:lineRule="exact"/>
        <w:rPr>
          <w:sz w:val="20"/>
          <w:szCs w:val="20"/>
          <w:color w:val="auto"/>
        </w:rPr>
      </w:pPr>
    </w:p>
    <w:p>
      <w:pPr>
        <w:jc w:val="both"/>
        <w:ind w:firstLine="375"/>
        <w:spacing w:after="0" w:line="233" w:lineRule="auto"/>
        <w:rPr>
          <w:sz w:val="20"/>
          <w:szCs w:val="20"/>
          <w:color w:val="auto"/>
        </w:rPr>
      </w:pPr>
      <w:r>
        <w:rPr>
          <w:rFonts w:ascii="Arial" w:cs="Arial" w:eastAsia="Arial" w:hAnsi="Arial"/>
          <w:sz w:val="16"/>
          <w:szCs w:val="16"/>
          <w:color w:val="auto"/>
        </w:rPr>
        <w:t>The global COVID-19 pandemic continues to materially impact worldwide economic activity and levels of business confidence and has had widespread, rapidly-evolving and unpredictable impacts on global societies, economies, financial markets and business practices. During 2020, COVID-19 materially impacted our business, however during the first nine months of 2021, we saw improvement in key indicators, despite being prevented from conducting business activities as usual from geographies affected by new variants of the COVID-19 virus. Over the course of 2020, and continuing into 2021, our customers, contractors, suppliers, and other partners adapted in order to conduct business activities in a COVID-19 environment. The U.S. economy continued on a path to recovery in the first nine months of 2021 with millions of Americans receiving the COVID-19 vaccine, and states and municipalities increasingly reopening. In addition, the U.S. federal government continued to enact policies to provide fiscal stimulus to the economy and relief to those affected by the pandemic. As the global economy begins to emerge from the impact of COVID-19 in 2021, our clients are focused on receiving personalized customer experiences, optimizing costs and supporting resilient operating models. We remain committed to helping our clients adapt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thrive through the ongoing uncertainties caused by COVID-19 and, going forward, to the shifting business environment. Notwithstanding the recent improvement in conditions during the first nine months of 2021, the COVID-19 pandemic continues, with temporary shutdowns at our operations centers requested or mandated by governmental authorities, and due to the associated uncertainties, we continue to evaluate the nature and scope of the impact to our business and may take further strategic actions in order to manage our business operations, costs and liquidity in response to the ongoing impacts and changing conditions and markets resulting from COVID-19.</w:t>
      </w:r>
    </w:p>
    <w:p>
      <w:pPr>
        <w:jc w:val="both"/>
        <w:ind w:firstLine="366"/>
        <w:spacing w:after="0" w:line="245" w:lineRule="auto"/>
        <w:rPr>
          <w:sz w:val="20"/>
          <w:szCs w:val="20"/>
          <w:color w:val="auto"/>
        </w:rPr>
      </w:pPr>
      <w:r>
        <w:rPr>
          <w:rFonts w:ascii="Arial" w:cs="Arial" w:eastAsia="Arial" w:hAnsi="Arial"/>
          <w:sz w:val="15"/>
          <w:szCs w:val="15"/>
          <w:color w:val="auto"/>
        </w:rPr>
        <w:t>We have a business continuity plan in place and have, since early in the pandemic, adapted delivery to a work from home model, while actively working to understand our clients’ changing requirements, continuing to ensure data security, prioritizing critical processes, adjusting service levels and managing discretionary costs (such as travel costs) and fixed costs (such as non-critical personnel costs). We have made ongoing efforts to reduce our reliance on travel by incorporating into our business model the ability to conduct business using virtual conferencing and collaboration tools to enable our employees to stay connected with each other, and our sales, marketing and support teams to continue to engage with and remain responsive to our clients. Our work from home delivery capability steadily improved throughout 2020 and continued to improve during the first nine months of 2021. We estimate that we are able to deliver a significant portion of our clients’ current requirements in a work from home model given the current lockdown restrictions in the locations in which we operate and certain clients not authorizing us to perform the remaining process work remotely due to its sensitive nature. In addition, we have also worked, and continue to work with national, state, and local authorities to comply with applicable rules and regulations related to COVID-19. There continues to be volatility and economic and geopolitical uncertainty in many markets around the world due to the emergence and spread of new variants of COVID-19 across geographies. Despite the efforts described above, there is a risk that if jurisdictions in which we operate reinstate prior restrictions, stagnate in their reopening processes, or implement new restrictions in response to new outbreaks or continued spread, our operations and business could be materially impacted. In late March 2021, a new serious outbreak of the COVID-19 virus began affecting India with an exorbitant spike in the number of COVID patients. The Indian government reinstated lockdowns limiting in certain cases the movement of our employees to offices, however these lockdowns were lifted as the situation in India improved. During the same period, the Philippines also began experiencing a spike in the number of COVID patients. In July 2021, we saw a significant increase in number of COVID-19 cases across the U.S. brought on by the new variant of the COVID-19 virus. Our Indian, Philippines and U.S. operations were not materially affected as we initiated appropriate business continuity procedures, so as to minimize the effects of these new developments, but it is possible that our business and results of operations could nevertheless be materially affected if any further developments, including new variants of the COVID-19 virus, emerge.</w:t>
      </w:r>
    </w:p>
    <w:p>
      <w:pPr>
        <w:spacing w:after="0" w:line="187" w:lineRule="exact"/>
        <w:rPr>
          <w:sz w:val="20"/>
          <w:szCs w:val="20"/>
          <w:color w:val="auto"/>
        </w:rPr>
      </w:pPr>
    </w:p>
    <w:p>
      <w:pPr>
        <w:jc w:val="both"/>
        <w:ind w:firstLine="366"/>
        <w:spacing w:after="0" w:line="248" w:lineRule="auto"/>
        <w:rPr>
          <w:sz w:val="20"/>
          <w:szCs w:val="20"/>
          <w:color w:val="auto"/>
        </w:rPr>
      </w:pPr>
      <w:r>
        <w:rPr>
          <w:rFonts w:ascii="Arial" w:cs="Arial" w:eastAsia="Arial" w:hAnsi="Arial"/>
          <w:sz w:val="15"/>
          <w:szCs w:val="15"/>
          <w:color w:val="auto"/>
        </w:rPr>
        <w:t>We also took actions in response to the pandemic that focused on helping our employees. In the geographies most affected by the recent COVID-19 variants, these actions included healthcare support including securing and administering vaccines for our employees, facilitating our employees’ access to medical equipment, providing ambulance services and online medical consultations, extending medical insurance to our employees’ family members and enhancing the dollar value of such coverage. We also instituted a one-time employee compensation payment to beneficiaries of employees, facilitated voluntary contributions from our clients and employees to support the family members of deceased employees and providing financial support for their children's education. Other actions included disseminating guidance and information to our employees, facilitating work from home, implementing best practices for employees while working from home, periodic CEO messaging, various programs aimed at employee wellness, including a global wellness program, enhanced leave for employees affected by COVID-19, enhanced awareness towards information security, and updated cyber security and data privacy policies, among others. We continue to have broad travel restrictions, and while we expect some level of travel to return, we do not expect it to be at pre-pandemic levels. We are largely operating in virtual-only events for the safety of our employees and our customers with some expectations of return to office for selected employees, as and when necessary. We also implemented pandemic-specific protocols for our essential employees whose jobs require them to be on-site or with our customers by implementing additional safety measures at all of our facilities, including increased frequency in cleaning and disinfecting, and enhanced hygiene and social distancing practices.</w:t>
      </w:r>
    </w:p>
    <w:p>
      <w:pPr>
        <w:spacing w:after="0" w:line="183" w:lineRule="exact"/>
        <w:rPr>
          <w:sz w:val="20"/>
          <w:szCs w:val="20"/>
          <w:color w:val="auto"/>
        </w:rPr>
      </w:pPr>
    </w:p>
    <w:p>
      <w:pPr>
        <w:jc w:val="both"/>
        <w:ind w:firstLine="366"/>
        <w:spacing w:after="0" w:line="234" w:lineRule="auto"/>
        <w:rPr>
          <w:sz w:val="20"/>
          <w:szCs w:val="20"/>
          <w:color w:val="auto"/>
        </w:rPr>
      </w:pPr>
      <w:r>
        <w:rPr>
          <w:rFonts w:ascii="Arial" w:cs="Arial" w:eastAsia="Arial" w:hAnsi="Arial"/>
          <w:sz w:val="16"/>
          <w:szCs w:val="16"/>
          <w:color w:val="auto"/>
        </w:rPr>
        <w:t>We continue to incur additional costs in order to ensure the continuity of our operations and support our work from home model. Such costs include purchase of desktops and laptops for our employees, software and internet connectivity devices, technology tools for productivity enhancement, accommodation, meal, overtime, transportation and regular sanitization and cleaning costs of our offices and facilities. We also expect that we will continue to incur additional costs to monitor and improve operational efficiency of our work from home model, implement new information technology solutions and security measures to safeguard against information security risks and protect the health and safety of our employees as they gradually return to the office. We believe that these short-to-medium-term costs may benefit us in the long-term, as these steps have broadened our “remote working” capabilities, which we expect to become a permanent feature in our future delivery model, as well as our business continuity plans.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66"/>
        <w:spacing w:after="0" w:line="305" w:lineRule="auto"/>
        <w:rPr>
          <w:sz w:val="20"/>
          <w:szCs w:val="20"/>
          <w:color w:val="auto"/>
        </w:rPr>
      </w:pPr>
      <w:r>
        <w:rPr>
          <w:rFonts w:ascii="Arial" w:cs="Arial" w:eastAsia="Arial" w:hAnsi="Arial"/>
          <w:sz w:val="15"/>
          <w:szCs w:val="15"/>
          <w:color w:val="auto"/>
        </w:rPr>
        <w:t>In response to certain anticipated impacts from COVID-19, we implemented a series of temporary cost reduction measures in 2020 which continued in the first nine months of 2021 to further preserve financial flexibility. These actions included the postponement of certain discretionary spending including travel and marketing expenses, reevaluating the pace of our capital expenditures, rationalizing certain of our real estate and facilities, deferring non-critical hiring among others.</w:t>
      </w:r>
    </w:p>
    <w:p>
      <w:pPr>
        <w:spacing w:after="0" w:line="154" w:lineRule="exact"/>
        <w:rPr>
          <w:sz w:val="20"/>
          <w:szCs w:val="20"/>
          <w:color w:val="auto"/>
        </w:rPr>
      </w:pPr>
    </w:p>
    <w:p>
      <w:pPr>
        <w:jc w:val="both"/>
        <w:ind w:firstLine="366"/>
        <w:spacing w:after="0" w:line="248" w:lineRule="auto"/>
        <w:rPr>
          <w:sz w:val="20"/>
          <w:szCs w:val="20"/>
          <w:color w:val="auto"/>
        </w:rPr>
      </w:pPr>
      <w:r>
        <w:rPr>
          <w:rFonts w:ascii="Arial" w:cs="Arial" w:eastAsia="Arial" w:hAnsi="Arial"/>
          <w:sz w:val="15"/>
          <w:szCs w:val="15"/>
          <w:color w:val="auto"/>
        </w:rPr>
        <w:t>Certain impacts of COVID-19 on our business, results of operations, financial position and cash flow during the first nine months of 2021 has been described above and below, however the full extent of the impact for the period beyond the first nine months of 2021 is currently uncertain and will depend on many factors that are not within our control, including, but not limited to: the duration and scope of the pandemic; the effectiveness of actions taken to contain or mitigate the pandemic, prevent or limit any reoccurrence and emergence of new variants of the virus; governmental, business and individuals’ actions that have been and continue to be taken in response to the pandemic; development and availability of effective treatments and vaccines, the speed at which such vaccines are administered, the extent of vaccine aversion, as well as the effect of emerging targeted vaccine mandates and booster vaccines, and breakthrough infections among the fully vaccinated; significant increases in healthcare costs in the event that a significant number of our personnel become infected with COVID-19 and require medical treatment; general economic uncertainty in key global markets and financial market volatility; global economic conditions and levels of economic growth; and the pace of recovery when COVID-19 subsides. Due to the above circumstances and as described generally in this Quarterly Report on Form 10-Q, our financial results, including but not limited to net revenues, income from operations, net income, cash flow and earnings per share, are not necessarily indicative of the results to be expected for the full fiscal year of 2021. We continue to monitor the implications of COVID-19 on our business, as well as our customers’ and suppliers’ businesses.</w:t>
      </w:r>
    </w:p>
    <w:p>
      <w:pPr>
        <w:spacing w:after="0" w:line="199"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For additional information and risks related to COVID-19, see Item 1A - “Risk Factors” included elsewhere in this Quarterly Report on Form 10-Q and Part I, Item 1A, “Risk Factors” in our Annual Report on Form 10-K for the fiscal year ended December 31, 2020.</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3" w:lineRule="exact"/>
        <w:rPr>
          <w:sz w:val="20"/>
          <w:szCs w:val="20"/>
          <w:color w:val="auto"/>
        </w:rPr>
      </w:pPr>
    </w:p>
    <w:p>
      <w:pPr>
        <w:jc w:val="both"/>
        <w:ind w:firstLine="375"/>
        <w:spacing w:after="0"/>
        <w:rPr>
          <w:sz w:val="20"/>
          <w:szCs w:val="20"/>
          <w:color w:val="auto"/>
        </w:rPr>
      </w:pPr>
      <w:r>
        <w:rPr>
          <w:rFonts w:ascii="Arial" w:cs="Arial" w:eastAsia="Arial" w:hAnsi="Arial"/>
          <w:sz w:val="17"/>
          <w:szCs w:val="17"/>
          <w:color w:val="auto"/>
        </w:rPr>
        <w:t>For the three months ended September 30, 2021, we had revenues of $290.3 million compared to revenues of $241.0 million for the three months ended September 30, 2020, an increase of $49.3 million, or 20.5%. For the nine months ended September 30, 2021, we had revenues of $826.8 million compared to revenues of $709.5 million for the nine months ended September 30, 2020, an increase of $117.3 million, or 16.5%.</w:t>
      </w:r>
    </w:p>
    <w:p>
      <w:pPr>
        <w:spacing w:after="0" w:line="200"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We serve clients mainly in the United States and the United Kingdom, with these two regions generating 86.0% and 9.4%, respectively, of our total revenues for the three months ended September 30, 2021, and 84.6% and 9.5%, respectively, of our total revenues for the three months ended September 30, 2020. For the nine months ended September 30, 2021, these two regions generated 85.8% and 9.5%, respectively, of our total revenues and 84.7% and 9.2%, respectively, of our total revenues for the nine months ended September 30, 2020.</w:t>
      </w:r>
    </w:p>
    <w:p>
      <w:pPr>
        <w:spacing w:after="0" w:line="202"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6"/>
          <w:szCs w:val="16"/>
          <w:color w:val="auto"/>
        </w:rPr>
        <w:t>For the three months ended September 30, 2021 and 2020, our total revenues from our top ten clients accounted for 38.7% each of our total revenues. For the nine months ended September 30, 2021 and 2020, our total revenues from our top ten clients accounted for 38.6% and 37.3% of our total revenues, respectively. Our revenue concentration with our top clients remains largely consistent year-over-year and we continue to develop relationships with new clients to diversify our client base. We believe that the loss of any of our top ten clients could have a material adverse effect on our financial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233"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United States, Europe and Australia.</w:t>
      </w:r>
    </w:p>
    <w:p>
      <w:pPr>
        <w:spacing w:after="0" w:line="201" w:lineRule="exact"/>
        <w:rPr>
          <w:sz w:val="20"/>
          <w:szCs w:val="20"/>
          <w:color w:val="auto"/>
        </w:rPr>
      </w:pPr>
    </w:p>
    <w:p>
      <w:pPr>
        <w:jc w:val="both"/>
        <w:ind w:firstLine="375"/>
        <w:spacing w:after="0" w:line="305" w:lineRule="auto"/>
        <w:rPr>
          <w:sz w:val="20"/>
          <w:szCs w:val="20"/>
          <w:color w:val="auto"/>
        </w:rPr>
      </w:pPr>
      <w:r>
        <w:rPr>
          <w:rFonts w:ascii="Arial" w:cs="Arial" w:eastAsia="Arial" w:hAnsi="Arial"/>
          <w:sz w:val="15"/>
          <w:szCs w:val="15"/>
          <w:i w:val="1"/>
          <w:iCs w:val="1"/>
          <w:color w:val="auto"/>
        </w:rPr>
        <w:t xml:space="preserve">Operations Management Services: </w:t>
      </w:r>
      <w:r>
        <w:rPr>
          <w:rFonts w:ascii="Arial" w:cs="Arial" w:eastAsia="Arial" w:hAnsi="Arial"/>
          <w:sz w:val="15"/>
          <w:szCs w:val="15"/>
          <w:color w:val="auto"/>
        </w:rPr>
        <w:t>We provide our clients with a range of operations management services from our Insurance, Healthcare and Emerging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segments, which typically involve the transfer by our clients to EXL of certain of their business operations, such as claims processing, clinical operations, or financial transaction processing, after which we administer and manage those operations on an ongoing basis. As part of this transfer, we hire and train employees to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operations management that include industry-specific digital transformational services as well as cross-industry finance and accounting services as part of the Emerging Business operating segment.</w:t>
      </w:r>
    </w:p>
    <w:p>
      <w:pPr>
        <w:spacing w:after="0" w:line="203"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6"/>
          <w:szCs w:val="16"/>
          <w:color w:val="auto"/>
        </w:rPr>
        <w:t>We provide our services under contracts with our clients, which typically have terms of three or more years, with some being rolling contracts with no end dates. Typically, our clients can terminate these contracts with or without cause and with short notice periods. These contracts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94" w:lineRule="exact"/>
        <w:rPr>
          <w:sz w:val="20"/>
          <w:szCs w:val="20"/>
          <w:color w:val="auto"/>
        </w:rPr>
      </w:pPr>
    </w:p>
    <w:p>
      <w:pPr>
        <w:jc w:val="both"/>
        <w:ind w:firstLine="375"/>
        <w:spacing w:after="0" w:line="234" w:lineRule="auto"/>
        <w:rPr>
          <w:sz w:val="20"/>
          <w:szCs w:val="20"/>
          <w:color w:val="auto"/>
        </w:rPr>
      </w:pPr>
      <w:r>
        <w:rPr>
          <w:rFonts w:ascii="Arial" w:cs="Arial" w:eastAsia="Arial" w:hAnsi="Arial"/>
          <w:sz w:val="17"/>
          <w:szCs w:val="17"/>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89"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6"/>
          <w:szCs w:val="16"/>
          <w:color w:val="auto"/>
        </w:rPr>
        <w:t>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0" w:lineRule="exact"/>
        <w:rPr>
          <w:sz w:val="20"/>
          <w:szCs w:val="20"/>
          <w:color w:val="auto"/>
        </w:rPr>
      </w:pPr>
    </w:p>
    <w:p>
      <w:pPr>
        <w:jc w:val="both"/>
        <w:ind w:firstLine="375"/>
        <w:spacing w:after="0" w:line="231"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unlocking deep insights from data and create data-driven</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across all parts of 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enhance, modernize and enrich structured and unstructured data and use a spectrum of advanced analytical tools and techniques, including our in-house Machine Learning (“ML”) and Artificial Intelligence (“AI”) capabilities to create insights and improve decision making for our clients. We actively cross-sell and, where appropriate, integrate our Analytics services with other operations management services as part of a comprehensive offering for our clients. Our projects-based analytics services are cyclical and can be significantly affected by variations in business cycles. In addition, our projects-based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anticipate that revenues from our analytics services will grow as we expand our service offerings and client base, both organically and through acquisitions.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three and nine months ended September 30, 2021,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results of operations for the three months and nine months ended September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00" w:type="dxa"/>
            <w:vAlign w:val="bottom"/>
          </w:tcPr>
          <w:p>
            <w:pPr>
              <w:spacing w:after="0"/>
              <w:rPr>
                <w:sz w:val="15"/>
                <w:szCs w:val="15"/>
                <w:color w:val="auto"/>
              </w:rPr>
            </w:pPr>
          </w:p>
        </w:tc>
        <w:tc>
          <w:tcPr>
            <w:tcW w:w="2880" w:type="dxa"/>
            <w:vAlign w:val="bottom"/>
            <w:gridSpan w:val="6"/>
          </w:tcPr>
          <w:p>
            <w:pPr>
              <w:ind w:left="40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580" w:type="dxa"/>
            <w:vAlign w:val="bottom"/>
            <w:gridSpan w:val="4"/>
          </w:tcPr>
          <w:p>
            <w:pPr>
              <w:jc w:val="right"/>
              <w:ind w:right="378"/>
              <w:spacing w:after="0"/>
              <w:rPr>
                <w:sz w:val="20"/>
                <w:szCs w:val="20"/>
                <w:color w:val="auto"/>
              </w:rPr>
            </w:pPr>
            <w:r>
              <w:rPr>
                <w:rFonts w:ascii="Arial" w:cs="Arial" w:eastAsia="Arial" w:hAnsi="Arial"/>
                <w:sz w:val="13"/>
                <w:szCs w:val="13"/>
                <w:b w:val="1"/>
                <w:bCs w:val="1"/>
                <w:color w:val="auto"/>
                <w:w w:val="98"/>
              </w:rPr>
              <w:t>Nine months ended September 30,</w:t>
            </w:r>
          </w:p>
        </w:tc>
      </w:tr>
      <w:tr>
        <w:trPr>
          <w:trHeight w:val="171"/>
        </w:trPr>
        <w:tc>
          <w:tcPr>
            <w:tcW w:w="55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w w:val="89"/>
              </w:rPr>
              <w:t>2020</w:t>
            </w:r>
          </w:p>
        </w:tc>
      </w:tr>
      <w:tr>
        <w:trPr>
          <w:trHeight w:val="167"/>
        </w:trPr>
        <w:tc>
          <w:tcPr>
            <w:tcW w:w="5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b w:val="1"/>
                <w:bCs w:val="1"/>
                <w:color w:val="auto"/>
                <w:w w:val="93"/>
              </w:rPr>
              <w:t>(dollars in millions)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840" w:type="dxa"/>
            <w:vAlign w:val="bottom"/>
          </w:tcPr>
          <w:p>
            <w:pPr>
              <w:spacing w:after="0"/>
              <w:rPr>
                <w:sz w:val="14"/>
                <w:szCs w:val="14"/>
                <w:color w:val="auto"/>
              </w:rPr>
            </w:pPr>
          </w:p>
        </w:tc>
      </w:tr>
      <w:tr>
        <w:trPr>
          <w:trHeight w:val="213"/>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820" w:type="dxa"/>
            <w:vAlign w:val="bottom"/>
            <w:shd w:val="clear" w:color="auto" w:fill="CCEEFF"/>
          </w:tcPr>
          <w:p>
            <w:pPr>
              <w:jc w:val="right"/>
              <w:ind w:right="645"/>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290.3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709.5</w:t>
            </w:r>
          </w:p>
        </w:tc>
      </w:tr>
      <w:tr>
        <w:trPr>
          <w:trHeight w:val="212"/>
        </w:trPr>
        <w:tc>
          <w:tcPr>
            <w:tcW w:w="5500" w:type="dxa"/>
            <w:vAlign w:val="bottom"/>
            <w:tcBorders>
              <w:bottom w:val="single" w:sz="8" w:color="CCEEFF"/>
            </w:tcBorders>
          </w:tcPr>
          <w:p>
            <w:pPr>
              <w:ind w:left="20"/>
              <w:spacing w:after="0" w:line="212" w:lineRule="exact"/>
              <w:rPr>
                <w:sz w:val="20"/>
                <w:szCs w:val="20"/>
                <w:color w:val="auto"/>
              </w:rPr>
            </w:pPr>
            <w:r>
              <w:rPr>
                <w:rFonts w:ascii="Arial" w:cs="Arial" w:eastAsia="Arial" w:hAnsi="Arial"/>
                <w:sz w:val="17"/>
                <w:szCs w:val="17"/>
                <w:color w:val="auto"/>
              </w:rPr>
              <w:t>Cost of revenues</w:t>
            </w:r>
            <w:r>
              <w:rPr>
                <w:rFonts w:ascii="Arial" w:cs="Arial" w:eastAsia="Arial" w:hAnsi="Arial"/>
                <w:sz w:val="21"/>
                <w:szCs w:val="21"/>
                <w:color w:val="auto"/>
                <w:vertAlign w:val="superscript"/>
              </w:rPr>
              <w:t>(1)</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177.7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507.2</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473.1</w:t>
            </w:r>
          </w:p>
        </w:tc>
      </w:tr>
      <w:tr>
        <w:trPr>
          <w:trHeight w:val="205"/>
        </w:trPr>
        <w:tc>
          <w:tcPr>
            <w:tcW w:w="5500" w:type="dxa"/>
            <w:vAlign w:val="bottom"/>
            <w:shd w:val="clear" w:color="auto" w:fill="CCEEFF"/>
          </w:tcPr>
          <w:p>
            <w:pPr>
              <w:ind w:left="20"/>
              <w:spacing w:after="0" w:line="205" w:lineRule="exact"/>
              <w:rPr>
                <w:sz w:val="20"/>
                <w:szCs w:val="20"/>
                <w:color w:val="auto"/>
              </w:rPr>
            </w:pPr>
            <w:r>
              <w:rPr>
                <w:rFonts w:ascii="Arial" w:cs="Arial" w:eastAsia="Arial" w:hAnsi="Arial"/>
                <w:sz w:val="17"/>
                <w:szCs w:val="17"/>
                <w:b w:val="1"/>
                <w:bCs w:val="1"/>
                <w:color w:val="auto"/>
              </w:rPr>
              <w:t>Gross profit</w:t>
            </w:r>
            <w:r>
              <w:rPr>
                <w:rFonts w:ascii="Arial" w:cs="Arial" w:eastAsia="Arial" w:hAnsi="Arial"/>
                <w:sz w:val="21"/>
                <w:szCs w:val="21"/>
                <w:b w:val="1"/>
                <w:bCs w:val="1"/>
                <w:color w:val="auto"/>
                <w:vertAlign w:val="superscript"/>
              </w:rPr>
              <w:t>(1)</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112.6</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319.6</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236.4</w:t>
            </w:r>
          </w:p>
        </w:tc>
      </w:tr>
      <w:tr>
        <w:trPr>
          <w:trHeight w:val="192"/>
        </w:trPr>
        <w:tc>
          <w:tcPr>
            <w:tcW w:w="5500" w:type="dxa"/>
            <w:vAlign w:val="bottom"/>
          </w:tcPr>
          <w:p>
            <w:pPr>
              <w:ind w:left="20"/>
              <w:spacing w:after="0" w:line="193" w:lineRule="exact"/>
              <w:rPr>
                <w:sz w:val="20"/>
                <w:szCs w:val="20"/>
                <w:color w:val="auto"/>
              </w:rPr>
            </w:pPr>
            <w:r>
              <w:rPr>
                <w:rFonts w:ascii="Arial" w:cs="Arial" w:eastAsia="Arial" w:hAnsi="Arial"/>
                <w:sz w:val="17"/>
                <w:szCs w:val="17"/>
                <w:color w:val="auto"/>
              </w:rPr>
              <w:t>Operating expenses: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r>
      <w:tr>
        <w:trPr>
          <w:trHeight w:val="212"/>
        </w:trPr>
        <w:tc>
          <w:tcPr>
            <w:tcW w:w="5500" w:type="dxa"/>
            <w:vAlign w:val="bottom"/>
          </w:tcPr>
          <w:p>
            <w:pPr>
              <w:ind w:left="20"/>
              <w:spacing w:after="0"/>
              <w:rPr>
                <w:sz w:val="20"/>
                <w:szCs w:val="20"/>
                <w:color w:val="auto"/>
              </w:rPr>
            </w:pPr>
            <w:r>
              <w:rPr>
                <w:rFonts w:ascii="Arial" w:cs="Arial" w:eastAsia="Arial" w:hAnsi="Arial"/>
                <w:sz w:val="17"/>
                <w:szCs w:val="17"/>
                <w:color w:val="auto"/>
              </w:rPr>
              <w:t>Selling and marketing expenses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42.8</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w:t>
            </w:r>
          </w:p>
        </w:tc>
      </w:tr>
      <w:tr>
        <w:trPr>
          <w:trHeight w:val="205"/>
        </w:trPr>
        <w:tc>
          <w:tcPr>
            <w:tcW w:w="5500" w:type="dxa"/>
            <w:vAlign w:val="bottom"/>
            <w:tcBorders>
              <w:bottom w:val="single" w:sz="8" w:color="CCEEFF"/>
            </w:tcBorders>
          </w:tcPr>
          <w:p>
            <w:pPr>
              <w:ind w:left="20"/>
              <w:spacing w:after="0" w:line="193" w:lineRule="exact"/>
              <w:rPr>
                <w:sz w:val="20"/>
                <w:szCs w:val="20"/>
                <w:color w:val="auto"/>
              </w:rPr>
            </w:pPr>
            <w:r>
              <w:rPr>
                <w:rFonts w:ascii="Arial" w:cs="Arial" w:eastAsia="Arial" w:hAnsi="Arial"/>
                <w:sz w:val="17"/>
                <w:szCs w:val="17"/>
                <w:color w:val="auto"/>
              </w:rPr>
              <w:t>Total operating expenses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164.6</w:t>
            </w:r>
          </w:p>
        </w:tc>
      </w:tr>
      <w:tr>
        <w:trPr>
          <w:trHeight w:val="205"/>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71.8</w:t>
            </w:r>
          </w:p>
        </w:tc>
      </w:tr>
      <w:tr>
        <w:trPr>
          <w:trHeight w:val="212"/>
        </w:trPr>
        <w:tc>
          <w:tcPr>
            <w:tcW w:w="5500" w:type="dxa"/>
            <w:vAlign w:val="bottom"/>
          </w:tcPr>
          <w:p>
            <w:pPr>
              <w:ind w:left="20"/>
              <w:spacing w:after="0"/>
              <w:rPr>
                <w:sz w:val="20"/>
                <w:szCs w:val="20"/>
                <w:color w:val="auto"/>
              </w:rPr>
            </w:pPr>
            <w:r>
              <w:rPr>
                <w:rFonts w:ascii="Arial" w:cs="Arial" w:eastAsia="Arial" w:hAnsi="Arial"/>
                <w:sz w:val="17"/>
                <w:szCs w:val="17"/>
                <w:color w:val="auto"/>
              </w:rPr>
              <w:t>Foreign exchange gain, net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12"/>
        </w:trPr>
        <w:tc>
          <w:tcPr>
            <w:tcW w:w="550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settlement of convertible notes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w w:val="96"/>
              </w:rPr>
              <w:t>Income before income tax expense and earnings from equity affiliates</w:t>
            </w: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30.7</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35.0</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108.5</w:t>
            </w:r>
          </w:p>
        </w:tc>
        <w:tc>
          <w:tcPr>
            <w:tcW w:w="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75.9</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205"/>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26.5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26.5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86.4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57.5</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equity-method investment</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05"/>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82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86.4</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57.3</w:t>
            </w:r>
          </w:p>
        </w:tc>
      </w:tr>
      <w:tr>
        <w:trPr>
          <w:trHeight w:val="20"/>
        </w:trPr>
        <w:tc>
          <w:tcPr>
            <w:tcW w:w="5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2021 Compared to Three Months Ended September 30, 2020</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Revenues.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revenues by reportable segments for the three months ended September 30, 2021 and 2020:</w:t>
      </w:r>
    </w:p>
    <w:p>
      <w:pPr>
        <w:spacing w:after="0" w:line="59" w:lineRule="exact"/>
        <w:rPr>
          <w:sz w:val="20"/>
          <w:szCs w:val="20"/>
          <w:color w:val="auto"/>
        </w:rPr>
      </w:pPr>
    </w:p>
    <w:tbl>
      <w:tblPr>
        <w:tblLayout w:type="fixed"/>
        <w:tblInd w:w="600" w:type="dxa"/>
        <w:tblCellMar>
          <w:top w:w="0" w:type="dxa"/>
          <w:left w:w="0" w:type="dxa"/>
          <w:bottom w:w="0" w:type="dxa"/>
          <w:right w:w="0" w:type="dxa"/>
        </w:tblCellMar>
      </w:tblPr>
      <w:tr>
        <w:trPr>
          <w:trHeight w:val="178"/>
        </w:trPr>
        <w:tc>
          <w:tcPr>
            <w:tcW w:w="3700" w:type="dxa"/>
            <w:vAlign w:val="bottom"/>
          </w:tcPr>
          <w:p>
            <w:pPr>
              <w:spacing w:after="0"/>
              <w:rPr>
                <w:sz w:val="15"/>
                <w:szCs w:val="15"/>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2"/>
              <w:spacing w:after="0"/>
              <w:rPr>
                <w:sz w:val="20"/>
                <w:szCs w:val="20"/>
                <w:color w:val="auto"/>
              </w:rPr>
            </w:pPr>
            <w:r>
              <w:rPr>
                <w:rFonts w:ascii="Arial" w:cs="Arial" w:eastAsia="Arial" w:hAnsi="Arial"/>
                <w:sz w:val="13"/>
                <w:szCs w:val="13"/>
                <w:b w:val="1"/>
                <w:bCs w:val="1"/>
                <w:color w:val="auto"/>
              </w:rPr>
              <w:t>Percentage</w:t>
            </w:r>
          </w:p>
        </w:tc>
        <w:tc>
          <w:tcPr>
            <w:tcW w:w="260" w:type="dxa"/>
            <w:vAlign w:val="bottom"/>
          </w:tcPr>
          <w:p>
            <w:pPr>
              <w:spacing w:after="0"/>
              <w:rPr>
                <w:sz w:val="15"/>
                <w:szCs w:val="15"/>
                <w:color w:val="auto"/>
              </w:rPr>
            </w:pPr>
          </w:p>
        </w:tc>
      </w:tr>
      <w:tr>
        <w:trPr>
          <w:trHeight w:val="184"/>
        </w:trPr>
        <w:tc>
          <w:tcPr>
            <w:tcW w:w="37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420" w:type="dxa"/>
            <w:vAlign w:val="bottom"/>
          </w:tcPr>
          <w:p>
            <w:pPr>
              <w:jc w:val="right"/>
              <w:ind w:right="302"/>
              <w:spacing w:after="0"/>
              <w:rPr>
                <w:sz w:val="20"/>
                <w:szCs w:val="20"/>
                <w:color w:val="auto"/>
              </w:rPr>
            </w:pPr>
            <w:r>
              <w:rPr>
                <w:rFonts w:ascii="Arial" w:cs="Arial" w:eastAsia="Arial" w:hAnsi="Arial"/>
                <w:sz w:val="13"/>
                <w:szCs w:val="13"/>
                <w:b w:val="1"/>
                <w:bCs w:val="1"/>
                <w:color w:val="auto"/>
              </w:rPr>
              <w:t>change</w:t>
            </w:r>
          </w:p>
        </w:tc>
        <w:tc>
          <w:tcPr>
            <w:tcW w:w="260" w:type="dxa"/>
            <w:vAlign w:val="bottom"/>
          </w:tcPr>
          <w:p>
            <w:pPr>
              <w:spacing w:after="0"/>
              <w:rPr>
                <w:sz w:val="15"/>
                <w:szCs w:val="15"/>
                <w:color w:val="auto"/>
              </w:rPr>
            </w:pPr>
          </w:p>
        </w:tc>
      </w:tr>
      <w:tr>
        <w:trPr>
          <w:trHeight w:val="167"/>
        </w:trPr>
        <w:tc>
          <w:tcPr>
            <w:tcW w:w="37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3"/>
          </w:tcPr>
          <w:p>
            <w:pPr>
              <w:jc w:val="right"/>
              <w:ind w:right="382"/>
              <w:spacing w:after="0"/>
              <w:rPr>
                <w:sz w:val="20"/>
                <w:szCs w:val="20"/>
                <w:color w:val="auto"/>
              </w:rPr>
            </w:pPr>
            <w:r>
              <w:rPr>
                <w:rFonts w:ascii="Arial" w:cs="Arial" w:eastAsia="Arial" w:hAnsi="Arial"/>
                <w:sz w:val="13"/>
                <w:szCs w:val="13"/>
                <w:b w:val="1"/>
                <w:bCs w:val="1"/>
                <w:color w:val="auto"/>
              </w:rPr>
              <w:t>(dollars in millions)</w:t>
            </w: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r>
      <w:tr>
        <w:trPr>
          <w:trHeight w:val="213"/>
        </w:trPr>
        <w:tc>
          <w:tcPr>
            <w:tcW w:w="3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Insurance</w:t>
            </w:r>
          </w:p>
        </w:tc>
        <w:tc>
          <w:tcPr>
            <w:tcW w:w="1140" w:type="dxa"/>
            <w:vAlign w:val="bottom"/>
            <w:shd w:val="clear" w:color="auto" w:fill="CCEEFF"/>
          </w:tcPr>
          <w:p>
            <w:pPr>
              <w:jc w:val="right"/>
              <w:ind w:right="60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82"/>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11.6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700" w:type="dxa"/>
            <w:vAlign w:val="bottom"/>
          </w:tcPr>
          <w:p>
            <w:pPr>
              <w:ind w:left="380"/>
              <w:spacing w:after="0"/>
              <w:rPr>
                <w:sz w:val="20"/>
                <w:szCs w:val="20"/>
                <w:color w:val="auto"/>
              </w:rPr>
            </w:pPr>
            <w:r>
              <w:rPr>
                <w:rFonts w:ascii="Arial" w:cs="Arial" w:eastAsia="Arial" w:hAnsi="Arial"/>
                <w:sz w:val="17"/>
                <w:szCs w:val="17"/>
                <w:color w:val="auto"/>
              </w:rPr>
              <w:t>Healthcare</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420" w:type="dxa"/>
            <w:vAlign w:val="bottom"/>
          </w:tcPr>
          <w:p>
            <w:pPr>
              <w:jc w:val="right"/>
              <w:ind w:right="242"/>
              <w:spacing w:after="0"/>
              <w:rPr>
                <w:sz w:val="20"/>
                <w:szCs w:val="20"/>
                <w:color w:val="auto"/>
              </w:rPr>
            </w:pPr>
            <w:r>
              <w:rPr>
                <w:rFonts w:ascii="Arial" w:cs="Arial" w:eastAsia="Arial" w:hAnsi="Arial"/>
                <w:sz w:val="17"/>
                <w:szCs w:val="17"/>
                <w:color w:val="auto"/>
              </w:rPr>
              <w:t>8.9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Emerging Business</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18.5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Analytics</w:t>
            </w: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120.5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242"/>
              <w:spacing w:after="0"/>
              <w:rPr>
                <w:sz w:val="20"/>
                <w:szCs w:val="20"/>
                <w:color w:val="auto"/>
              </w:rPr>
            </w:pPr>
            <w:r>
              <w:rPr>
                <w:rFonts w:ascii="Arial" w:cs="Arial" w:eastAsia="Arial" w:hAnsi="Arial"/>
                <w:sz w:val="17"/>
                <w:szCs w:val="17"/>
                <w:color w:val="auto"/>
              </w:rPr>
              <w:t>33.1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3700" w:type="dxa"/>
            <w:vAlign w:val="bottom"/>
            <w:tcBorders>
              <w:bottom w:val="single" w:sz="8" w:color="CCEEFF"/>
            </w:tcBorders>
            <w:shd w:val="clear" w:color="auto" w:fill="CCEEFF"/>
          </w:tcPr>
          <w:p>
            <w:pPr>
              <w:ind w:left="380"/>
              <w:spacing w:after="0" w:line="193" w:lineRule="exact"/>
              <w:rPr>
                <w:sz w:val="20"/>
                <w:szCs w:val="20"/>
                <w:color w:val="auto"/>
              </w:rPr>
            </w:pPr>
            <w:r>
              <w:rPr>
                <w:rFonts w:ascii="Arial" w:cs="Arial" w:eastAsia="Arial" w:hAnsi="Arial"/>
                <w:sz w:val="17"/>
                <w:szCs w:val="17"/>
                <w:color w:val="auto"/>
              </w:rPr>
              <w:t>Total revenues, net</w:t>
            </w:r>
          </w:p>
        </w:tc>
        <w:tc>
          <w:tcPr>
            <w:tcW w:w="114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290.3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241.0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7"/>
                <w:szCs w:val="17"/>
                <w:color w:val="auto"/>
              </w:rPr>
              <w:t>20.5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Revenues for the three months ended September 30, 2021 were $290.3 million, up $49.3 million, or 20.5%, compared to the three months ended September 30,</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216"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color w:val="auto"/>
        </w:rPr>
        <w:t>Revenue growth in Insurance of $10.2 million was primarily driven by expansion of business from our existing clients aggregating to $9.9 million and an increase in revenues of $0.3 million that was mainly attributable to the appreciation of the U.K. pound sterling against the U.S. dollar during the three months ended September 30, 2021, compared to the three months ended September 30, 2020. Insurance revenues were 33.8% and 36.4% of our total revenues in the three months ended September 30, 2021 and September 30, 2020, respectively.</w:t>
      </w:r>
    </w:p>
    <w:p>
      <w:pPr>
        <w:spacing w:after="0" w:line="202" w:lineRule="exact"/>
        <w:rPr>
          <w:sz w:val="20"/>
          <w:szCs w:val="20"/>
          <w:color w:val="auto"/>
        </w:rPr>
      </w:pPr>
    </w:p>
    <w:p>
      <w:pPr>
        <w:jc w:val="both"/>
        <w:ind w:firstLine="375"/>
        <w:spacing w:after="0"/>
        <w:rPr>
          <w:sz w:val="20"/>
          <w:szCs w:val="20"/>
          <w:color w:val="auto"/>
        </w:rPr>
      </w:pPr>
      <w:r>
        <w:rPr>
          <w:rFonts w:ascii="Arial" w:cs="Arial" w:eastAsia="Arial" w:hAnsi="Arial"/>
          <w:sz w:val="17"/>
          <w:szCs w:val="17"/>
          <w:color w:val="auto"/>
        </w:rPr>
        <w:t>Revenue growth in Healthcare of $2.2 million was primarily driven by expansion of business from our new clients aggregating to $2.2 million during the three months ended September 30, 2021. Healthcare revenues were 9.4% and 10.4% of our total revenues in the three months ended September 30, 2021 and September 30, 2020, respectively.</w:t>
      </w:r>
    </w:p>
    <w:p>
      <w:pPr>
        <w:spacing w:after="0" w:line="200"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6"/>
          <w:szCs w:val="16"/>
          <w:color w:val="auto"/>
        </w:rPr>
        <w:t>Revenue growth in Emerging Business of $6.9 million was primarily driven by expansion of business from our new and existing clients aggregating to $6.8 million and an increase in revenues of $0.1 million that was mainly attributable to the appreciation of the U.K. pound sterling against the U.S. dollar during the three months ended September 30, 2021, compared to the three months ended September 30, 2020. Emerging Business revenues were 15.3% and 15.6% of our total revenues in the three months ended September 30, 2021 and September 30, 2020, respectively.</w:t>
      </w:r>
    </w:p>
    <w:p>
      <w:pPr>
        <w:spacing w:after="0" w:line="189" w:lineRule="exact"/>
        <w:rPr>
          <w:sz w:val="20"/>
          <w:szCs w:val="20"/>
          <w:color w:val="auto"/>
        </w:rPr>
      </w:pPr>
    </w:p>
    <w:p>
      <w:pPr>
        <w:jc w:val="both"/>
        <w:ind w:firstLine="375"/>
        <w:spacing w:after="0" w:line="272" w:lineRule="auto"/>
        <w:rPr>
          <w:sz w:val="20"/>
          <w:szCs w:val="20"/>
          <w:color w:val="auto"/>
        </w:rPr>
      </w:pPr>
      <w:r>
        <w:rPr>
          <w:rFonts w:ascii="Arial" w:cs="Arial" w:eastAsia="Arial" w:hAnsi="Arial"/>
          <w:sz w:val="16"/>
          <w:szCs w:val="16"/>
          <w:color w:val="auto"/>
        </w:rPr>
        <w:t>Revenue growth in Analytics of $30.0 million was attributable to the higher volumes in our annuity and project-based engagements from our new and existing clients of $29.6 million and an increase in revenues of $0.4 million mainly attributable to the appreciation of the U.K. pound sterling and the South African ZAR against the U.S. dollar during the three months ended September 30, 2021, compared to the three months ended September 30, 2020. Analytics revenues were 41.5% and 37.5% of our total revenues in the three months ended September 30, 2021 and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Cost of Revenues and Gross Margin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sets forth cost of revenues and gross margin of our reportable segments.</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Cost of Revenues</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rPr>
              <w:t>Gross Margin</w:t>
            </w:r>
          </w:p>
        </w:tc>
        <w:tc>
          <w:tcPr>
            <w:tcW w:w="1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4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September 30,</w:t>
            </w:r>
          </w:p>
        </w:tc>
        <w:tc>
          <w:tcPr>
            <w:tcW w:w="62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1400" w:type="dxa"/>
            <w:vAlign w:val="bottom"/>
            <w:gridSpan w:val="3"/>
            <w:vMerge w:val="restart"/>
          </w:tcPr>
          <w:p>
            <w:pPr>
              <w:ind w:left="560"/>
              <w:spacing w:after="0"/>
              <w:rPr>
                <w:sz w:val="20"/>
                <w:szCs w:val="20"/>
                <w:color w:val="auto"/>
              </w:rPr>
            </w:pPr>
            <w:r>
              <w:rPr>
                <w:rFonts w:ascii="Arial" w:cs="Arial" w:eastAsia="Arial" w:hAnsi="Arial"/>
                <w:sz w:val="13"/>
                <w:szCs w:val="13"/>
                <w:b w:val="1"/>
                <w:bCs w:val="1"/>
                <w:color w:val="auto"/>
              </w:rPr>
              <w:t>Percentage</w:t>
            </w:r>
          </w:p>
        </w:tc>
        <w:tc>
          <w:tcPr>
            <w:tcW w:w="2800" w:type="dxa"/>
            <w:vAlign w:val="bottom"/>
            <w:gridSpan w:val="6"/>
          </w:tcPr>
          <w:p>
            <w:pPr>
              <w:ind w:left="560"/>
              <w:spacing w:after="0"/>
              <w:rPr>
                <w:sz w:val="20"/>
                <w:szCs w:val="20"/>
                <w:color w:val="auto"/>
              </w:rPr>
            </w:pPr>
            <w:r>
              <w:rPr>
                <w:rFonts w:ascii="Arial" w:cs="Arial" w:eastAsia="Arial" w:hAnsi="Arial"/>
                <w:sz w:val="13"/>
                <w:szCs w:val="13"/>
                <w:b w:val="1"/>
                <w:bCs w:val="1"/>
                <w:color w:val="auto"/>
              </w:rPr>
              <w:t>Three months ended September 30,</w:t>
            </w: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63"/>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vMerge w:val="restart"/>
          </w:tcPr>
          <w:p>
            <w:pPr>
              <w:jc w:val="right"/>
              <w:ind w:right="262"/>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vMerge w:val="restart"/>
          </w:tcPr>
          <w:p>
            <w:pPr>
              <w:jc w:val="right"/>
              <w:ind w:right="240"/>
              <w:spacing w:after="0"/>
              <w:rPr>
                <w:sz w:val="20"/>
                <w:szCs w:val="20"/>
                <w:color w:val="auto"/>
              </w:rPr>
            </w:pPr>
            <w:r>
              <w:rPr>
                <w:rFonts w:ascii="Arial" w:cs="Arial" w:eastAsia="Arial" w:hAnsi="Arial"/>
                <w:sz w:val="13"/>
                <w:szCs w:val="13"/>
                <w:b w:val="1"/>
                <w:bCs w:val="1"/>
                <w:color w:val="auto"/>
                <w:w w:val="89"/>
              </w:rPr>
              <w:t>2021</w:t>
            </w: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vMerge w:val="restart"/>
          </w:tcPr>
          <w:p>
            <w:pPr>
              <w:jc w:val="right"/>
              <w:ind w:right="240"/>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change</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16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Insurance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8.1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40"/>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1160" w:type="dxa"/>
            <w:vAlign w:val="bottom"/>
          </w:tcPr>
          <w:p>
            <w:pPr>
              <w:ind w:left="420"/>
              <w:spacing w:after="0"/>
              <w:rPr>
                <w:sz w:val="20"/>
                <w:szCs w:val="20"/>
                <w:color w:val="auto"/>
              </w:rPr>
            </w:pPr>
            <w:r>
              <w:rPr>
                <w:rFonts w:ascii="Arial" w:cs="Arial" w:eastAsia="Arial" w:hAnsi="Arial"/>
                <w:sz w:val="17"/>
                <w:szCs w:val="17"/>
                <w:color w:val="auto"/>
                <w:w w:val="87"/>
              </w:rPr>
              <w:t>Healthcare</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8"/>
                <w:szCs w:val="18"/>
                <w:color w:val="auto"/>
              </w:rPr>
            </w:pPr>
          </w:p>
        </w:tc>
        <w:tc>
          <w:tcPr>
            <w:tcW w:w="1020" w:type="dxa"/>
            <w:vAlign w:val="bottom"/>
          </w:tcPr>
          <w:p>
            <w:pPr>
              <w:ind w:left="440"/>
              <w:spacing w:after="0"/>
              <w:rPr>
                <w:sz w:val="20"/>
                <w:szCs w:val="20"/>
                <w:color w:val="auto"/>
              </w:rPr>
            </w:pPr>
            <w:r>
              <w:rPr>
                <w:rFonts w:ascii="Arial" w:cs="Arial" w:eastAsia="Arial" w:hAnsi="Arial"/>
                <w:sz w:val="17"/>
                <w:szCs w:val="17"/>
                <w:color w:val="auto"/>
              </w:rPr>
              <w:t>(5.0)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37.6</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28.4</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20" w:type="dxa"/>
            <w:vAlign w:val="bottom"/>
          </w:tcPr>
          <w:p>
            <w:pPr>
              <w:jc w:val="right"/>
              <w:ind w:right="340"/>
              <w:spacing w:after="0"/>
              <w:rPr>
                <w:sz w:val="20"/>
                <w:szCs w:val="20"/>
                <w:color w:val="auto"/>
              </w:rPr>
            </w:pPr>
            <w:r>
              <w:rPr>
                <w:rFonts w:ascii="Arial" w:cs="Arial" w:eastAsia="Arial" w:hAnsi="Arial"/>
                <w:sz w:val="17"/>
                <w:szCs w:val="17"/>
                <w:color w:val="auto"/>
              </w:rPr>
              <w:t>9.2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420"/>
              <w:spacing w:after="0" w:line="163" w:lineRule="exact"/>
              <w:rPr>
                <w:sz w:val="20"/>
                <w:szCs w:val="20"/>
                <w:color w:val="auto"/>
              </w:rPr>
            </w:pPr>
            <w:r>
              <w:rPr>
                <w:rFonts w:ascii="Arial" w:cs="Arial" w:eastAsia="Arial" w:hAnsi="Arial"/>
                <w:sz w:val="17"/>
                <w:szCs w:val="17"/>
                <w:color w:val="auto"/>
                <w:w w:val="98"/>
              </w:rPr>
              <w:t>Emerging</w:t>
            </w:r>
          </w:p>
        </w:tc>
        <w:tc>
          <w:tcPr>
            <w:tcW w:w="5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ind w:left="440"/>
              <w:spacing w:after="0"/>
              <w:rPr>
                <w:sz w:val="20"/>
                <w:szCs w:val="20"/>
                <w:color w:val="auto"/>
              </w:rPr>
            </w:pPr>
            <w:r>
              <w:rPr>
                <w:rFonts w:ascii="Arial" w:cs="Arial" w:eastAsia="Arial" w:hAnsi="Arial"/>
                <w:sz w:val="17"/>
                <w:szCs w:val="17"/>
                <w:color w:val="auto"/>
              </w:rPr>
              <w:t>13.9</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40"/>
              <w:spacing w:after="0"/>
              <w:rPr>
                <w:sz w:val="20"/>
                <w:szCs w:val="20"/>
                <w:color w:val="auto"/>
              </w:rPr>
            </w:pPr>
            <w:r>
              <w:rPr>
                <w:rFonts w:ascii="Arial" w:cs="Arial" w:eastAsia="Arial" w:hAnsi="Arial"/>
                <w:sz w:val="17"/>
                <w:szCs w:val="17"/>
                <w:color w:val="auto"/>
              </w:rPr>
              <w:t>2.1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Business</w:t>
            </w:r>
          </w:p>
        </w:tc>
        <w:tc>
          <w:tcPr>
            <w:tcW w:w="5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Analytics</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33.6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7"/>
                <w:szCs w:val="17"/>
                <w:color w:val="auto"/>
              </w:rPr>
              <w:t>(0.3)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CCEEFF"/>
            </w:tcBorders>
            <w:shd w:val="clear" w:color="auto" w:fill="CCEEFF"/>
          </w:tcPr>
          <w:p>
            <w:pPr>
              <w:ind w:left="420"/>
              <w:spacing w:after="0" w:line="193" w:lineRule="exact"/>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177.7</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16.8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7"/>
                <w:szCs w:val="17"/>
                <w:color w:val="auto"/>
              </w:rPr>
              <w:t>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right="100" w:firstLine="375"/>
        <w:spacing w:after="0" w:line="226" w:lineRule="auto"/>
        <w:rPr>
          <w:sz w:val="20"/>
          <w:szCs w:val="20"/>
          <w:color w:val="auto"/>
        </w:rPr>
      </w:pPr>
      <w:r>
        <w:rPr>
          <w:rFonts w:ascii="Arial" w:cs="Arial" w:eastAsia="Arial" w:hAnsi="Arial"/>
          <w:sz w:val="17"/>
          <w:szCs w:val="17"/>
          <w:color w:val="auto"/>
        </w:rPr>
        <w:t>For the three months ended September 30, 2021, cost of revenues was $177.7 million compared to $152.1 million for the three months ended September 30, 2020, an increase of $25.6 million, or 16.8%. Our gross margin for the three months ended September 30, 2021 was 38.8% compared to 36.9% for the three months ended September 30, 2020, an increase of 190 basis points ("bps") primarily driven by higher revenues and operational efficiencies during the three months ended September 30, 2021, compared to three months ended September 30, 2020.</w:t>
      </w:r>
    </w:p>
    <w:p>
      <w:pPr>
        <w:spacing w:after="0" w:line="188" w:lineRule="exact"/>
        <w:rPr>
          <w:sz w:val="20"/>
          <w:szCs w:val="20"/>
          <w:color w:val="auto"/>
        </w:rPr>
      </w:pPr>
    </w:p>
    <w:p>
      <w:pPr>
        <w:jc w:val="both"/>
        <w:ind w:right="100" w:firstLine="375"/>
        <w:spacing w:after="0"/>
        <w:rPr>
          <w:sz w:val="20"/>
          <w:szCs w:val="20"/>
          <w:color w:val="auto"/>
        </w:rPr>
      </w:pPr>
      <w:r>
        <w:rPr>
          <w:rFonts w:ascii="Arial" w:cs="Arial" w:eastAsia="Arial" w:hAnsi="Arial"/>
          <w:sz w:val="16"/>
          <w:szCs w:val="16"/>
          <w:color w:val="auto"/>
        </w:rPr>
        <w:t>The increase in cost of revenues in Insurance of $4.6 million for the three months ended September 30, 2021 was primarily due to increases in employee-related costs of $6.0 million, partially offset by lower travel costs of $1.3 million and foreign exchange gain, net of hedging $0.1 million. Gross margin in Insurance increased by 200 bps during the three months ended September 30, 2021, compared to the three months ended September 30, 2020, primarily due to operational efficiencies during the three months ended September 30, 2021, compared to the three months ended September 30, 2020.</w:t>
      </w:r>
    </w:p>
    <w:p>
      <w:pPr>
        <w:spacing w:after="0" w:line="188" w:lineRule="exact"/>
        <w:rPr>
          <w:sz w:val="20"/>
          <w:szCs w:val="20"/>
          <w:color w:val="auto"/>
        </w:rPr>
      </w:pPr>
    </w:p>
    <w:p>
      <w:pPr>
        <w:jc w:val="both"/>
        <w:ind w:right="100" w:firstLine="375"/>
        <w:spacing w:after="0" w:line="226" w:lineRule="auto"/>
        <w:rPr>
          <w:sz w:val="20"/>
          <w:szCs w:val="20"/>
          <w:color w:val="auto"/>
        </w:rPr>
      </w:pPr>
      <w:r>
        <w:rPr>
          <w:rFonts w:ascii="Arial" w:cs="Arial" w:eastAsia="Arial" w:hAnsi="Arial"/>
          <w:sz w:val="17"/>
          <w:szCs w:val="17"/>
          <w:color w:val="auto"/>
        </w:rPr>
        <w:t>The decrease in cost of revenues in Healthcare of $0.9 million for the three months ended September 30, 2021 was primarily due to decreases in employee-related costs of $0.5 million and lower technology costs of $0.4 million. Gross margin in Healthcare increased by 920 bps during the three months ended September 30, 2021, compared to the three months ended September 30, 2020, primarily due to higher revenues and operational efficiencies during the three months ended September 30, 2021, compared to the three months ended September 30, 2020.</w:t>
      </w:r>
    </w:p>
    <w:p>
      <w:pPr>
        <w:spacing w:after="0" w:line="200" w:lineRule="exact"/>
        <w:rPr>
          <w:sz w:val="20"/>
          <w:szCs w:val="20"/>
          <w:color w:val="auto"/>
        </w:rPr>
      </w:pPr>
    </w:p>
    <w:p>
      <w:pPr>
        <w:jc w:val="both"/>
        <w:ind w:right="100" w:firstLine="375"/>
        <w:spacing w:after="0" w:line="237" w:lineRule="auto"/>
        <w:rPr>
          <w:sz w:val="20"/>
          <w:szCs w:val="20"/>
          <w:color w:val="auto"/>
        </w:rPr>
      </w:pPr>
      <w:r>
        <w:rPr>
          <w:rFonts w:ascii="Arial" w:cs="Arial" w:eastAsia="Arial" w:hAnsi="Arial"/>
          <w:sz w:val="17"/>
          <w:szCs w:val="17"/>
          <w:color w:val="auto"/>
        </w:rPr>
        <w:t>The increase in cost of revenues in Emerging Business of $2.9 million for the three months ended September 30, 2021 was primarily due to increases in employee-related costs of $2.5 million and higher technology costs of $0.4 million. Gross margin in Emerging Business increased by 210 bps during the three months ended September 30, 2021, compared to the three months ended September 30, 2020, primarily due to higher revenues and operational efficiencies during the three months ended September 30, 2021, compared to the three months ended September 30, 2020.</w:t>
      </w:r>
    </w:p>
    <w:p>
      <w:pPr>
        <w:spacing w:after="0" w:line="189" w:lineRule="exact"/>
        <w:rPr>
          <w:sz w:val="20"/>
          <w:szCs w:val="20"/>
          <w:color w:val="auto"/>
        </w:rPr>
      </w:pPr>
    </w:p>
    <w:p>
      <w:pPr>
        <w:jc w:val="both"/>
        <w:ind w:right="100" w:firstLine="375"/>
        <w:spacing w:after="0" w:line="237" w:lineRule="auto"/>
        <w:rPr>
          <w:sz w:val="20"/>
          <w:szCs w:val="20"/>
          <w:color w:val="auto"/>
        </w:rPr>
      </w:pPr>
      <w:r>
        <w:rPr>
          <w:rFonts w:ascii="Arial" w:cs="Arial" w:eastAsia="Arial" w:hAnsi="Arial"/>
          <w:sz w:val="16"/>
          <w:szCs w:val="16"/>
          <w:color w:val="auto"/>
        </w:rPr>
        <w:t>The increase in cost of revenues in Analytics of $19.0 million for the three months ended September 30, 2021 was primarily due to increases in employee-related costs of $15.8 million and higher other operating costs of $4.1 million, partially offset by lower infrastructure costs of $0.5 million and foreign exchange gain, net of hedging $0.4 million. Gross margin in Analytics decreased by 30 bps during the three months ended September 30, 2021, compared to the three months ended September 30, 2020, primarily due to increases in employee-related costs, partially offset by higher revenues and operational efficiencies during the three months ended September 30, 2021, compared to the three months ended September 30, 2020.</w:t>
      </w: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348"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5160" w:type="dxa"/>
            <w:vAlign w:val="bottom"/>
          </w:tcPr>
          <w:p>
            <w:pPr>
              <w:spacing w:after="0"/>
              <w:rPr>
                <w:sz w:val="15"/>
                <w:szCs w:val="15"/>
                <w:color w:val="auto"/>
              </w:rPr>
            </w:pPr>
          </w:p>
        </w:tc>
        <w:tc>
          <w:tcPr>
            <w:tcW w:w="308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1"/>
              </w:rPr>
              <w:t>Three months ended September 30,</w:t>
            </w:r>
          </w:p>
        </w:tc>
        <w:tc>
          <w:tcPr>
            <w:tcW w:w="20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Change</w:t>
            </w:r>
          </w:p>
        </w:tc>
        <w:tc>
          <w:tcPr>
            <w:tcW w:w="1420" w:type="dxa"/>
            <w:vAlign w:val="bottom"/>
          </w:tcPr>
          <w:p>
            <w:pPr>
              <w:jc w:val="right"/>
              <w:ind w:right="323"/>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62"/>
        </w:trPr>
        <w:tc>
          <w:tcPr>
            <w:tcW w:w="516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20" w:type="dxa"/>
            <w:vAlign w:val="bottom"/>
            <w:vMerge w:val="restart"/>
          </w:tcPr>
          <w:p>
            <w:pPr>
              <w:jc w:val="right"/>
              <w:ind w:right="42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90"/>
        </w:trPr>
        <w:tc>
          <w:tcPr>
            <w:tcW w:w="516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(dollars in millions)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35.1 %</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and marketing expenses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21.7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41.8 %</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Selling, general and administrative expenses</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57.9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42.1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ind w:left="40"/>
              <w:spacing w:after="0" w:line="182" w:lineRule="exact"/>
              <w:rPr>
                <w:sz w:val="20"/>
                <w:szCs w:val="20"/>
                <w:color w:val="auto"/>
              </w:rPr>
            </w:pPr>
            <w:r>
              <w:rPr>
                <w:rFonts w:ascii="Arial" w:cs="Arial" w:eastAsia="Arial" w:hAnsi="Arial"/>
                <w:sz w:val="17"/>
                <w:szCs w:val="17"/>
                <w:color w:val="auto"/>
                <w:w w:val="90"/>
              </w:rPr>
              <w:t>19.9 %</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ind w:left="400"/>
              <w:spacing w:after="0" w:line="182" w:lineRule="exact"/>
              <w:rPr>
                <w:sz w:val="20"/>
                <w:szCs w:val="20"/>
                <w:color w:val="auto"/>
              </w:rPr>
            </w:pPr>
            <w:r>
              <w:rPr>
                <w:rFonts w:ascii="Arial" w:cs="Arial" w:eastAsia="Arial" w:hAnsi="Arial"/>
                <w:sz w:val="17"/>
                <w:szCs w:val="17"/>
                <w:color w:val="auto"/>
                <w:w w:val="90"/>
              </w:rPr>
              <w:t>17.5 %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The increase in SG&amp;A expenses of $15.8 million was primarily due to higher employee-related costs of $13.5 million, COVID-19-related expenses of $0.7 million primarily related to financial support to family members of deceased employees, higher other operating costs of $2.6 million and higher travel costs of $0.3 million, partially offset by lower facilities costs of $1.3 million due to optimization of office space.</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5220" w:type="dxa"/>
            <w:vAlign w:val="bottom"/>
          </w:tcPr>
          <w:p>
            <w:pPr>
              <w:spacing w:after="0"/>
              <w:rPr>
                <w:sz w:val="15"/>
                <w:szCs w:val="15"/>
                <w:color w:val="auto"/>
              </w:rPr>
            </w:pPr>
          </w:p>
        </w:tc>
        <w:tc>
          <w:tcPr>
            <w:tcW w:w="3100" w:type="dxa"/>
            <w:vAlign w:val="bottom"/>
            <w:gridSpan w:val="6"/>
          </w:tcPr>
          <w:p>
            <w:pPr>
              <w:ind w:left="480"/>
              <w:spacing w:after="0"/>
              <w:rPr>
                <w:sz w:val="20"/>
                <w:szCs w:val="20"/>
                <w:color w:val="auto"/>
              </w:rPr>
            </w:pPr>
            <w:r>
              <w:rPr>
                <w:rFonts w:ascii="Arial" w:cs="Arial" w:eastAsia="Arial" w:hAnsi="Arial"/>
                <w:sz w:val="13"/>
                <w:szCs w:val="13"/>
                <w:b w:val="1"/>
                <w:bCs w:val="1"/>
                <w:color w:val="auto"/>
              </w:rPr>
              <w:t>Three months ended September 30,</w:t>
            </w:r>
          </w:p>
        </w:tc>
        <w:tc>
          <w:tcPr>
            <w:tcW w:w="180" w:type="dxa"/>
            <w:vAlign w:val="bottom"/>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Change</w:t>
            </w:r>
          </w:p>
        </w:tc>
        <w:tc>
          <w:tcPr>
            <w:tcW w:w="1420" w:type="dxa"/>
            <w:vAlign w:val="bottom"/>
            <w:vMerge w:val="restart"/>
          </w:tcPr>
          <w:p>
            <w:pPr>
              <w:jc w:val="right"/>
              <w:ind w:right="325"/>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47"/>
        </w:trPr>
        <w:tc>
          <w:tcPr>
            <w:tcW w:w="5220" w:type="dxa"/>
            <w:vAlign w:val="bottom"/>
          </w:tcPr>
          <w:p>
            <w:pPr>
              <w:spacing w:after="0"/>
              <w:rPr>
                <w:sz w:val="4"/>
                <w:szCs w:val="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52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7"/>
        </w:trPr>
        <w:tc>
          <w:tcPr>
            <w:tcW w:w="5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w w:val="93"/>
              </w:rPr>
              <w:t>(dollars in millions)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center"/>
              <w:ind w:left="361"/>
              <w:spacing w:after="0"/>
              <w:rPr>
                <w:sz w:val="20"/>
                <w:szCs w:val="20"/>
                <w:color w:val="auto"/>
              </w:rPr>
            </w:pPr>
            <w:r>
              <w:rPr>
                <w:rFonts w:ascii="Arial" w:cs="Arial" w:eastAsia="Arial" w:hAnsi="Arial"/>
                <w:sz w:val="17"/>
                <w:szCs w:val="17"/>
                <w:color w:val="auto"/>
                <w:w w:val="84"/>
              </w:rPr>
              <w:t>0.3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amortization expense</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321"/>
              <w:spacing w:after="0"/>
              <w:rPr>
                <w:sz w:val="20"/>
                <w:szCs w:val="20"/>
                <w:color w:val="auto"/>
              </w:rPr>
            </w:pPr>
            <w:r>
              <w:rPr>
                <w:rFonts w:ascii="Arial" w:cs="Arial" w:eastAsia="Arial" w:hAnsi="Arial"/>
                <w:sz w:val="17"/>
                <w:szCs w:val="17"/>
                <w:color w:val="auto"/>
                <w:w w:val="91"/>
              </w:rPr>
              <w:t>(0.4)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Depreciation and amortization expense</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w w:val="96"/>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center"/>
              <w:ind w:left="321"/>
              <w:spacing w:after="0"/>
              <w:rPr>
                <w:sz w:val="20"/>
                <w:szCs w:val="20"/>
                <w:color w:val="auto"/>
              </w:rPr>
            </w:pPr>
            <w:r>
              <w:rPr>
                <w:rFonts w:ascii="Arial" w:cs="Arial" w:eastAsia="Arial" w:hAnsi="Arial"/>
                <w:sz w:val="17"/>
                <w:szCs w:val="17"/>
                <w:color w:val="auto"/>
                <w:w w:val="91"/>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7"/>
                <w:szCs w:val="17"/>
                <w:color w:val="auto"/>
              </w:rPr>
              <w:t>4.2 %</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7"/>
                <w:szCs w:val="17"/>
                <w:color w:val="auto"/>
              </w:rPr>
              <w:t>5.2 %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375"/>
        <w:spacing w:after="0" w:line="223" w:lineRule="auto"/>
        <w:rPr>
          <w:sz w:val="20"/>
          <w:szCs w:val="20"/>
          <w:color w:val="auto"/>
        </w:rPr>
      </w:pPr>
      <w:r>
        <w:rPr>
          <w:rFonts w:ascii="Arial" w:cs="Arial" w:eastAsia="Arial" w:hAnsi="Arial"/>
          <w:sz w:val="17"/>
          <w:szCs w:val="17"/>
          <w:color w:val="auto"/>
        </w:rPr>
        <w:t>The decrease in intangibles amortization expense of $0.4 million was primarily due to end of useful lives for certain intangible assets during the three months ended September 30, 2021, compared to the three months ended September 30, 2020. The increase in depreciation expense of $0.3 million was primarily due to depreciation related to our investments in new operating centers, internally developed software and accelerated depreciation resulting from a reduction in useful lives related to certain operating centers, due to the impact of COVID-19 during the three months ended September 30, 2021, compared to the three months ended September 30, 2020.</w:t>
      </w:r>
    </w:p>
    <w:p>
      <w:pPr>
        <w:spacing w:after="0" w:line="303"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by $8.0 million, or 23.3%, from $34.4 million for the three months ended September 30, 2020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$42.4 million for the three months ended September 30, 2021, primarily due to higher revenues, partially offset by higher cost of revenues and higher SG&amp;A expenses during the three months ended September 30, 2021. As a percentage of revenues, income from operations increased from 14.3% for the three months ended September 30, 2020 to 14.6% for the three months ended September 30, 2021.</w:t>
      </w:r>
    </w:p>
    <w:p>
      <w:pPr>
        <w:spacing w:after="0" w:line="203"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b w:val="1"/>
          <w:bCs w:val="1"/>
          <w:i w:val="1"/>
          <w:iCs w:val="1"/>
          <w:color w:val="auto"/>
        </w:rPr>
        <w:t xml:space="preserve">Foreign Exchange Gain/(Loss). </w:t>
      </w:r>
      <w:r>
        <w:rPr>
          <w:rFonts w:ascii="Arial" w:cs="Arial" w:eastAsia="Arial" w:hAnsi="Arial"/>
          <w:sz w:val="15"/>
          <w:szCs w:val="15"/>
          <w:color w:val="auto"/>
        </w:rPr>
        <w:t>Net foreign exchange gains and losses are primarily attributable to the movement of the U.S. dollar against the Indian rupee,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U.K. pound sterling, the Philippine peso and the South African ZAR during the three months ended September 30, 2021. The average exchange rate of the U.S. dollar against the Indian rupee decreased from 74.06 during the three months ended September 30, 2020 to 73.88 during the three months ended September 30, 2021. The average exchange rate of the U.K. pound sterling against the U.S. dollar increased from 1.31 during the three months ended September 30, 2020 to 1.37 during the three months ended September 30, 2021. The average exchange rate of the U.S. dollar against the Philippine peso increased from 48.71 during the three months ended September 30, 2020 to 50.24 during the three months ended September 30, 2021. The average exchange rate of the U.S. dollar against the South African ZAR decreased from 16.84 during the three months ended September 30, 2020 to 14.76 during the three months ended September 30, 2021.</w:t>
      </w:r>
    </w:p>
    <w:p>
      <w:pPr>
        <w:spacing w:after="0" w:line="179"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We recorded a net foreign exchange gain of $1.2 million for the three months ended September 30, 2021, compared to the net foreign exchange gain of $0.7 million for three months ended September 30, 2020.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b w:val="1"/>
          <w:bCs w:val="1"/>
          <w:i w:val="1"/>
          <w:iCs w:val="1"/>
          <w:color w:val="auto"/>
        </w:rPr>
        <w:t>Interest expens</w:t>
      </w:r>
      <w:r>
        <w:rPr>
          <w:rFonts w:ascii="Arial" w:cs="Arial" w:eastAsia="Arial" w:hAnsi="Arial"/>
          <w:sz w:val="17"/>
          <w:szCs w:val="17"/>
          <w:color w:val="auto"/>
        </w:rPr>
        <w:t>e. Interest expense decreased from $2.6 million for the three months ended September 30, 2020 to $1.8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2021, primarily due to settlement of outstanding obligations under the Notes on August 27, 2021, partially offset by increase in interest expense under our Credit Facility due to higher effective interest rates of 2.3% during the three months ended September 30, 2021, compared to 1.9% during the three months ended September 30, 2020.</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rPr>
              <w:t>Three months ended September 30,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302"/>
              <w:spacing w:after="0"/>
              <w:rPr>
                <w:sz w:val="20"/>
                <w:szCs w:val="20"/>
                <w:color w:val="auto"/>
              </w:rPr>
            </w:pPr>
            <w:r>
              <w:rPr>
                <w:rFonts w:ascii="Arial" w:cs="Arial" w:eastAsia="Arial" w:hAnsi="Arial"/>
                <w:sz w:val="13"/>
                <w:szCs w:val="13"/>
                <w:b w:val="1"/>
                <w:bCs w:val="1"/>
                <w:color w:val="auto"/>
              </w:rPr>
              <w:t>Percentage</w:t>
            </w:r>
          </w:p>
        </w:tc>
      </w:tr>
      <w:tr>
        <w:trPr>
          <w:trHeight w:val="184"/>
        </w:trPr>
        <w:tc>
          <w:tcPr>
            <w:tcW w:w="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Change</w:t>
            </w:r>
          </w:p>
        </w:tc>
        <w:tc>
          <w:tcPr>
            <w:tcW w:w="1300" w:type="dxa"/>
            <w:vAlign w:val="bottom"/>
          </w:tcPr>
          <w:p>
            <w:pPr>
              <w:jc w:val="right"/>
              <w:ind w:right="362"/>
              <w:spacing w:after="0"/>
              <w:rPr>
                <w:sz w:val="20"/>
                <w:szCs w:val="20"/>
                <w:color w:val="auto"/>
              </w:rPr>
            </w:pPr>
            <w:r>
              <w:rPr>
                <w:rFonts w:ascii="Arial" w:cs="Arial" w:eastAsia="Arial" w:hAnsi="Arial"/>
                <w:sz w:val="13"/>
                <w:szCs w:val="13"/>
                <w:b w:val="1"/>
                <w:bCs w:val="1"/>
                <w:color w:val="auto"/>
              </w:rPr>
              <w:t>change</w:t>
            </w:r>
          </w:p>
        </w:tc>
      </w:tr>
      <w:tr>
        <w:trPr>
          <w:trHeight w:val="167"/>
        </w:trPr>
        <w:tc>
          <w:tcPr>
            <w:tcW w:w="6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gridSpan w:val="3"/>
          </w:tcPr>
          <w:p>
            <w:pPr>
              <w:jc w:val="right"/>
              <w:ind w:right="500"/>
              <w:spacing w:after="0"/>
              <w:rPr>
                <w:sz w:val="20"/>
                <w:szCs w:val="20"/>
                <w:color w:val="auto"/>
              </w:rPr>
            </w:pPr>
            <w:r>
              <w:rPr>
                <w:rFonts w:ascii="Arial" w:cs="Arial" w:eastAsia="Arial" w:hAnsi="Arial"/>
                <w:sz w:val="13"/>
                <w:szCs w:val="13"/>
                <w:b w:val="1"/>
                <w:bCs w:val="1"/>
                <w:color w:val="auto"/>
                <w:w w:val="92"/>
              </w:rPr>
              <w:t>(dollars in millions)</w:t>
            </w: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206"/>
        </w:trPr>
        <w:tc>
          <w:tcPr>
            <w:tcW w:w="60" w:type="dxa"/>
            <w:vAlign w:val="bottom"/>
          </w:tcPr>
          <w:p>
            <w:pPr>
              <w:spacing w:after="0"/>
              <w:rPr>
                <w:sz w:val="17"/>
                <w:szCs w:val="17"/>
                <w:color w:val="auto"/>
              </w:rPr>
            </w:pPr>
          </w:p>
        </w:tc>
        <w:tc>
          <w:tcPr>
            <w:tcW w:w="4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Gain on sale and mark-to-market of mutual funds</w:t>
            </w:r>
          </w:p>
        </w:tc>
        <w:tc>
          <w:tcPr>
            <w:tcW w:w="1900" w:type="dxa"/>
            <w:vAlign w:val="bottom"/>
            <w:gridSpan w:val="2"/>
            <w:shd w:val="clear" w:color="auto" w:fill="CCEEFF"/>
          </w:tcPr>
          <w:p>
            <w:pPr>
              <w:jc w:val="right"/>
              <w:ind w:right="69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ind w:left="120"/>
              <w:spacing w:after="0"/>
              <w:rPr>
                <w:sz w:val="20"/>
                <w:szCs w:val="20"/>
                <w:color w:val="auto"/>
              </w:rPr>
            </w:pPr>
            <w:r>
              <w:rPr>
                <w:rFonts w:ascii="Arial" w:cs="Arial" w:eastAsia="Arial" w:hAnsi="Arial"/>
                <w:sz w:val="17"/>
                <w:szCs w:val="17"/>
                <w:color w:val="auto"/>
                <w:w w:val="84"/>
              </w:rPr>
              <w:t>1.2</w:t>
            </w:r>
          </w:p>
        </w:tc>
        <w:tc>
          <w:tcPr>
            <w:tcW w:w="1060" w:type="dxa"/>
            <w:vAlign w:val="bottom"/>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2.0</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r>
      <w:tr>
        <w:trPr>
          <w:trHeight w:val="212"/>
        </w:trPr>
        <w:tc>
          <w:tcPr>
            <w:tcW w:w="4340" w:type="dxa"/>
            <w:vAlign w:val="bottom"/>
            <w:gridSpan w:val="2"/>
          </w:tcPr>
          <w:p>
            <w:pPr>
              <w:spacing w:after="0"/>
              <w:rPr>
                <w:sz w:val="20"/>
                <w:szCs w:val="20"/>
                <w:color w:val="auto"/>
              </w:rPr>
            </w:pPr>
            <w:r>
              <w:rPr>
                <w:rFonts w:ascii="Arial" w:cs="Arial" w:eastAsia="Arial" w:hAnsi="Arial"/>
                <w:sz w:val="17"/>
                <w:szCs w:val="17"/>
                <w:color w:val="auto"/>
              </w:rPr>
              <w:t>Interest and dividend income</w:t>
            </w: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jc w:val="center"/>
              <w:ind w:left="120"/>
              <w:spacing w:after="0"/>
              <w:rPr>
                <w:sz w:val="20"/>
                <w:szCs w:val="20"/>
                <w:color w:val="auto"/>
              </w:rPr>
            </w:pPr>
            <w:r>
              <w:rPr>
                <w:rFonts w:ascii="Arial" w:cs="Arial" w:eastAsia="Arial" w:hAnsi="Arial"/>
                <w:sz w:val="17"/>
                <w:szCs w:val="17"/>
                <w:color w:val="auto"/>
                <w:w w:val="84"/>
              </w:rPr>
              <w:t>0.8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w w:val="92"/>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Other, net</w:t>
            </w:r>
          </w:p>
        </w:tc>
        <w:tc>
          <w:tcPr>
            <w:tcW w:w="1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ind w:left="100"/>
              <w:spacing w:after="0"/>
              <w:rPr>
                <w:sz w:val="20"/>
                <w:szCs w:val="20"/>
                <w:color w:val="auto"/>
              </w:rPr>
            </w:pPr>
            <w:r>
              <w:rPr>
                <w:rFonts w:ascii="Arial" w:cs="Arial" w:eastAsia="Arial" w:hAnsi="Arial"/>
                <w:sz w:val="17"/>
                <w:szCs w:val="17"/>
                <w:color w:val="auto"/>
                <w:w w:val="85"/>
              </w:rPr>
              <w:t>(0.3)</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4340" w:type="dxa"/>
            <w:vAlign w:val="bottom"/>
            <w:gridSpan w:val="2"/>
          </w:tcPr>
          <w:p>
            <w:pPr>
              <w:spacing w:after="0" w:line="193" w:lineRule="exact"/>
              <w:rPr>
                <w:sz w:val="20"/>
                <w:szCs w:val="20"/>
                <w:color w:val="auto"/>
              </w:rPr>
            </w:pPr>
            <w:r>
              <w:rPr>
                <w:rFonts w:ascii="Arial" w:cs="Arial" w:eastAsia="Arial" w:hAnsi="Arial"/>
                <w:sz w:val="17"/>
                <w:szCs w:val="17"/>
                <w:color w:val="auto"/>
              </w:rPr>
              <w:t>Other income, net</w:t>
            </w:r>
          </w:p>
        </w:tc>
        <w:tc>
          <w:tcPr>
            <w:tcW w:w="1900" w:type="dxa"/>
            <w:vAlign w:val="bottom"/>
            <w:gridSpan w:val="2"/>
          </w:tcPr>
          <w:p>
            <w:pPr>
              <w:jc w:val="right"/>
              <w:ind w:right="693"/>
              <w:spacing w:after="0"/>
              <w:rPr>
                <w:sz w:val="20"/>
                <w:szCs w:val="20"/>
                <w:color w:val="auto"/>
              </w:rPr>
            </w:pPr>
            <w:r>
              <w:rPr>
                <w:rFonts w:ascii="Arial" w:cs="Arial" w:eastAsia="Arial" w:hAnsi="Arial"/>
                <w:sz w:val="17"/>
                <w:szCs w:val="17"/>
                <w:color w:val="auto"/>
              </w:rPr>
              <w:t>$</w:t>
            </w:r>
          </w:p>
        </w:tc>
        <w:tc>
          <w:tcPr>
            <w:tcW w:w="560" w:type="dxa"/>
            <w:vAlign w:val="bottom"/>
          </w:tcPr>
          <w:p>
            <w:pPr>
              <w:jc w:val="center"/>
              <w:ind w:left="120"/>
              <w:spacing w:after="0"/>
              <w:rPr>
                <w:sz w:val="20"/>
                <w:szCs w:val="20"/>
                <w:color w:val="auto"/>
              </w:rPr>
            </w:pPr>
            <w:r>
              <w:rPr>
                <w:rFonts w:ascii="Arial" w:cs="Arial" w:eastAsia="Arial" w:hAnsi="Arial"/>
                <w:sz w:val="17"/>
                <w:szCs w:val="17"/>
                <w:color w:val="auto"/>
                <w:w w:val="84"/>
              </w:rPr>
              <w:t>1.7</w:t>
            </w:r>
          </w:p>
        </w:tc>
        <w:tc>
          <w:tcPr>
            <w:tcW w:w="1060" w:type="dxa"/>
            <w:vAlign w:val="bottom"/>
            <w:gridSpan w:val="2"/>
          </w:tcPr>
          <w:p>
            <w:pPr>
              <w:jc w:val="right"/>
              <w:ind w:right="940"/>
              <w:spacing w:after="0"/>
              <w:rPr>
                <w:sz w:val="20"/>
                <w:szCs w:val="20"/>
                <w:color w:val="auto"/>
              </w:rPr>
            </w:pPr>
            <w:r>
              <w:rPr>
                <w:rFonts w:ascii="Arial" w:cs="Arial" w:eastAsia="Arial" w:hAnsi="Arial"/>
                <w:sz w:val="17"/>
                <w:szCs w:val="17"/>
                <w:color w:val="auto"/>
              </w:rPr>
              <w:t>$</w:t>
            </w:r>
          </w:p>
        </w:tc>
        <w:tc>
          <w:tcPr>
            <w:tcW w:w="380" w:type="dxa"/>
            <w:vAlign w:val="bottom"/>
          </w:tcPr>
          <w:p>
            <w:pPr>
              <w:jc w:val="center"/>
              <w:spacing w:after="0"/>
              <w:rPr>
                <w:sz w:val="20"/>
                <w:szCs w:val="20"/>
                <w:color w:val="auto"/>
              </w:rPr>
            </w:pPr>
            <w:r>
              <w:rPr>
                <w:rFonts w:ascii="Arial" w:cs="Arial" w:eastAsia="Arial" w:hAnsi="Arial"/>
                <w:sz w:val="17"/>
                <w:szCs w:val="17"/>
                <w:color w:val="auto"/>
                <w:w w:val="92"/>
              </w:rPr>
              <w:t>2.5</w:t>
            </w:r>
          </w:p>
        </w:tc>
        <w:tc>
          <w:tcPr>
            <w:tcW w:w="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(32.0)%</w:t>
            </w:r>
          </w:p>
        </w:tc>
      </w:tr>
      <w:tr>
        <w:trPr>
          <w:trHeight w:val="20"/>
        </w:trPr>
        <w:tc>
          <w:tcPr>
            <w:tcW w:w="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income, net decreased by $0.8 million, from $2.5 million for the three months ended September 30, 2020 to $1.7 million for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2021, primarily due to lower amount invested in mutual funds and lower returns on such investments of $0.8 million, during the three months ended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compared to the three months ended September 30, 2020.</w:t>
      </w:r>
    </w:p>
    <w:p>
      <w:pPr>
        <w:spacing w:after="0" w:line="190" w:lineRule="exact"/>
        <w:rPr>
          <w:sz w:val="20"/>
          <w:szCs w:val="20"/>
          <w:color w:val="auto"/>
        </w:rPr>
      </w:pPr>
    </w:p>
    <w:p>
      <w:pPr>
        <w:jc w:val="both"/>
        <w:ind w:firstLine="375"/>
        <w:spacing w:after="0" w:line="237" w:lineRule="auto"/>
        <w:rPr>
          <w:sz w:val="20"/>
          <w:szCs w:val="20"/>
          <w:color w:val="auto"/>
        </w:rPr>
      </w:pPr>
      <w:r>
        <w:rPr>
          <w:rFonts w:ascii="Arial" w:cs="Arial" w:eastAsia="Arial" w:hAnsi="Arial"/>
          <w:sz w:val="17"/>
          <w:szCs w:val="17"/>
          <w:b w:val="1"/>
          <w:bCs w:val="1"/>
          <w:i w:val="1"/>
          <w:iCs w:val="1"/>
          <w:color w:val="auto"/>
        </w:rPr>
        <w:t xml:space="preserve">Loss on settlement of Notes. </w:t>
      </w:r>
      <w:r>
        <w:rPr>
          <w:rFonts w:ascii="Arial" w:cs="Arial" w:eastAsia="Arial" w:hAnsi="Arial"/>
          <w:sz w:val="17"/>
          <w:szCs w:val="17"/>
          <w:color w:val="auto"/>
        </w:rPr>
        <w:t>On August 27, 2021, we settled our outstanding obligations under the Notes and recognized a loss of $12.8 million during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2021. See Note 17 - Borrowings to our unaudited consolidated financial statements.</w:t>
      </w:r>
    </w:p>
    <w:p>
      <w:pPr>
        <w:spacing w:after="0" w:line="188" w:lineRule="exact"/>
        <w:rPr>
          <w:sz w:val="20"/>
          <w:szCs w:val="20"/>
          <w:color w:val="auto"/>
        </w:rPr>
      </w:pPr>
    </w:p>
    <w:p>
      <w:pPr>
        <w:jc w:val="both"/>
        <w:ind w:firstLine="375"/>
        <w:spacing w:after="0" w:line="257"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The effective tax rate decreased from 24.3% during the three months ended September 30, 2020 to 13.7% during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2021. We recorded income tax expense of $4.2 million and $8.5 million for the three months ended September 30, 2021 and 2020, respectively. The decrease in income tax expense was primarily a result of (i) the recording of a one-time deferred tax benefit of $2.4 million on settlement of the Notes during the three months ended September 30, 2021, (ii) the recording of excess tax benefits related to stock awards of $0.5 million pursuant to ASU No. 2016-09 during the three months ended September 30, 2021, and (iii) lower profit during the three months ended September 30, 2021, compared to the three months ended September 30, 2020.</w:t>
      </w:r>
    </w:p>
    <w:p>
      <w:pPr>
        <w:spacing w:after="0" w:line="175" w:lineRule="exact"/>
        <w:rPr>
          <w:sz w:val="20"/>
          <w:szCs w:val="20"/>
          <w:color w:val="auto"/>
        </w:rPr>
      </w:pPr>
    </w:p>
    <w:p>
      <w:pPr>
        <w:jc w:val="both"/>
        <w:ind w:firstLine="375"/>
        <w:spacing w:after="0" w:line="223"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increased from $26.4 million for the three months ended September 30, 2020 to $26.5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primarily due to increase in income from operations of $8.0 million, lower income tax expense of $4.3 million, lower interest expense of $0.8 million, higher net foreign exchange gain of $0.5 million and lower loss from equity-method investment of $0.1 million, partially offset by loss on settlement of the Notes of $12.8 million and lower other income, net of $0.8 million . As a percentage of revenues, net income decreased from 11.0% for the three months ended September 30, 2020 to 9.1% for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2021 Compared to Nine Months Ended September 30, 2020</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Revenues.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revenues by reportable segments for the nine months ended September 30, 2021 and 2020:</w:t>
      </w:r>
    </w:p>
    <w:p>
      <w:pPr>
        <w:spacing w:after="0" w:line="334"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4740" w:type="dxa"/>
            <w:vAlign w:val="bottom"/>
          </w:tcPr>
          <w:p>
            <w:pPr>
              <w:spacing w:after="0"/>
              <w:rPr>
                <w:sz w:val="15"/>
                <w:szCs w:val="15"/>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60"/>
        </w:trPr>
        <w:tc>
          <w:tcPr>
            <w:tcW w:w="4740" w:type="dxa"/>
            <w:vAlign w:val="bottom"/>
          </w:tcPr>
          <w:p>
            <w:pPr>
              <w:spacing w:after="0"/>
              <w:rPr>
                <w:sz w:val="5"/>
                <w:szCs w:val="5"/>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Change</w:t>
            </w: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7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00" w:type="dxa"/>
            <w:vAlign w:val="bottom"/>
          </w:tcPr>
          <w:p>
            <w:pPr>
              <w:jc w:val="right"/>
              <w:ind w:right="242"/>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7"/>
        </w:trPr>
        <w:tc>
          <w:tcPr>
            <w:tcW w:w="47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3"/>
          </w:tcPr>
          <w:p>
            <w:pPr>
              <w:jc w:val="right"/>
              <w:ind w:right="362"/>
              <w:spacing w:after="0"/>
              <w:rPr>
                <w:sz w:val="20"/>
                <w:szCs w:val="20"/>
                <w:color w:val="auto"/>
              </w:rPr>
            </w:pPr>
            <w:r>
              <w:rPr>
                <w:rFonts w:ascii="Arial" w:cs="Arial" w:eastAsia="Arial" w:hAnsi="Arial"/>
                <w:sz w:val="13"/>
                <w:szCs w:val="13"/>
                <w:b w:val="1"/>
                <w:bCs w:val="1"/>
                <w:color w:val="auto"/>
              </w:rPr>
              <w:t>(dollars in millions)</w:t>
            </w: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Insurance</w:t>
            </w:r>
          </w:p>
        </w:tc>
        <w:tc>
          <w:tcPr>
            <w:tcW w:w="1140" w:type="dxa"/>
            <w:vAlign w:val="bottom"/>
            <w:shd w:val="clear" w:color="auto" w:fill="CCEEFF"/>
          </w:tcPr>
          <w:p>
            <w:pPr>
              <w:jc w:val="right"/>
              <w:ind w:right="585"/>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283.8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82"/>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2"/>
        </w:trPr>
        <w:tc>
          <w:tcPr>
            <w:tcW w:w="4740" w:type="dxa"/>
            <w:vAlign w:val="bottom"/>
          </w:tcPr>
          <w:p>
            <w:pPr>
              <w:ind w:left="380"/>
              <w:spacing w:after="0"/>
              <w:rPr>
                <w:sz w:val="20"/>
                <w:szCs w:val="20"/>
                <w:color w:val="auto"/>
              </w:rPr>
            </w:pPr>
            <w:r>
              <w:rPr>
                <w:rFonts w:ascii="Arial" w:cs="Arial" w:eastAsia="Arial" w:hAnsi="Arial"/>
                <w:sz w:val="17"/>
                <w:szCs w:val="17"/>
                <w:color w:val="auto"/>
              </w:rPr>
              <w:t>Healthcare</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85.9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77.1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8"/>
                <w:szCs w:val="18"/>
                <w:color w:val="auto"/>
              </w:rPr>
            </w:pPr>
          </w:p>
        </w:tc>
        <w:tc>
          <w:tcPr>
            <w:tcW w:w="1300" w:type="dxa"/>
            <w:vAlign w:val="bottom"/>
          </w:tcPr>
          <w:p>
            <w:pPr>
              <w:jc w:val="right"/>
              <w:ind w:right="242"/>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Emerging Business</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122.9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2"/>
        </w:trPr>
        <w:tc>
          <w:tcPr>
            <w:tcW w:w="474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Analytics</w:t>
            </w: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334.2</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264.6</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shd w:val="clear" w:color="auto" w:fill="CCEEFF"/>
          </w:tcPr>
          <w:p>
            <w:pPr>
              <w:ind w:left="380"/>
              <w:spacing w:after="0" w:line="193" w:lineRule="exact"/>
              <w:rPr>
                <w:sz w:val="20"/>
                <w:szCs w:val="20"/>
                <w:color w:val="auto"/>
              </w:rPr>
            </w:pPr>
            <w:r>
              <w:rPr>
                <w:rFonts w:ascii="Arial" w:cs="Arial" w:eastAsia="Arial" w:hAnsi="Arial"/>
                <w:sz w:val="17"/>
                <w:szCs w:val="17"/>
                <w:color w:val="auto"/>
              </w:rPr>
              <w:t>Total revenues, net</w:t>
            </w:r>
          </w:p>
        </w:tc>
        <w:tc>
          <w:tcPr>
            <w:tcW w:w="1140" w:type="dxa"/>
            <w:vAlign w:val="bottom"/>
            <w:tcBorders>
              <w:bottom w:val="single" w:sz="8" w:color="auto"/>
            </w:tcBorders>
            <w:shd w:val="clear" w:color="auto" w:fill="CCEEFF"/>
          </w:tcPr>
          <w:p>
            <w:pPr>
              <w:jc w:val="right"/>
              <w:ind w:right="58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826.8</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709.5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117.3</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Revenues for the nine months ended September 30, 2021 were $826.8 million, up $117.3 million, or 16.5%, compared to the nine months ended September 30,</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216" w:lineRule="exact"/>
        <w:rPr>
          <w:sz w:val="20"/>
          <w:szCs w:val="20"/>
          <w:color w:val="auto"/>
        </w:rPr>
      </w:pPr>
    </w:p>
    <w:p>
      <w:pPr>
        <w:jc w:val="both"/>
        <w:ind w:right="100" w:firstLine="375"/>
        <w:spacing w:after="0" w:line="256" w:lineRule="auto"/>
        <w:rPr>
          <w:sz w:val="20"/>
          <w:szCs w:val="20"/>
          <w:color w:val="auto"/>
        </w:rPr>
      </w:pPr>
      <w:r>
        <w:rPr>
          <w:rFonts w:ascii="Arial" w:cs="Arial" w:eastAsia="Arial" w:hAnsi="Arial"/>
          <w:sz w:val="16"/>
          <w:szCs w:val="16"/>
          <w:color w:val="auto"/>
        </w:rPr>
        <w:t>Revenue growth in Insurance of $30.9 million was primarily driven by expansion of business from our existing clients aggregating to $28.3 million and an increase in revenues $2.6 million that was mainly attributable to the appreciation of the Australian dollar, the U.K. pound sterling and the South African ZAR against the U.S. dollar during the nine months ended September 30, 2021, compared to the nine months ended September 30, 2020. Insurance revenues were 34.3% and 35.6% of our total revenues in the nine months ended September 30, 2021 and September 30, 2020, respectively.</w:t>
      </w:r>
    </w:p>
    <w:p>
      <w:pPr>
        <w:spacing w:after="0" w:line="189" w:lineRule="exact"/>
        <w:rPr>
          <w:sz w:val="20"/>
          <w:szCs w:val="20"/>
          <w:color w:val="auto"/>
        </w:rPr>
      </w:pPr>
    </w:p>
    <w:p>
      <w:pPr>
        <w:jc w:val="both"/>
        <w:ind w:right="100" w:firstLine="375"/>
        <w:spacing w:after="0" w:line="255" w:lineRule="auto"/>
        <w:rPr>
          <w:sz w:val="20"/>
          <w:szCs w:val="20"/>
          <w:color w:val="auto"/>
        </w:rPr>
      </w:pPr>
      <w:r>
        <w:rPr>
          <w:rFonts w:ascii="Arial" w:cs="Arial" w:eastAsia="Arial" w:hAnsi="Arial"/>
          <w:sz w:val="17"/>
          <w:szCs w:val="17"/>
          <w:color w:val="auto"/>
        </w:rPr>
        <w:t>Revenue growth in Healthcare of $8.8 million was primarily driven by expansion of business from our new and existing clients aggregating to $8.8 million during the nine months ended September 30, 2021. Healthcare revenues were 10.4% and 10.9% of our total revenues in the nine months ended September 30, 2021 and September 30, 2020, respectively.</w:t>
      </w:r>
    </w:p>
    <w:p>
      <w:pPr>
        <w:spacing w:after="0" w:line="188" w:lineRule="exact"/>
        <w:rPr>
          <w:sz w:val="20"/>
          <w:szCs w:val="20"/>
          <w:color w:val="auto"/>
        </w:rPr>
      </w:pPr>
    </w:p>
    <w:p>
      <w:pPr>
        <w:jc w:val="both"/>
        <w:ind w:right="100" w:firstLine="375"/>
        <w:spacing w:after="0"/>
        <w:rPr>
          <w:sz w:val="20"/>
          <w:szCs w:val="20"/>
          <w:color w:val="auto"/>
        </w:rPr>
      </w:pPr>
      <w:r>
        <w:rPr>
          <w:rFonts w:ascii="Arial" w:cs="Arial" w:eastAsia="Arial" w:hAnsi="Arial"/>
          <w:sz w:val="16"/>
          <w:szCs w:val="16"/>
          <w:color w:val="auto"/>
        </w:rPr>
        <w:t>Revenue growth in Emerging Business of $8.0 million was primarily driven by expansion of business from our new clients and existing clients aggregating to $7.1 million and an increase in revenues of $0.9 million that was mainly attributable to the appreciation of the U.K. pound sterling and the Indian rupee against the U.S. dollar during the nine months ended September 30, 2021 compared to the nine months ended September 30, 2020. Emerging Business revenues were 14.9% and 16.2% of our total revenues in the nine months ended September 30, 2021 and September 30, 2020, respectively.</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Revenue growth in Analytics of $69.6 million was attributable to the higher volumes in our annuity and project based engagements from our new and existing</w:t>
      </w:r>
    </w:p>
    <w:p>
      <w:pPr>
        <w:spacing w:after="0" w:line="65"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color w:val="auto"/>
        </w:rPr>
        <w:t>clients of $67.5 million and an increase in revenues $2.1 million mainly attributable to the appreciation of the U.K. pound sterling and the South African ZAR against the U.S. dollar during the nine months ended September 30, 2021, compared to the nine months ended September 30, 2020. Analytics revenues were 40.4% and 37.3% of our total revenues in the nine months ended September 30, 2021 and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348"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Cost of Revenues and Gross Margin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sets forth cost of revenues and gross margin of our reportable segments.</w:t>
      </w:r>
    </w:p>
    <w:p>
      <w:pPr>
        <w:spacing w:after="0" w:line="38" w:lineRule="exact"/>
        <w:rPr>
          <w:sz w:val="20"/>
          <w:szCs w:val="20"/>
          <w:color w:val="auto"/>
        </w:rPr>
      </w:pPr>
    </w:p>
    <w:tbl>
      <w:tblPr>
        <w:tblLayout w:type="fixed"/>
        <w:tblInd w:w="400" w:type="dxa"/>
        <w:tblCellMar>
          <w:top w:w="0" w:type="dxa"/>
          <w:left w:w="0" w:type="dxa"/>
          <w:bottom w:w="0" w:type="dxa"/>
          <w:right w:w="0" w:type="dxa"/>
        </w:tblCellMar>
      </w:tblPr>
      <w:tr>
        <w:trPr>
          <w:trHeight w:val="178"/>
        </w:trPr>
        <w:tc>
          <w:tcPr>
            <w:tcW w:w="1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Cost of Revenues</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rPr>
              <w:t>Gross Margin</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60" w:type="dxa"/>
            <w:vAlign w:val="bottom"/>
            <w:gridSpan w:val="5"/>
          </w:tcPr>
          <w:p>
            <w:pPr>
              <w:ind w:left="80"/>
              <w:spacing w:after="0"/>
              <w:rPr>
                <w:sz w:val="20"/>
                <w:szCs w:val="20"/>
                <w:color w:val="auto"/>
              </w:rPr>
            </w:pPr>
            <w:r>
              <w:rPr>
                <w:rFonts w:ascii="Arial" w:cs="Arial" w:eastAsia="Arial" w:hAnsi="Arial"/>
                <w:sz w:val="13"/>
                <w:szCs w:val="13"/>
                <w:b w:val="1"/>
                <w:bCs w:val="1"/>
                <w:color w:val="auto"/>
              </w:rPr>
              <w:t>Nine months ended September 30,</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4"/>
          </w:tcPr>
          <w:p>
            <w:pPr>
              <w:ind w:left="640"/>
              <w:spacing w:after="0"/>
              <w:rPr>
                <w:sz w:val="20"/>
                <w:szCs w:val="20"/>
                <w:color w:val="auto"/>
              </w:rPr>
            </w:pPr>
            <w:r>
              <w:rPr>
                <w:rFonts w:ascii="Arial" w:cs="Arial" w:eastAsia="Arial" w:hAnsi="Arial"/>
                <w:sz w:val="13"/>
                <w:szCs w:val="13"/>
                <w:b w:val="1"/>
                <w:bCs w:val="1"/>
                <w:color w:val="auto"/>
                <w:w w:val="92"/>
              </w:rPr>
              <w:t>Nine months ended September 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2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vMerge w:val="restart"/>
          </w:tcPr>
          <w:p>
            <w:pPr>
              <w:jc w:val="right"/>
              <w:ind w:right="282"/>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12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vMerge w:val="restart"/>
          </w:tcPr>
          <w:p>
            <w:pPr>
              <w:ind w:left="760"/>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Chang</w:t>
            </w:r>
          </w:p>
        </w:tc>
        <w:tc>
          <w:tcPr>
            <w:tcW w:w="0" w:type="dxa"/>
            <w:vAlign w:val="bottom"/>
          </w:tcPr>
          <w:p>
            <w:pPr>
              <w:spacing w:after="0"/>
              <w:rPr>
                <w:sz w:val="1"/>
                <w:szCs w:val="1"/>
                <w:color w:val="auto"/>
              </w:rPr>
            </w:pPr>
          </w:p>
        </w:tc>
      </w:tr>
      <w:tr>
        <w:trPr>
          <w:trHeight w:val="174"/>
        </w:trPr>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0" w:type="dxa"/>
            <w:vAlign w:val="bottom"/>
          </w:tcPr>
          <w:p>
            <w:pPr>
              <w:jc w:val="right"/>
              <w:ind w:right="242"/>
              <w:spacing w:after="0"/>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Insurance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62"/>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62"/>
              <w:spacing w:after="0"/>
              <w:rPr>
                <w:sz w:val="20"/>
                <w:szCs w:val="20"/>
                <w:color w:val="auto"/>
              </w:rPr>
            </w:pPr>
            <w:r>
              <w:rPr>
                <w:rFonts w:ascii="Arial" w:cs="Arial" w:eastAsia="Arial" w:hAnsi="Arial"/>
                <w:sz w:val="17"/>
                <w:szCs w:val="17"/>
                <w:color w:val="auto"/>
              </w:rPr>
              <w:t>37.7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30.8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2"/>
        </w:trPr>
        <w:tc>
          <w:tcPr>
            <w:tcW w:w="1260" w:type="dxa"/>
            <w:vAlign w:val="bottom"/>
          </w:tcPr>
          <w:p>
            <w:pPr>
              <w:ind w:left="420"/>
              <w:spacing w:after="0"/>
              <w:rPr>
                <w:sz w:val="20"/>
                <w:szCs w:val="20"/>
                <w:color w:val="auto"/>
              </w:rPr>
            </w:pPr>
            <w:r>
              <w:rPr>
                <w:rFonts w:ascii="Arial" w:cs="Arial" w:eastAsia="Arial" w:hAnsi="Arial"/>
                <w:sz w:val="17"/>
                <w:szCs w:val="17"/>
                <w:color w:val="auto"/>
                <w:w w:val="99"/>
              </w:rPr>
              <w:t>Healthcare</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57.2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8"/>
                <w:szCs w:val="18"/>
                <w:color w:val="auto"/>
              </w:rPr>
            </w:pPr>
          </w:p>
        </w:tc>
        <w:tc>
          <w:tcPr>
            <w:tcW w:w="1200" w:type="dxa"/>
            <w:vAlign w:val="bottom"/>
          </w:tcPr>
          <w:p>
            <w:pPr>
              <w:jc w:val="right"/>
              <w:ind w:right="322"/>
              <w:spacing w:after="0"/>
              <w:rPr>
                <w:sz w:val="20"/>
                <w:szCs w:val="20"/>
                <w:color w:val="auto"/>
              </w:rPr>
            </w:pPr>
            <w:r>
              <w:rPr>
                <w:rFonts w:ascii="Arial" w:cs="Arial" w:eastAsia="Arial" w:hAnsi="Arial"/>
                <w:sz w:val="17"/>
                <w:szCs w:val="17"/>
                <w:color w:val="auto"/>
              </w:rPr>
              <w:t>(8.7)</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c>
          <w:tcPr>
            <w:tcW w:w="80" w:type="dxa"/>
            <w:vAlign w:val="bottom"/>
          </w:tcPr>
          <w:p>
            <w:pPr>
              <w:spacing w:after="0"/>
              <w:rPr>
                <w:sz w:val="18"/>
                <w:szCs w:val="18"/>
                <w:color w:val="auto"/>
              </w:rPr>
            </w:pPr>
          </w:p>
        </w:tc>
        <w:tc>
          <w:tcPr>
            <w:tcW w:w="1120" w:type="dxa"/>
            <w:vAlign w:val="bottom"/>
          </w:tcPr>
          <w:p>
            <w:pPr>
              <w:jc w:val="right"/>
              <w:ind w:right="262"/>
              <w:spacing w:after="0"/>
              <w:rPr>
                <w:sz w:val="20"/>
                <w:szCs w:val="20"/>
                <w:color w:val="auto"/>
              </w:rPr>
            </w:pPr>
            <w:r>
              <w:rPr>
                <w:rFonts w:ascii="Arial" w:cs="Arial" w:eastAsia="Arial" w:hAnsi="Arial"/>
                <w:sz w:val="17"/>
                <w:szCs w:val="17"/>
                <w:color w:val="auto"/>
              </w:rPr>
              <w:t>39.3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80" w:type="dxa"/>
            <w:vAlign w:val="bottom"/>
          </w:tcPr>
          <w:p>
            <w:pPr>
              <w:ind w:left="480"/>
              <w:spacing w:after="0"/>
              <w:rPr>
                <w:sz w:val="20"/>
                <w:szCs w:val="20"/>
                <w:color w:val="auto"/>
              </w:rPr>
            </w:pPr>
            <w:r>
              <w:rPr>
                <w:rFonts w:ascii="Arial" w:cs="Arial" w:eastAsia="Arial" w:hAnsi="Arial"/>
                <w:sz w:val="17"/>
                <w:szCs w:val="17"/>
                <w:color w:val="auto"/>
              </w:rPr>
              <w:t>25.8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420"/>
              <w:spacing w:after="0" w:line="163" w:lineRule="exact"/>
              <w:rPr>
                <w:sz w:val="20"/>
                <w:szCs w:val="20"/>
                <w:color w:val="auto"/>
              </w:rPr>
            </w:pPr>
            <w:r>
              <w:rPr>
                <w:rFonts w:ascii="Arial" w:cs="Arial" w:eastAsia="Arial" w:hAnsi="Arial"/>
                <w:sz w:val="17"/>
                <w:szCs w:val="17"/>
                <w:color w:val="auto"/>
              </w:rPr>
              <w:t>Emerging</w:t>
            </w:r>
          </w:p>
        </w:tc>
        <w:tc>
          <w:tcPr>
            <w:tcW w:w="5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322"/>
              <w:spacing w:after="0"/>
              <w:rPr>
                <w:sz w:val="20"/>
                <w:szCs w:val="20"/>
                <w:color w:val="auto"/>
              </w:rPr>
            </w:pPr>
            <w:r>
              <w:rPr>
                <w:rFonts w:ascii="Arial" w:cs="Arial" w:eastAsia="Arial" w:hAnsi="Arial"/>
                <w:sz w:val="17"/>
                <w:szCs w:val="17"/>
                <w:color w:val="auto"/>
              </w:rPr>
              <w:t>(2.8)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62"/>
              <w:spacing w:after="0"/>
              <w:rPr>
                <w:sz w:val="20"/>
                <w:szCs w:val="20"/>
                <w:color w:val="auto"/>
              </w:rPr>
            </w:pPr>
            <w:r>
              <w:rPr>
                <w:rFonts w:ascii="Arial" w:cs="Arial" w:eastAsia="Arial" w:hAnsi="Arial"/>
                <w:sz w:val="17"/>
                <w:szCs w:val="17"/>
                <w:color w:val="auto"/>
              </w:rPr>
              <w:t>45.6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ind w:left="480"/>
              <w:spacing w:after="0"/>
              <w:rPr>
                <w:sz w:val="20"/>
                <w:szCs w:val="20"/>
                <w:color w:val="auto"/>
              </w:rPr>
            </w:pPr>
            <w:r>
              <w:rPr>
                <w:rFonts w:ascii="Arial" w:cs="Arial" w:eastAsia="Arial" w:hAnsi="Arial"/>
                <w:sz w:val="17"/>
                <w:szCs w:val="17"/>
                <w:color w:val="auto"/>
              </w:rPr>
              <w:t>40.2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Business</w:t>
            </w:r>
          </w:p>
        </w:tc>
        <w:tc>
          <w:tcPr>
            <w:tcW w:w="5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Analytics</w:t>
            </w: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211.3</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172.3</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62"/>
              <w:spacing w:after="0"/>
              <w:rPr>
                <w:sz w:val="20"/>
                <w:szCs w:val="20"/>
                <w:color w:val="auto"/>
              </w:rPr>
            </w:pPr>
            <w:r>
              <w:rPr>
                <w:rFonts w:ascii="Arial" w:cs="Arial" w:eastAsia="Arial" w:hAnsi="Arial"/>
                <w:sz w:val="17"/>
                <w:szCs w:val="17"/>
                <w:color w:val="auto"/>
              </w:rPr>
              <w:t>22.6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79"/>
              </w:rPr>
              <w:t>%</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62"/>
              <w:spacing w:after="0"/>
              <w:rPr>
                <w:sz w:val="20"/>
                <w:szCs w:val="20"/>
                <w:color w:val="auto"/>
              </w:rPr>
            </w:pPr>
            <w:r>
              <w:rPr>
                <w:rFonts w:ascii="Arial" w:cs="Arial" w:eastAsia="Arial" w:hAnsi="Arial"/>
                <w:sz w:val="17"/>
                <w:szCs w:val="17"/>
                <w:color w:val="auto"/>
              </w:rPr>
              <w:t>36.8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34.9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0"/>
        </w:trPr>
        <w:tc>
          <w:tcPr>
            <w:tcW w:w="1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507.2</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473.1</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7"/>
                <w:szCs w:val="17"/>
                <w:color w:val="auto"/>
              </w:rPr>
              <w:t>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7"/>
                <w:szCs w:val="17"/>
                <w:color w:val="auto"/>
              </w:rPr>
              <w:t>38.6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33.3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jc w:val="both"/>
        <w:ind w:right="100" w:firstLine="375"/>
        <w:spacing w:after="0" w:line="226" w:lineRule="auto"/>
        <w:rPr>
          <w:sz w:val="20"/>
          <w:szCs w:val="20"/>
          <w:color w:val="auto"/>
        </w:rPr>
      </w:pPr>
      <w:r>
        <w:rPr>
          <w:rFonts w:ascii="Arial" w:cs="Arial" w:eastAsia="Arial" w:hAnsi="Arial"/>
          <w:sz w:val="17"/>
          <w:szCs w:val="17"/>
          <w:color w:val="auto"/>
        </w:rPr>
        <w:t>For the nine months ended September 30, 2021, cost of revenues was $507.2 million compared to $473.1 million for the nine months ended September 30, 2020, an increase of $34.1 million, or 7.2%. Our gross margin for the nine months ended September 30, 2021 was 38.6% compared to 33.3% for nine months ended September 30, 2020, an increase of 530 bps primarily driven by higher revenues, operational efficiencies and lower COVID-19 related expenses during the nine months ended September 30, 2021, compared to the nine months ended September 30, 2020.</w:t>
      </w:r>
    </w:p>
    <w:p>
      <w:pPr>
        <w:spacing w:after="0" w:line="188" w:lineRule="exact"/>
        <w:rPr>
          <w:sz w:val="20"/>
          <w:szCs w:val="20"/>
          <w:color w:val="auto"/>
        </w:rPr>
      </w:pPr>
    </w:p>
    <w:p>
      <w:pPr>
        <w:jc w:val="both"/>
        <w:ind w:right="100" w:firstLine="375"/>
        <w:spacing w:after="0" w:line="237" w:lineRule="auto"/>
        <w:rPr>
          <w:sz w:val="20"/>
          <w:szCs w:val="20"/>
          <w:color w:val="auto"/>
        </w:rPr>
      </w:pPr>
      <w:r>
        <w:rPr>
          <w:rFonts w:ascii="Arial" w:cs="Arial" w:eastAsia="Arial" w:hAnsi="Arial"/>
          <w:sz w:val="16"/>
          <w:szCs w:val="16"/>
          <w:color w:val="auto"/>
        </w:rPr>
        <w:t>The increase in cost of revenues in Insurance of $2.0 million for the nine months ended September 30, 2021 was primarily due to increases in employee-related costs of $7.9 million and higher technology costs of $0.5 million, partially offset by lower travel costs of $6.1 million and foreign exchange gain, net of hedging of $0.3 million. Gross margin in Insurance increased by 690 bps during the nine months ended September 30, 2021, compared to the nine months ended September 30, 2020, primarily due to higher revenues, expansion in margin in certain existing clients, operational efficiencies and lower COVID-19 related expenses during the nine months ended September 30, 2021, compared to the nine months ended September 30, 2020.</w:t>
      </w:r>
    </w:p>
    <w:p>
      <w:pPr>
        <w:spacing w:after="0" w:line="190" w:lineRule="exact"/>
        <w:rPr>
          <w:sz w:val="20"/>
          <w:szCs w:val="20"/>
          <w:color w:val="auto"/>
        </w:rPr>
      </w:pPr>
    </w:p>
    <w:p>
      <w:pPr>
        <w:jc w:val="both"/>
        <w:ind w:right="100" w:firstLine="375"/>
        <w:spacing w:after="0" w:line="237" w:lineRule="auto"/>
        <w:rPr>
          <w:sz w:val="20"/>
          <w:szCs w:val="20"/>
          <w:color w:val="auto"/>
        </w:rPr>
      </w:pPr>
      <w:r>
        <w:rPr>
          <w:rFonts w:ascii="Arial" w:cs="Arial" w:eastAsia="Arial" w:hAnsi="Arial"/>
          <w:sz w:val="16"/>
          <w:szCs w:val="16"/>
          <w:color w:val="auto"/>
        </w:rPr>
        <w:t>The decrease in cost of revenues in Healthcare of $5.0 million for the nine months ended September 30, 2021 was primarily due to decreases in employee-related costs of $4.8 million, lower travel costs of $0.5 million and lower technology costs of $0.2 million, partially offset by higher facility costs of $0.3 million and foreign exchange loss, net of hedging $0.2 million. Gross margin in Healthcare increased by 1,350 bps during the nine months ended September 30, 2021, compared to the nine months ended September 30, 2020, primarily due to higher revenues, operational efficiencies and lower COVID-19 related expenses during the nine months ended September 30, 2021, compared to the nine months ended September 30, 2020.</w:t>
      </w:r>
    </w:p>
    <w:p>
      <w:pPr>
        <w:spacing w:after="0" w:line="190" w:lineRule="exact"/>
        <w:rPr>
          <w:sz w:val="20"/>
          <w:szCs w:val="20"/>
          <w:color w:val="auto"/>
        </w:rPr>
      </w:pPr>
    </w:p>
    <w:p>
      <w:pPr>
        <w:jc w:val="both"/>
        <w:ind w:right="100" w:firstLine="375"/>
        <w:spacing w:after="0" w:line="257" w:lineRule="auto"/>
        <w:rPr>
          <w:sz w:val="20"/>
          <w:szCs w:val="20"/>
          <w:color w:val="auto"/>
        </w:rPr>
      </w:pPr>
      <w:r>
        <w:rPr>
          <w:rFonts w:ascii="Arial" w:cs="Arial" w:eastAsia="Arial" w:hAnsi="Arial"/>
          <w:sz w:val="15"/>
          <w:szCs w:val="15"/>
          <w:color w:val="auto"/>
        </w:rPr>
        <w:t>The decrease in cost of revenues in Emerging Business of $1.9 million for the nine months ended September 30, 2021 was primarily due to decreases in employee-related costs of $1.3 million, lower facility costs of $0.5 million, lower travel costs of $0.5 million and foreign exchange gain, net of hedging $0.3 million, partially offset by higher technology costs of $0.7 million, primarily due to increased usage of the work from home model. Gross margin in Emerging Business increased by 540 bps during the nine months ended September 30, 2021, compared to the nine months ended September 30, 2020, primarily due to higher revenues, operational efficiencies and lower COVID-19 related expenses during the nine months ended September 30, 2021, compared to the nine months ended September 30, 2020.</w:t>
      </w:r>
    </w:p>
    <w:p>
      <w:pPr>
        <w:spacing w:after="0" w:line="175" w:lineRule="exact"/>
        <w:rPr>
          <w:sz w:val="20"/>
          <w:szCs w:val="20"/>
          <w:color w:val="auto"/>
        </w:rPr>
      </w:pPr>
    </w:p>
    <w:p>
      <w:pPr>
        <w:jc w:val="both"/>
        <w:ind w:right="100" w:firstLine="375"/>
        <w:spacing w:after="0" w:line="222" w:lineRule="auto"/>
        <w:rPr>
          <w:sz w:val="20"/>
          <w:szCs w:val="20"/>
          <w:color w:val="auto"/>
        </w:rPr>
      </w:pPr>
      <w:r>
        <w:rPr>
          <w:rFonts w:ascii="Arial" w:cs="Arial" w:eastAsia="Arial" w:hAnsi="Arial"/>
          <w:sz w:val="17"/>
          <w:szCs w:val="17"/>
          <w:color w:val="auto"/>
        </w:rPr>
        <w:t>The increase in cost of revenues in Analytics of $39.0 million for the nine months ended September 30, 2021 was primarily due to increases in employee-related costs of $29.1 million, higher other operating costs of $11.6 million and higher technology costs of $0.7 million, primarily due to increased usage of the work from home model. This was partially offset by lower travel costs of $1.1 million, lower facility costs of $0.6 million and foreign exchange gain, net of hedging of $0.7 million. Gross margin in Analytics increased by 190 bps during the nine months ended September 30, 2021, compared to the nine months ended September 30, 2020, primarily due to higher revenues, operational efficiencies and lower COVID-19 related expenses during the nine months ended September 30, 2021, compared to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348"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2700" w:type="dxa"/>
            <w:vAlign w:val="bottom"/>
            <w:tcBorders>
              <w:bottom w:val="single" w:sz="8" w:color="auto"/>
            </w:tcBorders>
            <w:gridSpan w:val="4"/>
          </w:tcPr>
          <w:p>
            <w:pPr>
              <w:jc w:val="center"/>
              <w:ind w:left="565"/>
              <w:spacing w:after="0"/>
              <w:rPr>
                <w:sz w:val="20"/>
                <w:szCs w:val="20"/>
                <w:color w:val="auto"/>
              </w:rPr>
            </w:pPr>
            <w:r>
              <w:rPr>
                <w:rFonts w:ascii="Arial" w:cs="Arial" w:eastAsia="Arial" w:hAnsi="Arial"/>
                <w:sz w:val="13"/>
                <w:szCs w:val="13"/>
                <w:b w:val="1"/>
                <w:bCs w:val="1"/>
                <w:color w:val="auto"/>
                <w:w w:val="91"/>
              </w:rPr>
              <w:t>Nine months ended September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3"/>
                <w:szCs w:val="13"/>
                <w:b w:val="1"/>
                <w:bCs w:val="1"/>
                <w:color w:val="auto"/>
              </w:rPr>
              <w:t>2020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p>
        </w:tc>
        <w:tc>
          <w:tcPr>
            <w:tcW w:w="1400" w:type="dxa"/>
            <w:vAlign w:val="bottom"/>
          </w:tcPr>
          <w:p>
            <w:pPr>
              <w:jc w:val="right"/>
              <w:ind w:right="81"/>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jc w:val="center"/>
              <w:ind w:right="222"/>
              <w:spacing w:after="0"/>
              <w:rPr>
                <w:sz w:val="20"/>
                <w:szCs w:val="20"/>
                <w:color w:val="auto"/>
              </w:rPr>
            </w:pPr>
            <w:r>
              <w:rPr>
                <w:rFonts w:ascii="Arial" w:cs="Arial" w:eastAsia="Arial" w:hAnsi="Arial"/>
                <w:sz w:val="13"/>
                <w:szCs w:val="13"/>
                <w:b w:val="1"/>
                <w:bCs w:val="1"/>
                <w:color w:val="auto"/>
                <w:w w:val="92"/>
              </w:rPr>
              <w:t>(dollars in millions)</w:t>
            </w: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w w:val="89"/>
              </w:rPr>
              <w:t>103.4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862"/>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84.5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22.4 %</w:t>
            </w:r>
          </w:p>
        </w:tc>
        <w:tc>
          <w:tcPr>
            <w:tcW w:w="0" w:type="dxa"/>
            <w:vAlign w:val="bottom"/>
          </w:tcPr>
          <w:p>
            <w:pPr>
              <w:spacing w:after="0"/>
              <w:rPr>
                <w:sz w:val="1"/>
                <w:szCs w:val="1"/>
                <w:color w:val="auto"/>
              </w:rPr>
            </w:pPr>
          </w:p>
        </w:tc>
      </w:tr>
      <w:tr>
        <w:trPr>
          <w:trHeight w:val="212"/>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and marketing expenses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59.7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42.8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39.5 %</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Selling, general and administrative expenses</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w w:val="89"/>
              </w:rPr>
              <w:t>163.1</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right="862"/>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98"/>
              </w:rPr>
              <w:t>127.3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7"/>
                <w:szCs w:val="17"/>
                <w:color w:val="auto"/>
              </w:rPr>
              <w:t>19.7 %</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7"/>
                <w:szCs w:val="17"/>
                <w:color w:val="auto"/>
              </w:rPr>
              <w:t>17.9 %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375"/>
        <w:spacing w:after="0" w:line="246" w:lineRule="auto"/>
        <w:rPr>
          <w:sz w:val="20"/>
          <w:szCs w:val="20"/>
          <w:color w:val="auto"/>
        </w:rPr>
      </w:pPr>
      <w:r>
        <w:rPr>
          <w:rFonts w:ascii="Arial" w:cs="Arial" w:eastAsia="Arial" w:hAnsi="Arial"/>
          <w:sz w:val="16"/>
          <w:szCs w:val="16"/>
          <w:color w:val="auto"/>
        </w:rPr>
        <w:t>The increase in SG&amp;A expenses of $35.8 million was primarily due to higher employee-related costs of $33.4 million, COVID-19-related expenses of $2.9 million primarily related to financial support to family members of deceased employees, higher other operating costs of $4.5 million, partially offset by lower facilities costs of $4.1 million due to optimization of office space and lower travel costs of $0.9 million due to COVID-19 cost reduction measures.</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Change</w:t>
            </w:r>
          </w:p>
        </w:tc>
        <w:tc>
          <w:tcPr>
            <w:tcW w:w="1600" w:type="dxa"/>
            <w:vAlign w:val="bottom"/>
          </w:tcPr>
          <w:p>
            <w:pPr>
              <w:jc w:val="right"/>
              <w:ind w:right="201"/>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3"/>
          </w:tcPr>
          <w:p>
            <w:pPr>
              <w:jc w:val="right"/>
              <w:ind w:right="362"/>
              <w:spacing w:after="0"/>
              <w:rPr>
                <w:sz w:val="20"/>
                <w:szCs w:val="20"/>
                <w:color w:val="auto"/>
              </w:rPr>
            </w:pPr>
            <w:r>
              <w:rPr>
                <w:rFonts w:ascii="Arial" w:cs="Arial" w:eastAsia="Arial" w:hAnsi="Arial"/>
                <w:sz w:val="13"/>
                <w:szCs w:val="13"/>
                <w:b w:val="1"/>
                <w:bCs w:val="1"/>
                <w:color w:val="auto"/>
                <w:w w:val="92"/>
              </w:rPr>
              <w:t>(dollars in millions)</w:t>
            </w: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90"/>
              </w:rPr>
              <w:t>26.3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421"/>
              <w:spacing w:after="0"/>
              <w:rPr>
                <w:sz w:val="20"/>
                <w:szCs w:val="20"/>
                <w:color w:val="auto"/>
              </w:rPr>
            </w:pPr>
            <w:r>
              <w:rPr>
                <w:rFonts w:ascii="Arial" w:cs="Arial" w:eastAsia="Arial" w:hAnsi="Arial"/>
                <w:sz w:val="17"/>
                <w:szCs w:val="17"/>
                <w:color w:val="auto"/>
                <w:w w:val="92"/>
              </w:rPr>
              <w:t>0.6</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12"/>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amortization expense</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90"/>
              </w:rPr>
              <w:t>11.0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401"/>
              <w:spacing w:after="0"/>
              <w:rPr>
                <w:sz w:val="20"/>
                <w:szCs w:val="20"/>
                <w:color w:val="auto"/>
              </w:rPr>
            </w:pPr>
            <w:r>
              <w:rPr>
                <w:rFonts w:ascii="Arial" w:cs="Arial" w:eastAsia="Arial" w:hAnsi="Arial"/>
                <w:sz w:val="17"/>
                <w:szCs w:val="17"/>
                <w:color w:val="auto"/>
                <w:w w:val="91"/>
              </w:rPr>
              <w:t>(1.2)</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Depreciation and amortization expense</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36.7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90"/>
              </w:rPr>
              <w:t>37.3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center"/>
              <w:ind w:left="401"/>
              <w:spacing w:after="0"/>
              <w:rPr>
                <w:sz w:val="20"/>
                <w:szCs w:val="20"/>
                <w:color w:val="auto"/>
              </w:rPr>
            </w:pPr>
            <w:r>
              <w:rPr>
                <w:rFonts w:ascii="Arial" w:cs="Arial" w:eastAsia="Arial" w:hAnsi="Arial"/>
                <w:sz w:val="17"/>
                <w:szCs w:val="17"/>
                <w:color w:val="auto"/>
                <w:w w:val="91"/>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7"/>
                <w:szCs w:val="17"/>
                <w:color w:val="auto"/>
              </w:rPr>
              <w:t>4.4 %</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7"/>
                <w:szCs w:val="17"/>
                <w:color w:val="auto"/>
              </w:rPr>
              <w:t>5.3 %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firstLine="375"/>
        <w:spacing w:after="0" w:line="223" w:lineRule="auto"/>
        <w:rPr>
          <w:sz w:val="20"/>
          <w:szCs w:val="20"/>
          <w:color w:val="auto"/>
        </w:rPr>
      </w:pPr>
      <w:r>
        <w:rPr>
          <w:rFonts w:ascii="Arial" w:cs="Arial" w:eastAsia="Arial" w:hAnsi="Arial"/>
          <w:sz w:val="17"/>
          <w:szCs w:val="17"/>
          <w:color w:val="auto"/>
        </w:rPr>
        <w:t>The decrease in intangibles amortization expense of $1.2 million was primarily due to end of useful lives for certain intangible assets during the nine months ended September 30, 2021, compared to the nine months ended September 30, 2020. The increase in depreciation expense of $0.6 million was primarily due to depreciation related to our investments in new operating centers, internally developed software and accelerated depreciation resulting from a reduction in useful lives related to certain operating centers, due to the impact of COVID-19 during the nine months ended September 30, 2021, compared to the nine months ended September 30, 2020.</w:t>
      </w:r>
    </w:p>
    <w:p>
      <w:pPr>
        <w:spacing w:after="0" w:line="203" w:lineRule="exact"/>
        <w:rPr>
          <w:sz w:val="20"/>
          <w:szCs w:val="20"/>
          <w:color w:val="auto"/>
        </w:rPr>
      </w:pPr>
    </w:p>
    <w:p>
      <w:pPr>
        <w:jc w:val="both"/>
        <w:ind w:firstLine="383"/>
        <w:spacing w:after="0" w:line="252"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by $48.0 million, or 66.9%, from $71.8 million for the nine months ended September 30, 2020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$119.8 million for the nine months ended September 30, 2021, primarily due to higher revenues, partially offset by higher cost of revenues, higher SG&amp;A expenses during the nine months ended September 30, 2021. As a percentage of revenues, income from operations increased from 10.1% for the nine months ended September 30, 2020 to 14.5% for the nine months ended September 30, 2021.</w:t>
      </w:r>
    </w:p>
    <w:p>
      <w:pPr>
        <w:spacing w:after="0" w:line="203"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b w:val="1"/>
          <w:bCs w:val="1"/>
          <w:i w:val="1"/>
          <w:iCs w:val="1"/>
          <w:color w:val="auto"/>
        </w:rPr>
        <w:t xml:space="preserve">Foreign Exchange Gain/(Loss). </w:t>
      </w:r>
      <w:r>
        <w:rPr>
          <w:rFonts w:ascii="Arial" w:cs="Arial" w:eastAsia="Arial" w:hAnsi="Arial"/>
          <w:sz w:val="15"/>
          <w:szCs w:val="15"/>
          <w:color w:val="auto"/>
        </w:rPr>
        <w:t>Net foreign exchange gains and losses are primarily attributable to the movement of the U.S. dollar against the Indian rupee,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U.K. pound sterling, the Philippine peso and the South African ZAR during the nine months ended September 30, 2021. The average exchange rate of the U.S. dollar against the Indian rupee decreased from 74.18 during the nine months ended September 30, 2020 to 73.57 during the nine months ended September 30, 2021. The average exchange rate of the U.K. pound sterling against the U.S. dollar increased from 1.27 during the nine months ended September 30, 2020 to 1.38 during the nine months ended September 30, 2021. The average exchange rate of the U.S. dollar against the Philippine peso decreased from 49.94 during the nine months ended September 30, 2020 to 48.94 during the nine months ended September 30, 2021. The average exchange rate of the U.S. dollar against the South African ZAR decreased from 16.88 during the nine months ended September 30, 2020 to 14.64 during the nine months ended September 30, 2021.</w:t>
      </w:r>
    </w:p>
    <w:p>
      <w:pPr>
        <w:spacing w:after="0" w:line="179"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We recorded a net foreign exchange gain of $3.0 million for the nine months ended September 30, 2021, compared to the net foreign exchange gain of $3.5 million for the nine months ended September 30, 2020.</w:t>
      </w:r>
    </w:p>
    <w:p>
      <w:pPr>
        <w:spacing w:after="0" w:line="193" w:lineRule="exact"/>
        <w:rPr>
          <w:sz w:val="20"/>
          <w:szCs w:val="20"/>
          <w:color w:val="auto"/>
        </w:rPr>
      </w:pPr>
    </w:p>
    <w:p>
      <w:pPr>
        <w:jc w:val="both"/>
        <w:ind w:firstLine="383"/>
        <w:spacing w:after="0" w:line="250"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from $8.6 million for the nine months ended September 30, 2020 to $6.8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2021, primarily due to settlement of outstanding obligations under the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color w:val="auto"/>
        </w:rPr>
        <w:t>on August 27, 2021, and lower effective interest rates of 2.0% under our Credit Facility during the nine months ended September 30, 2021, compared to 2.4% during the nine months ended September 30, 2020.</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321" w:lineRule="exact"/>
        <w:rPr>
          <w:sz w:val="20"/>
          <w:szCs w:val="20"/>
          <w:color w:val="auto"/>
        </w:rPr>
      </w:pPr>
    </w:p>
    <w:tbl>
      <w:tblPr>
        <w:tblLayout w:type="fixed"/>
        <w:tblInd w:w="40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3"/>
                <w:szCs w:val="13"/>
                <w:b w:val="1"/>
                <w:bCs w:val="1"/>
                <w:color w:val="auto"/>
              </w:rPr>
              <w:t>Nine months ended September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0"/>
        </w:trPr>
        <w:tc>
          <w:tcPr>
            <w:tcW w:w="4660" w:type="dxa"/>
            <w:vAlign w:val="bottom"/>
          </w:tcPr>
          <w:p>
            <w:pPr>
              <w:spacing w:after="0"/>
              <w:rPr>
                <w:sz w:val="19"/>
                <w:szCs w:val="19"/>
                <w:color w:val="auto"/>
              </w:rPr>
            </w:pPr>
          </w:p>
        </w:tc>
        <w:tc>
          <w:tcPr>
            <w:tcW w:w="1260" w:type="dxa"/>
            <w:vAlign w:val="bottom"/>
          </w:tcPr>
          <w:p>
            <w:pPr>
              <w:jc w:val="right"/>
              <w:ind w:right="5"/>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Change</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Percentage cha</w:t>
            </w:r>
          </w:p>
        </w:tc>
      </w:tr>
      <w:tr>
        <w:trPr>
          <w:trHeight w:val="210"/>
        </w:trPr>
        <w:tc>
          <w:tcPr>
            <w:tcW w:w="46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Gain on sale and mark-to-market of mutual funds</w:t>
            </w:r>
          </w:p>
        </w:tc>
        <w:tc>
          <w:tcPr>
            <w:tcW w:w="1260" w:type="dxa"/>
            <w:vAlign w:val="bottom"/>
            <w:tcBorders>
              <w:top w:val="single" w:sz="8" w:color="auto"/>
            </w:tcBorders>
            <w:shd w:val="clear" w:color="auto" w:fill="CCEEFF"/>
          </w:tcPr>
          <w:p>
            <w:pPr>
              <w:jc w:val="right"/>
              <w:ind w:right="685"/>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3.9</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602"/>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center"/>
              <w:ind w:left="380"/>
              <w:spacing w:after="0"/>
              <w:rPr>
                <w:sz w:val="20"/>
                <w:szCs w:val="20"/>
                <w:color w:val="auto"/>
              </w:rPr>
            </w:pPr>
            <w:r>
              <w:rPr>
                <w:rFonts w:ascii="Arial" w:cs="Arial" w:eastAsia="Arial" w:hAnsi="Arial"/>
                <w:sz w:val="17"/>
                <w:szCs w:val="17"/>
                <w:color w:val="auto"/>
                <w:w w:val="91"/>
              </w:rPr>
              <w:t>(3.2)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(45.1)</w:t>
            </w:r>
          </w:p>
        </w:tc>
      </w:tr>
      <w:tr>
        <w:trPr>
          <w:trHeight w:val="212"/>
        </w:trPr>
        <w:tc>
          <w:tcPr>
            <w:tcW w:w="4660" w:type="dxa"/>
            <w:vAlign w:val="bottom"/>
          </w:tcPr>
          <w:p>
            <w:pPr>
              <w:ind w:left="420"/>
              <w:spacing w:after="0"/>
              <w:rPr>
                <w:sz w:val="20"/>
                <w:szCs w:val="20"/>
                <w:color w:val="auto"/>
              </w:rPr>
            </w:pPr>
            <w:r>
              <w:rPr>
                <w:rFonts w:ascii="Arial" w:cs="Arial" w:eastAsia="Arial" w:hAnsi="Arial"/>
                <w:sz w:val="17"/>
                <w:szCs w:val="17"/>
                <w:color w:val="auto"/>
              </w:rPr>
              <w:t>Interest and dividend income</w:t>
            </w:r>
          </w:p>
        </w:tc>
        <w:tc>
          <w:tcPr>
            <w:tcW w:w="12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ind w:left="420"/>
              <w:spacing w:after="0"/>
              <w:rPr>
                <w:sz w:val="20"/>
                <w:szCs w:val="20"/>
                <w:color w:val="auto"/>
              </w:rPr>
            </w:pPr>
            <w:r>
              <w:rPr>
                <w:rFonts w:ascii="Arial" w:cs="Arial" w:eastAsia="Arial" w:hAnsi="Arial"/>
                <w:sz w:val="17"/>
                <w:szCs w:val="17"/>
                <w:color w:val="auto"/>
                <w:w w:val="84"/>
              </w:rPr>
              <w:t>0.2</w:t>
            </w:r>
          </w:p>
        </w:tc>
        <w:tc>
          <w:tcPr>
            <w:tcW w:w="100" w:type="dxa"/>
            <w:vAlign w:val="bottom"/>
          </w:tcPr>
          <w:p>
            <w:pPr>
              <w:spacing w:after="0"/>
              <w:rPr>
                <w:sz w:val="18"/>
                <w:szCs w:val="18"/>
                <w:color w:val="auto"/>
              </w:rPr>
            </w:pPr>
          </w:p>
        </w:tc>
        <w:tc>
          <w:tcPr>
            <w:tcW w:w="1360" w:type="dxa"/>
            <w:vAlign w:val="bottom"/>
          </w:tcPr>
          <w:p>
            <w:pPr>
              <w:jc w:val="right"/>
              <w:ind w:right="220"/>
              <w:spacing w:after="0"/>
              <w:rPr>
                <w:sz w:val="20"/>
                <w:szCs w:val="20"/>
                <w:color w:val="auto"/>
              </w:rPr>
            </w:pPr>
            <w:r>
              <w:rPr>
                <w:rFonts w:ascii="Arial" w:cs="Arial" w:eastAsia="Arial" w:hAnsi="Arial"/>
                <w:sz w:val="17"/>
                <w:szCs w:val="17"/>
                <w:color w:val="auto"/>
              </w:rPr>
              <w:t>10.5</w:t>
            </w:r>
          </w:p>
        </w:tc>
      </w:tr>
      <w:tr>
        <w:trPr>
          <w:trHeight w:val="212"/>
        </w:trPr>
        <w:tc>
          <w:tcPr>
            <w:tcW w:w="4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net</w:t>
            </w:r>
          </w:p>
        </w:tc>
        <w:tc>
          <w:tcPr>
            <w:tcW w:w="1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(0.7)</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380"/>
              <w:spacing w:after="0"/>
              <w:rPr>
                <w:sz w:val="20"/>
                <w:szCs w:val="20"/>
                <w:color w:val="auto"/>
              </w:rPr>
            </w:pPr>
            <w:r>
              <w:rPr>
                <w:rFonts w:ascii="Arial" w:cs="Arial" w:eastAsia="Arial" w:hAnsi="Arial"/>
                <w:sz w:val="17"/>
                <w:szCs w:val="17"/>
                <w:color w:val="auto"/>
                <w:w w:val="91"/>
              </w:rPr>
              <w:t>(0.9)</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(450.0)</w:t>
            </w:r>
          </w:p>
        </w:tc>
      </w:tr>
      <w:tr>
        <w:trPr>
          <w:trHeight w:val="205"/>
        </w:trPr>
        <w:tc>
          <w:tcPr>
            <w:tcW w:w="4660" w:type="dxa"/>
            <w:vAlign w:val="bottom"/>
          </w:tcPr>
          <w:p>
            <w:pPr>
              <w:ind w:left="420"/>
              <w:spacing w:after="0" w:line="193" w:lineRule="exact"/>
              <w:rPr>
                <w:sz w:val="20"/>
                <w:szCs w:val="20"/>
                <w:color w:val="auto"/>
              </w:rPr>
            </w:pPr>
            <w:r>
              <w:rPr>
                <w:rFonts w:ascii="Arial" w:cs="Arial" w:eastAsia="Arial" w:hAnsi="Arial"/>
                <w:sz w:val="17"/>
                <w:szCs w:val="17"/>
                <w:color w:val="auto"/>
              </w:rPr>
              <w:t>Other income, net</w:t>
            </w:r>
          </w:p>
        </w:tc>
        <w:tc>
          <w:tcPr>
            <w:tcW w:w="1260" w:type="dxa"/>
            <w:vAlign w:val="bottom"/>
            <w:tcBorders>
              <w:bottom w:val="single" w:sz="8" w:color="auto"/>
            </w:tcBorders>
          </w:tcPr>
          <w:p>
            <w:pPr>
              <w:jc w:val="right"/>
              <w:ind w:right="68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5.3</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ind w:right="602"/>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center"/>
              <w:ind w:left="380"/>
              <w:spacing w:after="0"/>
              <w:rPr>
                <w:sz w:val="20"/>
                <w:szCs w:val="20"/>
                <w:color w:val="auto"/>
              </w:rPr>
            </w:pPr>
            <w:r>
              <w:rPr>
                <w:rFonts w:ascii="Arial" w:cs="Arial" w:eastAsia="Arial" w:hAnsi="Arial"/>
                <w:sz w:val="17"/>
                <w:szCs w:val="17"/>
                <w:color w:val="auto"/>
                <w:w w:val="91"/>
              </w:rPr>
              <w:t>(3.9)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color w:val="auto"/>
              </w:rPr>
              <w:t>(42.4)</w:t>
            </w:r>
          </w:p>
        </w:tc>
      </w:tr>
      <w:tr>
        <w:trPr>
          <w:trHeight w:val="20"/>
        </w:trPr>
        <w:tc>
          <w:tcPr>
            <w:tcW w:w="4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both"/>
        <w:ind w:right="100" w:firstLine="375"/>
        <w:spacing w:after="0" w:line="262" w:lineRule="auto"/>
        <w:rPr>
          <w:sz w:val="20"/>
          <w:szCs w:val="20"/>
          <w:color w:val="auto"/>
        </w:rPr>
      </w:pPr>
      <w:r>
        <w:rPr>
          <w:rFonts w:ascii="Arial" w:cs="Arial" w:eastAsia="Arial" w:hAnsi="Arial"/>
          <w:sz w:val="16"/>
          <w:szCs w:val="16"/>
          <w:color w:val="auto"/>
        </w:rPr>
        <w:t>Other income, net decreased by $3.9 million, from $9.2 million for the nine months ended September 30, 2020 to $5.3 million for the nine months ended September 30, 2021, primarily due to lower amount invested in mutual funds and lower returns on such investments of $3.2 million, partially offset by increase in interest income of $0.2 million during the nine months ended September 30, 2021, compared to the nine months ended September 30, 2020.</w:t>
      </w:r>
    </w:p>
    <w:p>
      <w:pPr>
        <w:spacing w:after="0" w:line="171" w:lineRule="exact"/>
        <w:rPr>
          <w:sz w:val="20"/>
          <w:szCs w:val="20"/>
          <w:color w:val="auto"/>
        </w:rPr>
      </w:pPr>
    </w:p>
    <w:p>
      <w:pPr>
        <w:jc w:val="both"/>
        <w:ind w:right="100" w:firstLine="375"/>
        <w:spacing w:after="0" w:line="237" w:lineRule="auto"/>
        <w:rPr>
          <w:sz w:val="20"/>
          <w:szCs w:val="20"/>
          <w:color w:val="auto"/>
        </w:rPr>
      </w:pPr>
      <w:r>
        <w:rPr>
          <w:rFonts w:ascii="Arial" w:cs="Arial" w:eastAsia="Arial" w:hAnsi="Arial"/>
          <w:sz w:val="17"/>
          <w:szCs w:val="17"/>
          <w:b w:val="1"/>
          <w:bCs w:val="1"/>
          <w:i w:val="1"/>
          <w:iCs w:val="1"/>
          <w:color w:val="auto"/>
        </w:rPr>
        <w:t xml:space="preserve">Loss on settlement of Notes. </w:t>
      </w:r>
      <w:r>
        <w:rPr>
          <w:rFonts w:ascii="Arial" w:cs="Arial" w:eastAsia="Arial" w:hAnsi="Arial"/>
          <w:sz w:val="17"/>
          <w:szCs w:val="17"/>
          <w:color w:val="auto"/>
        </w:rPr>
        <w:t>On August 27, 2021, we settled our outstanding obligations under the Notes and recognized loss of $12.8 million during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2021. See Note 17 - Borrowings to our unaudited consolidated financial statements.</w:t>
      </w:r>
    </w:p>
    <w:p>
      <w:pPr>
        <w:spacing w:after="0" w:line="188" w:lineRule="exact"/>
        <w:rPr>
          <w:sz w:val="20"/>
          <w:szCs w:val="20"/>
          <w:color w:val="auto"/>
        </w:rPr>
      </w:pPr>
    </w:p>
    <w:p>
      <w:pPr>
        <w:jc w:val="both"/>
        <w:ind w:right="100" w:firstLine="383"/>
        <w:spacing w:after="0" w:line="234"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The effective tax rate decreased from 24.3% during the nine months ended September 30, 2020 to 20.3% during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2021. We recorded income tax expense of $22.1 million and $18.4 million for the nine months ended September 30, 2021 and 2020, respectively. The increase in the income tax expense was primarily a result of higher profit during the nine months ended September 30, 2021, compared to the nine months ended September 30, 2020, and the recording of higher excess tax benefits related to stock awards of $1.8 million pursuant to ASU No. 2016-09 during the nine months ended September 30, 2020, compared to $1.6 million during the nine months ended September 30, 2021, partially offset by (i) the recording of a one-time deferred tax benefit of $2.4 million on settlement of the Notes during the nine months ended September 30, 2021, and (ii) the recording of a one-time tax expense of $1.3 million due to the election of a new tax regime, during the nine months ended September 30, 2020, for two of our Indian subsidiaries that provides for a lower tax rate on earnings in exchange for foregoing certain tax credits, including minimum alternative tax credits.</w:t>
      </w:r>
    </w:p>
    <w:p>
      <w:pPr>
        <w:spacing w:after="0" w:line="188" w:lineRule="exact"/>
        <w:rPr>
          <w:sz w:val="20"/>
          <w:szCs w:val="20"/>
          <w:color w:val="auto"/>
        </w:rPr>
      </w:pPr>
    </w:p>
    <w:p>
      <w:pPr>
        <w:jc w:val="both"/>
        <w:ind w:right="100" w:firstLine="375"/>
        <w:spacing w:after="0" w:line="223"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increased from $57.3 million for the nine months ended September 30, 2020 to $86.4 million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primarily due to increase in income from operations of $48.0 million, lower interest expense of $1.8 million and lower loss from equity-method investment of $0.2 million, partially offset by loss on settlement of the Notes of $12.8 million, lower other income, net of $3.9 million, higher income tax expense of $3.7 million and lower foreign exchange gain, net of $0.5 million. As a percentage of revenues, net income increased from 8.1% for the nine months ended September 30, 2020 to 10.5%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348"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3"/>
                <w:szCs w:val="13"/>
                <w:b w:val="1"/>
                <w:bCs w:val="1"/>
                <w:color w:val="auto"/>
              </w:rPr>
              <w:t>Nine months ended September 30,</w:t>
            </w:r>
          </w:p>
        </w:tc>
      </w:tr>
      <w:tr>
        <w:trPr>
          <w:trHeight w:val="171"/>
        </w:trPr>
        <w:tc>
          <w:tcPr>
            <w:tcW w:w="68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w w:val="89"/>
              </w:rPr>
              <w:t>2020</w:t>
            </w:r>
          </w:p>
        </w:tc>
      </w:tr>
      <w:tr>
        <w:trPr>
          <w:trHeight w:val="167"/>
        </w:trPr>
        <w:tc>
          <w:tcPr>
            <w:tcW w:w="6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b w:val="1"/>
                <w:bCs w:val="1"/>
                <w:color w:val="auto"/>
                <w:w w:val="92"/>
              </w:rPr>
              <w:t>(dollars in millions)</w:t>
            </w:r>
          </w:p>
        </w:tc>
        <w:tc>
          <w:tcPr>
            <w:tcW w:w="800" w:type="dxa"/>
            <w:vAlign w:val="bottom"/>
          </w:tcPr>
          <w:p>
            <w:pPr>
              <w:spacing w:after="0"/>
              <w:rPr>
                <w:sz w:val="14"/>
                <w:szCs w:val="14"/>
                <w:color w:val="auto"/>
              </w:rPr>
            </w:pPr>
          </w:p>
        </w:tc>
      </w:tr>
      <w:tr>
        <w:trPr>
          <w:trHeight w:val="213"/>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cash, cash equivalents and restricted cash</w:t>
            </w:r>
          </w:p>
        </w:tc>
        <w:tc>
          <w:tcPr>
            <w:tcW w:w="820" w:type="dxa"/>
            <w:vAlign w:val="bottom"/>
            <w:shd w:val="clear" w:color="auto" w:fill="CCEEFF"/>
          </w:tcPr>
          <w:p>
            <w:pPr>
              <w:jc w:val="right"/>
              <w:ind w:right="645"/>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225.5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w:t>
            </w:r>
          </w:p>
        </w:tc>
      </w:tr>
      <w:tr>
        <w:trPr>
          <w:trHeight w:val="212"/>
        </w:trPr>
        <w:tc>
          <w:tcPr>
            <w:tcW w:w="686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113.8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126.3</w:t>
            </w:r>
          </w:p>
        </w:tc>
      </w:tr>
      <w:tr>
        <w:trPr>
          <w:trHeight w:val="225"/>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for)/provided by investing activities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12"/>
        </w:trPr>
        <w:tc>
          <w:tcPr>
            <w:tcW w:w="6860" w:type="dxa"/>
            <w:vAlign w:val="bottom"/>
          </w:tcPr>
          <w:p>
            <w:pPr>
              <w:ind w:left="20"/>
              <w:spacing w:after="0"/>
              <w:rPr>
                <w:sz w:val="20"/>
                <w:szCs w:val="20"/>
                <w:color w:val="auto"/>
              </w:rPr>
            </w:pPr>
            <w:r>
              <w:rPr>
                <w:rFonts w:ascii="Arial" w:cs="Arial" w:eastAsia="Arial" w:hAnsi="Arial"/>
                <w:sz w:val="17"/>
                <w:szCs w:val="17"/>
                <w:color w:val="auto"/>
              </w:rPr>
              <w:t>Net cash used for financing activities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85"/>
              </w:rPr>
              <w:t>(189.1)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(48.4)</w:t>
            </w:r>
          </w:p>
        </w:tc>
      </w:tr>
      <w:tr>
        <w:trPr>
          <w:trHeight w:val="212"/>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6860" w:type="dxa"/>
            <w:vAlign w:val="bottom"/>
          </w:tcPr>
          <w:p>
            <w:pPr>
              <w:ind w:left="20"/>
              <w:spacing w:after="0" w:line="193" w:lineRule="exact"/>
              <w:rPr>
                <w:sz w:val="20"/>
                <w:szCs w:val="20"/>
                <w:color w:val="auto"/>
              </w:rPr>
            </w:pPr>
            <w:r>
              <w:rPr>
                <w:rFonts w:ascii="Arial" w:cs="Arial" w:eastAsia="Arial" w:hAnsi="Arial"/>
                <w:sz w:val="17"/>
                <w:szCs w:val="17"/>
                <w:color w:val="auto"/>
              </w:rPr>
              <w:t>Closing cash, cash equivalents and restricted cash</w:t>
            </w:r>
          </w:p>
        </w:tc>
        <w:tc>
          <w:tcPr>
            <w:tcW w:w="820" w:type="dxa"/>
            <w:vAlign w:val="bottom"/>
            <w:tcBorders>
              <w:bottom w:val="single" w:sz="8" w:color="auto"/>
            </w:tcBorders>
          </w:tcPr>
          <w:p>
            <w:pPr>
              <w:jc w:val="right"/>
              <w:ind w:right="64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123.7</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w:t>
            </w:r>
          </w:p>
        </w:tc>
      </w:tr>
      <w:tr>
        <w:trPr>
          <w:trHeight w:val="20"/>
        </w:trPr>
        <w:tc>
          <w:tcPr>
            <w:tcW w:w="6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375"/>
        <w:spacing w:after="0" w:line="232" w:lineRule="auto"/>
        <w:rPr>
          <w:sz w:val="20"/>
          <w:szCs w:val="20"/>
          <w:color w:val="auto"/>
        </w:rPr>
      </w:pPr>
      <w:r>
        <w:rPr>
          <w:rFonts w:ascii="Arial" w:cs="Arial" w:eastAsia="Arial" w:hAnsi="Arial"/>
          <w:sz w:val="16"/>
          <w:szCs w:val="16"/>
          <w:color w:val="auto"/>
        </w:rPr>
        <w:t>As of September 30, 2021 and 2020, we had $284.3 million and $362.6 million, respectively, in cash, cash equivalents and short-term investments, of which $254.2 million and $300.7 million, respectively, is located in foreign jurisdictions that upon distribution may be subject to withholding and other taxes. We periodically evaluate opportunities to distribute cash among our group entities to fund our operations in the United States and other geographies, and as and when we decide to distribute, we may have to accrue, additional taxes in accordance with local tax laws, rules and regulations in the relevant foreign jurisdictions. During the three months ended September 30, 2021, we repatriated to the United States $17.0 million (net of $0.9 million withholding taxes) from India. During the nine months ended September 30, 2021, we repatriated to the United States $66.0 million (net of $3.5 million withholding taxes) from India and $42.5 million (net of $7.5 million withholding taxes) from the Philippines. These distributions do not constitute a change in our permanent reinvestment assertion. We base our decision to continue to indefinitely reinvest earnings in India and the Philippines on our estimate of the working capital required to support our operations in these geographies and periodically review our capital initiatives to support and expand our global operations, as well as an economically viable rate of return on our investments made in India and the Philippines as compared to those made in the United States.</w:t>
      </w:r>
    </w:p>
    <w:p>
      <w:pPr>
        <w:spacing w:after="0" w:line="194"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provided by operating activities was $113.8 million for the nine months ended September 30, 2021 as compared to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by operating activities of $126.3 million for the nine months ended September 30, 2020, reflecting higher working capital needs, offset by higher cash earnings. The major drivers contributing to the decrease of $12.5 million year-over-year included the following:</w:t>
      </w:r>
    </w:p>
    <w:p>
      <w:pPr>
        <w:spacing w:after="0" w:line="190" w:lineRule="exact"/>
        <w:rPr>
          <w:sz w:val="20"/>
          <w:szCs w:val="20"/>
          <w:color w:val="auto"/>
        </w:rPr>
      </w:pPr>
    </w:p>
    <w:p>
      <w:pPr>
        <w:jc w:val="both"/>
        <w:ind w:left="600" w:hanging="301"/>
        <w:spacing w:after="0" w:line="223"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accounts receivable, including advance billings, contributed lower cash flow of $78.4 million in the nine months ended September 30, 2021 compared to the nine months ended September 30, 2020. The decrease was a result of higher accounts receivable resulting from revenue growth, change in credit terms for certain clients during the nine months ended September 30, 2021, and advance collections during the three months ended December 31, 2020. Lower cash flows were also affected by our accounts receivable days sales outstanding, which marginally increased to 58 days as of September 30, 2021 from 57 days as of September 30, 2020.</w:t>
      </w:r>
    </w:p>
    <w:p>
      <w:pPr>
        <w:spacing w:after="0" w:line="190" w:lineRule="exact"/>
        <w:rPr>
          <w:rFonts w:ascii="Arial" w:cs="Arial" w:eastAsia="Arial" w:hAnsi="Arial"/>
          <w:sz w:val="17"/>
          <w:szCs w:val="17"/>
          <w:color w:val="auto"/>
        </w:rPr>
      </w:pPr>
    </w:p>
    <w:p>
      <w:pPr>
        <w:jc w:val="both"/>
        <w:ind w:left="600" w:hanging="301"/>
        <w:spacing w:after="0" w:line="246" w:lineRule="auto"/>
        <w:tabs>
          <w:tab w:leader="none" w:pos="5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in net income of $29.1 million in the nine months ended September 30, 2021 compared to the nine months ended September 30, 2020, primarily due to an increase in income from operations of $48.0 million driven by higher revenues, lower interest expense of $1.8 million, partially offset by loss on settlement of the Notes of $12.8 million, lower other income, net of $3.9 million, and higher income tax expense of $3.7 million.</w:t>
      </w:r>
    </w:p>
    <w:p>
      <w:pPr>
        <w:spacing w:after="0" w:line="208" w:lineRule="exact"/>
        <w:rPr>
          <w:rFonts w:ascii="Arial" w:cs="Arial" w:eastAsia="Arial" w:hAnsi="Arial"/>
          <w:sz w:val="16"/>
          <w:szCs w:val="16"/>
          <w:color w:val="auto"/>
        </w:rPr>
      </w:pPr>
    </w:p>
    <w:p>
      <w:pPr>
        <w:jc w:val="both"/>
        <w:ind w:left="600" w:hanging="301"/>
        <w:spacing w:after="0" w:line="267" w:lineRule="auto"/>
        <w:tabs>
          <w:tab w:leader="none" w:pos="564" w:val="left"/>
        </w:tabs>
        <w:numPr>
          <w:ilvl w:val="0"/>
          <w:numId w:val="15"/>
        </w:numPr>
        <w:rPr>
          <w:rFonts w:ascii="Arial" w:cs="Arial" w:eastAsia="Arial" w:hAnsi="Arial"/>
          <w:sz w:val="17"/>
          <w:szCs w:val="17"/>
          <w:i w:val="1"/>
          <w:iCs w:val="1"/>
          <w:color w:val="auto"/>
        </w:rPr>
      </w:pPr>
      <w:r>
        <w:rPr>
          <w:rFonts w:ascii="Arial" w:cs="Arial" w:eastAsia="Arial" w:hAnsi="Arial"/>
          <w:sz w:val="16"/>
          <w:szCs w:val="16"/>
          <w:color w:val="auto"/>
        </w:rPr>
        <w:t>Increase in accrued employee costs, accrued expenses and other liabilities contributed higher cash flow of $56.3 million in the nine months ended September 30, 2021 compared to the nine months ended September 30, 2020. The increase was primarily due to lower payment and higher provisions of annual performance incentives of $37.2 million, higher other employee cost accruals of $2.5 million and higher accrued expenses and other liabilities of $16.6 million, during the nine months ended September 30, 2021 compared to the nine months ended September 30, 2020.</w:t>
      </w:r>
    </w:p>
    <w:p>
      <w:pPr>
        <w:spacing w:after="0" w:line="204" w:lineRule="exact"/>
        <w:rPr>
          <w:rFonts w:ascii="Arial" w:cs="Arial" w:eastAsia="Arial" w:hAnsi="Arial"/>
          <w:sz w:val="17"/>
          <w:szCs w:val="17"/>
          <w:i w:val="1"/>
          <w:iCs w:val="1"/>
          <w:color w:val="auto"/>
        </w:rPr>
      </w:pPr>
    </w:p>
    <w:p>
      <w:pPr>
        <w:ind w:left="600" w:hanging="301"/>
        <w:spacing w:after="0" w:line="249" w:lineRule="auto"/>
        <w:tabs>
          <w:tab w:leader="none" w:pos="564" w:val="left"/>
        </w:tabs>
        <w:numPr>
          <w:ilvl w:val="0"/>
          <w:numId w:val="15"/>
        </w:numPr>
        <w:rPr>
          <w:rFonts w:ascii="Arial" w:cs="Arial" w:eastAsia="Arial" w:hAnsi="Arial"/>
          <w:sz w:val="17"/>
          <w:szCs w:val="17"/>
          <w:i w:val="1"/>
          <w:iCs w:val="1"/>
          <w:color w:val="auto"/>
        </w:rPr>
      </w:pPr>
      <w:r>
        <w:rPr>
          <w:rFonts w:ascii="Arial" w:cs="Arial" w:eastAsia="Arial" w:hAnsi="Arial"/>
          <w:sz w:val="16"/>
          <w:szCs w:val="16"/>
          <w:color w:val="auto"/>
        </w:rPr>
        <w:t>Other drivers decreasing cash flows during the nine months ended September 30, 2021 compared to the nine months ended September 30, 2020 included: income tax payments, net of refunds, of $19.6 million, primarily due to higher advance income tax payments on higher net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flows used for investing activities were $21.5 million for the nine months ended September 30, 2021 as compared to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investing activities of $11.1 million for the nine months ended September 30, 2020. The decrease is mainly due to net redemption of investments of $6.7 million during nine months ended September 30, 2021 as compared to net redemption of investments of $45.8 million during the nine months ended September 30, 2020. This was partially offset by lower capital expenditures for purchase of long-lived assets, including investments in infrastructure, technology assets, software and product developments of $5.8 million during the nine months ended September 30, 2021 as compared to the nine months ended September 30, 2020 and acquisition of an additional stake in our equity affiliate of $0.7 million during the nine months ended September 30, 2020.</w:t>
      </w:r>
    </w:p>
    <w:p>
      <w:pPr>
        <w:spacing w:after="0" w:line="183" w:lineRule="exact"/>
        <w:rPr>
          <w:sz w:val="20"/>
          <w:szCs w:val="20"/>
          <w:color w:val="auto"/>
        </w:rPr>
      </w:pPr>
    </w:p>
    <w:p>
      <w:pPr>
        <w:jc w:val="both"/>
        <w:ind w:firstLine="375"/>
        <w:spacing w:after="0" w:line="261"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Cash flows used for financing activities were $189.1 million during the nine months ended September 30, 2021 as compared to cash flows</w:t>
      </w:r>
      <w:r>
        <w:rPr>
          <w:rFonts w:ascii="Arial" w:cs="Arial" w:eastAsia="Arial" w:hAnsi="Arial"/>
          <w:sz w:val="15"/>
          <w:szCs w:val="15"/>
          <w:i w:val="1"/>
          <w:iCs w:val="1"/>
          <w:color w:val="auto"/>
        </w:rPr>
        <w:t xml:space="preserve"> </w:t>
      </w:r>
      <w:r>
        <w:rPr>
          <w:rFonts w:ascii="Arial" w:cs="Arial" w:eastAsia="Arial" w:hAnsi="Arial"/>
          <w:sz w:val="15"/>
          <w:szCs w:val="15"/>
          <w:color w:val="auto"/>
        </w:rPr>
        <w:t>used for financing activities of $48.4 million during the nine months ended September 30, 2020. The increase in cash flows used for financing activities was primarily due to higher net repayment of our borrowings of $94.0 million under our revolving Credit Facility and the Notes and higher purchases of treasury stock by $46.7 million under our share repurchase program during the nine months ended September 30, 2021 as compared to the nine months ended September 30, 2020.</w:t>
      </w:r>
    </w:p>
    <w:p>
      <w:pPr>
        <w:spacing w:after="0" w:line="186" w:lineRule="exact"/>
        <w:rPr>
          <w:sz w:val="20"/>
          <w:szCs w:val="20"/>
          <w:color w:val="auto"/>
        </w:rPr>
      </w:pPr>
    </w:p>
    <w:p>
      <w:pPr>
        <w:jc w:val="both"/>
        <w:ind w:firstLine="375"/>
        <w:spacing w:after="0"/>
        <w:rPr>
          <w:sz w:val="20"/>
          <w:szCs w:val="20"/>
          <w:color w:val="auto"/>
        </w:rPr>
      </w:pPr>
      <w:r>
        <w:rPr>
          <w:rFonts w:ascii="Arial" w:cs="Arial" w:eastAsia="Arial" w:hAnsi="Arial"/>
          <w:sz w:val="17"/>
          <w:szCs w:val="17"/>
          <w:color w:val="auto"/>
        </w:rPr>
        <w:t>We expect to use cash from operating activities to maintain and expand our business by making investments primarily related to new facilities and capital expenditures associated with leasehold improvements to build our facilities, digital capabilities and purchase telecommunications equipment and computer hardware and software in connection with managing client operations.</w:t>
      </w:r>
    </w:p>
    <w:p>
      <w:pPr>
        <w:spacing w:after="0" w:line="200" w:lineRule="exact"/>
        <w:rPr>
          <w:sz w:val="20"/>
          <w:szCs w:val="20"/>
          <w:color w:val="auto"/>
        </w:rPr>
      </w:pPr>
    </w:p>
    <w:p>
      <w:pPr>
        <w:jc w:val="both"/>
        <w:ind w:firstLine="375"/>
        <w:spacing w:after="0"/>
        <w:rPr>
          <w:sz w:val="20"/>
          <w:szCs w:val="20"/>
          <w:color w:val="auto"/>
        </w:rPr>
      </w:pPr>
      <w:r>
        <w:rPr>
          <w:rFonts w:ascii="Arial" w:cs="Arial" w:eastAsia="Arial" w:hAnsi="Arial"/>
          <w:sz w:val="17"/>
          <w:szCs w:val="17"/>
          <w:color w:val="auto"/>
        </w:rPr>
        <w:t>We incurred $29.0 million of capital expenditures in the nine months ended September 30, 2021. We expect to incur capital expenditures of between $35.0 million and $40.0 million in 2021, primarily to meet our growth requirements, including additions to our facilities as well as investments in technology applications, product development, digital technology, advanced automation, robotics and infrastructure.</w:t>
      </w:r>
    </w:p>
    <w:p>
      <w:pPr>
        <w:spacing w:after="0" w:line="200"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(see Note 24 - Commitments and Contingencies to our unaudited consolidated financial statements herein for further details). We anticipate that we will continue to rely upon cash from operating activities to finance our working capital needs, capital expenditures and smaller acquisitions. If we have significant growth through acquisitions, we may need to obtain additional financing.</w:t>
      </w:r>
    </w:p>
    <w:p>
      <w:pPr>
        <w:spacing w:after="0" w:line="189" w:lineRule="exact"/>
        <w:rPr>
          <w:sz w:val="20"/>
          <w:szCs w:val="20"/>
          <w:color w:val="auto"/>
        </w:rPr>
      </w:pPr>
    </w:p>
    <w:p>
      <w:pPr>
        <w:jc w:val="both"/>
        <w:ind w:firstLine="375"/>
        <w:spacing w:after="0" w:line="272" w:lineRule="auto"/>
        <w:rPr>
          <w:sz w:val="20"/>
          <w:szCs w:val="20"/>
          <w:color w:val="auto"/>
        </w:rPr>
      </w:pPr>
      <w:r>
        <w:rPr>
          <w:rFonts w:ascii="Arial" w:cs="Arial" w:eastAsia="Arial" w:hAnsi="Arial"/>
          <w:sz w:val="16"/>
          <w:szCs w:val="16"/>
          <w:color w:val="auto"/>
        </w:rPr>
        <w:t>The Coronavirus Aid, Relief, and Economic Security Act, (the “CARES Act”) allows employers to defer the payment of the employer share of Federal Insurance Contributions Act (“FICA”) taxes for the period from April 1, 2020 and ending December 31, 2020. As of September 30, 2021 and December 31, 2020, we deferred our contributions to FICA of $6.3 million each under the CARES Act. The deferred amount will be payable as follows: (1) 50% of the deferred amount will be paid on or before December 31, 2021 and (2) the remaining 50% of the deferred amount will be paid on or before December 31, 2022.</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Arrangements (Debt Facility)</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summarizes our Debt balances as of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240"/>
          </w:cols>
          <w:pgMar w:left="320" w:top="3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240"/>
        <w:spacing w:after="0"/>
        <w:rPr>
          <w:sz w:val="20"/>
          <w:szCs w:val="20"/>
          <w:color w:val="auto"/>
        </w:rPr>
      </w:pPr>
      <w:r>
        <w:rPr>
          <w:rFonts w:ascii="Arial" w:cs="Arial" w:eastAsia="Arial" w:hAnsi="Arial"/>
          <w:sz w:val="11"/>
          <w:szCs w:val="11"/>
          <w:b w:val="1"/>
          <w:bCs w:val="1"/>
          <w:color w:val="auto"/>
        </w:rPr>
        <w:t>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35560</wp:posOffset>
            </wp:positionV>
            <wp:extent cx="174434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44345" cy="7620"/>
                    </a:xfrm>
                    <a:prstGeom prst="rect">
                      <a:avLst/>
                    </a:prstGeom>
                    <a:noFill/>
                  </pic:spPr>
                </pic:pic>
              </a:graphicData>
            </a:graphic>
          </wp:anchor>
        </w:drawing>
      </w:r>
    </w:p>
    <w:p>
      <w:pPr>
        <w:spacing w:after="0" w:line="41" w:lineRule="exact"/>
        <w:rPr>
          <w:sz w:val="20"/>
          <w:szCs w:val="20"/>
          <w:color w:val="auto"/>
        </w:rPr>
      </w:pPr>
    </w:p>
    <w:p>
      <w:pPr>
        <w:jc w:val="center"/>
        <w:ind w:left="224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60"/>
        <w:spacing w:after="0"/>
        <w:rPr>
          <w:sz w:val="20"/>
          <w:szCs w:val="20"/>
          <w:color w:val="auto"/>
        </w:rPr>
      </w:pPr>
      <w:r>
        <w:rPr>
          <w:rFonts w:ascii="Arial" w:cs="Arial" w:eastAsia="Arial" w:hAnsi="Arial"/>
          <w:sz w:val="11"/>
          <w:szCs w:val="11"/>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35560</wp:posOffset>
            </wp:positionV>
            <wp:extent cx="279844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8445" cy="7620"/>
                    </a:xfrm>
                    <a:prstGeom prst="rect">
                      <a:avLst/>
                    </a:prstGeom>
                    <a:noFill/>
                  </pic:spPr>
                </pic:pic>
              </a:graphicData>
            </a:graphic>
          </wp:anchor>
        </w:drawing>
      </w:r>
    </w:p>
    <w:p>
      <w:pPr>
        <w:spacing w:after="0" w:line="41" w:lineRule="exact"/>
        <w:rPr>
          <w:sz w:val="20"/>
          <w:szCs w:val="20"/>
          <w:color w:val="auto"/>
        </w:rPr>
      </w:pPr>
    </w:p>
    <w:p>
      <w:pPr>
        <w:jc w:val="center"/>
        <w:ind w:right="2360"/>
        <w:spacing w:after="0"/>
        <w:rPr>
          <w:sz w:val="20"/>
          <w:szCs w:val="20"/>
          <w:color w:val="auto"/>
        </w:rPr>
      </w:pPr>
      <w:r>
        <w:rPr>
          <w:rFonts w:ascii="Arial" w:cs="Arial" w:eastAsia="Arial" w:hAnsi="Arial"/>
          <w:sz w:val="13"/>
          <w:szCs w:val="13"/>
          <w:b w:val="1"/>
          <w:bCs w:val="1"/>
          <w:color w:val="auto"/>
        </w:rPr>
        <w:t>(dollars in millions)</w:t>
      </w:r>
    </w:p>
    <w:p>
      <w:pPr>
        <w:spacing w:after="0" w:line="23" w:lineRule="exact"/>
        <w:rPr>
          <w:sz w:val="20"/>
          <w:szCs w:val="20"/>
          <w:color w:val="auto"/>
        </w:rPr>
      </w:pPr>
    </w:p>
    <w:p>
      <w:pPr>
        <w:sectPr>
          <w:pgSz w:w="11900" w:h="16838" w:orient="portrait"/>
          <w:cols w:equalWidth="0" w:num="2">
            <w:col w:w="6760" w:space="720"/>
            <w:col w:w="3760"/>
          </w:cols>
          <w:pgMar w:left="320" w:top="348" w:right="33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3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97"/>
              <w:spacing w:after="0" w:line="165" w:lineRule="exact"/>
              <w:rPr>
                <w:sz w:val="20"/>
                <w:szCs w:val="20"/>
                <w:color w:val="auto"/>
              </w:rPr>
            </w:pPr>
            <w:r>
              <w:rPr>
                <w:rFonts w:ascii="Arial" w:cs="Arial" w:eastAsia="Arial" w:hAnsi="Arial"/>
                <w:sz w:val="17"/>
                <w:szCs w:val="17"/>
                <w:b w:val="1"/>
                <w:bCs w:val="1"/>
                <w:color w:val="auto"/>
                <w:w w:val="93"/>
              </w:rPr>
              <w:t>Revolving Credit</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97"/>
              <w:spacing w:after="0"/>
              <w:rPr>
                <w:sz w:val="20"/>
                <w:szCs w:val="20"/>
                <w:color w:val="auto"/>
              </w:rPr>
            </w:pPr>
            <w:r>
              <w:rPr>
                <w:rFonts w:ascii="Arial" w:cs="Arial" w:eastAsia="Arial" w:hAnsi="Arial"/>
                <w:sz w:val="17"/>
                <w:szCs w:val="17"/>
                <w:b w:val="1"/>
                <w:bCs w:val="1"/>
                <w:color w:val="auto"/>
              </w:rPr>
              <w:t>Total</w:t>
            </w:r>
          </w:p>
        </w:tc>
        <w:tc>
          <w:tcPr>
            <w:tcW w:w="80" w:type="dxa"/>
            <w:vAlign w:val="bottom"/>
            <w:vMerge w:val="restart"/>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center"/>
              <w:ind w:right="240"/>
              <w:spacing w:after="0" w:line="165" w:lineRule="exact"/>
              <w:rPr>
                <w:sz w:val="20"/>
                <w:szCs w:val="20"/>
                <w:color w:val="auto"/>
              </w:rPr>
            </w:pPr>
            <w:r>
              <w:rPr>
                <w:rFonts w:ascii="Arial" w:cs="Arial" w:eastAsia="Arial" w:hAnsi="Arial"/>
                <w:sz w:val="17"/>
                <w:szCs w:val="17"/>
                <w:b w:val="1"/>
                <w:bCs w:val="1"/>
                <w:color w:val="auto"/>
                <w:w w:val="88"/>
              </w:rPr>
              <w:t>Revolving Credit</w:t>
            </w: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7"/>
                <w:szCs w:val="17"/>
                <w:b w:val="1"/>
                <w:bCs w:val="1"/>
                <w:color w:val="auto"/>
              </w:rPr>
              <w:t>Notes</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437"/>
              <w:spacing w:after="0"/>
              <w:rPr>
                <w:sz w:val="20"/>
                <w:szCs w:val="20"/>
                <w:color w:val="auto"/>
              </w:rPr>
            </w:pPr>
            <w:r>
              <w:rPr>
                <w:rFonts w:ascii="Arial" w:cs="Arial" w:eastAsia="Arial" w:hAnsi="Arial"/>
                <w:sz w:val="17"/>
                <w:szCs w:val="17"/>
                <w:b w:val="1"/>
                <w:bCs w:val="1"/>
                <w:color w:val="auto"/>
              </w:rPr>
              <w:t>Facility</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Facility</w:t>
            </w: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5"/>
              </w:rPr>
              <w:t>Current portion of long-term borrowings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w:t>
            </w:r>
          </w:p>
        </w:tc>
        <w:tc>
          <w:tcPr>
            <w:tcW w:w="2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w:t>
            </w: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borrowings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214.0</w:t>
            </w:r>
          </w:p>
        </w:tc>
        <w:tc>
          <w:tcPr>
            <w:tcW w:w="0" w:type="dxa"/>
            <w:vAlign w:val="bottom"/>
          </w:tcPr>
          <w:p>
            <w:pPr>
              <w:spacing w:after="0"/>
              <w:rPr>
                <w:sz w:val="1"/>
                <w:szCs w:val="1"/>
                <w:color w:val="auto"/>
              </w:rPr>
            </w:pPr>
          </w:p>
        </w:tc>
      </w:tr>
      <w:tr>
        <w:trPr>
          <w:trHeight w:val="212"/>
        </w:trPr>
        <w:tc>
          <w:tcPr>
            <w:tcW w:w="3140" w:type="dxa"/>
            <w:vAlign w:val="bottom"/>
          </w:tcPr>
          <w:p>
            <w:pPr>
              <w:ind w:left="20"/>
              <w:spacing w:after="0"/>
              <w:rPr>
                <w:sz w:val="20"/>
                <w:szCs w:val="20"/>
                <w:color w:val="auto"/>
              </w:rPr>
            </w:pPr>
            <w:r>
              <w:rPr>
                <w:rFonts w:ascii="Arial" w:cs="Arial" w:eastAsia="Arial" w:hAnsi="Arial"/>
                <w:sz w:val="17"/>
                <w:szCs w:val="17"/>
                <w:color w:val="auto"/>
              </w:rPr>
              <w:t>Unamortized debt discount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issuance costs*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7"/>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Long-term borrowings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170.0</w:t>
            </w: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170.0</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64.0</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138.0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borrowings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185.0</w:t>
            </w: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185.0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227.0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firstLine="375"/>
        <w:spacing w:after="0" w:line="314" w:lineRule="auto"/>
        <w:rPr>
          <w:sz w:val="20"/>
          <w:szCs w:val="20"/>
          <w:color w:val="auto"/>
        </w:rPr>
      </w:pPr>
      <w:r>
        <w:rPr>
          <w:rFonts w:ascii="Arial" w:cs="Arial" w:eastAsia="Arial" w:hAnsi="Arial"/>
          <w:sz w:val="17"/>
          <w:szCs w:val="17"/>
          <w:color w:val="auto"/>
        </w:rPr>
        <w:t>*Unamortized debt issuance costs for our revolving Credit Facility of $0.3 million and $0.5 million as of September 30, 2021 and December 31, 2020, respectively, is presented under “Other current assets” and “Other assets,” as applicable in our consolidated balance sheets.</w:t>
      </w:r>
    </w:p>
    <w:p>
      <w:pPr>
        <w:jc w:val="both"/>
        <w:ind w:firstLine="375"/>
        <w:spacing w:after="0" w:line="252" w:lineRule="auto"/>
        <w:rPr>
          <w:sz w:val="20"/>
          <w:szCs w:val="20"/>
          <w:color w:val="auto"/>
        </w:rPr>
      </w:pPr>
      <w:r>
        <w:rPr>
          <w:rFonts w:ascii="Arial" w:cs="Arial" w:eastAsia="Arial" w:hAnsi="Arial"/>
          <w:sz w:val="15"/>
          <w:szCs w:val="15"/>
          <w:color w:val="auto"/>
        </w:rPr>
        <w:t>On August 27, 2021, we entered into a Payoff and Termination Agreement (the “Payoff and Termination Agreement”) with the Purchaser, pursuant to which we prepaid and settled its outstanding obligations under the Notes for an aggregate consideration of $236.7 million, excluding accrued and unpaid interest under the Notes calculated through and including, August 26, 2021, in the form of a combination of cash and share of our common stock. As a result, we made a cash payment of $200.0 million to the Purchaser and satisfied the remainder of the obligation under the Notes by issuing to the Purchaser 310,394 shares of our common stock calculated at $118.37 per share based on a 20-day volume weighted average price ending on, and including, August 26, 2021. We satisfied the cash payment obligation under the Payoff and Termination Agreement by drawing $200.0 million from our existing revolving Credit Facility, and our common stock was issued from our existing treasury shares. See Note 17 - Borrowings and Note 18 - Capital Structure to our unaudited consolidated financial statements herein for further details.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08"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In the ordinary course of business, we provide standby letters of credit to third parties primarily for facility leases. As of September 30, 2021 and December 31, 2020, we had outstanding letters of credit of $0.5 million each, that were not recognized in our unaudited and audited consolidated balance sheets, respectively. These are not reasonably likely to have, a current or future material effect on our financial condition, revenues or expenses, results of operations, liquidity, capital expenditures or capital resources. We had no other off-balance sheet arrangements or obligations.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57" w:name="page58"/>
    <w:bookmarkEnd w:id="5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our contractual obligations as of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Payment Due by Period</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Less than</w:t>
            </w:r>
          </w:p>
        </w:tc>
        <w:tc>
          <w:tcPr>
            <w:tcW w:w="660" w:type="dxa"/>
            <w:vAlign w:val="bottom"/>
          </w:tcPr>
          <w:p>
            <w:pPr>
              <w:spacing w:after="0"/>
              <w:rPr>
                <w:sz w:val="14"/>
                <w:szCs w:val="14"/>
                <w:color w:val="auto"/>
              </w:rPr>
            </w:pPr>
          </w:p>
        </w:tc>
        <w:tc>
          <w:tcPr>
            <w:tcW w:w="840" w:type="dxa"/>
            <w:vAlign w:val="bottom"/>
          </w:tcPr>
          <w:p>
            <w:pPr>
              <w:jc w:val="right"/>
              <w:ind w:right="382"/>
              <w:spacing w:after="0"/>
              <w:rPr>
                <w:sz w:val="20"/>
                <w:szCs w:val="20"/>
                <w:color w:val="auto"/>
              </w:rPr>
            </w:pPr>
            <w:r>
              <w:rPr>
                <w:rFonts w:ascii="Arial" w:cs="Arial" w:eastAsia="Arial" w:hAnsi="Arial"/>
                <w:sz w:val="13"/>
                <w:szCs w:val="13"/>
                <w:b w:val="1"/>
                <w:bCs w:val="1"/>
                <w:color w:val="auto"/>
              </w:rPr>
              <w:t>1-3</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right"/>
              <w:ind w:right="360"/>
              <w:spacing w:after="0"/>
              <w:rPr>
                <w:sz w:val="20"/>
                <w:szCs w:val="20"/>
                <w:color w:val="auto"/>
              </w:rPr>
            </w:pPr>
            <w:r>
              <w:rPr>
                <w:rFonts w:ascii="Arial" w:cs="Arial" w:eastAsia="Arial" w:hAnsi="Arial"/>
                <w:sz w:val="13"/>
                <w:szCs w:val="13"/>
                <w:b w:val="1"/>
                <w:bCs w:val="1"/>
                <w:color w:val="auto"/>
              </w:rPr>
              <w:t>4-5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After</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0"/>
              </w:rPr>
              <w:t>1 year</w:t>
            </w: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years</w:t>
            </w: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years</w:t>
            </w: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9"/>
              </w:rPr>
              <w:t>5 years</w:t>
            </w: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ind w:left="300"/>
              <w:spacing w:after="0"/>
              <w:rPr>
                <w:sz w:val="20"/>
                <w:szCs w:val="20"/>
                <w:color w:val="auto"/>
              </w:rPr>
            </w:pPr>
            <w:r>
              <w:rPr>
                <w:rFonts w:ascii="Arial" w:cs="Arial" w:eastAsia="Arial" w:hAnsi="Arial"/>
                <w:sz w:val="13"/>
                <w:szCs w:val="13"/>
                <w:b w:val="1"/>
                <w:bCs w:val="1"/>
                <w:color w:val="auto"/>
              </w:rPr>
              <w:t>(dollars in millions)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Finance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ind w:left="320"/>
              <w:spacing w:after="0" w:line="212" w:lineRule="exact"/>
              <w:rPr>
                <w:sz w:val="20"/>
                <w:szCs w:val="20"/>
                <w:color w:val="auto"/>
              </w:rPr>
            </w:pPr>
            <w:r>
              <w:rPr>
                <w:rFonts w:ascii="Arial" w:cs="Arial" w:eastAsia="Arial" w:hAnsi="Arial"/>
                <w:sz w:val="17"/>
                <w:szCs w:val="17"/>
                <w:color w:val="auto"/>
              </w:rPr>
              <w:t>Operating leases</w:t>
            </w:r>
            <w:r>
              <w:rPr>
                <w:rFonts w:ascii="Arial" w:cs="Arial" w:eastAsia="Arial" w:hAnsi="Arial"/>
                <w:sz w:val="21"/>
                <w:szCs w:val="21"/>
                <w:color w:val="auto"/>
                <w:vertAlign w:val="superscript"/>
              </w:rPr>
              <w:t>(a)</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116.6</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 obligations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ind w:left="320"/>
              <w:spacing w:after="0" w:line="212" w:lineRule="exact"/>
              <w:rPr>
                <w:sz w:val="20"/>
                <w:szCs w:val="20"/>
                <w:color w:val="auto"/>
              </w:rPr>
            </w:pPr>
            <w:r>
              <w:rPr>
                <w:rFonts w:ascii="Arial" w:cs="Arial" w:eastAsia="Arial" w:hAnsi="Arial"/>
                <w:sz w:val="17"/>
                <w:szCs w:val="17"/>
                <w:color w:val="auto"/>
              </w:rPr>
              <w:t>Other obligations</w:t>
            </w:r>
            <w:r>
              <w:rPr>
                <w:rFonts w:ascii="Arial" w:cs="Arial" w:eastAsia="Arial" w:hAnsi="Arial"/>
                <w:sz w:val="21"/>
                <w:szCs w:val="21"/>
                <w:color w:val="auto"/>
                <w:vertAlign w:val="superscript"/>
              </w:rPr>
              <w:t>(b)</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Borrowings: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ind w:left="620"/>
              <w:spacing w:after="0"/>
              <w:rPr>
                <w:sz w:val="20"/>
                <w:szCs w:val="20"/>
                <w:color w:val="auto"/>
              </w:rPr>
            </w:pPr>
            <w:r>
              <w:rPr>
                <w:rFonts w:ascii="Arial" w:cs="Arial" w:eastAsia="Arial" w:hAnsi="Arial"/>
                <w:sz w:val="17"/>
                <w:szCs w:val="17"/>
                <w:color w:val="auto"/>
              </w:rPr>
              <w:t>Principal payments</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170.0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185.0</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0" w:type="dxa"/>
            <w:vAlign w:val="bottom"/>
            <w:shd w:val="clear" w:color="auto" w:fill="CCEEFF"/>
          </w:tcPr>
          <w:p>
            <w:pPr>
              <w:ind w:left="620"/>
              <w:spacing w:after="0" w:line="212" w:lineRule="exact"/>
              <w:rPr>
                <w:sz w:val="20"/>
                <w:szCs w:val="20"/>
                <w:color w:val="auto"/>
              </w:rPr>
            </w:pPr>
            <w:r>
              <w:rPr>
                <w:rFonts w:ascii="Arial" w:cs="Arial" w:eastAsia="Arial" w:hAnsi="Arial"/>
                <w:sz w:val="17"/>
                <w:szCs w:val="17"/>
                <w:color w:val="auto"/>
              </w:rPr>
              <w:t>Interest payments</w:t>
            </w:r>
            <w:r>
              <w:rPr>
                <w:rFonts w:ascii="Arial" w:cs="Arial" w:eastAsia="Arial" w:hAnsi="Arial"/>
                <w:sz w:val="21"/>
                <w:szCs w:val="21"/>
                <w:color w:val="auto"/>
                <w:vertAlign w:val="superscript"/>
              </w:rPr>
              <w:t>(c)</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ind w:left="320"/>
              <w:spacing w:after="0" w:line="142" w:lineRule="exact"/>
              <w:rPr>
                <w:sz w:val="20"/>
                <w:szCs w:val="20"/>
                <w:color w:val="auto"/>
              </w:rPr>
            </w:pPr>
            <w:r>
              <w:rPr>
                <w:rFonts w:ascii="Arial" w:cs="Arial" w:eastAsia="Arial" w:hAnsi="Arial"/>
                <w:sz w:val="16"/>
                <w:szCs w:val="16"/>
                <w:color w:val="auto"/>
              </w:rPr>
              <w:t>Total contractual cash</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49.4</w:t>
            </w:r>
          </w:p>
        </w:tc>
        <w:tc>
          <w:tcPr>
            <w:tcW w:w="80" w:type="dxa"/>
            <w:vAlign w:val="bottom"/>
          </w:tcPr>
          <w:p>
            <w:pPr>
              <w:spacing w:after="0"/>
              <w:rPr>
                <w:sz w:val="12"/>
                <w:szCs w:val="12"/>
                <w:color w:val="auto"/>
              </w:rPr>
            </w:pPr>
          </w:p>
        </w:tc>
        <w:tc>
          <w:tcPr>
            <w:tcW w:w="66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218.6</w:t>
            </w:r>
          </w:p>
        </w:tc>
        <w:tc>
          <w:tcPr>
            <w:tcW w:w="100" w:type="dxa"/>
            <w:vAlign w:val="bottom"/>
          </w:tcPr>
          <w:p>
            <w:pPr>
              <w:spacing w:after="0"/>
              <w:rPr>
                <w:sz w:val="12"/>
                <w:szCs w:val="12"/>
                <w:color w:val="auto"/>
              </w:rPr>
            </w:pPr>
          </w:p>
        </w:tc>
        <w:tc>
          <w:tcPr>
            <w:tcW w:w="76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2"/>
                <w:szCs w:val="12"/>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35.2</w:t>
            </w:r>
          </w:p>
        </w:tc>
        <w:tc>
          <w:tcPr>
            <w:tcW w:w="80" w:type="dxa"/>
            <w:vAlign w:val="bottom"/>
          </w:tcPr>
          <w:p>
            <w:pPr>
              <w:spacing w:after="0"/>
              <w:rPr>
                <w:sz w:val="12"/>
                <w:szCs w:val="12"/>
                <w:color w:val="auto"/>
              </w:rPr>
            </w:pPr>
          </w:p>
        </w:tc>
        <w:tc>
          <w:tcPr>
            <w:tcW w:w="66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328.2</w:t>
            </w: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2700" w:type="dxa"/>
            <w:vAlign w:val="bottom"/>
            <w:gridSpan w:val="2"/>
          </w:tcPr>
          <w:p>
            <w:pPr>
              <w:spacing w:after="0" w:line="188" w:lineRule="exact"/>
              <w:rPr>
                <w:sz w:val="20"/>
                <w:szCs w:val="20"/>
                <w:color w:val="auto"/>
              </w:rPr>
            </w:pPr>
            <w:r>
              <w:rPr>
                <w:rFonts w:ascii="Arial" w:cs="Arial" w:eastAsia="Arial" w:hAnsi="Arial"/>
                <w:sz w:val="17"/>
                <w:szCs w:val="17"/>
                <w:color w:val="auto"/>
              </w:rPr>
              <w:t>obligations</w:t>
            </w:r>
            <w:r>
              <w:rPr>
                <w:rFonts w:ascii="Arial" w:cs="Arial" w:eastAsia="Arial" w:hAnsi="Arial"/>
                <w:sz w:val="21"/>
                <w:szCs w:val="21"/>
                <w:color w:val="auto"/>
                <w:vertAlign w:val="superscript"/>
              </w:rPr>
              <w:t>(d)</w:t>
            </w:r>
          </w:p>
        </w:tc>
        <w:tc>
          <w:tcPr>
            <w:tcW w:w="5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80" w:hanging="480"/>
        <w:spacing w:after="0"/>
        <w:tabs>
          <w:tab w:leader="none" w:pos="480" w:val="left"/>
        </w:tabs>
        <w:numPr>
          <w:ilvl w:val="0"/>
          <w:numId w:val="16"/>
        </w:numPr>
        <w:rPr>
          <w:rFonts w:ascii="Arial" w:cs="Arial" w:eastAsia="Arial" w:hAnsi="Arial"/>
          <w:sz w:val="15"/>
          <w:szCs w:val="15"/>
          <w:i w:val="1"/>
          <w:iCs w:val="1"/>
          <w:color w:val="auto"/>
        </w:rPr>
      </w:pPr>
      <w:r>
        <w:rPr>
          <w:rFonts w:ascii="Arial" w:cs="Arial" w:eastAsia="Arial" w:hAnsi="Arial"/>
          <w:sz w:val="15"/>
          <w:szCs w:val="15"/>
          <w:color w:val="auto"/>
        </w:rPr>
        <w:t>Represents undiscounted operating lease liabilities payable over the lease term.</w:t>
      </w:r>
    </w:p>
    <w:p>
      <w:pPr>
        <w:spacing w:after="0" w:line="52" w:lineRule="exact"/>
        <w:rPr>
          <w:rFonts w:ascii="Arial" w:cs="Arial" w:eastAsia="Arial" w:hAnsi="Arial"/>
          <w:sz w:val="15"/>
          <w:szCs w:val="15"/>
          <w:i w:val="1"/>
          <w:iCs w:val="1"/>
          <w:color w:val="auto"/>
        </w:rPr>
      </w:pPr>
    </w:p>
    <w:p>
      <w:pPr>
        <w:ind w:left="480" w:hanging="480"/>
        <w:spacing w:after="0"/>
        <w:tabs>
          <w:tab w:leader="none" w:pos="480" w:val="left"/>
        </w:tabs>
        <w:numPr>
          <w:ilvl w:val="0"/>
          <w:numId w:val="16"/>
        </w:numPr>
        <w:rPr>
          <w:rFonts w:ascii="Arial" w:cs="Arial" w:eastAsia="Arial" w:hAnsi="Arial"/>
          <w:sz w:val="15"/>
          <w:szCs w:val="15"/>
          <w:i w:val="1"/>
          <w:iCs w:val="1"/>
          <w:color w:val="auto"/>
        </w:rPr>
      </w:pPr>
      <w:r>
        <w:rPr>
          <w:rFonts w:ascii="Arial" w:cs="Arial" w:eastAsia="Arial" w:hAnsi="Arial"/>
          <w:sz w:val="15"/>
          <w:szCs w:val="15"/>
          <w:color w:val="auto"/>
        </w:rPr>
        <w:t>Represents estimated employee benefit payments under the Gratuity Plan.</w:t>
      </w:r>
    </w:p>
    <w:p>
      <w:pPr>
        <w:spacing w:after="0" w:line="16" w:lineRule="exact"/>
        <w:rPr>
          <w:rFonts w:ascii="Arial" w:cs="Arial" w:eastAsia="Arial" w:hAnsi="Arial"/>
          <w:sz w:val="15"/>
          <w:szCs w:val="15"/>
          <w:i w:val="1"/>
          <w:iCs w:val="1"/>
          <w:color w:val="auto"/>
        </w:rPr>
      </w:pPr>
    </w:p>
    <w:p>
      <w:pPr>
        <w:ind w:left="480" w:hanging="480"/>
        <w:spacing w:after="0"/>
        <w:tabs>
          <w:tab w:leader="none" w:pos="4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Interest on borrowings is calculated based on the interest rate on the outstanding borrowings as of September 30, 2021</w:t>
      </w:r>
      <w:r>
        <w:rPr>
          <w:rFonts w:ascii="Arial" w:cs="Arial" w:eastAsia="Arial" w:hAnsi="Arial"/>
          <w:sz w:val="16"/>
          <w:szCs w:val="16"/>
          <w:color w:val="auto"/>
        </w:rPr>
        <w:t>.</w:t>
      </w:r>
    </w:p>
    <w:p>
      <w:pPr>
        <w:spacing w:after="0" w:line="9" w:lineRule="exact"/>
        <w:rPr>
          <w:rFonts w:ascii="Arial" w:cs="Arial" w:eastAsia="Arial" w:hAnsi="Arial"/>
          <w:sz w:val="15"/>
          <w:szCs w:val="15"/>
          <w:color w:val="auto"/>
        </w:rPr>
      </w:pPr>
    </w:p>
    <w:p>
      <w:pPr>
        <w:ind w:left="480" w:hanging="480"/>
        <w:spacing w:after="0"/>
        <w:tabs>
          <w:tab w:leader="none" w:pos="480" w:val="left"/>
        </w:tabs>
        <w:numPr>
          <w:ilvl w:val="0"/>
          <w:numId w:val="16"/>
        </w:numPr>
        <w:rPr>
          <w:rFonts w:ascii="Arial" w:cs="Arial" w:eastAsia="Arial" w:hAnsi="Arial"/>
          <w:sz w:val="15"/>
          <w:szCs w:val="15"/>
          <w:i w:val="1"/>
          <w:iCs w:val="1"/>
          <w:color w:val="auto"/>
        </w:rPr>
      </w:pPr>
      <w:r>
        <w:rPr>
          <w:rFonts w:ascii="Arial" w:cs="Arial" w:eastAsia="Arial" w:hAnsi="Arial"/>
          <w:sz w:val="15"/>
          <w:szCs w:val="15"/>
          <w:color w:val="auto"/>
        </w:rPr>
        <w:t>Excludes $0.9 million related to uncertain tax positions, since the extent of the amount and timing of payment is currently not reliably estimable or determinable.</w:t>
      </w:r>
    </w:p>
    <w:p>
      <w:pPr>
        <w:spacing w:after="0" w:line="214"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7"/>
          <w:szCs w:val="17"/>
          <w:color w:val="auto"/>
        </w:rPr>
        <w:t>Certain units of our Indian subsidiaries were established as 100% Export-Oriented units under the Software Technology Parks of India or Special Economic Zone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93" w:lineRule="exact"/>
        <w:rPr>
          <w:sz w:val="20"/>
          <w:szCs w:val="20"/>
          <w:color w:val="auto"/>
        </w:rPr>
      </w:pPr>
    </w:p>
    <w:p>
      <w:pPr>
        <w:jc w:val="both"/>
        <w:ind w:firstLine="375"/>
        <w:spacing w:after="0" w:line="229" w:lineRule="auto"/>
        <w:rPr>
          <w:sz w:val="20"/>
          <w:szCs w:val="20"/>
          <w:color w:val="auto"/>
        </w:rPr>
      </w:pPr>
      <w:r>
        <w:rPr>
          <w:rFonts w:ascii="Arial" w:cs="Arial" w:eastAsia="Arial" w:hAnsi="Arial"/>
          <w:sz w:val="17"/>
          <w:szCs w:val="17"/>
          <w:color w:val="auto"/>
        </w:rPr>
        <w:t>Our operations centers in the Philippines are registered with the Philippine Economic Zone Authority. The registration provides us with certain fiscal incentives on the import of capital goods and local purchase of services and materials and requires our Philippines subsidiary to meet certain performance and investment criteria. We believe that these centers have in the past satisfied and will continue to satisfy the required criteria.</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08"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For a description of recent accounting pronouncements, see Note 2—“Recent Accounting Pronouncements” to the unaudited consolidated financial statements contained herein.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21" w:lineRule="exact"/>
        <w:rPr>
          <w:sz w:val="20"/>
          <w:szCs w:val="20"/>
          <w:color w:val="auto"/>
        </w:rPr>
      </w:pPr>
    </w:p>
    <w:p>
      <w:pPr>
        <w:jc w:val="both"/>
        <w:ind w:firstLine="412"/>
        <w:spacing w:after="0" w:line="229" w:lineRule="auto"/>
        <w:rPr>
          <w:sz w:val="20"/>
          <w:szCs w:val="20"/>
          <w:color w:val="auto"/>
        </w:rPr>
      </w:pPr>
      <w:r>
        <w:rPr>
          <w:rFonts w:ascii="Arial" w:cs="Arial" w:eastAsia="Arial" w:hAnsi="Arial"/>
          <w:sz w:val="17"/>
          <w:szCs w:val="17"/>
          <w:color w:val="auto"/>
        </w:rPr>
        <w:t>During the three months ended September 30, 2021,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2020.</w:t>
      </w:r>
    </w:p>
    <w:p>
      <w:pPr>
        <w:spacing w:after="0" w:line="200" w:lineRule="exact"/>
        <w:rPr>
          <w:sz w:val="20"/>
          <w:szCs w:val="20"/>
          <w:color w:val="auto"/>
        </w:rPr>
      </w:pPr>
    </w:p>
    <w:p>
      <w:pPr>
        <w:spacing w:after="0" w:line="32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329"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its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2021. Based upon that evaluation, the CEO and CFO have concluded that our disclosure controls and procedures, as of September 30, 2021, were effective.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29" w:lineRule="exact"/>
        <w:rPr>
          <w:sz w:val="20"/>
          <w:szCs w:val="20"/>
          <w:color w:val="auto"/>
        </w:rPr>
      </w:pPr>
    </w:p>
    <w:p>
      <w:pPr>
        <w:jc w:val="both"/>
        <w:ind w:firstLine="375"/>
        <w:spacing w:after="0" w:line="281" w:lineRule="auto"/>
        <w:rPr>
          <w:sz w:val="20"/>
          <w:szCs w:val="20"/>
          <w:color w:val="auto"/>
        </w:rPr>
      </w:pPr>
      <w:r>
        <w:rPr>
          <w:rFonts w:ascii="Arial" w:cs="Arial" w:eastAsia="Arial" w:hAnsi="Arial"/>
          <w:sz w:val="16"/>
          <w:szCs w:val="16"/>
          <w:color w:val="auto"/>
        </w:rPr>
        <w:t>During the three months ended September 30, 2021,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8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PART II.</w:t>
      </w:r>
      <w:r>
        <w:rPr>
          <w:sz w:val="20"/>
          <w:szCs w:val="20"/>
          <w:color w:val="auto"/>
        </w:rPr>
        <w:tab/>
      </w:r>
      <w:r>
        <w:rPr>
          <w:rFonts w:ascii="Arial" w:cs="Arial" w:eastAsia="Arial" w:hAnsi="Arial"/>
          <w:sz w:val="15"/>
          <w:szCs w:val="15"/>
          <w:b w:val="1"/>
          <w:bCs w:val="1"/>
          <w:color w:val="auto"/>
        </w:rPr>
        <w:t>Other Information</w:t>
      </w:r>
    </w:p>
    <w:p>
      <w:pPr>
        <w:spacing w:after="0" w:line="34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33" w:lineRule="exact"/>
        <w:rPr>
          <w:sz w:val="20"/>
          <w:szCs w:val="20"/>
          <w:color w:val="auto"/>
        </w:rPr>
      </w:pPr>
    </w:p>
    <w:p>
      <w:pPr>
        <w:jc w:val="both"/>
        <w:spacing w:after="0" w:line="325" w:lineRule="auto"/>
        <w:rPr>
          <w:sz w:val="20"/>
          <w:szCs w:val="20"/>
          <w:color w:val="auto"/>
        </w:rPr>
      </w:pPr>
      <w:r>
        <w:rPr>
          <w:rFonts w:ascii="Arial" w:cs="Arial" w:eastAsia="Arial" w:hAnsi="Arial"/>
          <w:sz w:val="14"/>
          <w:szCs w:val="14"/>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or cash flows. See Note 24 - Commitments and Contingencies to our unaudited consolidated financial statements contained herein for details.</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33"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We have discussed under the heading “Risk Factors” in our Annual Report on Form 10-K for the fiscal year ended December 31, 2020 (the “2020 Form 10-K”), supplemented by the disclosure below, a number of risks which may materially affect our business, financial condition or results of operations. You should carefully consider these Risk Factors and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05"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The following constitutes a supplement to the 2020 Form 10-K, Part I, Item 1A “Risk Factors” under “Our business, results of operations and financial condition have been adversely affected, and could in the future be materially adversely affected, by the coronavirus pandemic.”</w:t>
      </w:r>
    </w:p>
    <w:p>
      <w:pPr>
        <w:spacing w:after="0" w:line="180" w:lineRule="exact"/>
        <w:rPr>
          <w:sz w:val="20"/>
          <w:szCs w:val="20"/>
          <w:color w:val="auto"/>
        </w:rPr>
      </w:pPr>
    </w:p>
    <w:p>
      <w:pPr>
        <w:jc w:val="both"/>
        <w:ind w:firstLine="450"/>
        <w:spacing w:after="0" w:line="222" w:lineRule="auto"/>
        <w:rPr>
          <w:sz w:val="20"/>
          <w:szCs w:val="20"/>
          <w:color w:val="auto"/>
        </w:rPr>
      </w:pPr>
      <w:r>
        <w:rPr>
          <w:rFonts w:ascii="Arial" w:cs="Arial" w:eastAsia="Arial" w:hAnsi="Arial"/>
          <w:sz w:val="17"/>
          <w:szCs w:val="17"/>
          <w:color w:val="auto"/>
        </w:rPr>
        <w:t>In late March 2021, a new serious outbreak of COVID-19 virus began affecting India. The outbreak resulted in an exorbitant spike in the number of COVID patients, which overwhelmed the healthcare infrastructure in India. The Indian government reinstated lockdowns limiting in certain cases the movement of our employees to offices. During the same period, the Philippines also began experiencing a spike in the number of COVID patients. In July 2021, a significant increase in number of COVID-19 cases across the U.S. were brought on by the new variant of the COVID-19 virus. The situation has improved in India, the Philippines and the U.S., but we continue to monitor the situation in all of the jurisdictions in which we operate. Our operations were not materially affected in any of these geographies as a result of our appropriate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0"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continuity procedures. It is possible that any further developments, including the emergence of new variants of the COVID-19 virus, could adversely affect our business and results of operations.</w:t>
      </w:r>
    </w:p>
    <w:p>
      <w:pPr>
        <w:sectPr>
          <w:pgSz w:w="11900" w:h="16838" w:orient="portrait"/>
          <w:cols w:equalWidth="0" w:num="1">
            <w:col w:w="11340"/>
          </w:cols>
          <w:pgMar w:left="320" w:top="348"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three months ended September 30, 2021, purchases of common stock were as follows:</w:t>
      </w:r>
    </w:p>
    <w:p>
      <w:pPr>
        <w:spacing w:after="0" w:line="108"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auto"/>
              </w:rPr>
              <w:t>Total 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60" w:type="dxa"/>
            <w:vAlign w:val="bottom"/>
            <w:vMerge w:val="restart"/>
          </w:tcPr>
          <w:p>
            <w:pPr>
              <w:ind w:left="420"/>
              <w:spacing w:after="0"/>
              <w:rPr>
                <w:sz w:val="20"/>
                <w:szCs w:val="20"/>
                <w:color w:val="auto"/>
              </w:rPr>
            </w:pPr>
            <w:r>
              <w:rPr>
                <w:rFonts w:ascii="Arial" w:cs="Arial" w:eastAsia="Arial" w:hAnsi="Arial"/>
                <w:sz w:val="17"/>
                <w:szCs w:val="17"/>
                <w:b w:val="1"/>
                <w:bCs w:val="1"/>
                <w:color w:val="auto"/>
              </w:rPr>
              <w:t>Period</w:t>
            </w:r>
          </w:p>
        </w:tc>
        <w:tc>
          <w:tcPr>
            <w:tcW w:w="100" w:type="dxa"/>
            <w:vAlign w:val="bottom"/>
          </w:tcPr>
          <w:p>
            <w:pPr>
              <w:spacing w:after="0"/>
              <w:rPr>
                <w:sz w:val="20"/>
                <w:szCs w:val="20"/>
                <w:color w:val="auto"/>
              </w:rPr>
            </w:pPr>
          </w:p>
        </w:tc>
        <w:tc>
          <w:tcPr>
            <w:tcW w:w="1440" w:type="dxa"/>
            <w:vAlign w:val="bottom"/>
          </w:tcPr>
          <w:p>
            <w:pPr>
              <w:jc w:val="right"/>
              <w:ind w:right="263"/>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b w:val="1"/>
                <w:bCs w:val="1"/>
                <w:color w:val="auto"/>
                <w:w w:val="86"/>
              </w:rPr>
              <w:t>Average Price</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w w:val="84"/>
              </w:rPr>
              <w:t>Shares Purchased as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263"/>
              <w:spacing w:after="0" w:line="163" w:lineRule="exact"/>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14"/>
                <w:szCs w:val="14"/>
                <w:color w:val="auto"/>
              </w:rPr>
            </w:pPr>
          </w:p>
        </w:tc>
        <w:tc>
          <w:tcPr>
            <w:tcW w:w="1640" w:type="dxa"/>
            <w:vAlign w:val="bottom"/>
            <w:gridSpan w:val="2"/>
          </w:tcPr>
          <w:p>
            <w:pPr>
              <w:jc w:val="right"/>
              <w:ind w:right="157"/>
              <w:spacing w:after="0" w:line="163" w:lineRule="exact"/>
              <w:rPr>
                <w:sz w:val="20"/>
                <w:szCs w:val="20"/>
                <w:color w:val="auto"/>
              </w:rPr>
            </w:pPr>
            <w:r>
              <w:rPr>
                <w:rFonts w:ascii="Arial" w:cs="Arial" w:eastAsia="Arial" w:hAnsi="Arial"/>
                <w:sz w:val="14"/>
                <w:szCs w:val="14"/>
                <w:b w:val="1"/>
                <w:bCs w:val="1"/>
                <w:color w:val="auto"/>
              </w:rPr>
              <w:t>Paid per share</w:t>
            </w:r>
            <w:r>
              <w:rPr>
                <w:rFonts w:ascii="Arial" w:cs="Arial" w:eastAsia="Arial" w:hAnsi="Arial"/>
                <w:sz w:val="18"/>
                <w:szCs w:val="18"/>
                <w:b w:val="1"/>
                <w:bCs w:val="1"/>
                <w:color w:val="auto"/>
                <w:vertAlign w:val="superscript"/>
              </w:rPr>
              <w:t>(1)</w:t>
            </w:r>
          </w:p>
        </w:tc>
        <w:tc>
          <w:tcPr>
            <w:tcW w:w="100" w:type="dxa"/>
            <w:vAlign w:val="bottom"/>
          </w:tcPr>
          <w:p>
            <w:pPr>
              <w:spacing w:after="0"/>
              <w:rPr>
                <w:sz w:val="14"/>
                <w:szCs w:val="14"/>
                <w:color w:val="auto"/>
              </w:rPr>
            </w:pPr>
          </w:p>
        </w:tc>
        <w:tc>
          <w:tcPr>
            <w:tcW w:w="1660" w:type="dxa"/>
            <w:vAlign w:val="bottom"/>
          </w:tcPr>
          <w:p>
            <w:pPr>
              <w:jc w:val="center"/>
              <w:spacing w:after="0" w:line="163" w:lineRule="exact"/>
              <w:rPr>
                <w:sz w:val="20"/>
                <w:szCs w:val="20"/>
                <w:color w:val="auto"/>
              </w:rPr>
            </w:pPr>
            <w:r>
              <w:rPr>
                <w:rFonts w:ascii="Arial" w:cs="Arial" w:eastAsia="Arial" w:hAnsi="Arial"/>
                <w:sz w:val="17"/>
                <w:szCs w:val="17"/>
                <w:b w:val="1"/>
                <w:bCs w:val="1"/>
                <w:color w:val="auto"/>
                <w:w w:val="88"/>
              </w:rPr>
              <w:t>Part of Publicly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3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jc w:val="right"/>
              <w:ind w:right="3"/>
              <w:spacing w:after="0" w:line="88" w:lineRule="exact"/>
              <w:rPr>
                <w:sz w:val="20"/>
                <w:szCs w:val="20"/>
                <w:color w:val="auto"/>
              </w:rPr>
            </w:pPr>
            <w:r>
              <w:rPr>
                <w:rFonts w:ascii="Arial" w:cs="Arial" w:eastAsia="Arial" w:hAnsi="Arial"/>
                <w:sz w:val="10"/>
                <w:szCs w:val="10"/>
                <w:b w:val="1"/>
                <w:bCs w:val="1"/>
                <w:color w:val="auto"/>
              </w:rPr>
              <w:t>Shares Purchased</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rPr>
              <w:t>Announced Plans or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Programs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420"/>
              <w:spacing w:after="0"/>
              <w:rPr>
                <w:sz w:val="20"/>
                <w:szCs w:val="20"/>
                <w:color w:val="auto"/>
              </w:rPr>
            </w:pPr>
            <w:r>
              <w:rPr>
                <w:rFonts w:ascii="Arial" w:cs="Arial" w:eastAsia="Arial" w:hAnsi="Arial"/>
                <w:sz w:val="17"/>
                <w:szCs w:val="17"/>
                <w:color w:val="auto"/>
              </w:rPr>
              <w:t>July 1, 2021 through July 31, 2021</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92,782</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107.78</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92,782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420"/>
              <w:spacing w:after="0"/>
              <w:rPr>
                <w:sz w:val="20"/>
                <w:szCs w:val="20"/>
                <w:color w:val="auto"/>
              </w:rPr>
            </w:pPr>
            <w:r>
              <w:rPr>
                <w:rFonts w:ascii="Arial" w:cs="Arial" w:eastAsia="Arial" w:hAnsi="Arial"/>
                <w:sz w:val="17"/>
                <w:szCs w:val="17"/>
                <w:color w:val="auto"/>
                <w:w w:val="98"/>
              </w:rPr>
              <w:t>August 1, 2021 through August 31, 2021</w:t>
            </w:r>
          </w:p>
        </w:tc>
        <w:tc>
          <w:tcPr>
            <w:tcW w:w="100" w:type="dxa"/>
            <w:vAlign w:val="bottom"/>
            <w:shd w:val="clear" w:color="auto" w:fill="CCEEFF"/>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94,890</w:t>
            </w:r>
          </w:p>
        </w:tc>
        <w:tc>
          <w:tcPr>
            <w:tcW w:w="100" w:type="dxa"/>
            <w:vAlign w:val="bottom"/>
            <w:shd w:val="clear" w:color="auto" w:fill="CCEEFF"/>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117.99</w:t>
            </w:r>
          </w:p>
        </w:tc>
        <w:tc>
          <w:tcPr>
            <w:tcW w:w="100" w:type="dxa"/>
            <w:vAlign w:val="bottom"/>
            <w:shd w:val="clear" w:color="auto" w:fill="CCEEFF"/>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94,890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420"/>
              <w:spacing w:after="0" w:line="163" w:lineRule="exact"/>
              <w:rPr>
                <w:sz w:val="20"/>
                <w:szCs w:val="20"/>
                <w:color w:val="auto"/>
              </w:rPr>
            </w:pPr>
            <w:r>
              <w:rPr>
                <w:rFonts w:ascii="Arial" w:cs="Arial" w:eastAsia="Arial" w:hAnsi="Arial"/>
                <w:sz w:val="17"/>
                <w:szCs w:val="17"/>
                <w:color w:val="auto"/>
                <w:w w:val="93"/>
              </w:rPr>
              <w:t>September 1, 2021 through September 30,</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56,908</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123.00</w:t>
            </w:r>
          </w:p>
        </w:tc>
        <w:tc>
          <w:tcPr>
            <w:tcW w:w="1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56,908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420"/>
              <w:spacing w:after="0"/>
              <w:rPr>
                <w:sz w:val="20"/>
                <w:szCs w:val="20"/>
                <w:color w:val="auto"/>
              </w:rPr>
            </w:pPr>
            <w:r>
              <w:rPr>
                <w:rFonts w:ascii="Arial" w:cs="Arial" w:eastAsia="Arial" w:hAnsi="Arial"/>
                <w:sz w:val="17"/>
                <w:szCs w:val="17"/>
                <w:color w:val="auto"/>
              </w:rPr>
              <w:t>Total</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244,580</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115.28</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244,580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-688975</wp:posOffset>
            </wp:positionV>
            <wp:extent cx="6939280" cy="142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39280" cy="142875"/>
                    </a:xfrm>
                    <a:prstGeom prst="rect">
                      <a:avLst/>
                    </a:prstGeom>
                    <a:noFill/>
                  </pic:spPr>
                </pic:pic>
              </a:graphicData>
            </a:graphic>
          </wp:anchor>
        </w:drawing>
      </w:r>
    </w:p>
    <w:p>
      <w:pPr>
        <w:spacing w:after="0" w:line="61" w:lineRule="exact"/>
        <w:rPr>
          <w:sz w:val="20"/>
          <w:szCs w:val="20"/>
          <w:color w:val="auto"/>
        </w:rPr>
      </w:pPr>
    </w:p>
    <w:p>
      <w:pPr>
        <w:ind w:left="540" w:hanging="166"/>
        <w:spacing w:after="0"/>
        <w:tabs>
          <w:tab w:leader="none" w:pos="540"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Average of high and low price of common stock on the trading day prior to the vesting date of the shares of restricted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firstLine="221"/>
        <w:spacing w:after="0" w:line="238" w:lineRule="auto"/>
        <w:rPr>
          <w:sz w:val="20"/>
          <w:szCs w:val="20"/>
          <w:color w:val="auto"/>
        </w:rPr>
      </w:pPr>
      <w:r>
        <w:rPr>
          <w:rFonts w:ascii="Arial" w:cs="Arial" w:eastAsia="Arial" w:hAnsi="Arial"/>
          <w:sz w:val="15"/>
          <w:szCs w:val="15"/>
          <w:b w:val="1"/>
          <w:bCs w:val="1"/>
          <w:color w:val="auto"/>
        </w:rPr>
        <w:t>Approximate Dollar Value of Shares That May Yet Be</w:t>
      </w:r>
    </w:p>
    <w:p>
      <w:pPr>
        <w:jc w:val="center"/>
        <w:ind w:right="80"/>
        <w:spacing w:after="0" w:line="221" w:lineRule="auto"/>
        <w:rPr>
          <w:sz w:val="20"/>
          <w:szCs w:val="20"/>
          <w:color w:val="auto"/>
        </w:rPr>
      </w:pPr>
      <w:r>
        <w:rPr>
          <w:rFonts w:ascii="Arial" w:cs="Arial" w:eastAsia="Arial" w:hAnsi="Arial"/>
          <w:sz w:val="17"/>
          <w:szCs w:val="17"/>
          <w:b w:val="1"/>
          <w:bCs w:val="1"/>
          <w:color w:val="auto"/>
        </w:rPr>
        <w:t>Purchased Under the Plans or Programs</w:t>
      </w:r>
    </w:p>
    <w:p>
      <w:pPr>
        <w:spacing w:after="0" w:line="100" w:lineRule="exact"/>
        <w:rPr>
          <w:sz w:val="20"/>
          <w:szCs w:val="20"/>
          <w:color w:val="auto"/>
        </w:rPr>
      </w:pPr>
    </w:p>
    <w:p>
      <w:pPr>
        <w:ind w:left="1420" w:hanging="1086"/>
        <w:spacing w:after="0"/>
        <w:tabs>
          <w:tab w:leader="none" w:pos="14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56,772,723</w:t>
      </w:r>
    </w:p>
    <w:p>
      <w:pPr>
        <w:spacing w:after="0" w:line="40" w:lineRule="exact"/>
        <w:rPr>
          <w:sz w:val="20"/>
          <w:szCs w:val="20"/>
          <w:color w:val="auto"/>
        </w:rPr>
      </w:pPr>
    </w:p>
    <w:p>
      <w:pPr>
        <w:ind w:left="1420" w:hanging="1086"/>
        <w:spacing w:after="0"/>
        <w:tabs>
          <w:tab w:leader="none" w:pos="14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45,576,588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25400</wp:posOffset>
            </wp:positionV>
            <wp:extent cx="1469390" cy="238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9390" cy="238125"/>
                    </a:xfrm>
                    <a:prstGeom prst="rect">
                      <a:avLst/>
                    </a:prstGeom>
                    <a:noFill/>
                  </pic:spPr>
                </pic:pic>
              </a:graphicData>
            </a:graphic>
          </wp:anchor>
        </w:drawing>
      </w:r>
    </w:p>
    <w:p>
      <w:pPr>
        <w:spacing w:after="0" w:line="182" w:lineRule="exact"/>
        <w:rPr>
          <w:sz w:val="20"/>
          <w:szCs w:val="20"/>
          <w:color w:val="auto"/>
        </w:rPr>
      </w:pPr>
    </w:p>
    <w:p>
      <w:pPr>
        <w:ind w:left="1420" w:hanging="1086"/>
        <w:spacing w:after="0"/>
        <w:tabs>
          <w:tab w:leader="none" w:pos="14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38,576,664</w:t>
      </w:r>
    </w:p>
    <w:p>
      <w:pPr>
        <w:spacing w:after="0" w:line="52" w:lineRule="exact"/>
        <w:rPr>
          <w:rFonts w:ascii="Arial" w:cs="Arial" w:eastAsia="Arial" w:hAnsi="Arial"/>
          <w:sz w:val="15"/>
          <w:szCs w:val="15"/>
          <w:color w:val="auto"/>
        </w:rPr>
      </w:pPr>
    </w:p>
    <w:p>
      <w:pPr>
        <w:ind w:left="2000" w:hanging="1666"/>
        <w:spacing w:after="0"/>
        <w:tabs>
          <w:tab w:leader="none" w:pos="2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10795</wp:posOffset>
            </wp:positionV>
            <wp:extent cx="146939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9390" cy="762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34290</wp:posOffset>
            </wp:positionV>
            <wp:extent cx="146939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9390" cy="762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-131445</wp:posOffset>
            </wp:positionV>
            <wp:extent cx="146939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9390" cy="7620"/>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9020" w:space="100"/>
            <w:col w:w="2220"/>
          </w:cols>
          <w:pgMar w:left="320" w:top="348" w:right="239" w:bottom="1440" w:gutter="0" w:footer="0" w:header="0"/>
          <w:type w:val="continuous"/>
        </w:sectPr>
      </w:pPr>
    </w:p>
    <w:p>
      <w:pPr>
        <w:spacing w:after="0" w:line="12" w:lineRule="exact"/>
        <w:rPr>
          <w:sz w:val="20"/>
          <w:szCs w:val="20"/>
          <w:color w:val="auto"/>
        </w:rPr>
      </w:pPr>
    </w:p>
    <w:p>
      <w:pPr>
        <w:jc w:val="both"/>
        <w:ind w:right="100" w:firstLine="375"/>
        <w:spacing w:after="0" w:line="262" w:lineRule="auto"/>
        <w:rPr>
          <w:sz w:val="20"/>
          <w:szCs w:val="20"/>
          <w:color w:val="auto"/>
        </w:rPr>
      </w:pPr>
      <w:r>
        <w:rPr>
          <w:rFonts w:ascii="Arial" w:cs="Arial" w:eastAsia="Arial" w:hAnsi="Arial"/>
          <w:sz w:val="16"/>
          <w:szCs w:val="16"/>
          <w:color w:val="auto"/>
        </w:rPr>
        <w:t>On December 16, 2019, our Board of Directors authorized a $200.0 million common stock repurchase program beginning January 1, 2020 through December 31, 2022 (the “2019 Repurchase Program”). The shares may be purchased by us from time to time from the open market and through private transactions, or otherwise, as determined by us as market conditions warrant. The 2019 Repurchase Program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348" w:right="239" w:bottom="1440" w:gutter="0" w:footer="0" w:header="0"/>
          <w:type w:val="continuous"/>
        </w:sectPr>
      </w:pPr>
    </w:p>
    <w:bookmarkStart w:id="60" w:name="page61"/>
    <w:bookmarkEnd w:id="6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color w:val="auto"/>
        </w:rPr>
        <w:t>Exhibits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being filed as part of this Quarterly Report on Form 10-Q:</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Arial" w:cs="Arial" w:eastAsia="Arial" w:hAnsi="Arial"/>
                <w:sz w:val="17"/>
                <w:szCs w:val="17"/>
                <w:color w:val="auto"/>
              </w:rPr>
              <w:t>3.1</w:t>
            </w:r>
          </w:p>
        </w:tc>
        <w:tc>
          <w:tcPr>
            <w:tcW w:w="10120" w:type="dxa"/>
            <w:vAlign w:val="bottom"/>
            <w:gridSpan w:val="16"/>
          </w:tcPr>
          <w:p>
            <w:pPr>
              <w:spacing w:after="0"/>
              <w:rPr>
                <w:rFonts w:ascii="Arial" w:cs="Arial" w:eastAsia="Arial" w:hAnsi="Arial"/>
                <w:sz w:val="17"/>
                <w:szCs w:val="17"/>
                <w:color w:val="0000FF"/>
                <w:w w:val="92"/>
              </w:rPr>
            </w:pPr>
            <w:hyperlink r:id="rId103">
              <w:r>
                <w:rPr>
                  <w:rFonts w:ascii="Arial" w:cs="Arial" w:eastAsia="Arial" w:hAnsi="Arial"/>
                  <w:sz w:val="17"/>
                  <w:szCs w:val="17"/>
                  <w:color w:val="0000FF"/>
                  <w:w w:val="92"/>
                </w:rPr>
                <w:t>Amended and Restated Certificate of Incorporation of the Company, as in effect on the date hereof (incorporated by reference to Exhibit 3.1 of the</w:t>
              </w:r>
            </w:hyperlink>
          </w:p>
        </w:tc>
      </w:tr>
      <w:tr>
        <w:trPr>
          <w:trHeight w:val="142"/>
        </w:trPr>
        <w:tc>
          <w:tcPr>
            <w:tcW w:w="1060" w:type="dxa"/>
            <w:vAlign w:val="bottom"/>
          </w:tcPr>
          <w:p>
            <w:pPr>
              <w:spacing w:after="0"/>
              <w:rPr>
                <w:sz w:val="12"/>
                <w:szCs w:val="12"/>
                <w:color w:val="auto"/>
              </w:rPr>
            </w:pPr>
          </w:p>
        </w:tc>
        <w:tc>
          <w:tcPr>
            <w:tcW w:w="58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5"/>
              </w:rPr>
            </w:pPr>
            <w:hyperlink r:id="rId103">
              <w:r>
                <w:rPr>
                  <w:rFonts w:ascii="Arial" w:cs="Arial" w:eastAsia="Arial" w:hAnsi="Arial"/>
                  <w:sz w:val="16"/>
                  <w:szCs w:val="16"/>
                  <w:color w:val="0000FF"/>
                  <w:w w:val="95"/>
                </w:rPr>
                <w:t>Company’s Current Report on Form 8-K (File No. 1-33089) filed on October 25, 2006).</w:t>
              </w:r>
            </w:hyperlink>
          </w:p>
        </w:tc>
        <w:tc>
          <w:tcPr>
            <w:tcW w:w="3880" w:type="dxa"/>
            <w:vAlign w:val="bottom"/>
            <w:tcBorders>
              <w:top w:val="single" w:sz="8" w:color="0000FF"/>
            </w:tcBorders>
            <w:gridSpan w:val="5"/>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0"/>
        </w:trPr>
        <w:tc>
          <w:tcPr>
            <w:tcW w:w="1060" w:type="dxa"/>
            <w:vAlign w:val="bottom"/>
          </w:tcPr>
          <w:p>
            <w:pPr>
              <w:spacing w:after="0"/>
              <w:rPr>
                <w:sz w:val="20"/>
                <w:szCs w:val="20"/>
                <w:color w:val="auto"/>
              </w:rPr>
            </w:pPr>
            <w:r>
              <w:rPr>
                <w:rFonts w:ascii="Arial" w:cs="Arial" w:eastAsia="Arial" w:hAnsi="Arial"/>
                <w:sz w:val="17"/>
                <w:szCs w:val="17"/>
                <w:color w:val="auto"/>
              </w:rPr>
              <w:t>3.2</w:t>
            </w:r>
          </w:p>
        </w:tc>
        <w:tc>
          <w:tcPr>
            <w:tcW w:w="10120" w:type="dxa"/>
            <w:vAlign w:val="bottom"/>
            <w:gridSpan w:val="16"/>
          </w:tcPr>
          <w:p>
            <w:pPr>
              <w:spacing w:after="0"/>
              <w:rPr>
                <w:rFonts w:ascii="Arial" w:cs="Arial" w:eastAsia="Arial" w:hAnsi="Arial"/>
                <w:sz w:val="17"/>
                <w:szCs w:val="17"/>
                <w:color w:val="0000FF"/>
                <w:w w:val="95"/>
              </w:rPr>
            </w:pPr>
            <w:hyperlink r:id="rId104">
              <w:r>
                <w:rPr>
                  <w:rFonts w:ascii="Arial" w:cs="Arial" w:eastAsia="Arial" w:hAnsi="Arial"/>
                  <w:sz w:val="17"/>
                  <w:szCs w:val="17"/>
                  <w:color w:val="0000FF"/>
                  <w:w w:val="95"/>
                </w:rPr>
                <w:t>Certificate of Amendment to Amended and Restated Certificate of Incorporation of the Company (incorporated by reference to Annex A to the</w:t>
              </w:r>
            </w:hyperlink>
          </w:p>
        </w:tc>
      </w:tr>
      <w:tr>
        <w:trPr>
          <w:trHeight w:val="142"/>
        </w:trPr>
        <w:tc>
          <w:tcPr>
            <w:tcW w:w="1060" w:type="dxa"/>
            <w:vAlign w:val="bottom"/>
          </w:tcPr>
          <w:p>
            <w:pPr>
              <w:spacing w:after="0"/>
              <w:rPr>
                <w:sz w:val="12"/>
                <w:szCs w:val="12"/>
                <w:color w:val="auto"/>
              </w:rPr>
            </w:pPr>
          </w:p>
        </w:tc>
        <w:tc>
          <w:tcPr>
            <w:tcW w:w="95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Company’s Definitive Proxy Statement on Schedule 14A (File No. 1-33089) filed on April 26, 2019).</w:t>
              </w:r>
            </w:hyperlink>
          </w:p>
        </w:tc>
        <w:tc>
          <w:tcPr>
            <w:tcW w:w="10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1060" w:type="dxa"/>
            <w:vAlign w:val="bottom"/>
          </w:tcPr>
          <w:p>
            <w:pPr>
              <w:spacing w:after="0"/>
              <w:rPr>
                <w:sz w:val="20"/>
                <w:szCs w:val="20"/>
                <w:color w:val="auto"/>
              </w:rPr>
            </w:pPr>
            <w:r>
              <w:rPr>
                <w:rFonts w:ascii="Arial" w:cs="Arial" w:eastAsia="Arial" w:hAnsi="Arial"/>
                <w:sz w:val="17"/>
                <w:szCs w:val="17"/>
                <w:color w:val="auto"/>
              </w:rPr>
              <w:t>3.3</w:t>
            </w:r>
          </w:p>
        </w:tc>
        <w:tc>
          <w:tcPr>
            <w:tcW w:w="10120" w:type="dxa"/>
            <w:vAlign w:val="bottom"/>
            <w:gridSpan w:val="16"/>
          </w:tcPr>
          <w:p>
            <w:pPr>
              <w:spacing w:after="0"/>
              <w:rPr>
                <w:rFonts w:ascii="Arial" w:cs="Arial" w:eastAsia="Arial" w:hAnsi="Arial"/>
                <w:sz w:val="17"/>
                <w:szCs w:val="17"/>
                <w:color w:val="0000FF"/>
                <w:w w:val="90"/>
              </w:rPr>
            </w:pPr>
            <w:hyperlink r:id="rId105">
              <w:r>
                <w:rPr>
                  <w:rFonts w:ascii="Arial" w:cs="Arial" w:eastAsia="Arial" w:hAnsi="Arial"/>
                  <w:sz w:val="17"/>
                  <w:szCs w:val="17"/>
                  <w:color w:val="0000FF"/>
                  <w:w w:val="90"/>
                </w:rPr>
                <w:t>Fifth Amended and Restated By-laws of ExlService Holdings, Inc. (incorporated by reference to Exhibit 3.2 of the Company’s Current Report on Form</w:t>
              </w:r>
            </w:hyperlink>
          </w:p>
        </w:tc>
      </w:tr>
      <w:tr>
        <w:trPr>
          <w:trHeight w:val="142"/>
        </w:trPr>
        <w:tc>
          <w:tcPr>
            <w:tcW w:w="106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5"/>
              </w:rPr>
            </w:pPr>
            <w:hyperlink r:id="rId105">
              <w:r>
                <w:rPr>
                  <w:rFonts w:ascii="Arial" w:cs="Arial" w:eastAsia="Arial" w:hAnsi="Arial"/>
                  <w:sz w:val="16"/>
                  <w:szCs w:val="16"/>
                  <w:color w:val="0000FF"/>
                  <w:w w:val="95"/>
                </w:rPr>
                <w:t>8-K (File No. 1-33089) filed on June 19, 2019)</w:t>
              </w:r>
            </w:hyperlink>
          </w:p>
        </w:tc>
        <w:tc>
          <w:tcPr>
            <w:tcW w:w="694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60" w:type="dxa"/>
            <w:vAlign w:val="bottom"/>
          </w:tcPr>
          <w:p>
            <w:pPr>
              <w:spacing w:after="0"/>
              <w:rPr>
                <w:sz w:val="20"/>
                <w:szCs w:val="20"/>
                <w:color w:val="auto"/>
              </w:rPr>
            </w:pPr>
            <w:r>
              <w:rPr>
                <w:rFonts w:ascii="Arial" w:cs="Arial" w:eastAsia="Arial" w:hAnsi="Arial"/>
                <w:sz w:val="17"/>
                <w:szCs w:val="17"/>
                <w:color w:val="auto"/>
              </w:rPr>
              <w:t>10.1</w:t>
            </w:r>
          </w:p>
        </w:tc>
        <w:tc>
          <w:tcPr>
            <w:tcW w:w="10120" w:type="dxa"/>
            <w:vAlign w:val="bottom"/>
            <w:gridSpan w:val="16"/>
          </w:tcPr>
          <w:p>
            <w:pPr>
              <w:spacing w:after="0"/>
              <w:rPr>
                <w:rFonts w:ascii="Arial" w:cs="Arial" w:eastAsia="Arial" w:hAnsi="Arial"/>
                <w:sz w:val="17"/>
                <w:szCs w:val="17"/>
                <w:color w:val="0000FF"/>
                <w:w w:val="91"/>
              </w:rPr>
            </w:pPr>
            <w:hyperlink r:id="rId106">
              <w:r>
                <w:rPr>
                  <w:rFonts w:ascii="Arial" w:cs="Arial" w:eastAsia="Arial" w:hAnsi="Arial"/>
                  <w:sz w:val="17"/>
                  <w:szCs w:val="17"/>
                  <w:color w:val="0000FF"/>
                  <w:w w:val="91"/>
                </w:rPr>
                <w:t>Payoff and Termination Agreement between ExlService Holdings, Inc. and Orogen Echo, LLC, dated August 27, 2021 (incorporated by reference to</w:t>
              </w:r>
            </w:hyperlink>
          </w:p>
        </w:tc>
      </w:tr>
      <w:tr>
        <w:trPr>
          <w:trHeight w:val="142"/>
        </w:trPr>
        <w:tc>
          <w:tcPr>
            <w:tcW w:w="1060" w:type="dxa"/>
            <w:vAlign w:val="bottom"/>
          </w:tcPr>
          <w:p>
            <w:pPr>
              <w:spacing w:after="0"/>
              <w:rPr>
                <w:sz w:val="12"/>
                <w:szCs w:val="12"/>
                <w:color w:val="auto"/>
              </w:rPr>
            </w:pPr>
          </w:p>
        </w:tc>
        <w:tc>
          <w:tcPr>
            <w:tcW w:w="71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6"/>
              </w:rPr>
            </w:pPr>
            <w:hyperlink r:id="rId106">
              <w:r>
                <w:rPr>
                  <w:rFonts w:ascii="Arial" w:cs="Arial" w:eastAsia="Arial" w:hAnsi="Arial"/>
                  <w:sz w:val="16"/>
                  <w:szCs w:val="16"/>
                  <w:color w:val="0000FF"/>
                  <w:w w:val="96"/>
                </w:rPr>
                <w:t>Exhibit 10.1 of the Company’s Current Report on Form 8-K (File No. 1-33089) filed on August 27, 2021).</w:t>
              </w:r>
            </w:hyperlink>
          </w:p>
        </w:tc>
        <w:tc>
          <w:tcPr>
            <w:tcW w:w="27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60" w:type="dxa"/>
            <w:vAlign w:val="bottom"/>
          </w:tcPr>
          <w:p>
            <w:pPr>
              <w:spacing w:after="0"/>
              <w:rPr>
                <w:sz w:val="20"/>
                <w:szCs w:val="20"/>
                <w:color w:val="auto"/>
              </w:rPr>
            </w:pPr>
            <w:r>
              <w:rPr>
                <w:rFonts w:ascii="Arial" w:cs="Arial" w:eastAsia="Arial" w:hAnsi="Arial"/>
                <w:sz w:val="17"/>
                <w:szCs w:val="17"/>
                <w:color w:val="auto"/>
              </w:rPr>
              <w:t>31.1</w:t>
            </w:r>
          </w:p>
        </w:tc>
        <w:tc>
          <w:tcPr>
            <w:tcW w:w="10120" w:type="dxa"/>
            <w:vAlign w:val="bottom"/>
            <w:gridSpan w:val="16"/>
          </w:tcPr>
          <w:p>
            <w:pPr>
              <w:spacing w:after="0"/>
              <w:rPr>
                <w:rFonts w:ascii="Arial" w:cs="Arial" w:eastAsia="Arial" w:hAnsi="Arial"/>
                <w:sz w:val="17"/>
                <w:szCs w:val="17"/>
                <w:color w:val="0000FF"/>
                <w:w w:val="91"/>
              </w:rPr>
            </w:pPr>
            <w:hyperlink w:anchor="page63">
              <w:r>
                <w:rPr>
                  <w:rFonts w:ascii="Arial" w:cs="Arial" w:eastAsia="Arial" w:hAnsi="Arial"/>
                  <w:sz w:val="17"/>
                  <w:szCs w:val="17"/>
                  <w:color w:val="0000FF"/>
                  <w:w w:val="91"/>
                </w:rPr>
                <w:t>Certification of the Chief Executive Officer of ExlService Holdings, pursuant to Rule 13a-14(a) of the Exchange Act, as adopted pursuant to Section</w:t>
              </w:r>
            </w:hyperlink>
          </w:p>
        </w:tc>
      </w:tr>
      <w:tr>
        <w:trPr>
          <w:trHeight w:val="142"/>
        </w:trPr>
        <w:tc>
          <w:tcPr>
            <w:tcW w:w="106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w:anchor="page63">
              <w:r>
                <w:rPr>
                  <w:rFonts w:ascii="Arial" w:cs="Arial" w:eastAsia="Arial" w:hAnsi="Arial"/>
                  <w:sz w:val="16"/>
                  <w:szCs w:val="16"/>
                  <w:color w:val="0000FF"/>
                  <w:w w:val="94"/>
                </w:rPr>
                <w:t>302 of the Sarbanes-Oxley Act of 2002.</w:t>
              </w:r>
            </w:hyperlink>
          </w:p>
        </w:tc>
        <w:tc>
          <w:tcPr>
            <w:tcW w:w="7220" w:type="dxa"/>
            <w:vAlign w:val="bottom"/>
            <w:tcBorders>
              <w:top w:val="single" w:sz="8" w:color="0000FF"/>
            </w:tcBorders>
            <w:gridSpan w:val="11"/>
          </w:tcPr>
          <w:p>
            <w:pPr>
              <w:spacing w:after="0"/>
              <w:rPr>
                <w:sz w:val="12"/>
                <w:szCs w:val="12"/>
                <w:color w:val="auto"/>
              </w:rPr>
            </w:pP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60" w:type="dxa"/>
            <w:vAlign w:val="bottom"/>
          </w:tcPr>
          <w:p>
            <w:pPr>
              <w:spacing w:after="0"/>
              <w:rPr>
                <w:sz w:val="20"/>
                <w:szCs w:val="20"/>
                <w:color w:val="auto"/>
              </w:rPr>
            </w:pPr>
            <w:r>
              <w:rPr>
                <w:rFonts w:ascii="Arial" w:cs="Arial" w:eastAsia="Arial" w:hAnsi="Arial"/>
                <w:sz w:val="17"/>
                <w:szCs w:val="17"/>
                <w:color w:val="auto"/>
              </w:rPr>
              <w:t>31.2</w:t>
            </w:r>
          </w:p>
        </w:tc>
        <w:tc>
          <w:tcPr>
            <w:tcW w:w="10120" w:type="dxa"/>
            <w:vAlign w:val="bottom"/>
            <w:gridSpan w:val="16"/>
          </w:tcPr>
          <w:p>
            <w:pPr>
              <w:spacing w:after="0"/>
              <w:rPr>
                <w:rFonts w:ascii="Arial" w:cs="Arial" w:eastAsia="Arial" w:hAnsi="Arial"/>
                <w:sz w:val="17"/>
                <w:szCs w:val="17"/>
                <w:color w:val="0000FF"/>
                <w:w w:val="91"/>
              </w:rPr>
            </w:pPr>
            <w:hyperlink w:anchor="page64">
              <w:r>
                <w:rPr>
                  <w:rFonts w:ascii="Arial" w:cs="Arial" w:eastAsia="Arial" w:hAnsi="Arial"/>
                  <w:sz w:val="17"/>
                  <w:szCs w:val="17"/>
                  <w:color w:val="0000FF"/>
                  <w:w w:val="91"/>
                </w:rPr>
                <w:t>Certification of the Chief Financial Officer of ExlService Holdings, pursuant to Rule 13a-14(a) of the Exchange Act, as adopted pursuant to Section</w:t>
              </w:r>
            </w:hyperlink>
          </w:p>
        </w:tc>
      </w:tr>
      <w:tr>
        <w:trPr>
          <w:trHeight w:val="142"/>
        </w:trPr>
        <w:tc>
          <w:tcPr>
            <w:tcW w:w="106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w:anchor="page64">
              <w:r>
                <w:rPr>
                  <w:rFonts w:ascii="Arial" w:cs="Arial" w:eastAsia="Arial" w:hAnsi="Arial"/>
                  <w:sz w:val="16"/>
                  <w:szCs w:val="16"/>
                  <w:color w:val="0000FF"/>
                  <w:w w:val="94"/>
                </w:rPr>
                <w:t>302 of the Sarbanes-Oxley Act of 2002.</w:t>
              </w:r>
            </w:hyperlink>
          </w:p>
        </w:tc>
        <w:tc>
          <w:tcPr>
            <w:tcW w:w="7180" w:type="dxa"/>
            <w:vAlign w:val="bottom"/>
            <w:tcBorders>
              <w:top w:val="single" w:sz="8" w:color="0000FF"/>
            </w:tcBorders>
            <w:gridSpan w:val="9"/>
          </w:tcPr>
          <w:p>
            <w:pPr>
              <w:spacing w:after="0"/>
              <w:rPr>
                <w:sz w:val="12"/>
                <w:szCs w:val="12"/>
                <w:color w:val="auto"/>
              </w:rPr>
            </w:pPr>
          </w:p>
        </w:tc>
        <w:tc>
          <w:tcPr>
            <w:tcW w:w="2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60" w:type="dxa"/>
            <w:vAlign w:val="bottom"/>
          </w:tcPr>
          <w:p>
            <w:pPr>
              <w:spacing w:after="0"/>
              <w:rPr>
                <w:sz w:val="20"/>
                <w:szCs w:val="20"/>
                <w:color w:val="auto"/>
              </w:rPr>
            </w:pPr>
            <w:r>
              <w:rPr>
                <w:rFonts w:ascii="Arial" w:cs="Arial" w:eastAsia="Arial" w:hAnsi="Arial"/>
                <w:sz w:val="17"/>
                <w:szCs w:val="17"/>
                <w:color w:val="auto"/>
              </w:rPr>
              <w:t>32.1</w:t>
            </w:r>
          </w:p>
        </w:tc>
        <w:tc>
          <w:tcPr>
            <w:tcW w:w="10120" w:type="dxa"/>
            <w:vAlign w:val="bottom"/>
            <w:gridSpan w:val="16"/>
          </w:tcPr>
          <w:p>
            <w:pPr>
              <w:spacing w:after="0"/>
              <w:rPr>
                <w:rFonts w:ascii="Arial" w:cs="Arial" w:eastAsia="Arial" w:hAnsi="Arial"/>
                <w:sz w:val="17"/>
                <w:szCs w:val="17"/>
                <w:color w:val="0000FF"/>
                <w:w w:val="93"/>
              </w:rPr>
            </w:pPr>
            <w:hyperlink w:anchor="page65">
              <w:r>
                <w:rPr>
                  <w:rFonts w:ascii="Arial" w:cs="Arial" w:eastAsia="Arial" w:hAnsi="Arial"/>
                  <w:sz w:val="17"/>
                  <w:szCs w:val="17"/>
                  <w:color w:val="0000FF"/>
                  <w:w w:val="93"/>
                </w:rPr>
                <w:t>Certification of the Chief Executive Officer pursuant to Rule 13a-14(b) of the Exchange Act and 18 U.S.C. Section 1350, as adopted pursuant to</w:t>
              </w:r>
            </w:hyperlink>
          </w:p>
        </w:tc>
      </w:tr>
      <w:tr>
        <w:trPr>
          <w:trHeight w:val="142"/>
        </w:trPr>
        <w:tc>
          <w:tcPr>
            <w:tcW w:w="106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4"/>
              </w:rPr>
            </w:pPr>
            <w:hyperlink w:anchor="page65">
              <w:r>
                <w:rPr>
                  <w:rFonts w:ascii="Arial" w:cs="Arial" w:eastAsia="Arial" w:hAnsi="Arial"/>
                  <w:sz w:val="16"/>
                  <w:szCs w:val="16"/>
                  <w:color w:val="0000FF"/>
                  <w:w w:val="94"/>
                </w:rPr>
                <w:t>Section 906 of the Sarbanes-Oxley Act of 2002.</w:t>
              </w:r>
            </w:hyperlink>
          </w:p>
        </w:tc>
        <w:tc>
          <w:tcPr>
            <w:tcW w:w="6420" w:type="dxa"/>
            <w:vAlign w:val="bottom"/>
            <w:tcBorders>
              <w:top w:val="single" w:sz="8" w:color="0000FF"/>
            </w:tcBorders>
            <w:gridSpan w:val="5"/>
          </w:tcPr>
          <w:p>
            <w:pPr>
              <w:spacing w:after="0"/>
              <w:rPr>
                <w:sz w:val="12"/>
                <w:szCs w:val="12"/>
                <w:color w:val="auto"/>
              </w:rPr>
            </w:pPr>
          </w:p>
        </w:tc>
        <w:tc>
          <w:tcPr>
            <w:tcW w:w="48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60" w:type="dxa"/>
            <w:vAlign w:val="bottom"/>
          </w:tcPr>
          <w:p>
            <w:pPr>
              <w:spacing w:after="0"/>
              <w:rPr>
                <w:sz w:val="20"/>
                <w:szCs w:val="20"/>
                <w:color w:val="auto"/>
              </w:rPr>
            </w:pPr>
            <w:r>
              <w:rPr>
                <w:rFonts w:ascii="Arial" w:cs="Arial" w:eastAsia="Arial" w:hAnsi="Arial"/>
                <w:sz w:val="17"/>
                <w:szCs w:val="17"/>
                <w:color w:val="auto"/>
              </w:rPr>
              <w:t>32.2</w:t>
            </w:r>
          </w:p>
        </w:tc>
        <w:tc>
          <w:tcPr>
            <w:tcW w:w="10120" w:type="dxa"/>
            <w:vAlign w:val="bottom"/>
            <w:gridSpan w:val="16"/>
          </w:tcPr>
          <w:p>
            <w:pPr>
              <w:spacing w:after="0"/>
              <w:rPr>
                <w:rFonts w:ascii="Arial" w:cs="Arial" w:eastAsia="Arial" w:hAnsi="Arial"/>
                <w:sz w:val="17"/>
                <w:szCs w:val="17"/>
                <w:color w:val="0000FF"/>
                <w:w w:val="89"/>
              </w:rPr>
            </w:pPr>
            <w:hyperlink w:anchor="page66">
              <w:r>
                <w:rPr>
                  <w:rFonts w:ascii="Arial" w:cs="Arial" w:eastAsia="Arial" w:hAnsi="Arial"/>
                  <w:sz w:val="17"/>
                  <w:szCs w:val="17"/>
                  <w:color w:val="0000FF"/>
                  <w:w w:val="89"/>
                </w:rPr>
                <w:t>Certification of the Chief Financial Officer pursuant to Rule 13a-14(b) of the Exchange Act and 18 U.S.C. Section 1350, as adopted pursuant to Section</w:t>
              </w:r>
            </w:hyperlink>
          </w:p>
        </w:tc>
      </w:tr>
      <w:tr>
        <w:trPr>
          <w:trHeight w:val="142"/>
        </w:trPr>
        <w:tc>
          <w:tcPr>
            <w:tcW w:w="1060" w:type="dxa"/>
            <w:vAlign w:val="bottom"/>
          </w:tcPr>
          <w:p>
            <w:pPr>
              <w:spacing w:after="0"/>
              <w:rPr>
                <w:sz w:val="12"/>
                <w:szCs w:val="12"/>
                <w:color w:val="auto"/>
              </w:rPr>
            </w:pPr>
          </w:p>
        </w:tc>
        <w:tc>
          <w:tcPr>
            <w:tcW w:w="26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w:anchor="page66">
              <w:r>
                <w:rPr>
                  <w:rFonts w:ascii="Arial" w:cs="Arial" w:eastAsia="Arial" w:hAnsi="Arial"/>
                  <w:sz w:val="16"/>
                  <w:szCs w:val="16"/>
                  <w:color w:val="0000FF"/>
                  <w:w w:val="94"/>
                </w:rPr>
                <w:t>906 of the Sarbanes-Oxley Act of 2002.</w:t>
              </w:r>
            </w:hyperlink>
          </w:p>
        </w:tc>
        <w:tc>
          <w:tcPr>
            <w:tcW w:w="744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r>
      <w:tr>
        <w:trPr>
          <w:trHeight w:val="280"/>
        </w:trPr>
        <w:tc>
          <w:tcPr>
            <w:tcW w:w="1060" w:type="dxa"/>
            <w:vAlign w:val="bottom"/>
          </w:tcPr>
          <w:p>
            <w:pPr>
              <w:spacing w:after="0"/>
              <w:rPr>
                <w:sz w:val="20"/>
                <w:szCs w:val="20"/>
                <w:color w:val="auto"/>
              </w:rPr>
            </w:pPr>
            <w:r>
              <w:rPr>
                <w:rFonts w:ascii="Arial" w:cs="Arial" w:eastAsia="Arial" w:hAnsi="Arial"/>
                <w:sz w:val="17"/>
                <w:szCs w:val="17"/>
                <w:color w:val="auto"/>
              </w:rPr>
              <w:t>101.INS</w:t>
            </w:r>
          </w:p>
        </w:tc>
        <w:tc>
          <w:tcPr>
            <w:tcW w:w="10120" w:type="dxa"/>
            <w:vAlign w:val="bottom"/>
            <w:gridSpan w:val="16"/>
          </w:tcPr>
          <w:p>
            <w:pPr>
              <w:spacing w:after="0"/>
              <w:rPr>
                <w:sz w:val="20"/>
                <w:szCs w:val="20"/>
                <w:color w:val="auto"/>
              </w:rPr>
            </w:pPr>
            <w:r>
              <w:rPr>
                <w:rFonts w:ascii="Arial" w:cs="Arial" w:eastAsia="Arial" w:hAnsi="Arial"/>
                <w:sz w:val="17"/>
                <w:szCs w:val="17"/>
                <w:color w:val="auto"/>
              </w:rPr>
              <w:t>XBRL Instance Document</w:t>
            </w:r>
          </w:p>
        </w:tc>
      </w:tr>
      <w:tr>
        <w:trPr>
          <w:trHeight w:val="262"/>
        </w:trPr>
        <w:tc>
          <w:tcPr>
            <w:tcW w:w="1060" w:type="dxa"/>
            <w:vAlign w:val="bottom"/>
          </w:tcPr>
          <w:p>
            <w:pPr>
              <w:spacing w:after="0"/>
              <w:rPr>
                <w:sz w:val="20"/>
                <w:szCs w:val="20"/>
                <w:color w:val="auto"/>
              </w:rPr>
            </w:pPr>
            <w:r>
              <w:rPr>
                <w:rFonts w:ascii="Arial" w:cs="Arial" w:eastAsia="Arial" w:hAnsi="Arial"/>
                <w:sz w:val="17"/>
                <w:szCs w:val="17"/>
                <w:color w:val="auto"/>
              </w:rPr>
              <w:t>101.SCH</w:t>
            </w:r>
          </w:p>
        </w:tc>
        <w:tc>
          <w:tcPr>
            <w:tcW w:w="10120" w:type="dxa"/>
            <w:vAlign w:val="bottom"/>
            <w:gridSpan w:val="16"/>
          </w:tcPr>
          <w:p>
            <w:pPr>
              <w:spacing w:after="0"/>
              <w:rPr>
                <w:sz w:val="20"/>
                <w:szCs w:val="20"/>
                <w:color w:val="auto"/>
              </w:rPr>
            </w:pPr>
            <w:r>
              <w:rPr>
                <w:rFonts w:ascii="Arial" w:cs="Arial" w:eastAsia="Arial" w:hAnsi="Arial"/>
                <w:sz w:val="17"/>
                <w:szCs w:val="17"/>
                <w:color w:val="auto"/>
              </w:rPr>
              <w:t>XBRL Taxonomy Extension Scheme</w:t>
            </w:r>
          </w:p>
        </w:tc>
      </w:tr>
      <w:tr>
        <w:trPr>
          <w:trHeight w:val="262"/>
        </w:trPr>
        <w:tc>
          <w:tcPr>
            <w:tcW w:w="1060" w:type="dxa"/>
            <w:vAlign w:val="bottom"/>
          </w:tcPr>
          <w:p>
            <w:pPr>
              <w:spacing w:after="0"/>
              <w:rPr>
                <w:sz w:val="20"/>
                <w:szCs w:val="20"/>
                <w:color w:val="auto"/>
              </w:rPr>
            </w:pPr>
            <w:r>
              <w:rPr>
                <w:rFonts w:ascii="Arial" w:cs="Arial" w:eastAsia="Arial" w:hAnsi="Arial"/>
                <w:sz w:val="17"/>
                <w:szCs w:val="17"/>
                <w:color w:val="auto"/>
              </w:rPr>
              <w:t>101.CAL</w:t>
            </w:r>
          </w:p>
        </w:tc>
        <w:tc>
          <w:tcPr>
            <w:tcW w:w="10120" w:type="dxa"/>
            <w:vAlign w:val="bottom"/>
            <w:gridSpan w:val="16"/>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262"/>
        </w:trPr>
        <w:tc>
          <w:tcPr>
            <w:tcW w:w="1060" w:type="dxa"/>
            <w:vAlign w:val="bottom"/>
          </w:tcPr>
          <w:p>
            <w:pPr>
              <w:spacing w:after="0"/>
              <w:rPr>
                <w:sz w:val="20"/>
                <w:szCs w:val="20"/>
                <w:color w:val="auto"/>
              </w:rPr>
            </w:pPr>
            <w:r>
              <w:rPr>
                <w:rFonts w:ascii="Arial" w:cs="Arial" w:eastAsia="Arial" w:hAnsi="Arial"/>
                <w:sz w:val="17"/>
                <w:szCs w:val="17"/>
                <w:color w:val="auto"/>
              </w:rPr>
              <w:t>101.DEF</w:t>
            </w:r>
          </w:p>
        </w:tc>
        <w:tc>
          <w:tcPr>
            <w:tcW w:w="10120" w:type="dxa"/>
            <w:vAlign w:val="bottom"/>
            <w:gridSpan w:val="16"/>
          </w:tcPr>
          <w:p>
            <w:pPr>
              <w:spacing w:after="0"/>
              <w:rPr>
                <w:sz w:val="20"/>
                <w:szCs w:val="20"/>
                <w:color w:val="auto"/>
              </w:rPr>
            </w:pPr>
            <w:r>
              <w:rPr>
                <w:rFonts w:ascii="Arial" w:cs="Arial" w:eastAsia="Arial" w:hAnsi="Arial"/>
                <w:sz w:val="17"/>
                <w:szCs w:val="17"/>
                <w:color w:val="auto"/>
              </w:rPr>
              <w:t>XBRL Taxonomy Extension Definition Linkbase</w:t>
            </w:r>
          </w:p>
        </w:tc>
      </w:tr>
      <w:tr>
        <w:trPr>
          <w:trHeight w:val="262"/>
        </w:trPr>
        <w:tc>
          <w:tcPr>
            <w:tcW w:w="1060" w:type="dxa"/>
            <w:vAlign w:val="bottom"/>
          </w:tcPr>
          <w:p>
            <w:pPr>
              <w:spacing w:after="0"/>
              <w:rPr>
                <w:sz w:val="20"/>
                <w:szCs w:val="20"/>
                <w:color w:val="auto"/>
              </w:rPr>
            </w:pPr>
            <w:r>
              <w:rPr>
                <w:rFonts w:ascii="Arial" w:cs="Arial" w:eastAsia="Arial" w:hAnsi="Arial"/>
                <w:sz w:val="17"/>
                <w:szCs w:val="17"/>
                <w:color w:val="auto"/>
              </w:rPr>
              <w:t>101.LAB</w:t>
            </w:r>
          </w:p>
        </w:tc>
        <w:tc>
          <w:tcPr>
            <w:tcW w:w="10120" w:type="dxa"/>
            <w:vAlign w:val="bottom"/>
            <w:gridSpan w:val="16"/>
          </w:tcPr>
          <w:p>
            <w:pPr>
              <w:spacing w:after="0"/>
              <w:rPr>
                <w:sz w:val="20"/>
                <w:szCs w:val="20"/>
                <w:color w:val="auto"/>
              </w:rPr>
            </w:pPr>
            <w:r>
              <w:rPr>
                <w:rFonts w:ascii="Arial" w:cs="Arial" w:eastAsia="Arial" w:hAnsi="Arial"/>
                <w:sz w:val="17"/>
                <w:szCs w:val="17"/>
                <w:color w:val="auto"/>
              </w:rPr>
              <w:t>XBRL Taxonomy Extension Label Linkbase</w:t>
            </w:r>
          </w:p>
        </w:tc>
      </w:tr>
      <w:tr>
        <w:trPr>
          <w:trHeight w:val="262"/>
        </w:trPr>
        <w:tc>
          <w:tcPr>
            <w:tcW w:w="1060" w:type="dxa"/>
            <w:vAlign w:val="bottom"/>
          </w:tcPr>
          <w:p>
            <w:pPr>
              <w:spacing w:after="0"/>
              <w:rPr>
                <w:sz w:val="20"/>
                <w:szCs w:val="20"/>
                <w:color w:val="auto"/>
              </w:rPr>
            </w:pPr>
            <w:r>
              <w:rPr>
                <w:rFonts w:ascii="Arial" w:cs="Arial" w:eastAsia="Arial" w:hAnsi="Arial"/>
                <w:sz w:val="17"/>
                <w:szCs w:val="17"/>
                <w:color w:val="auto"/>
              </w:rPr>
              <w:t>101.PRE</w:t>
            </w:r>
          </w:p>
        </w:tc>
        <w:tc>
          <w:tcPr>
            <w:tcW w:w="10120" w:type="dxa"/>
            <w:vAlign w:val="bottom"/>
            <w:gridSpan w:val="16"/>
          </w:tcPr>
          <w:p>
            <w:pPr>
              <w:spacing w:after="0"/>
              <w:rPr>
                <w:sz w:val="20"/>
                <w:szCs w:val="20"/>
                <w:color w:val="auto"/>
              </w:rPr>
            </w:pPr>
            <w:r>
              <w:rPr>
                <w:rFonts w:ascii="Arial" w:cs="Arial" w:eastAsia="Arial" w:hAnsi="Arial"/>
                <w:sz w:val="17"/>
                <w:szCs w:val="17"/>
                <w:color w:val="auto"/>
              </w:rPr>
              <w:t>XBRL Extension Presentation Linkbase</w:t>
            </w:r>
          </w:p>
        </w:tc>
      </w:tr>
    </w:tbl>
    <w:p>
      <w:pPr>
        <w:spacing w:after="0" w:line="50" w:lineRule="exact"/>
        <w:rPr>
          <w:sz w:val="20"/>
          <w:szCs w:val="20"/>
          <w:color w:val="auto"/>
        </w:rPr>
      </w:pPr>
    </w:p>
    <w:p>
      <w:pPr>
        <w:ind w:left="1080" w:hanging="106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5"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6788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-662305</wp:posOffset>
            </wp:positionV>
            <wp:extent cx="61023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10235" cy="7620"/>
                    </a:xfrm>
                    <a:prstGeom prst="rect">
                      <a:avLst/>
                    </a:prstGeom>
                    <a:noFill/>
                  </pic:spPr>
                </pic:pic>
              </a:graphicData>
            </a:graphic>
          </wp:anchor>
        </w:drawing>
      </w:r>
    </w:p>
    <w:p>
      <w:pPr>
        <w:sectPr>
          <w:pgSz w:w="11900" w:h="16838" w:orient="portrait"/>
          <w:cols w:equalWidth="0" w:num="1">
            <w:col w:w="11180"/>
          </w:cols>
          <w:pgMar w:left="320" w:top="348" w:right="3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08" w:lineRule="exact"/>
        <w:rPr>
          <w:sz w:val="20"/>
          <w:szCs w:val="20"/>
          <w:color w:val="auto"/>
        </w:rPr>
      </w:pPr>
    </w:p>
    <w:p>
      <w:pPr>
        <w:ind w:right="440" w:firstLine="412"/>
        <w:spacing w:after="0" w:line="26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7"/>
                <w:szCs w:val="17"/>
                <w:color w:val="auto"/>
              </w:rPr>
              <w:t>Date: November 2, 2021</w:t>
            </w:r>
          </w:p>
        </w:tc>
        <w:tc>
          <w:tcPr>
            <w:tcW w:w="7920" w:type="dxa"/>
            <w:vAlign w:val="bottom"/>
            <w:gridSpan w:val="2"/>
          </w:tcPr>
          <w:p>
            <w:pPr>
              <w:ind w:left="1640"/>
              <w:spacing w:after="0"/>
              <w:rPr>
                <w:sz w:val="20"/>
                <w:szCs w:val="20"/>
                <w:color w:val="auto"/>
              </w:rPr>
            </w:pPr>
            <w:r>
              <w:rPr>
                <w:rFonts w:ascii="Arial" w:cs="Arial" w:eastAsia="Arial" w:hAnsi="Arial"/>
                <w:sz w:val="17"/>
                <w:szCs w:val="17"/>
                <w:b w:val="1"/>
                <w:bCs w:val="1"/>
                <w:color w:val="auto"/>
              </w:rPr>
              <w:t>EXLSERVICE HOLDINGS, INC.</w:t>
            </w:r>
          </w:p>
        </w:tc>
      </w:tr>
      <w:tr>
        <w:trPr>
          <w:trHeight w:val="462"/>
        </w:trPr>
        <w:tc>
          <w:tcPr>
            <w:tcW w:w="3280" w:type="dxa"/>
            <w:vAlign w:val="bottom"/>
          </w:tcPr>
          <w:p>
            <w:pPr>
              <w:spacing w:after="0"/>
              <w:rPr>
                <w:sz w:val="24"/>
                <w:szCs w:val="24"/>
                <w:color w:val="auto"/>
              </w:rPr>
            </w:pPr>
          </w:p>
        </w:tc>
        <w:tc>
          <w:tcPr>
            <w:tcW w:w="2220" w:type="dxa"/>
            <w:vAlign w:val="bottom"/>
          </w:tcPr>
          <w:p>
            <w:pPr>
              <w:ind w:left="1640"/>
              <w:spacing w:after="0"/>
              <w:rPr>
                <w:sz w:val="20"/>
                <w:szCs w:val="20"/>
                <w:color w:val="auto"/>
              </w:rPr>
            </w:pPr>
            <w:r>
              <w:rPr>
                <w:rFonts w:ascii="Arial" w:cs="Arial" w:eastAsia="Arial" w:hAnsi="Arial"/>
                <w:sz w:val="17"/>
                <w:szCs w:val="17"/>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xml:space="preserve">/ </w:t>
            </w:r>
            <w:r>
              <w:rPr>
                <w:rFonts w:ascii="Arial" w:cs="Arial" w:eastAsia="Arial" w:hAnsi="Arial"/>
                <w:sz w:val="13"/>
                <w:szCs w:val="13"/>
                <w:color w:val="auto"/>
              </w:rPr>
              <w:t>MAURIZIO NICOLELLI</w:t>
            </w:r>
          </w:p>
        </w:tc>
      </w:tr>
      <w:tr>
        <w:trPr>
          <w:trHeight w:val="117"/>
        </w:trPr>
        <w:tc>
          <w:tcPr>
            <w:tcW w:w="32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70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MAURIZIO NICOLELLI</w:t>
            </w:r>
          </w:p>
        </w:tc>
      </w:tr>
      <w:tr>
        <w:trPr>
          <w:trHeight w:val="125"/>
        </w:trPr>
        <w:tc>
          <w:tcPr>
            <w:tcW w:w="32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700" w:type="dxa"/>
            <w:vAlign w:val="bottom"/>
          </w:tcPr>
          <w:p>
            <w:pPr>
              <w:ind w:left="20"/>
              <w:spacing w:after="0" w:line="125" w:lineRule="exact"/>
              <w:rPr>
                <w:sz w:val="20"/>
                <w:szCs w:val="20"/>
                <w:color w:val="auto"/>
              </w:rPr>
            </w:pPr>
            <w:r>
              <w:rPr>
                <w:rFonts w:ascii="Arial" w:cs="Arial" w:eastAsia="Arial" w:hAnsi="Arial"/>
                <w:sz w:val="13"/>
                <w:szCs w:val="13"/>
                <w:b w:val="1"/>
                <w:bCs w:val="1"/>
                <w:color w:val="auto"/>
              </w:rPr>
              <w:t>Chief Financial Officer</w:t>
            </w:r>
          </w:p>
        </w:tc>
      </w:tr>
      <w:tr>
        <w:trPr>
          <w:trHeight w:val="173"/>
        </w:trPr>
        <w:tc>
          <w:tcPr>
            <w:tcW w:w="3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(Duly Authorized Signatory,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20"/>
          </w:cols>
          <w:pgMar w:left="320" w:top="348"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 Rohit Kapoor, certify that:</w:t>
      </w:r>
    </w:p>
    <w:p>
      <w:pPr>
        <w:spacing w:after="0" w:line="204" w:lineRule="exact"/>
        <w:rPr>
          <w:sz w:val="20"/>
          <w:szCs w:val="20"/>
          <w:color w:val="auto"/>
        </w:rPr>
      </w:pPr>
    </w:p>
    <w:p>
      <w:pPr>
        <w:ind w:left="380" w:hanging="380"/>
        <w:spacing w:after="0"/>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of ExlService Holdings, Inc.;</w:t>
      </w:r>
    </w:p>
    <w:p>
      <w:pPr>
        <w:spacing w:after="0" w:line="204" w:lineRule="exact"/>
        <w:rPr>
          <w:rFonts w:ascii="Arial" w:cs="Arial" w:eastAsia="Arial" w:hAnsi="Arial"/>
          <w:sz w:val="17"/>
          <w:szCs w:val="17"/>
          <w:color w:val="auto"/>
        </w:rPr>
      </w:pPr>
    </w:p>
    <w:p>
      <w:pPr>
        <w:ind w:left="380" w:hanging="380"/>
        <w:spacing w:after="0" w:line="297"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380" w:right="520" w:hanging="380"/>
        <w:spacing w:after="0" w:line="265"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jc w:val="both"/>
        <w:ind w:left="380" w:right="340" w:hanging="380"/>
        <w:spacing w:after="0" w:line="255"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680" w:right="120" w:hanging="306"/>
        <w:spacing w:after="0" w:line="255" w:lineRule="auto"/>
        <w:tabs>
          <w:tab w:leader="none" w:pos="677"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680" w:right="260" w:hanging="306"/>
        <w:spacing w:after="0" w:line="255" w:lineRule="auto"/>
        <w:tabs>
          <w:tab w:leader="none" w:pos="674"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680" w:right="260" w:hanging="306"/>
        <w:spacing w:after="0" w:line="265" w:lineRule="auto"/>
        <w:tabs>
          <w:tab w:leader="none" w:pos="677"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7"/>
          <w:szCs w:val="17"/>
          <w:color w:val="auto"/>
        </w:rPr>
      </w:pPr>
    </w:p>
    <w:p>
      <w:pPr>
        <w:ind w:left="680" w:right="220" w:hanging="306"/>
        <w:spacing w:after="0" w:line="255" w:lineRule="auto"/>
        <w:tabs>
          <w:tab w:leader="none" w:pos="674"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80" w:right="300" w:hanging="380"/>
        <w:spacing w:after="0" w:line="265"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Arial" w:cs="Arial" w:eastAsia="Arial" w:hAnsi="Arial"/>
          <w:sz w:val="17"/>
          <w:szCs w:val="17"/>
          <w:color w:val="auto"/>
        </w:rPr>
      </w:pPr>
    </w:p>
    <w:p>
      <w:pPr>
        <w:ind w:left="680" w:right="440" w:hanging="306"/>
        <w:spacing w:after="0" w:line="265" w:lineRule="auto"/>
        <w:tabs>
          <w:tab w:leader="none" w:pos="677"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7"/>
          <w:szCs w:val="17"/>
          <w:color w:val="auto"/>
        </w:rPr>
      </w:pPr>
    </w:p>
    <w:p>
      <w:pPr>
        <w:ind w:left="680" w:right="40" w:hanging="306"/>
        <w:spacing w:after="0" w:line="265" w:lineRule="auto"/>
        <w:tabs>
          <w:tab w:leader="none" w:pos="674"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100" w:type="dxa"/>
            <w:vAlign w:val="bottom"/>
          </w:tcPr>
          <w:p>
            <w:pPr>
              <w:spacing w:after="0"/>
              <w:rPr>
                <w:sz w:val="20"/>
                <w:szCs w:val="20"/>
                <w:color w:val="auto"/>
              </w:rPr>
            </w:pPr>
            <w:r>
              <w:rPr>
                <w:rFonts w:ascii="Arial" w:cs="Arial" w:eastAsia="Arial" w:hAnsi="Arial"/>
                <w:sz w:val="17"/>
                <w:szCs w:val="17"/>
                <w:color w:val="auto"/>
              </w:rPr>
              <w:t>Date: November 2, 2021</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Rohit Kapoor</w:t>
            </w:r>
          </w:p>
        </w:tc>
      </w:tr>
      <w:tr>
        <w:trPr>
          <w:trHeight w:val="205"/>
        </w:trPr>
        <w:tc>
          <w:tcPr>
            <w:tcW w:w="610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Rohit Kapoor</w:t>
            </w:r>
          </w:p>
        </w:tc>
      </w:tr>
      <w:tr>
        <w:trPr>
          <w:trHeight w:val="212"/>
        </w:trPr>
        <w:tc>
          <w:tcPr>
            <w:tcW w:w="610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Vice-Chairman and Chief Executive Officer</w:t>
            </w:r>
          </w:p>
        </w:tc>
      </w:tr>
    </w:tbl>
    <w:p>
      <w:pPr>
        <w:sectPr>
          <w:pgSz w:w="11900" w:h="16838" w:orient="portrait"/>
          <w:cols w:equalWidth="0" w:num="1">
            <w:col w:w="11240"/>
          </w:cols>
          <w:pgMar w:left="320" w:top="83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 Maurizio Nicolelli, certify that:</w:t>
      </w:r>
    </w:p>
    <w:p>
      <w:pPr>
        <w:spacing w:after="0" w:line="316" w:lineRule="exact"/>
        <w:rPr>
          <w:sz w:val="20"/>
          <w:szCs w:val="20"/>
          <w:color w:val="auto"/>
        </w:rPr>
      </w:pPr>
    </w:p>
    <w:p>
      <w:pPr>
        <w:ind w:left="380" w:hanging="380"/>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of ExlService Holdings, Inc.;</w:t>
      </w:r>
    </w:p>
    <w:p>
      <w:pPr>
        <w:spacing w:after="0" w:line="204" w:lineRule="exact"/>
        <w:rPr>
          <w:rFonts w:ascii="Arial" w:cs="Arial" w:eastAsia="Arial" w:hAnsi="Arial"/>
          <w:sz w:val="17"/>
          <w:szCs w:val="17"/>
          <w:color w:val="auto"/>
        </w:rPr>
      </w:pPr>
    </w:p>
    <w:p>
      <w:pPr>
        <w:ind w:left="380" w:hanging="380"/>
        <w:spacing w:after="0" w:line="297"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380" w:right="520" w:hanging="380"/>
        <w:spacing w:after="0" w:line="265"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jc w:val="both"/>
        <w:ind w:left="380" w:right="340" w:hanging="380"/>
        <w:spacing w:after="0" w:line="255"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680" w:right="120" w:hanging="306"/>
        <w:spacing w:after="0" w:line="255" w:lineRule="auto"/>
        <w:tabs>
          <w:tab w:leader="none" w:pos="677"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680" w:right="260" w:hanging="306"/>
        <w:spacing w:after="0" w:line="255" w:lineRule="auto"/>
        <w:tabs>
          <w:tab w:leader="none" w:pos="67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680" w:right="260" w:hanging="306"/>
        <w:spacing w:after="0" w:line="265" w:lineRule="auto"/>
        <w:tabs>
          <w:tab w:leader="none" w:pos="677"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7"/>
          <w:szCs w:val="17"/>
          <w:color w:val="auto"/>
        </w:rPr>
      </w:pPr>
    </w:p>
    <w:p>
      <w:pPr>
        <w:ind w:left="680" w:right="220" w:hanging="306"/>
        <w:spacing w:after="0" w:line="255" w:lineRule="auto"/>
        <w:tabs>
          <w:tab w:leader="none" w:pos="67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80" w:right="300" w:hanging="380"/>
        <w:spacing w:after="0" w:line="265"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Arial" w:cs="Arial" w:eastAsia="Arial" w:hAnsi="Arial"/>
          <w:sz w:val="17"/>
          <w:szCs w:val="17"/>
          <w:color w:val="auto"/>
        </w:rPr>
      </w:pPr>
    </w:p>
    <w:p>
      <w:pPr>
        <w:ind w:left="680" w:right="440" w:hanging="306"/>
        <w:spacing w:after="0" w:line="265" w:lineRule="auto"/>
        <w:tabs>
          <w:tab w:leader="none" w:pos="677"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7"/>
          <w:szCs w:val="17"/>
          <w:color w:val="auto"/>
        </w:rPr>
      </w:pPr>
    </w:p>
    <w:p>
      <w:pPr>
        <w:ind w:left="680" w:right="40" w:hanging="306"/>
        <w:spacing w:after="0" w:line="265" w:lineRule="auto"/>
        <w:tabs>
          <w:tab w:leader="none" w:pos="674"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5820" w:type="dxa"/>
            <w:vAlign w:val="bottom"/>
          </w:tcPr>
          <w:p>
            <w:pPr>
              <w:spacing w:after="0"/>
              <w:rPr>
                <w:sz w:val="20"/>
                <w:szCs w:val="20"/>
                <w:color w:val="auto"/>
              </w:rPr>
            </w:pPr>
            <w:r>
              <w:rPr>
                <w:rFonts w:ascii="Arial" w:cs="Arial" w:eastAsia="Arial" w:hAnsi="Arial"/>
                <w:sz w:val="17"/>
                <w:szCs w:val="17"/>
                <w:color w:val="auto"/>
              </w:rPr>
              <w:t>Date: November 2, 2021</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Maurizio Nicolelli</w:t>
            </w:r>
          </w:p>
        </w:tc>
      </w:tr>
      <w:tr>
        <w:trPr>
          <w:trHeight w:val="205"/>
        </w:trPr>
        <w:tc>
          <w:tcPr>
            <w:tcW w:w="582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Arial" w:cs="Arial" w:eastAsia="Arial" w:hAnsi="Arial"/>
                <w:sz w:val="17"/>
                <w:szCs w:val="17"/>
                <w:color w:val="auto"/>
              </w:rPr>
              <w:t>Maurizio Nicolelli</w:t>
            </w:r>
          </w:p>
        </w:tc>
      </w:tr>
      <w:tr>
        <w:trPr>
          <w:trHeight w:val="212"/>
        </w:trPr>
        <w:tc>
          <w:tcPr>
            <w:tcW w:w="58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3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2021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3" w:lineRule="exact"/>
        <w:rPr>
          <w:sz w:val="20"/>
          <w:szCs w:val="20"/>
          <w:color w:val="auto"/>
        </w:rPr>
      </w:pPr>
    </w:p>
    <w:p>
      <w:pPr>
        <w:ind w:left="300" w:hanging="300"/>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54" w:lineRule="exact"/>
        <w:rPr>
          <w:rFonts w:ascii="Arial" w:cs="Arial" w:eastAsia="Arial" w:hAnsi="Arial"/>
          <w:sz w:val="17"/>
          <w:szCs w:val="17"/>
          <w:color w:val="auto"/>
        </w:rPr>
      </w:pPr>
    </w:p>
    <w:p>
      <w:pPr>
        <w:ind w:left="300" w:hanging="300"/>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27824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278245" cy="7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Rohit Kapoor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Vice-Chairman and Chief Executive Officer</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November 2, 2021</w:t>
      </w:r>
    </w:p>
    <w:p>
      <w:pPr>
        <w:sectPr>
          <w:pgSz w:w="11900" w:h="16838" w:orient="portrait"/>
          <w:cols w:equalWidth="0" w:num="1">
            <w:col w:w="11240"/>
          </w:cols>
          <w:pgMar w:left="320" w:top="83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2021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00" w:hanging="300"/>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4" w:lineRule="exact"/>
        <w:rPr>
          <w:rFonts w:ascii="Arial" w:cs="Arial" w:eastAsia="Arial" w:hAnsi="Arial"/>
          <w:sz w:val="17"/>
          <w:szCs w:val="17"/>
          <w:color w:val="auto"/>
        </w:rPr>
      </w:pPr>
    </w:p>
    <w:p>
      <w:pPr>
        <w:ind w:left="300" w:hanging="300"/>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489140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4891405" cy="7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Maurizio Nicolelli</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November 2, 2021</w:t>
      </w:r>
    </w:p>
    <w:sectPr>
      <w:pgSz w:w="11900" w:h="16838" w:orient="portrait"/>
      <w:cols w:equalWidth="0" w:num="1">
        <w:col w:w="11240"/>
      </w:cols>
      <w:pgMar w:left="320" w:top="8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9"/>
    </w:lvl>
  </w:abstractNum>
  <w:abstractNum w:abstractNumId="8">
    <w:nsid w:val="25E45D32"/>
    <w:multiLevelType w:val="hybridMultilevel"/>
    <w:lvl w:ilvl="0">
      <w:lvlJc w:val="left"/>
      <w:lvlText w:val="%1"/>
      <w:numFmt w:val="decimal"/>
      <w:start w:val="1"/>
    </w:lvl>
    <w:lvl w:ilvl="1">
      <w:lvlJc w:val="left"/>
      <w:lvlText w:val="(%2)"/>
      <w:numFmt w:val="decimal"/>
      <w:start w:val="1"/>
    </w:lvl>
  </w:abstractNum>
  <w:abstractNum w:abstractNumId="9">
    <w:nsid w:val="519B500D"/>
    <w:multiLevelType w:val="hybridMultilevel"/>
    <w:lvl w:ilvl="0">
      <w:lvlJc w:val="left"/>
      <w:lvlText w:val="%1."/>
      <w:numFmt w:val="decimal"/>
      <w:start w:val="15"/>
    </w:lvl>
    <w:lvl w:ilvl="1">
      <w:lvlJc w:val="left"/>
      <w:lvlText w:val="%2"/>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03" Type="http://schemas.openxmlformats.org/officeDocument/2006/relationships/hyperlink" Target="http://www.sec.gov/Archives/edgar/data/1297989/000119312506214684/dex31.htm" TargetMode="External"/><Relationship Id="rId104" Type="http://schemas.openxmlformats.org/officeDocument/2006/relationships/hyperlink" Target="https://www.sec.gov/Archives/edgar/data/1297989/000104746919002609/a2238453zdef14a.htm" TargetMode="External"/><Relationship Id="rId105" Type="http://schemas.openxmlformats.org/officeDocument/2006/relationships/hyperlink" Target="https://www.sec.gov/Archives/edgar/data/1297989/000114420419031504/tv523830_ex3-2.htm" TargetMode="External"/><Relationship Id="rId106" Type="http://schemas.openxmlformats.org/officeDocument/2006/relationships/hyperlink" Target="https://www.sec.gov/Archives/edgar/data/1297989/000110465921110500/tm212635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2021-11-02T15:51:10Z</dcterms:created>
  <dcterms:modified xsi:type="dcterms:W3CDTF">2021-11-02T15:51:10Z</dcterms:modified>
</cp:coreProperties>
</file>