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752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29195"/>
                    </a:xfrm>
                    <a:prstGeom prst="rect">
                      <a:avLst/>
                    </a:prstGeom>
                    <a:noFill/>
                  </pic:spPr>
                </pic:pic>
              </a:graphicData>
            </a:graphic>
          </wp:anchor>
        </w:drawing>
      </w:r>
    </w:p>
    <w:p>
      <w:pPr>
        <w:spacing w:after="0" w:line="109" w:lineRule="exact"/>
        <w:rPr>
          <w:sz w:val="24"/>
          <w:szCs w:val="24"/>
          <w:color w:val="auto"/>
        </w:rPr>
      </w:pPr>
    </w:p>
    <w:p>
      <w:pPr>
        <w:sectPr>
          <w:pgSz w:w="11900" w:h="16957" w:orient="portrait"/>
          <w:cols w:equalWidth="0" w:num="2">
            <w:col w:w="2380" w:space="240"/>
            <w:col w:w="8900"/>
          </w:cols>
          <w:pgMar w:left="240" w:top="220"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Kapoor Rohit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01/22/2020</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CEO &amp; Vice Chairman</w:t>
      </w:r>
    </w:p>
    <w:p>
      <w:pPr>
        <w:spacing w:after="0" w:line="267" w:lineRule="exact"/>
        <w:rPr>
          <w:sz w:val="24"/>
          <w:szCs w:val="24"/>
          <w:color w:val="auto"/>
        </w:rPr>
      </w:pPr>
    </w:p>
    <w:p>
      <w:pPr>
        <w:sectPr>
          <w:pgSz w:w="11900" w:h="16957" w:orient="portrait"/>
          <w:cols w:equalWidth="0" w:num="3">
            <w:col w:w="3360" w:space="720"/>
            <w:col w:w="3257" w:space="720"/>
            <w:col w:w="3463"/>
          </w:cols>
          <w:pgMar w:left="240" w:top="220" w:right="13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38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3"/>
          </w:tcPr>
          <w:p>
            <w:pPr>
              <w:ind w:left="500"/>
              <w:spacing w:after="0"/>
              <w:rPr>
                <w:sz w:val="20"/>
                <w:szCs w:val="20"/>
                <w:color w:val="auto"/>
              </w:rPr>
            </w:pPr>
            <w:r>
              <w:rPr>
                <w:rFonts w:ascii="Arial" w:cs="Arial" w:eastAsia="Arial" w:hAnsi="Arial"/>
                <w:sz w:val="14"/>
                <w:szCs w:val="14"/>
                <w:color w:val="auto"/>
              </w:rPr>
              <w:t>Line)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060" w:type="dxa"/>
            <w:vAlign w:val="bottom"/>
          </w:tcPr>
          <w:p>
            <w:pPr>
              <w:ind w:left="560"/>
              <w:spacing w:after="0"/>
              <w:rPr>
                <w:sz w:val="20"/>
                <w:szCs w:val="20"/>
                <w:color w:val="auto"/>
              </w:rPr>
            </w:pPr>
            <w:r>
              <w:rPr>
                <w:rFonts w:ascii="Times New Roman" w:cs="Times New Roman" w:eastAsia="Times New Roman" w:hAnsi="Times New Roman"/>
                <w:sz w:val="18"/>
                <w:szCs w:val="18"/>
                <w:color w:val="0000FF"/>
              </w:rPr>
              <w:t>10022</w:t>
            </w: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31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73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9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01/22/2020</w:t>
            </w:r>
          </w:p>
        </w:tc>
        <w:tc>
          <w:tcPr>
            <w:tcW w:w="11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8,841</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24.77</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0000FF"/>
              </w:rPr>
              <w:t>220,193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01/22/2020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8,841</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72.91</w:t>
            </w:r>
            <w:r>
              <w:rPr>
                <w:rFonts w:ascii="Times New Roman" w:cs="Times New Roman" w:eastAsia="Times New Roman" w:hAnsi="Times New Roman"/>
                <w:sz w:val="22"/>
                <w:szCs w:val="22"/>
                <w:color w:val="008000"/>
                <w:w w:val="91"/>
                <w:vertAlign w:val="superscript"/>
              </w:rPr>
              <w:t>(3)</w:t>
            </w:r>
          </w:p>
        </w:tc>
        <w:tc>
          <w:tcPr>
            <w:tcW w:w="1220" w:type="dxa"/>
            <w:vAlign w:val="bottom"/>
            <w:gridSpan w:val="2"/>
            <w:vMerge w:val="restart"/>
          </w:tcPr>
          <w:p>
            <w:pPr>
              <w:jc w:val="right"/>
              <w:ind w:right="218"/>
              <w:spacing w:after="0"/>
              <w:rPr>
                <w:sz w:val="20"/>
                <w:szCs w:val="20"/>
                <w:color w:val="auto"/>
              </w:rPr>
            </w:pPr>
            <w:r>
              <w:rPr>
                <w:rFonts w:ascii="Times New Roman" w:cs="Times New Roman" w:eastAsia="Times New Roman" w:hAnsi="Times New Roman"/>
                <w:sz w:val="18"/>
                <w:szCs w:val="18"/>
                <w:color w:val="0000FF"/>
              </w:rPr>
              <w:t>211,352</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01/22/2020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10,831</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72.91</w:t>
            </w:r>
            <w:r>
              <w:rPr>
                <w:rFonts w:ascii="Times New Roman" w:cs="Times New Roman" w:eastAsia="Times New Roman" w:hAnsi="Times New Roman"/>
                <w:sz w:val="22"/>
                <w:szCs w:val="22"/>
                <w:color w:val="008000"/>
                <w:w w:val="91"/>
                <w:vertAlign w:val="superscript"/>
              </w:rPr>
              <w:t>(5)</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0000FF"/>
              </w:rPr>
              <w:t>233,185</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sectPr>
          <w:pgSz w:w="11900" w:h="16957" w:orient="portrait"/>
          <w:cols w:equalWidth="0" w:num="1">
            <w:col w:w="11520"/>
          </w:cols>
          <w:pgMar w:left="240" w:top="220" w:right="1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13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0000FF"/>
        </w:rPr>
        <w:t>Common Stock, par value $0.001 per</w:t>
      </w:r>
    </w:p>
    <w:p>
      <w:pPr>
        <w:spacing w:after="0" w:line="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72"/>
              <w:spacing w:after="0"/>
              <w:rPr>
                <w:sz w:val="20"/>
                <w:szCs w:val="20"/>
                <w:color w:val="auto"/>
              </w:rPr>
            </w:pPr>
            <w:r>
              <w:rPr>
                <w:rFonts w:ascii="Times New Roman" w:cs="Times New Roman" w:eastAsia="Times New Roman" w:hAnsi="Times New Roman"/>
                <w:sz w:val="18"/>
                <w:szCs w:val="18"/>
                <w:color w:val="0000FF"/>
                <w:w w:val="96"/>
              </w:rPr>
              <w:t>40,219</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6"/>
              </w:rPr>
              <w:t>Footnote</w:t>
            </w:r>
            <w:r>
              <w:rPr>
                <w:rFonts w:ascii="Times New Roman" w:cs="Times New Roman" w:eastAsia="Times New Roman" w:hAnsi="Times New Roman"/>
                <w:sz w:val="22"/>
                <w:szCs w:val="22"/>
                <w:color w:val="008000"/>
                <w:w w:val="96"/>
                <w:vertAlign w:val="superscript"/>
              </w:rPr>
              <w:t>(7)</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0000FF"/>
                <w:w w:val="99"/>
              </w:rPr>
              <w:t>177,134</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6"/>
              </w:rPr>
              <w:t>Footnote</w:t>
            </w:r>
            <w:r>
              <w:rPr>
                <w:rFonts w:ascii="Times New Roman" w:cs="Times New Roman" w:eastAsia="Times New Roman" w:hAnsi="Times New Roman"/>
                <w:sz w:val="22"/>
                <w:szCs w:val="22"/>
                <w:color w:val="008000"/>
                <w:w w:val="96"/>
                <w:vertAlign w:val="superscript"/>
              </w:rPr>
              <w:t>(8)</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72"/>
              <w:spacing w:after="0"/>
              <w:rPr>
                <w:sz w:val="20"/>
                <w:szCs w:val="20"/>
                <w:color w:val="auto"/>
              </w:rPr>
            </w:pPr>
            <w:r>
              <w:rPr>
                <w:rFonts w:ascii="Times New Roman" w:cs="Times New Roman" w:eastAsia="Times New Roman" w:hAnsi="Times New Roman"/>
                <w:sz w:val="18"/>
                <w:szCs w:val="18"/>
                <w:color w:val="0000FF"/>
                <w:w w:val="96"/>
              </w:rPr>
              <w:t>84,000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6"/>
              </w:rPr>
              <w:t>Footnote</w:t>
            </w:r>
            <w:r>
              <w:rPr>
                <w:rFonts w:ascii="Times New Roman" w:cs="Times New Roman" w:eastAsia="Times New Roman" w:hAnsi="Times New Roman"/>
                <w:sz w:val="22"/>
                <w:szCs w:val="22"/>
                <w:color w:val="008000"/>
                <w:w w:val="96"/>
                <w:vertAlign w:val="superscript"/>
              </w:rPr>
              <w:t>(9)</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960" w:type="dxa"/>
            <w:vAlign w:val="bottom"/>
            <w:vMerge w:val="restart"/>
          </w:tcPr>
          <w:p>
            <w:pPr>
              <w:jc w:val="center"/>
              <w:ind w:right="272"/>
              <w:spacing w:after="0"/>
              <w:rPr>
                <w:sz w:val="20"/>
                <w:szCs w:val="20"/>
                <w:color w:val="auto"/>
              </w:rPr>
            </w:pPr>
            <w:r>
              <w:rPr>
                <w:rFonts w:ascii="Times New Roman" w:cs="Times New Roman" w:eastAsia="Times New Roman" w:hAnsi="Times New Roman"/>
                <w:sz w:val="18"/>
                <w:szCs w:val="18"/>
                <w:color w:val="0000FF"/>
                <w:w w:val="96"/>
              </w:rPr>
              <w:t>84,000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I</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9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88"/>
              </w:rPr>
              <w:t>Footnote</w:t>
            </w:r>
            <w:r>
              <w:rPr>
                <w:rFonts w:ascii="Times New Roman" w:cs="Times New Roman" w:eastAsia="Times New Roman" w:hAnsi="Times New Roman"/>
                <w:sz w:val="22"/>
                <w:szCs w:val="22"/>
                <w:color w:val="008000"/>
                <w:w w:val="88"/>
                <w:vertAlign w:val="superscript"/>
              </w:rPr>
              <w:t>(10)</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957" w:orient="portrait"/>
          <w:cols w:equalWidth="0" w:num="2">
            <w:col w:w="7900" w:space="720"/>
            <w:col w:w="2900"/>
          </w:cols>
          <w:pgMar w:left="240" w:top="220" w:right="1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8,841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24.77</w:t>
            </w:r>
          </w:p>
        </w:tc>
        <w:tc>
          <w:tcPr>
            <w:tcW w:w="1140" w:type="dxa"/>
            <w:vAlign w:val="bottom"/>
          </w:tcPr>
          <w:p>
            <w:pPr>
              <w:jc w:val="right"/>
              <w:ind w:right="198"/>
              <w:spacing w:after="0" w:line="149" w:lineRule="exact"/>
              <w:rPr>
                <w:sz w:val="20"/>
                <w:szCs w:val="20"/>
                <w:color w:val="auto"/>
              </w:rPr>
            </w:pPr>
            <w:r>
              <w:rPr>
                <w:rFonts w:ascii="Times New Roman" w:cs="Times New Roman" w:eastAsia="Times New Roman" w:hAnsi="Times New Roman"/>
                <w:sz w:val="14"/>
                <w:szCs w:val="14"/>
                <w:color w:val="0000FF"/>
              </w:rPr>
              <w:t>01/22/2020</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0000FF"/>
              </w:rPr>
              <w:t>8,841</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02/07/2022</w:t>
            </w:r>
          </w:p>
        </w:tc>
        <w:tc>
          <w:tcPr>
            <w:tcW w:w="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0000FF"/>
              </w:rPr>
              <w:t>0</w:t>
            </w:r>
          </w:p>
        </w:tc>
        <w:tc>
          <w:tcPr>
            <w:tcW w:w="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January 22, 2020, the reporting person exercised previously issued options to purchase an aggregate of 8,841 shares of common stock of ExlService Holdings, Inc.</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reporting person.</w:t>
      </w:r>
    </w:p>
    <w:p>
      <w:pPr>
        <w:spacing w:after="0" w:line="41"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was executed in multiple trades at prices ranging from $72.50 to $73.48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Rohit Kapoor 2016 Family Trust.</w:t>
      </w:r>
    </w:p>
    <w:p>
      <w:pPr>
        <w:spacing w:after="0" w:line="41"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was executed in multiple trades at prices ranging from $72.50 to $73.47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2016 Family Trust.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2016 Kapoor Family Trust Created Under the Rohit Kapoor 2013 GRAT.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2016 Kapoor Family Trust Created Under the Rohit Kapoor 2005 GRAT.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Rohit Kapoor Spousal Lifetime Access Trust.</w:t>
      </w:r>
    </w:p>
    <w:p>
      <w:pPr>
        <w:spacing w:after="0" w:line="41" w:lineRule="exact"/>
        <w:rPr>
          <w:rFonts w:ascii="Times New Roman" w:cs="Times New Roman" w:eastAsia="Times New Roman" w:hAnsi="Times New Roman"/>
          <w:sz w:val="14"/>
          <w:szCs w:val="14"/>
          <w:color w:val="008000"/>
        </w:rPr>
      </w:pPr>
    </w:p>
    <w:p>
      <w:pPr>
        <w:ind w:left="260" w:hanging="211"/>
        <w:spacing w:after="0"/>
        <w:tabs>
          <w:tab w:leader="none" w:pos="26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Shikha Kapoor 2005 Family Trust.</w:t>
      </w:r>
    </w:p>
    <w:p>
      <w:pPr>
        <w:spacing w:after="0" w:line="41" w:lineRule="exact"/>
        <w:rPr>
          <w:rFonts w:ascii="Times New Roman" w:cs="Times New Roman" w:eastAsia="Times New Roman" w:hAnsi="Times New Roman"/>
          <w:sz w:val="14"/>
          <w:szCs w:val="14"/>
          <w:color w:val="008000"/>
        </w:rPr>
      </w:pPr>
    </w:p>
    <w:p>
      <w:pPr>
        <w:ind w:left="40" w:right="380" w:firstLine="9"/>
        <w:spacing w:after="0" w:line="321" w:lineRule="auto"/>
        <w:tabs>
          <w:tab w:leader="none" w:pos="23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957" w:orient="portrait"/>
          <w:cols w:equalWidth="0" w:num="1">
            <w:col w:w="11520"/>
          </w:cols>
          <w:pgMar w:left="240" w:top="220"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2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2020-01-24T17:22:42Z</dcterms:created>
  <dcterms:modified xsi:type="dcterms:W3CDTF">2020-01-24T17:22:42Z</dcterms:modified>
</cp:coreProperties>
</file>