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 2009</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5980" w:type="dxa"/>
            <w:vAlign w:val="bottom"/>
            <w:gridSpan w:val="4"/>
          </w:tcPr>
          <w:p>
            <w:pPr>
              <w:jc w:val="center"/>
              <w:ind w:right="4200"/>
              <w:spacing w:after="0"/>
              <w:rPr>
                <w:sz w:val="20"/>
                <w:szCs w:val="20"/>
                <w:color w:val="auto"/>
              </w:rPr>
            </w:pPr>
            <w:r>
              <w:rPr>
                <w:rFonts w:ascii="Arial" w:cs="Arial" w:eastAsia="Arial" w:hAnsi="Arial"/>
                <w:sz w:val="18"/>
                <w:szCs w:val="18"/>
                <w:b w:val="1"/>
                <w:bCs w:val="1"/>
                <w:color w:val="auto"/>
                <w:w w:val="88"/>
              </w:rPr>
              <w:t>Delaware</w:t>
            </w:r>
          </w:p>
        </w:tc>
        <w:tc>
          <w:tcPr>
            <w:tcW w:w="1260" w:type="dxa"/>
            <w:vAlign w:val="bottom"/>
          </w:tcPr>
          <w:p>
            <w:pPr>
              <w:jc w:val="center"/>
              <w:ind w:left="10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5980" w:type="dxa"/>
            <w:vAlign w:val="bottom"/>
            <w:gridSpan w:val="4"/>
          </w:tcPr>
          <w:p>
            <w:pPr>
              <w:jc w:val="center"/>
              <w:ind w:right="42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260" w:type="dxa"/>
            <w:vAlign w:val="bottom"/>
          </w:tcPr>
          <w:p>
            <w:pPr>
              <w:jc w:val="center"/>
              <w:ind w:left="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980" w:type="dxa"/>
            <w:vAlign w:val="bottom"/>
            <w:gridSpan w:val="4"/>
          </w:tcPr>
          <w:p>
            <w:pPr>
              <w:jc w:val="center"/>
              <w:ind w:right="4220"/>
              <w:spacing w:after="0"/>
              <w:rPr>
                <w:sz w:val="20"/>
                <w:szCs w:val="20"/>
                <w:color w:val="auto"/>
              </w:rPr>
            </w:pPr>
            <w:r>
              <w:rPr>
                <w:rFonts w:ascii="Arial" w:cs="Arial" w:eastAsia="Arial" w:hAnsi="Arial"/>
                <w:sz w:val="14"/>
                <w:szCs w:val="14"/>
                <w:b w:val="1"/>
                <w:bCs w:val="1"/>
                <w:color w:val="auto"/>
                <w:w w:val="88"/>
              </w:rPr>
              <w:t>incorporation or organization)</w:t>
            </w:r>
          </w:p>
        </w:tc>
        <w:tc>
          <w:tcPr>
            <w:tcW w:w="1260" w:type="dxa"/>
            <w:vAlign w:val="bottom"/>
          </w:tcPr>
          <w:p>
            <w:pPr>
              <w:jc w:val="center"/>
              <w:ind w:left="126"/>
              <w:spacing w:after="0"/>
              <w:rPr>
                <w:sz w:val="20"/>
                <w:szCs w:val="20"/>
                <w:color w:val="auto"/>
              </w:rPr>
            </w:pPr>
            <w:r>
              <w:rPr>
                <w:rFonts w:ascii="Arial" w:cs="Arial" w:eastAsia="Arial" w:hAnsi="Arial"/>
                <w:sz w:val="14"/>
                <w:szCs w:val="14"/>
                <w:b w:val="1"/>
                <w:bCs w:val="1"/>
                <w:color w:val="auto"/>
                <w:w w:val="89"/>
              </w:rPr>
              <w:t>Identification No.)</w:t>
            </w:r>
          </w:p>
        </w:tc>
      </w:tr>
      <w:tr>
        <w:trPr>
          <w:trHeight w:val="163"/>
        </w:trPr>
        <w:tc>
          <w:tcPr>
            <w:tcW w:w="2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76"/>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8"/>
              </w:rPr>
              <w:t>350 Park Avenue</w:t>
            </w:r>
          </w:p>
        </w:tc>
        <w:tc>
          <w:tcPr>
            <w:tcW w:w="1260" w:type="dxa"/>
            <w:vAlign w:val="bottom"/>
          </w:tcPr>
          <w:p>
            <w:pPr>
              <w:spacing w:after="0"/>
              <w:rPr>
                <w:sz w:val="24"/>
                <w:szCs w:val="24"/>
                <w:color w:val="auto"/>
              </w:rPr>
            </w:pPr>
          </w:p>
        </w:tc>
      </w:tr>
      <w:tr>
        <w:trPr>
          <w:trHeight w:val="218"/>
        </w:trPr>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9"/>
              </w:rPr>
              <w:t>New York, New York 10022</w:t>
            </w:r>
          </w:p>
        </w:tc>
        <w:tc>
          <w:tcPr>
            <w:tcW w:w="1260" w:type="dxa"/>
            <w:vAlign w:val="bottom"/>
          </w:tcPr>
          <w:p>
            <w:pPr>
              <w:spacing w:after="0"/>
              <w:rPr>
                <w:sz w:val="18"/>
                <w:szCs w:val="18"/>
                <w:color w:val="auto"/>
              </w:rPr>
            </w:pPr>
          </w:p>
        </w:tc>
      </w:tr>
      <w:tr>
        <w:trPr>
          <w:trHeight w:val="174"/>
        </w:trPr>
        <w:tc>
          <w:tcPr>
            <w:tcW w:w="5980" w:type="dxa"/>
            <w:vAlign w:val="bottom"/>
            <w:gridSpan w:val="4"/>
          </w:tcPr>
          <w:p>
            <w:pPr>
              <w:jc w:val="center"/>
              <w:ind w:left="1404"/>
              <w:spacing w:after="0"/>
              <w:rPr>
                <w:sz w:val="20"/>
                <w:szCs w:val="20"/>
                <w:color w:val="auto"/>
              </w:rPr>
            </w:pPr>
            <w:r>
              <w:rPr>
                <w:rFonts w:ascii="Arial" w:cs="Arial" w:eastAsia="Arial" w:hAnsi="Arial"/>
                <w:sz w:val="14"/>
                <w:szCs w:val="14"/>
                <w:b w:val="1"/>
                <w:bCs w:val="1"/>
                <w:color w:val="auto"/>
                <w:w w:val="85"/>
              </w:rPr>
              <w:t>(Address, including zip code, of Registrant’s principal executive offices)</w:t>
            </w:r>
          </w:p>
        </w:tc>
        <w:tc>
          <w:tcPr>
            <w:tcW w:w="1260" w:type="dxa"/>
            <w:vAlign w:val="bottom"/>
          </w:tcPr>
          <w:p>
            <w:pPr>
              <w:spacing w:after="0"/>
              <w:rPr>
                <w:sz w:val="15"/>
                <w:szCs w:val="15"/>
                <w:color w:val="auto"/>
              </w:rPr>
            </w:pPr>
          </w:p>
        </w:tc>
      </w:tr>
      <w:tr>
        <w:trPr>
          <w:trHeight w:val="163"/>
        </w:trPr>
        <w:tc>
          <w:tcPr>
            <w:tcW w:w="2560" w:type="dxa"/>
            <w:vAlign w:val="bottom"/>
            <w:gridSpan w:val="2"/>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78"/>
        </w:trPr>
        <w:tc>
          <w:tcPr>
            <w:tcW w:w="5980" w:type="dxa"/>
            <w:vAlign w:val="bottom"/>
            <w:gridSpan w:val="4"/>
          </w:tcPr>
          <w:p>
            <w:pPr>
              <w:jc w:val="center"/>
              <w:ind w:left="1424"/>
              <w:spacing w:after="0"/>
              <w:rPr>
                <w:sz w:val="20"/>
                <w:szCs w:val="20"/>
                <w:color w:val="auto"/>
              </w:rPr>
            </w:pPr>
            <w:r>
              <w:rPr>
                <w:rFonts w:ascii="Arial" w:cs="Arial" w:eastAsia="Arial" w:hAnsi="Arial"/>
                <w:sz w:val="18"/>
                <w:szCs w:val="18"/>
                <w:b w:val="1"/>
                <w:bCs w:val="1"/>
                <w:color w:val="auto"/>
                <w:w w:val="88"/>
              </w:rPr>
              <w:t>ExlService Holdings, Inc. 2006 Omnibus Award Plan</w:t>
            </w:r>
          </w:p>
        </w:tc>
        <w:tc>
          <w:tcPr>
            <w:tcW w:w="1260" w:type="dxa"/>
            <w:vAlign w:val="bottom"/>
          </w:tcPr>
          <w:p>
            <w:pPr>
              <w:spacing w:after="0"/>
              <w:rPr>
                <w:sz w:val="24"/>
                <w:szCs w:val="24"/>
                <w:color w:val="auto"/>
              </w:rPr>
            </w:pPr>
          </w:p>
        </w:tc>
      </w:tr>
      <w:tr>
        <w:trPr>
          <w:trHeight w:val="174"/>
        </w:trPr>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(Full title of the plan)</w:t>
            </w:r>
          </w:p>
        </w:tc>
        <w:tc>
          <w:tcPr>
            <w:tcW w:w="12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&amp; CEO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4"/>
          <w:szCs w:val="24"/>
          <w:color w:val="auto"/>
        </w:rPr>
      </w:pPr>
    </w:p>
    <w:p>
      <w:pPr>
        <w:ind w:left="4680" w:right="4680" w:firstLine="402"/>
        <w:spacing w:after="0" w:line="281" w:lineRule="auto"/>
        <w:tabs>
          <w:tab w:leader="none" w:pos="538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Park Avenue New York, New York 10022</w:t>
      </w:r>
    </w:p>
    <w:p>
      <w:pPr>
        <w:spacing w:after="0" w:line="1" w:lineRule="exact"/>
        <w:rPr>
          <w:rFonts w:ascii="Arial" w:cs="Arial" w:eastAsia="Arial" w:hAnsi="Arial"/>
          <w:sz w:val="16"/>
          <w:szCs w:val="16"/>
          <w:b w:val="1"/>
          <w:bCs w:val="1"/>
          <w:color w:val="auto"/>
        </w:rPr>
      </w:pPr>
    </w:p>
    <w:p>
      <w:pPr>
        <w:ind w:left="5580" w:hanging="415"/>
        <w:spacing w:after="0"/>
        <w:tabs>
          <w:tab w:leader="none" w:pos="5580" w:val="left"/>
        </w:tabs>
        <w:numPr>
          <w:ilvl w:val="1"/>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8"/>
                <w:szCs w:val="18"/>
                <w:b w:val="1"/>
                <w:bCs w:val="1"/>
                <w:i w:val="1"/>
                <w:iCs w:val="1"/>
                <w:color w:val="auto"/>
                <w:w w:val="92"/>
              </w:rPr>
              <w:t>COPIES TO:</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85"/>
        </w:trPr>
        <w:tc>
          <w:tcPr>
            <w:tcW w:w="20" w:type="dxa"/>
            <w:vAlign w:val="bottom"/>
          </w:tcPr>
          <w:p>
            <w:pPr>
              <w:spacing w:after="0"/>
              <w:rPr>
                <w:sz w:val="24"/>
                <w:szCs w:val="24"/>
                <w:color w:val="auto"/>
              </w:rPr>
            </w:pPr>
          </w:p>
        </w:tc>
        <w:tc>
          <w:tcPr>
            <w:tcW w:w="3700" w:type="dxa"/>
            <w:vAlign w:val="bottom"/>
          </w:tcPr>
          <w:p>
            <w:pPr>
              <w:jc w:val="center"/>
              <w:ind w:left="1917"/>
              <w:spacing w:after="0"/>
              <w:rPr>
                <w:sz w:val="20"/>
                <w:szCs w:val="20"/>
                <w:color w:val="auto"/>
              </w:rPr>
            </w:pPr>
            <w:r>
              <w:rPr>
                <w:rFonts w:ascii="Arial" w:cs="Arial" w:eastAsia="Arial" w:hAnsi="Arial"/>
                <w:sz w:val="18"/>
                <w:szCs w:val="18"/>
                <w:b w:val="1"/>
                <w:bCs w:val="1"/>
                <w:color w:val="auto"/>
                <w:w w:val="87"/>
              </w:rPr>
              <w:t>John C. Kennedy, Esq.</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4"/>
          </w:tcPr>
          <w:p>
            <w:pPr>
              <w:jc w:val="center"/>
              <w:ind w:left="320"/>
              <w:spacing w:after="0"/>
              <w:rPr>
                <w:sz w:val="20"/>
                <w:szCs w:val="20"/>
                <w:color w:val="auto"/>
              </w:rPr>
            </w:pPr>
            <w:r>
              <w:rPr>
                <w:rFonts w:ascii="Arial" w:cs="Arial" w:eastAsia="Arial" w:hAnsi="Arial"/>
                <w:sz w:val="18"/>
                <w:szCs w:val="18"/>
                <w:b w:val="1"/>
                <w:bCs w:val="1"/>
                <w:color w:val="auto"/>
                <w:w w:val="88"/>
              </w:rPr>
              <w:t>Amit Shashank, Esq.</w:t>
            </w:r>
          </w:p>
        </w:tc>
        <w:tc>
          <w:tcPr>
            <w:tcW w:w="12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jc w:val="center"/>
              <w:ind w:left="397"/>
              <w:spacing w:after="0"/>
              <w:rPr>
                <w:sz w:val="20"/>
                <w:szCs w:val="20"/>
                <w:color w:val="auto"/>
              </w:rPr>
            </w:pPr>
            <w:r>
              <w:rPr>
                <w:rFonts w:ascii="Arial" w:cs="Arial" w:eastAsia="Arial" w:hAnsi="Arial"/>
                <w:sz w:val="18"/>
                <w:szCs w:val="18"/>
                <w:b w:val="1"/>
                <w:bCs w:val="1"/>
                <w:color w:val="auto"/>
                <w:w w:val="92"/>
              </w:rPr>
              <w:t>Paul, Weiss, Rifkind, Wharton &amp; Garrison LLP</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4"/>
          </w:tcPr>
          <w:p>
            <w:pPr>
              <w:jc w:val="center"/>
              <w:ind w:left="280"/>
              <w:spacing w:after="0"/>
              <w:rPr>
                <w:sz w:val="20"/>
                <w:szCs w:val="20"/>
                <w:color w:val="auto"/>
              </w:rPr>
            </w:pPr>
            <w:r>
              <w:rPr>
                <w:rFonts w:ascii="Arial" w:cs="Arial" w:eastAsia="Arial" w:hAnsi="Arial"/>
                <w:sz w:val="18"/>
                <w:szCs w:val="18"/>
                <w:b w:val="1"/>
                <w:bCs w:val="1"/>
                <w:color w:val="auto"/>
                <w:w w:val="87"/>
              </w:rPr>
              <w:t>Vice President and General Counsel</w:t>
            </w: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jc w:val="center"/>
              <w:ind w:left="417"/>
              <w:spacing w:after="0"/>
              <w:rPr>
                <w:sz w:val="20"/>
                <w:szCs w:val="20"/>
                <w:color w:val="auto"/>
              </w:rPr>
            </w:pPr>
            <w:r>
              <w:rPr>
                <w:rFonts w:ascii="Arial" w:cs="Arial" w:eastAsia="Arial" w:hAnsi="Arial"/>
                <w:sz w:val="18"/>
                <w:szCs w:val="18"/>
                <w:b w:val="1"/>
                <w:bCs w:val="1"/>
                <w:color w:val="auto"/>
                <w:w w:val="87"/>
              </w:rPr>
              <w:t>1285 Avenue of the Americas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4"/>
          </w:tcPr>
          <w:p>
            <w:pPr>
              <w:jc w:val="center"/>
              <w:ind w:left="320"/>
              <w:spacing w:after="0"/>
              <w:rPr>
                <w:sz w:val="20"/>
                <w:szCs w:val="20"/>
                <w:color w:val="auto"/>
              </w:rPr>
            </w:pPr>
            <w:r>
              <w:rPr>
                <w:rFonts w:ascii="Arial" w:cs="Arial" w:eastAsia="Arial" w:hAnsi="Arial"/>
                <w:sz w:val="18"/>
                <w:szCs w:val="18"/>
                <w:b w:val="1"/>
                <w:bCs w:val="1"/>
                <w:color w:val="auto"/>
                <w:w w:val="88"/>
              </w:rPr>
              <w:t>ExlService Holdings, Inc.</w:t>
            </w: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jc w:val="center"/>
              <w:ind w:left="397"/>
              <w:spacing w:after="0"/>
              <w:rPr>
                <w:sz w:val="20"/>
                <w:szCs w:val="20"/>
                <w:color w:val="auto"/>
              </w:rPr>
            </w:pPr>
            <w:r>
              <w:rPr>
                <w:rFonts w:ascii="Arial" w:cs="Arial" w:eastAsia="Arial" w:hAnsi="Arial"/>
                <w:sz w:val="18"/>
                <w:szCs w:val="18"/>
                <w:b w:val="1"/>
                <w:bCs w:val="1"/>
                <w:color w:val="auto"/>
                <w:w w:val="88"/>
              </w:rPr>
              <w:t>New York, New York 10019–6064</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4"/>
          </w:tcPr>
          <w:p>
            <w:pPr>
              <w:jc w:val="center"/>
              <w:ind w:left="300"/>
              <w:spacing w:after="0"/>
              <w:rPr>
                <w:sz w:val="20"/>
                <w:szCs w:val="20"/>
                <w:color w:val="auto"/>
              </w:rPr>
            </w:pPr>
            <w:r>
              <w:rPr>
                <w:rFonts w:ascii="Arial" w:cs="Arial" w:eastAsia="Arial" w:hAnsi="Arial"/>
                <w:sz w:val="18"/>
                <w:szCs w:val="18"/>
                <w:b w:val="1"/>
                <w:bCs w:val="1"/>
                <w:color w:val="auto"/>
                <w:w w:val="88"/>
              </w:rPr>
              <w:t>350 Park Avenue</w:t>
            </w:r>
          </w:p>
        </w:tc>
        <w:tc>
          <w:tcPr>
            <w:tcW w:w="1240" w:type="dxa"/>
            <w:vAlign w:val="bottom"/>
          </w:tcPr>
          <w:p>
            <w:pPr>
              <w:spacing w:after="0"/>
              <w:rPr>
                <w:sz w:val="18"/>
                <w:szCs w:val="18"/>
                <w:color w:val="auto"/>
              </w:rPr>
            </w:pPr>
          </w:p>
        </w:tc>
      </w:tr>
      <w:tr>
        <w:trPr>
          <w:trHeight w:val="216"/>
        </w:trPr>
        <w:tc>
          <w:tcPr>
            <w:tcW w:w="3720" w:type="dxa"/>
            <w:vAlign w:val="bottom"/>
            <w:gridSpan w:val="2"/>
          </w:tcPr>
          <w:p>
            <w:pPr>
              <w:jc w:val="center"/>
              <w:ind w:left="1932"/>
              <w:spacing w:after="0"/>
              <w:rPr>
                <w:sz w:val="20"/>
                <w:szCs w:val="20"/>
                <w:color w:val="auto"/>
              </w:rPr>
            </w:pPr>
            <w:r>
              <w:rPr>
                <w:rFonts w:ascii="Arial" w:cs="Arial" w:eastAsia="Arial" w:hAnsi="Arial"/>
                <w:sz w:val="18"/>
                <w:szCs w:val="18"/>
                <w:b w:val="1"/>
                <w:bCs w:val="1"/>
                <w:color w:val="auto"/>
                <w:w w:val="89"/>
              </w:rPr>
              <w:t>(212) 373-3000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4"/>
          </w:tcPr>
          <w:p>
            <w:pPr>
              <w:jc w:val="center"/>
              <w:ind w:left="320"/>
              <w:spacing w:after="0"/>
              <w:rPr>
                <w:sz w:val="20"/>
                <w:szCs w:val="20"/>
                <w:color w:val="auto"/>
              </w:rPr>
            </w:pPr>
            <w:r>
              <w:rPr>
                <w:rFonts w:ascii="Arial" w:cs="Arial" w:eastAsia="Arial" w:hAnsi="Arial"/>
                <w:sz w:val="18"/>
                <w:szCs w:val="18"/>
                <w:b w:val="1"/>
                <w:bCs w:val="1"/>
                <w:color w:val="auto"/>
                <w:w w:val="89"/>
              </w:rPr>
              <w:t>New York, New York 10022</w:t>
            </w:r>
          </w:p>
        </w:tc>
        <w:tc>
          <w:tcPr>
            <w:tcW w:w="12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40" w:type="dxa"/>
            <w:vAlign w:val="bottom"/>
            <w:gridSpan w:val="2"/>
          </w:tcPr>
          <w:p>
            <w:pPr>
              <w:jc w:val="center"/>
              <w:ind w:right="525"/>
              <w:spacing w:after="0"/>
              <w:rPr>
                <w:sz w:val="20"/>
                <w:szCs w:val="20"/>
                <w:color w:val="auto"/>
              </w:rPr>
            </w:pPr>
            <w:r>
              <w:rPr>
                <w:rFonts w:ascii="Arial" w:cs="Arial" w:eastAsia="Arial" w:hAnsi="Arial"/>
                <w:sz w:val="18"/>
                <w:szCs w:val="18"/>
                <w:b w:val="1"/>
                <w:bCs w:val="1"/>
                <w:color w:val="auto"/>
                <w:w w:val="89"/>
              </w:rPr>
              <w:t>(212) 277-7100</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3700" w:type="dxa"/>
            <w:vAlign w:val="bottom"/>
          </w:tcPr>
          <w:p>
            <w:pPr>
              <w:jc w:val="center"/>
              <w:ind w:right="677"/>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1500" w:type="dxa"/>
            <w:vAlign w:val="bottom"/>
            <w:gridSpan w:val="2"/>
          </w:tcPr>
          <w:p>
            <w:pPr>
              <w:ind w:left="20"/>
              <w:spacing w:after="0" w:line="207" w:lineRule="exact"/>
              <w:rPr>
                <w:sz w:val="20"/>
                <w:szCs w:val="20"/>
                <w:color w:val="auto"/>
              </w:rPr>
            </w:pPr>
            <w:r>
              <w:rPr>
                <w:rFonts w:ascii="Arial" w:cs="Arial" w:eastAsia="Arial" w:hAnsi="Arial"/>
                <w:sz w:val="18"/>
                <w:szCs w:val="18"/>
                <w:color w:val="auto"/>
                <w:w w:val="92"/>
              </w:rPr>
              <w:t xml:space="preserve">Accelerated filer  </w:t>
            </w:r>
            <w:r>
              <w:rPr>
                <w:rFonts w:ascii="MS PGothic" w:cs="MS PGothic" w:eastAsia="MS PGothic" w:hAnsi="MS PGothic"/>
                <w:sz w:val="18"/>
                <w:szCs w:val="18"/>
                <w:color w:val="auto"/>
                <w:w w:val="92"/>
              </w:rPr>
              <w:t>☑</w:t>
            </w:r>
          </w:p>
        </w:tc>
        <w:tc>
          <w:tcPr>
            <w:tcW w:w="2900" w:type="dxa"/>
            <w:vAlign w:val="bottom"/>
            <w:gridSpan w:val="3"/>
          </w:tcPr>
          <w:p>
            <w:pPr>
              <w:ind w:left="7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140" w:type="dxa"/>
            <w:vAlign w:val="bottom"/>
          </w:tcPr>
          <w:p>
            <w:pPr>
              <w:spacing w:after="0"/>
              <w:rPr>
                <w:sz w:val="24"/>
                <w:szCs w:val="24"/>
                <w:color w:val="auto"/>
              </w:rPr>
            </w:pPr>
          </w:p>
        </w:tc>
        <w:tc>
          <w:tcPr>
            <w:tcW w:w="3160" w:type="dxa"/>
            <w:vAlign w:val="bottom"/>
            <w:gridSpan w:val="3"/>
          </w:tcPr>
          <w:p>
            <w:pPr>
              <w:ind w:left="54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60" w:type="dxa"/>
            <w:vAlign w:val="bottom"/>
            <w:gridSpan w:val="6"/>
          </w:tcPr>
          <w:p>
            <w:pPr>
              <w:ind w:left="740"/>
              <w:spacing w:after="0"/>
              <w:rPr>
                <w:sz w:val="20"/>
                <w:szCs w:val="20"/>
                <w:color w:val="auto"/>
              </w:rPr>
            </w:pPr>
            <w:r>
              <w:rPr>
                <w:rFonts w:ascii="Arial" w:cs="Arial" w:eastAsia="Arial" w:hAnsi="Arial"/>
                <w:sz w:val="18"/>
                <w:szCs w:val="18"/>
                <w:color w:val="auto"/>
              </w:rPr>
              <w:t>(Do not check if a smaller reporting</w:t>
            </w:r>
          </w:p>
        </w:tc>
        <w:tc>
          <w:tcPr>
            <w:tcW w:w="12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company)</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CALCULATION OF REGISTRATION FEE</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5"/>
              <w:spacing w:after="0" w:line="117" w:lineRule="exact"/>
              <w:rPr>
                <w:sz w:val="20"/>
                <w:szCs w:val="20"/>
                <w:color w:val="auto"/>
              </w:rPr>
            </w:pPr>
            <w:r>
              <w:rPr>
                <w:rFonts w:ascii="Arial" w:cs="Arial" w:eastAsia="Arial" w:hAnsi="Arial"/>
                <w:sz w:val="12"/>
                <w:szCs w:val="12"/>
                <w:b w:val="1"/>
                <w:bCs w:val="1"/>
                <w:color w:val="auto"/>
              </w:rPr>
              <w:t>Proposed Maximum</w:t>
            </w:r>
          </w:p>
        </w:tc>
        <w:tc>
          <w:tcPr>
            <w:tcW w:w="320" w:type="dxa"/>
            <w:vAlign w:val="bottom"/>
          </w:tcPr>
          <w:p>
            <w:pPr>
              <w:spacing w:after="0"/>
              <w:rPr>
                <w:sz w:val="10"/>
                <w:szCs w:val="10"/>
                <w:color w:val="auto"/>
              </w:rPr>
            </w:pPr>
          </w:p>
        </w:tc>
        <w:tc>
          <w:tcPr>
            <w:tcW w:w="1240" w:type="dxa"/>
            <w:vAlign w:val="bottom"/>
          </w:tcPr>
          <w:p>
            <w:pPr>
              <w:jc w:val="center"/>
              <w:ind w:right="149"/>
              <w:spacing w:after="0" w:line="117" w:lineRule="exact"/>
              <w:rPr>
                <w:sz w:val="20"/>
                <w:szCs w:val="20"/>
                <w:color w:val="auto"/>
              </w:rPr>
            </w:pPr>
            <w:r>
              <w:rPr>
                <w:rFonts w:ascii="Arial" w:cs="Arial" w:eastAsia="Arial" w:hAnsi="Arial"/>
                <w:sz w:val="12"/>
                <w:szCs w:val="12"/>
                <w:b w:val="1"/>
                <w:bCs w:val="1"/>
                <w:color w:val="auto"/>
              </w:rPr>
              <w:t>Amount of</w:t>
            </w:r>
          </w:p>
        </w:tc>
      </w:tr>
      <w:tr>
        <w:trPr>
          <w:trHeight w:val="149"/>
        </w:trPr>
        <w:tc>
          <w:tcPr>
            <w:tcW w:w="20" w:type="dxa"/>
            <w:vAlign w:val="bottom"/>
          </w:tcPr>
          <w:p>
            <w:pPr>
              <w:spacing w:after="0"/>
              <w:rPr>
                <w:sz w:val="12"/>
                <w:szCs w:val="12"/>
                <w:color w:val="auto"/>
              </w:rPr>
            </w:pPr>
          </w:p>
        </w:tc>
        <w:tc>
          <w:tcPr>
            <w:tcW w:w="3700" w:type="dxa"/>
            <w:vAlign w:val="bottom"/>
          </w:tcPr>
          <w:p>
            <w:pPr>
              <w:jc w:val="center"/>
              <w:ind w:left="1217"/>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3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40" w:type="dxa"/>
            <w:vAlign w:val="bottom"/>
          </w:tcPr>
          <w:p>
            <w:pPr>
              <w:spacing w:after="0"/>
              <w:rPr>
                <w:sz w:val="12"/>
                <w:szCs w:val="12"/>
                <w:color w:val="auto"/>
              </w:rPr>
            </w:pPr>
          </w:p>
        </w:tc>
        <w:tc>
          <w:tcPr>
            <w:tcW w:w="132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320" w:type="dxa"/>
            <w:vAlign w:val="bottom"/>
          </w:tcPr>
          <w:p>
            <w:pPr>
              <w:spacing w:after="0"/>
              <w:rPr>
                <w:sz w:val="12"/>
                <w:szCs w:val="12"/>
                <w:color w:val="auto"/>
              </w:rPr>
            </w:pPr>
          </w:p>
        </w:tc>
        <w:tc>
          <w:tcPr>
            <w:tcW w:w="1240" w:type="dxa"/>
            <w:vAlign w:val="bottom"/>
          </w:tcPr>
          <w:p>
            <w:pPr>
              <w:jc w:val="center"/>
              <w:ind w:right="169"/>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3700" w:type="dxa"/>
            <w:vAlign w:val="bottom"/>
            <w:tcBorders>
              <w:bottom w:val="single" w:sz="8" w:color="auto"/>
            </w:tcBorders>
          </w:tcPr>
          <w:p>
            <w:pPr>
              <w:jc w:val="center"/>
              <w:ind w:left="1217"/>
              <w:spacing w:after="0"/>
              <w:rPr>
                <w:sz w:val="20"/>
                <w:szCs w:val="20"/>
                <w:color w:val="auto"/>
              </w:rPr>
            </w:pPr>
            <w:r>
              <w:rPr>
                <w:rFonts w:ascii="Arial" w:cs="Arial" w:eastAsia="Arial" w:hAnsi="Arial"/>
                <w:sz w:val="14"/>
                <w:szCs w:val="14"/>
                <w:b w:val="1"/>
                <w:bCs w:val="1"/>
                <w:color w:val="auto"/>
                <w:w w:val="84"/>
              </w:rPr>
              <w:t>Securities to be Registered</w:t>
            </w:r>
          </w:p>
        </w:tc>
        <w:tc>
          <w:tcPr>
            <w:tcW w:w="13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Registered(1)</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5"/>
              </w:rPr>
              <w:t>Unit</w:t>
            </w:r>
          </w:p>
        </w:tc>
        <w:tc>
          <w:tcPr>
            <w:tcW w:w="1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2"/>
              </w:rPr>
              <w:t>Fee</w:t>
            </w:r>
          </w:p>
        </w:tc>
      </w:tr>
      <w:tr>
        <w:trPr>
          <w:trHeight w:val="210"/>
        </w:trPr>
        <w:tc>
          <w:tcPr>
            <w:tcW w:w="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center"/>
              <w:ind w:right="617"/>
              <w:spacing w:after="0"/>
              <w:rPr>
                <w:sz w:val="20"/>
                <w:szCs w:val="20"/>
                <w:color w:val="auto"/>
              </w:rPr>
            </w:pPr>
            <w:r>
              <w:rPr>
                <w:rFonts w:ascii="Arial" w:cs="Arial" w:eastAsia="Arial" w:hAnsi="Arial"/>
                <w:sz w:val="18"/>
                <w:szCs w:val="18"/>
                <w:color w:val="auto"/>
                <w:w w:val="86"/>
              </w:rPr>
              <w:t>Common stock, par value $0.001 per share</w:t>
            </w:r>
          </w:p>
        </w:tc>
        <w:tc>
          <w:tcPr>
            <w:tcW w:w="13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ind w:right="18"/>
              <w:spacing w:after="0"/>
              <w:rPr>
                <w:sz w:val="20"/>
                <w:szCs w:val="20"/>
                <w:color w:val="auto"/>
              </w:rPr>
            </w:pPr>
            <w:r>
              <w:rPr>
                <w:rFonts w:ascii="Arial" w:cs="Arial" w:eastAsia="Arial" w:hAnsi="Arial"/>
                <w:sz w:val="18"/>
                <w:szCs w:val="18"/>
                <w:color w:val="auto"/>
                <w:w w:val="84"/>
              </w:rPr>
              <w:t>4,000,000 shares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$8.14(2)</w:t>
            </w: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8"/>
              </w:rPr>
              <w:t>$32,560,000(2)</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69"/>
              <w:spacing w:after="0"/>
              <w:rPr>
                <w:sz w:val="20"/>
                <w:szCs w:val="20"/>
                <w:color w:val="auto"/>
              </w:rPr>
            </w:pPr>
            <w:r>
              <w:rPr>
                <w:rFonts w:ascii="Arial" w:cs="Arial" w:eastAsia="Arial" w:hAnsi="Arial"/>
                <w:sz w:val="18"/>
                <w:szCs w:val="18"/>
                <w:color w:val="auto"/>
                <w:w w:val="87"/>
              </w:rPr>
              <w:t>$1,280</w:t>
            </w: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460" w:right="7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be deemed to cover any additional securities to be offered or issued from stock splits, stock dividends or similar transactions.</w:t>
      </w:r>
    </w:p>
    <w:p>
      <w:pPr>
        <w:spacing w:after="0" w:line="50"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457(c) and (h) under the Securities Act, the proposed maximum offering price per share was determined based on the average of the high and low prices of ExlService Holdings, Inc.’s common stock reported by the Nasdaq Global Select Market on January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8, 2006, ExlService Holdings, Inc. (the “Company”) filed with the Securities and Exchange Commission a Registration Statement on Form S-8 (File No. 333-139211) (the “Prior Registration Statement”) relating to 4,327,398 shares of the Company’s common stock, par value $0.001 per share (the “Common Stock”), to be issued under ExlService Holdings, Inc. 2003 India Employee Stock Option Plan, the ExlService Holdings, Inc. 2003 Stock Option Plan, the ExlService Holdings, Inc. 2006 Omnibus Award Plan (the “2006 Plan”), the ExlService Holdings, Inc. 2006 Omnibus India Sub Plan 1 and the ExlService Holdings, Inc. 2006 Omnibus India Sub Plan 2, which we refer to as the 2006 India Sub Plan 2. The contents of the Prior Registration Statement are incorporated by reference into this Registration Statement.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Registration Statement relates to an additional 4,000,000 shares of Common Stock available for issuance under the 2006 Plan.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document(s) containing the information specified in Part I of Form S-8 will be sent or given to participants in the Plans as specified by Rule 428(b)(1) under the Securities Act. Such documents are not being filed with the Securities and Exchange Commission, but constitute, along with the documents incorporated by reference into this Registration Statement, a prospectus that meets the requirements of Section 10(a) of the Securities Act.</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COMPANY INFORMATION AND EMPLOYEE PLAN ANNUAL INFORMATION.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furnish without charge to each person to whom the prospectus is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Those documents are incorporated by reference in the Section 10(a) prospectus. Requests should be directed to ExlService Holdings, Inc., 350 Park Avenue, New York, New York 10022, Attention: General Counsel; Telephone number (212) 277-7100.</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tcPr>
          <w:p>
            <w:pPr>
              <w:ind w:left="4880"/>
              <w:spacing w:after="0"/>
              <w:rPr>
                <w:sz w:val="20"/>
                <w:szCs w:val="20"/>
                <w:color w:val="auto"/>
              </w:rPr>
            </w:pPr>
            <w:r>
              <w:rPr>
                <w:rFonts w:ascii="Arial" w:cs="Arial" w:eastAsia="Arial" w:hAnsi="Arial"/>
                <w:sz w:val="18"/>
                <w:szCs w:val="18"/>
                <w:b w:val="1"/>
                <w:bCs w:val="1"/>
                <w:color w:val="auto"/>
              </w:rPr>
              <w:t>PART II</w:t>
            </w:r>
          </w:p>
        </w:tc>
      </w:tr>
      <w:tr>
        <w:trPr>
          <w:trHeight w:val="378"/>
        </w:trPr>
        <w:tc>
          <w:tcPr>
            <w:tcW w:w="520" w:type="dxa"/>
            <w:vAlign w:val="bottom"/>
          </w:tcPr>
          <w:p>
            <w:pPr>
              <w:spacing w:after="0"/>
              <w:rPr>
                <w:sz w:val="24"/>
                <w:szCs w:val="24"/>
                <w:color w:val="auto"/>
              </w:rPr>
            </w:pPr>
          </w:p>
        </w:tc>
        <w:tc>
          <w:tcPr>
            <w:tcW w:w="10880" w:type="dxa"/>
            <w:vAlign w:val="bottom"/>
          </w:tcPr>
          <w:p>
            <w:pPr>
              <w:ind w:left="2460"/>
              <w:spacing w:after="0"/>
              <w:rPr>
                <w:sz w:val="20"/>
                <w:szCs w:val="20"/>
                <w:color w:val="auto"/>
              </w:rPr>
            </w:pPr>
            <w:r>
              <w:rPr>
                <w:rFonts w:ascii="Arial" w:cs="Arial" w:eastAsia="Arial" w:hAnsi="Arial"/>
                <w:sz w:val="18"/>
                <w:szCs w:val="18"/>
                <w:b w:val="1"/>
                <w:bCs w:val="1"/>
                <w:color w:val="auto"/>
              </w:rPr>
              <w:t>INFORMATION REQUIRED IN THE REGISTRATION STATEMENT</w:t>
            </w:r>
          </w:p>
        </w:tc>
      </w:tr>
      <w:tr>
        <w:trPr>
          <w:trHeight w:val="500"/>
        </w:trPr>
        <w:tc>
          <w:tcPr>
            <w:tcW w:w="52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Item 8.</w:t>
            </w:r>
          </w:p>
        </w:tc>
        <w:tc>
          <w:tcPr>
            <w:tcW w:w="1088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Exhibits</w:t>
            </w:r>
          </w:p>
        </w:tc>
      </w:tr>
      <w:tr>
        <w:trPr>
          <w:trHeight w:val="353"/>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880" w:type="dxa"/>
            <w:vAlign w:val="bottom"/>
          </w:tcPr>
          <w:p>
            <w:pPr>
              <w:spacing w:after="0"/>
              <w:rPr>
                <w:sz w:val="24"/>
                <w:szCs w:val="24"/>
                <w:color w:val="auto"/>
              </w:rPr>
            </w:pPr>
          </w:p>
        </w:tc>
      </w:tr>
      <w:tr>
        <w:trPr>
          <w:trHeight w:val="309"/>
        </w:trPr>
        <w:tc>
          <w:tcPr>
            <w:tcW w:w="52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0880" w:type="dxa"/>
            <w:vAlign w:val="bottom"/>
          </w:tcPr>
          <w:p>
            <w:pPr>
              <w:ind w:left="560"/>
              <w:spacing w:after="0"/>
              <w:rPr>
                <w:sz w:val="20"/>
                <w:szCs w:val="20"/>
                <w:color w:val="auto"/>
              </w:rPr>
            </w:pPr>
            <w:r>
              <w:rPr>
                <w:rFonts w:ascii="Arial" w:cs="Arial" w:eastAsia="Arial" w:hAnsi="Arial"/>
                <w:sz w:val="18"/>
                <w:szCs w:val="18"/>
                <w:color w:val="auto"/>
                <w:w w:val="89"/>
              </w:rPr>
              <w:t>Amended and Restated Certificate of Incorporation of ExlService Holdings, Inc. (incorporated by reference from Exhibit 3.1 to our Current Report</w:t>
            </w:r>
          </w:p>
        </w:tc>
      </w:tr>
      <w:tr>
        <w:trPr>
          <w:trHeight w:val="222"/>
        </w:trPr>
        <w:tc>
          <w:tcPr>
            <w:tcW w:w="520" w:type="dxa"/>
            <w:vAlign w:val="bottom"/>
          </w:tcPr>
          <w:p>
            <w:pPr>
              <w:spacing w:after="0"/>
              <w:rPr>
                <w:sz w:val="19"/>
                <w:szCs w:val="19"/>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on Form 8-K filed on October 25, 2006).</w:t>
            </w:r>
          </w:p>
        </w:tc>
      </w:tr>
      <w:tr>
        <w:trPr>
          <w:trHeight w:val="318"/>
        </w:trPr>
        <w:tc>
          <w:tcPr>
            <w:tcW w:w="52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10880" w:type="dxa"/>
            <w:vAlign w:val="bottom"/>
          </w:tcPr>
          <w:p>
            <w:pPr>
              <w:ind w:left="560"/>
              <w:spacing w:after="0"/>
              <w:rPr>
                <w:sz w:val="20"/>
                <w:szCs w:val="20"/>
                <w:color w:val="auto"/>
              </w:rPr>
            </w:pPr>
            <w:r>
              <w:rPr>
                <w:rFonts w:ascii="Arial" w:cs="Arial" w:eastAsia="Arial" w:hAnsi="Arial"/>
                <w:sz w:val="18"/>
                <w:szCs w:val="18"/>
                <w:color w:val="auto"/>
                <w:w w:val="90"/>
              </w:rPr>
              <w:t>Second Amended and Restated By-laws of ExlService Holdings, Inc. (incorporated by reference from Exhibit 3.1 to our Current Report on Form</w:t>
            </w:r>
          </w:p>
        </w:tc>
      </w:tr>
      <w:tr>
        <w:trPr>
          <w:trHeight w:val="222"/>
        </w:trPr>
        <w:tc>
          <w:tcPr>
            <w:tcW w:w="520" w:type="dxa"/>
            <w:vAlign w:val="bottom"/>
          </w:tcPr>
          <w:p>
            <w:pPr>
              <w:spacing w:after="0"/>
              <w:rPr>
                <w:sz w:val="19"/>
                <w:szCs w:val="19"/>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8-K filed on April 30, 2008).</w:t>
            </w:r>
          </w:p>
        </w:tc>
      </w:tr>
      <w:tr>
        <w:trPr>
          <w:trHeight w:val="318"/>
        </w:trPr>
        <w:tc>
          <w:tcPr>
            <w:tcW w:w="52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10880" w:type="dxa"/>
            <w:vAlign w:val="bottom"/>
          </w:tcPr>
          <w:p>
            <w:pPr>
              <w:ind w:left="560"/>
              <w:spacing w:after="0"/>
              <w:rPr>
                <w:sz w:val="20"/>
                <w:szCs w:val="20"/>
                <w:color w:val="auto"/>
              </w:rPr>
            </w:pPr>
            <w:r>
              <w:rPr>
                <w:rFonts w:ascii="Arial" w:cs="Arial" w:eastAsia="Arial" w:hAnsi="Arial"/>
                <w:sz w:val="18"/>
                <w:szCs w:val="18"/>
                <w:color w:val="auto"/>
                <w:w w:val="90"/>
              </w:rPr>
              <w:t>ExlService Holdings, Inc. 2006 Omnibus Plan (incorporated by reference to Exhibit 10.20 of Amendment No. 6 to our Registration Statement on</w:t>
            </w:r>
          </w:p>
        </w:tc>
      </w:tr>
      <w:tr>
        <w:trPr>
          <w:trHeight w:val="222"/>
        </w:trPr>
        <w:tc>
          <w:tcPr>
            <w:tcW w:w="520" w:type="dxa"/>
            <w:vAlign w:val="bottom"/>
          </w:tcPr>
          <w:p>
            <w:pPr>
              <w:spacing w:after="0"/>
              <w:rPr>
                <w:sz w:val="19"/>
                <w:szCs w:val="19"/>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Form S-1 (No. 333-121001)).</w:t>
            </w:r>
          </w:p>
        </w:tc>
      </w:tr>
      <w:tr>
        <w:trPr>
          <w:trHeight w:val="318"/>
        </w:trPr>
        <w:tc>
          <w:tcPr>
            <w:tcW w:w="520" w:type="dxa"/>
            <w:vAlign w:val="bottom"/>
          </w:tcPr>
          <w:p>
            <w:pPr>
              <w:jc w:val="right"/>
              <w:ind w:right="54"/>
              <w:spacing w:after="0"/>
              <w:rPr>
                <w:sz w:val="20"/>
                <w:szCs w:val="20"/>
                <w:color w:val="auto"/>
              </w:rPr>
            </w:pPr>
            <w:r>
              <w:rPr>
                <w:rFonts w:ascii="Arial" w:cs="Arial" w:eastAsia="Arial" w:hAnsi="Arial"/>
                <w:sz w:val="18"/>
                <w:szCs w:val="18"/>
                <w:color w:val="auto"/>
              </w:rPr>
              <w:t>4.4</w:t>
            </w:r>
          </w:p>
        </w:tc>
        <w:tc>
          <w:tcPr>
            <w:tcW w:w="10880" w:type="dxa"/>
            <w:vAlign w:val="bottom"/>
          </w:tcPr>
          <w:p>
            <w:pPr>
              <w:ind w:left="560"/>
              <w:spacing w:after="0"/>
              <w:rPr>
                <w:sz w:val="20"/>
                <w:szCs w:val="20"/>
                <w:color w:val="auto"/>
              </w:rPr>
            </w:pPr>
            <w:r>
              <w:rPr>
                <w:rFonts w:ascii="Arial" w:cs="Arial" w:eastAsia="Arial" w:hAnsi="Arial"/>
                <w:sz w:val="18"/>
                <w:szCs w:val="18"/>
                <w:color w:val="auto"/>
                <w:w w:val="89"/>
              </w:rPr>
              <w:t>Amendment to ExlService Holdings, Inc. 2006 Omnibus Plan (incorporated by reference to Exhibit 10.43 of Amendment No. 6 to our Registration</w:t>
            </w:r>
          </w:p>
        </w:tc>
      </w:tr>
      <w:tr>
        <w:trPr>
          <w:trHeight w:val="222"/>
        </w:trPr>
        <w:tc>
          <w:tcPr>
            <w:tcW w:w="520" w:type="dxa"/>
            <w:vAlign w:val="bottom"/>
          </w:tcPr>
          <w:p>
            <w:pPr>
              <w:spacing w:after="0"/>
              <w:rPr>
                <w:sz w:val="19"/>
                <w:szCs w:val="19"/>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Statement on Form S-1 (No. 333-121001)).</w:t>
            </w:r>
          </w:p>
        </w:tc>
      </w:tr>
      <w:tr>
        <w:trPr>
          <w:trHeight w:val="318"/>
        </w:trPr>
        <w:tc>
          <w:tcPr>
            <w:tcW w:w="52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10880" w:type="dxa"/>
            <w:vAlign w:val="bottom"/>
          </w:tcPr>
          <w:p>
            <w:pPr>
              <w:ind w:left="560"/>
              <w:spacing w:after="0"/>
              <w:rPr>
                <w:sz w:val="20"/>
                <w:szCs w:val="20"/>
                <w:color w:val="auto"/>
              </w:rPr>
            </w:pPr>
            <w:r>
              <w:rPr>
                <w:rFonts w:ascii="Arial" w:cs="Arial" w:eastAsia="Arial" w:hAnsi="Arial"/>
                <w:sz w:val="18"/>
                <w:szCs w:val="18"/>
                <w:color w:val="auto"/>
                <w:w w:val="96"/>
              </w:rPr>
              <w:t>Amendment No. 2 to ExlService Holdings, Inc. 2006 Omnibus Plan (Incorporated by reference to Exhibit 10.46 of Amendment 6 to our</w:t>
            </w:r>
          </w:p>
        </w:tc>
      </w:tr>
      <w:tr>
        <w:trPr>
          <w:trHeight w:val="222"/>
        </w:trPr>
        <w:tc>
          <w:tcPr>
            <w:tcW w:w="520" w:type="dxa"/>
            <w:vAlign w:val="bottom"/>
          </w:tcPr>
          <w:p>
            <w:pPr>
              <w:spacing w:after="0"/>
              <w:rPr>
                <w:sz w:val="19"/>
                <w:szCs w:val="19"/>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Registration Statement on Form S-1 (No. 333-121001)).</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880" w:type="dxa"/>
            <w:vAlign w:val="bottom"/>
          </w:tcPr>
          <w:p>
            <w:pPr>
              <w:ind w:left="560"/>
              <w:spacing w:after="0"/>
              <w:rPr>
                <w:sz w:val="20"/>
                <w:szCs w:val="20"/>
                <w:color w:val="auto"/>
              </w:rPr>
            </w:pPr>
            <w:r>
              <w:rPr>
                <w:rFonts w:ascii="Arial" w:cs="Arial" w:eastAsia="Arial" w:hAnsi="Arial"/>
                <w:sz w:val="18"/>
                <w:szCs w:val="18"/>
                <w:color w:val="auto"/>
              </w:rPr>
              <w:t>Amendment No. 3 to ExlService Holdings, Inc. 2006 Omnibus Plan.</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880" w:type="dxa"/>
            <w:vAlign w:val="bottom"/>
          </w:tcPr>
          <w:p>
            <w:pPr>
              <w:ind w:left="560"/>
              <w:spacing w:after="0"/>
              <w:rPr>
                <w:sz w:val="20"/>
                <w:szCs w:val="20"/>
                <w:color w:val="auto"/>
              </w:rPr>
            </w:pPr>
            <w:r>
              <w:rPr>
                <w:rFonts w:ascii="Arial" w:cs="Arial" w:eastAsia="Arial" w:hAnsi="Arial"/>
                <w:sz w:val="18"/>
                <w:szCs w:val="18"/>
                <w:color w:val="auto"/>
              </w:rPr>
              <w:t>Opinion of Paul, Weiss, Rifkind, Wharton &amp; Garrison LLP regarding the legality of the common stock.</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0880" w:type="dxa"/>
            <w:vAlign w:val="bottom"/>
          </w:tcPr>
          <w:p>
            <w:pPr>
              <w:ind w:left="56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10880" w:type="dxa"/>
            <w:vAlign w:val="bottom"/>
          </w:tcPr>
          <w:p>
            <w:pPr>
              <w:ind w:left="560"/>
              <w:spacing w:after="0"/>
              <w:rPr>
                <w:sz w:val="20"/>
                <w:szCs w:val="20"/>
                <w:color w:val="auto"/>
              </w:rPr>
            </w:pPr>
            <w:r>
              <w:rPr>
                <w:rFonts w:ascii="Arial" w:cs="Arial" w:eastAsia="Arial" w:hAnsi="Arial"/>
                <w:sz w:val="18"/>
                <w:szCs w:val="18"/>
                <w:color w:val="auto"/>
              </w:rPr>
              <w:t>Consent of Paul, Weiss, Rifkind, Wharton &amp; Garrison LLP (included in Exhibit 5.1).</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10880" w:type="dxa"/>
            <w:vAlign w:val="bottom"/>
          </w:tcPr>
          <w:p>
            <w:pPr>
              <w:ind w:left="560"/>
              <w:spacing w:after="0"/>
              <w:rPr>
                <w:sz w:val="20"/>
                <w:szCs w:val="20"/>
                <w:color w:val="auto"/>
              </w:rPr>
            </w:pPr>
            <w:r>
              <w:rPr>
                <w:rFonts w:ascii="Arial" w:cs="Arial" w:eastAsia="Arial" w:hAnsi="Arial"/>
                <w:sz w:val="18"/>
                <w:szCs w:val="18"/>
                <w:color w:val="auto"/>
              </w:rPr>
              <w:t>Power of Attorney (included on signature pages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ExlService Holdings, Inc. certifies that it has reasonable grounds to believe that it meets all of the requirements for filing on Form S-8 and has duly caused this registration statement to be signed on its behalf by the undersigned, thereunto duly authorized, in the City of New York, State of New York, on February 2,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Matthew Appel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each of Vikram Talwar, Rohit Kapoor and Amit Shashank, acting singly,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on February 2, 2009, by the following persons in the capacities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3800" w:type="dxa"/>
            <w:vAlign w:val="bottom"/>
            <w:gridSpan w:val="2"/>
          </w:tcPr>
          <w:p>
            <w:pPr>
              <w:ind w:left="3520"/>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1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424"/>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Rohit Kapoor</w:t>
            </w: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w w:val="98"/>
              </w:rPr>
              <w:t>President, Chief Executive Officer and Director</w:t>
            </w:r>
          </w:p>
        </w:tc>
      </w:tr>
      <w:tr>
        <w:trPr>
          <w:trHeight w:val="218"/>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1"/>
              </w:rPr>
              <w:t>Rohit Kapoor</w:t>
            </w: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24"/>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Matthew Appel</w:t>
            </w: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w w:val="99"/>
              </w:rPr>
              <w:t>Chief Financial Officer (Principal Financial and</w:t>
            </w:r>
          </w:p>
        </w:tc>
      </w:tr>
      <w:tr>
        <w:trPr>
          <w:trHeight w:val="218"/>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2"/>
              </w:rPr>
              <w:t>Matthew Appel</w:t>
            </w: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Accounting Officer)</w:t>
            </w:r>
          </w:p>
        </w:tc>
      </w:tr>
      <w:tr>
        <w:trPr>
          <w:trHeight w:val="356"/>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20" w:type="dxa"/>
            <w:vAlign w:val="bottom"/>
          </w:tcPr>
          <w:p>
            <w:pPr>
              <w:ind w:left="14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Title</w:t>
            </w:r>
          </w:p>
        </w:tc>
      </w:tr>
      <w:tr>
        <w:trPr>
          <w:trHeight w:val="425"/>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Vikram Talwar</w:t>
            </w:r>
          </w:p>
        </w:tc>
        <w:tc>
          <w:tcPr>
            <w:tcW w:w="4000" w:type="dxa"/>
            <w:vAlign w:val="bottom"/>
            <w:gridSpan w:val="2"/>
          </w:tcPr>
          <w:p>
            <w:pPr>
              <w:ind w:left="560"/>
              <w:spacing w:after="0"/>
              <w:rPr>
                <w:sz w:val="20"/>
                <w:szCs w:val="20"/>
                <w:color w:val="auto"/>
              </w:rPr>
            </w:pPr>
            <w:r>
              <w:rPr>
                <w:rFonts w:ascii="Arial" w:cs="Arial" w:eastAsia="Arial" w:hAnsi="Arial"/>
                <w:sz w:val="18"/>
                <w:szCs w:val="18"/>
                <w:color w:val="auto"/>
              </w:rPr>
              <w:t>Executive Chairman</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0"/>
              </w:rPr>
              <w:t>Vikram Talwar</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Steven B. Gruber</w:t>
            </w:r>
          </w:p>
        </w:tc>
        <w:tc>
          <w:tcPr>
            <w:tcW w:w="40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9"/>
              </w:rPr>
              <w:t>Steven B. Gruber</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Edward V. Dardani</w:t>
            </w:r>
          </w:p>
        </w:tc>
        <w:tc>
          <w:tcPr>
            <w:tcW w:w="40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0"/>
              </w:rPr>
              <w:t>Edward V. Dardani</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Kiran Karnik</w:t>
            </w:r>
          </w:p>
        </w:tc>
        <w:tc>
          <w:tcPr>
            <w:tcW w:w="40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3"/>
              </w:rPr>
              <w:t>Kiran Karnik</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B. Kelso</w:t>
            </w:r>
          </w:p>
        </w:tc>
        <w:tc>
          <w:tcPr>
            <w:tcW w:w="40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1"/>
              </w:rPr>
              <w:t>David B. Kelso</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Clyde W. Ostler</w:t>
            </w:r>
          </w:p>
        </w:tc>
        <w:tc>
          <w:tcPr>
            <w:tcW w:w="40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8"/>
              </w:rPr>
              <w:t>Clyde W. Ostler</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Mohanbir Sawhney</w:t>
            </w:r>
          </w:p>
        </w:tc>
        <w:tc>
          <w:tcPr>
            <w:tcW w:w="40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9"/>
              </w:rPr>
              <w:t>Dr. Mohanbir Sawhney</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Garen K. Staglin</w:t>
            </w:r>
          </w:p>
        </w:tc>
        <w:tc>
          <w:tcPr>
            <w:tcW w:w="40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0"/>
              </w:rPr>
              <w:t>Garen K. Staglin</w:t>
            </w: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70"/>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740" w:type="dxa"/>
            <w:vAlign w:val="bottom"/>
          </w:tcPr>
          <w:p>
            <w:pPr>
              <w:ind w:left="14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r>
    </w:tbl>
    <w:p>
      <w:pPr>
        <w:sectPr>
          <w:pgSz w:w="11900" w:h="16838" w:orient="portrait"/>
          <w:cols w:equalWidth="0" w:num="1">
            <w:col w:w="10219"/>
          </w:cols>
          <w:pgMar w:left="240" w:top="275" w:right="1440"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EXHIBITS</w:t>
      </w:r>
    </w:p>
    <w:p>
      <w:pPr>
        <w:spacing w:after="0" w:line="326" w:lineRule="exact"/>
        <w:rPr>
          <w:sz w:val="20"/>
          <w:szCs w:val="20"/>
          <w:color w:val="auto"/>
        </w:rPr>
      </w:pPr>
    </w:p>
    <w:p>
      <w:pPr>
        <w:ind w:left="840" w:hanging="744"/>
        <w:spacing w:after="0" w:line="268" w:lineRule="auto"/>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Certificate of Incorporation of ExlService Holdings, Inc. (incorporated by reference from Exhibit 3.1 to our Current Report on Form 8-K filed on October 25, 2006).</w:t>
      </w:r>
    </w:p>
    <w:p>
      <w:pPr>
        <w:spacing w:after="0" w:line="78" w:lineRule="exact"/>
        <w:rPr>
          <w:sz w:val="20"/>
          <w:szCs w:val="20"/>
          <w:color w:val="auto"/>
        </w:rPr>
      </w:pPr>
    </w:p>
    <w:p>
      <w:pPr>
        <w:ind w:left="840" w:right="60" w:hanging="744"/>
        <w:spacing w:after="0" w:line="268" w:lineRule="auto"/>
        <w:tabs>
          <w:tab w:leader="none" w:pos="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Second Amended and Restated By-laws of ExlService Holdings, Inc. (incorporated by reference from Exhibit 3.1 to our Current Report on Form 8-K filed on April 30, 2008).</w:t>
      </w:r>
    </w:p>
    <w:p>
      <w:pPr>
        <w:spacing w:after="0" w:line="78" w:lineRule="exact"/>
        <w:rPr>
          <w:sz w:val="20"/>
          <w:szCs w:val="20"/>
          <w:color w:val="auto"/>
        </w:rPr>
      </w:pPr>
    </w:p>
    <w:p>
      <w:pPr>
        <w:ind w:left="840" w:right="360" w:hanging="744"/>
        <w:spacing w:after="0" w:line="268" w:lineRule="auto"/>
        <w:tabs>
          <w:tab w:leader="none" w:pos="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ExlService Holdings, Inc. 2006 Omnibus Plan (incorporated by reference to Exhibit 10.20 of Amendment No. 6 to our Registration Statement on Form S-1 (No. 333-121001)).</w:t>
      </w:r>
    </w:p>
    <w:p>
      <w:pPr>
        <w:spacing w:after="0" w:line="78" w:lineRule="exact"/>
        <w:rPr>
          <w:sz w:val="20"/>
          <w:szCs w:val="20"/>
          <w:color w:val="auto"/>
        </w:rPr>
      </w:pPr>
    </w:p>
    <w:p>
      <w:pPr>
        <w:ind w:left="840" w:right="220" w:hanging="744"/>
        <w:spacing w:after="0" w:line="268" w:lineRule="auto"/>
        <w:tabs>
          <w:tab w:leader="none" w:pos="8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Amendment to ExlService Holdings, Inc. 2006 Omnibus Plan (incorporated by reference to Exhibit 10.43 of Amendment No. 6 to our Registration Statement on Form S-1 (No. 333-121001)).</w:t>
      </w:r>
    </w:p>
    <w:p>
      <w:pPr>
        <w:spacing w:after="0" w:line="78" w:lineRule="exact"/>
        <w:rPr>
          <w:sz w:val="20"/>
          <w:szCs w:val="20"/>
          <w:color w:val="auto"/>
        </w:rPr>
      </w:pPr>
    </w:p>
    <w:p>
      <w:pPr>
        <w:ind w:left="840" w:right="80" w:hanging="744"/>
        <w:spacing w:after="0" w:line="268" w:lineRule="auto"/>
        <w:tabs>
          <w:tab w:leader="none" w:pos="8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Amendment No. 2 to ExlService Holdings, Inc. 2006 Omnibus Plan (Incorporated by reference to Exhibit 10.46 of Amendment 6 to our Registration Statement on Form S-1 (No. 333-121001)).</w:t>
      </w:r>
    </w:p>
    <w:p>
      <w:pPr>
        <w:spacing w:after="0" w:line="78"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Amendment No. 3 to ExlService Holdings, Inc. 2006 Omnibus Plan.</w:t>
      </w:r>
    </w:p>
    <w:p>
      <w:pPr>
        <w:spacing w:after="0" w:line="117"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Paul, Weiss, Rifkind, Wharton &amp; Garrison LLP regarding the legality of the common stock.</w:t>
      </w:r>
    </w:p>
    <w:p>
      <w:pPr>
        <w:spacing w:after="0" w:line="11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Paul, Weiss, Rifkind, Wharton &amp; Garrison LLP (included in Exhibit 5.1).</w:t>
      </w:r>
    </w:p>
    <w:p>
      <w:pPr>
        <w:spacing w:after="0" w:line="11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jc w:val="center"/>
        <w:ind w:right="460"/>
        <w:spacing w:after="0"/>
        <w:rPr>
          <w:sz w:val="20"/>
          <w:szCs w:val="20"/>
          <w:color w:val="auto"/>
        </w:rPr>
      </w:pPr>
      <w:r>
        <w:rPr>
          <w:rFonts w:ascii="Arial" w:cs="Arial" w:eastAsia="Arial" w:hAnsi="Arial"/>
          <w:sz w:val="18"/>
          <w:szCs w:val="18"/>
          <w:b w:val="1"/>
          <w:bCs w:val="1"/>
          <w:color w:val="auto"/>
        </w:rPr>
        <w:t>AMENDMENT NO. 3 TO</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2006 OMNIBUS AWARD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 effective January 29,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 Section 5(a) of the Plan is amended to read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“Subject to Section 13, the aggregate number of shares of Stock in respect of which Awards may be granted under the Plan is 7,729,238 shares;”</w:t>
      </w:r>
    </w:p>
    <w:p>
      <w:pPr>
        <w:spacing w:after="0" w:line="194" w:lineRule="exact"/>
        <w:rPr>
          <w:sz w:val="20"/>
          <w:szCs w:val="20"/>
          <w:color w:val="auto"/>
        </w:rPr>
      </w:pPr>
    </w:p>
    <w:p>
      <w:pPr>
        <w:ind w:right="1320" w:firstLine="4"/>
        <w:spacing w:after="0" w:line="519" w:lineRule="auto"/>
        <w:tabs>
          <w:tab w:leader="none" w:pos="176"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Continuing Effect of Plan</w:t>
      </w:r>
      <w:r>
        <w:rPr>
          <w:rFonts w:ascii="Arial" w:cs="Arial" w:eastAsia="Arial" w:hAnsi="Arial"/>
          <w:sz w:val="16"/>
          <w:szCs w:val="16"/>
          <w:color w:val="auto"/>
        </w:rPr>
        <w:t>. Except as expressly modified hereby, the provisions of the Plan are and shall remain in full force and effect. IN WITNESS HEREOF, the undersigned have acknowledged and executed this amendment to the Plan as of the date set forth above.</w:t>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Amit Shashank</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Amit Shashank</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General Counsel and</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Corporate Secretary</w:t>
            </w:r>
          </w:p>
        </w:tc>
      </w:tr>
    </w:tbl>
    <w:p>
      <w:pPr>
        <w:sectPr>
          <w:pgSz w:w="11900" w:h="16838" w:orient="portrait"/>
          <w:cols w:equalWidth="0" w:num="1">
            <w:col w:w="10960"/>
          </w:cols>
          <w:pgMar w:left="70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w:t>
      </w:r>
    </w:p>
    <w:p>
      <w:pPr>
        <w:spacing w:after="0" w:line="165"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February 2,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connection with the Registration Statement on Form S-8 (the “Registration Statement”) of ExlService Holdings, Inc., a Delaware corporation (the “Company”), filed with the Securities and Exchange Commission (the “Commission”) pursuant to the Securities Act of 1933, as amended (the “Act”), and the rules and regulations thereunder (the “Rules”), you have asked us to furnish our opinion as to the legality of securities being registered under the Registration Statement. The Registration Statement relates to the registration under the Act of 4,000,000 shares of Common Stock, par value $0.001 per share, of the Company (the “Shares”), issuable in respect of awards to be granted under the ExlService Holdings, Inc. 2006 Omnibus Award Plan (as amended to date, the “2006 Plan”).</w:t>
      </w:r>
    </w:p>
    <w:p>
      <w:pPr>
        <w:spacing w:after="0" w:line="10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connection with the furnishing of this opinion, we have examined originals, or copies certified or otherwise identified to our satisfaction, of the following documents (collectively, the “Documents”):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Registration Statement;</w:t>
      </w:r>
    </w:p>
    <w:p>
      <w:pPr>
        <w:sectPr>
          <w:pgSz w:w="11900" w:h="16838" w:orient="portrait"/>
          <w:cols w:equalWidth="0" w:num="1">
            <w:col w:w="11420"/>
          </w:cols>
          <w:pgMar w:left="240" w:top="131" w:right="239" w:bottom="1440" w:gutter="0" w:footer="0" w:header="0"/>
        </w:sectPr>
      </w:pPr>
    </w:p>
    <w:bookmarkStart w:id="8" w:name="page9"/>
    <w:bookmarkEnd w:id="8"/>
    <w:p>
      <w:pPr>
        <w:ind w:right="100" w:firstLine="464"/>
        <w:spacing w:after="0" w:line="268"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2006 Plan and the forms of option agreement and restricted stock award agreement (collectively, the “Agreements”) relating to options to purchase, or other awards to acquire, Shares granted under the 2006 Plan.</w:t>
      </w:r>
    </w:p>
    <w:p>
      <w:pPr>
        <w:spacing w:after="0" w:line="131" w:lineRule="exact"/>
        <w:rPr>
          <w:rFonts w:ascii="Arial" w:cs="Arial" w:eastAsia="Arial" w:hAnsi="Arial"/>
          <w:sz w:val="18"/>
          <w:szCs w:val="18"/>
          <w:color w:val="auto"/>
        </w:rPr>
      </w:pPr>
    </w:p>
    <w:p>
      <w:pPr>
        <w:ind w:right="280" w:firstLine="464"/>
        <w:spacing w:after="0" w:line="268"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Company, included as Exhibit 3.1 to the Company’s Current Report on Form 8-K filed with the Commission on October 25, 2006; and</w:t>
      </w:r>
    </w:p>
    <w:p>
      <w:pPr>
        <w:spacing w:after="0" w:line="131" w:lineRule="exact"/>
        <w:rPr>
          <w:rFonts w:ascii="Arial" w:cs="Arial" w:eastAsia="Arial" w:hAnsi="Arial"/>
          <w:sz w:val="18"/>
          <w:szCs w:val="18"/>
          <w:color w:val="auto"/>
        </w:rPr>
      </w:pPr>
    </w:p>
    <w:p>
      <w:pPr>
        <w:ind w:right="500" w:firstLine="464"/>
        <w:spacing w:after="0" w:line="268"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Second Amended and Restated Bylaws of the Company, included as Exhibit 3.1 to the Company’s Current Report on Form 8-K filed with the Commission on April 30, 2008.</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we have examined such corporate records of the Company that we have considered appropriate and such other certificates, agreements and documents that we deemed relevant and necessary as a basis for the opinions expressed below. We have also relied upon certificates of public officials and officers of the Company.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ectPr>
          <w:pgSz w:w="11900" w:h="16838" w:orient="portrait"/>
          <w:cols w:equalWidth="0" w:num="1">
            <w:col w:w="11360"/>
          </w:cols>
          <w:pgMar w:left="240" w:top="280" w:right="299" w:bottom="1440" w:gutter="0" w:footer="0" w:header="0"/>
        </w:sectPr>
      </w:pPr>
    </w:p>
    <w:bookmarkStart w:id="9" w:name="page10"/>
    <w:bookmarkEnd w:id="9"/>
    <w:p>
      <w:pPr>
        <w:ind w:right="2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the above, and subject to the stated qualifications, we are of the opinion that, when issued in accordance with the terms of the 2006 Plan and any applicable Agreement under the Plans, the Shares will be duly authorized, validly issued, fully paid and non-assessable.</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opinion expressed above is limited to the General Corporation Law of the State of Delaware. Our opinion is rendered only with respect to the laws, and the rules, regulations, orders and applicable judicial and regulatory determinations under those laws, that are currently in effect.</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hereby consent to use of this opinion as an exhibit to the Registration Statement. In giving this consent, we do not thereby admit that we come within the category of persons whose consent is required by the Act or the Rules.</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Paul, Weiss, Rifkind, Wharton &amp; Garrison LLP</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PAUL, WEISS, RIFKIND, WHARTON &amp; GARRISON LLP</w:t>
      </w:r>
    </w:p>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No. 333-00000) pertaining to the 2006 Omnibus Award Plan of ExlService Holdings, Inc. of our reports dated March 14, 2008, with respect to the consolidated financial statements of ExlService Holdings, Inc. included in the Annual Report (Form 10-K) for the year ended December 31, 2007 and the effectiveness of internal control over financial reporting filed with the Securities and Exchange Commission.</w:t>
      </w:r>
    </w:p>
    <w:p>
      <w:pPr>
        <w:spacing w:after="0" w:line="14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30,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50"/>
    </w:lvl>
    <w:lvl w:ilvl="1">
      <w:lvlJc w:val="left"/>
      <w:lvlText w:val="(%2)"/>
      <w:numFmt w:val="decimal"/>
      <w:start w:val="21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2019-12-11T00:06:46Z</dcterms:created>
  <dcterms:modified xsi:type="dcterms:W3CDTF">2019-12-11T00:06:46Z</dcterms:modified>
</cp:coreProperties>
</file>