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10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079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Chhibbar Vishal</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280 PARK AVENUE</w:t>
            </w:r>
          </w:p>
        </w:tc>
        <w:tc>
          <w:tcPr>
            <w:tcW w:w="160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10017</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ExlService Holdings,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EXLS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1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120" w:type="dxa"/>
            <w:vAlign w:val="bottom"/>
            <w:gridSpan w:val="3"/>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180" w:type="dxa"/>
            <w:vAlign w:val="bottom"/>
          </w:tcPr>
          <w:p>
            <w:pPr>
              <w:ind w:left="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2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02/27/2024</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vMerge w:val="restart"/>
          </w:tcPr>
          <w:p>
            <w:pPr>
              <w:ind w:left="740"/>
              <w:spacing w:after="0"/>
              <w:rPr>
                <w:sz w:val="20"/>
                <w:szCs w:val="20"/>
                <w:color w:val="auto"/>
              </w:rPr>
            </w:pPr>
            <w:r>
              <w:rPr>
                <w:rFonts w:ascii="Times New Roman" w:cs="Times New Roman" w:eastAsia="Times New Roman" w:hAnsi="Times New Roman"/>
                <w:sz w:val="17"/>
                <w:szCs w:val="17"/>
                <w:color w:val="0000FF"/>
              </w:rPr>
              <w:t>EVP &amp; CFO</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22,348</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02/27/2024</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22,348</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22,348</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4" w:lineRule="exact"/>
        <w:rPr>
          <w:rFonts w:ascii="Times New Roman" w:cs="Times New Roman" w:eastAsia="Times New Roman" w:hAnsi="Times New Roman"/>
          <w:sz w:val="13"/>
          <w:szCs w:val="13"/>
          <w:color w:val="008000"/>
        </w:rPr>
      </w:pPr>
    </w:p>
    <w:p>
      <w:pPr>
        <w:ind w:left="40" w:right="5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27, 2025. Vesting will be accelerated upon certain termination of employment events and upon a "Change in Control" (as defined in the ExlService Holdings, Inc. 2018 Omnibus Incentive Plan)</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360"/>
        <w:spacing w:after="0" w:line="241" w:lineRule="auto"/>
        <w:rPr>
          <w:sz w:val="20"/>
          <w:szCs w:val="20"/>
          <w:color w:val="auto"/>
        </w:rPr>
      </w:pPr>
      <w:r>
        <w:rPr>
          <w:rFonts w:ascii="Times New Roman" w:cs="Times New Roman" w:eastAsia="Times New Roman" w:hAnsi="Times New Roman"/>
          <w:sz w:val="13"/>
          <w:szCs w:val="13"/>
          <w:color w:val="008000"/>
        </w:rPr>
        <w:t>Note: On February 27, 2024 the reporting person was also granted performance-based restricted stock units that are subject to material conditions beyond the reporting person's control, and, therefore, are not considered derivative securities for purposes of Section 16 of the Securities Exchange Act of 1934, as amended, and are excluded from this report. Mr. Oseni is the Company's Head of Administration and Accounts.</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/s/ Lazbart Oseni, Attorney-in-  </w:t>
      </w:r>
      <w:r>
        <w:rPr>
          <w:rFonts w:ascii="Times New Roman" w:cs="Times New Roman" w:eastAsia="Times New Roman" w:hAnsi="Times New Roman"/>
          <w:sz w:val="32"/>
          <w:szCs w:val="32"/>
          <w:color w:val="0000FF"/>
          <w:vertAlign w:val="subscript"/>
        </w:rPr>
        <w:t>02/29/2024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13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2024-02-29T16:36:34Z</dcterms:created>
  <dcterms:modified xsi:type="dcterms:W3CDTF">2024-02-29T16:36:34Z</dcterms:modified>
</cp:coreProperties>
</file>