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234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344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702"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02/07/2015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EVP &amp; Head of Outsourcing</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702"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702"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0" w:type="dxa"/>
            <w:vAlign w:val="bottom"/>
          </w:tcPr>
          <w:p>
            <w:pPr>
              <w:jc w:val="center"/>
              <w:ind w:left="6"/>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0000FF"/>
                <w:w w:val="91"/>
              </w:rPr>
              <w:t>Common Stock, par value $0.001 per share</w:t>
            </w:r>
          </w:p>
        </w:tc>
        <w:tc>
          <w:tcPr>
            <w:tcW w:w="1200" w:type="dxa"/>
            <w:vAlign w:val="bottom"/>
          </w:tcPr>
          <w:p>
            <w:pPr>
              <w:jc w:val="center"/>
              <w:ind w:left="6"/>
              <w:spacing w:after="0"/>
              <w:rPr>
                <w:sz w:val="20"/>
                <w:szCs w:val="20"/>
                <w:color w:val="auto"/>
              </w:rPr>
            </w:pPr>
            <w:r>
              <w:rPr>
                <w:rFonts w:ascii="Arial" w:cs="Arial" w:eastAsia="Arial" w:hAnsi="Arial"/>
                <w:sz w:val="18"/>
                <w:szCs w:val="18"/>
                <w:color w:val="0000FF"/>
                <w:w w:val="88"/>
              </w:rPr>
              <w:t>02/07/2015</w:t>
            </w:r>
          </w:p>
        </w:tc>
        <w:tc>
          <w:tcPr>
            <w:tcW w:w="114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8"/>
              <w:spacing w:after="0"/>
              <w:rPr>
                <w:sz w:val="20"/>
                <w:szCs w:val="20"/>
                <w:color w:val="auto"/>
              </w:rPr>
            </w:pPr>
            <w:r>
              <w:rPr>
                <w:rFonts w:ascii="Arial" w:cs="Arial" w:eastAsia="Arial" w:hAnsi="Arial"/>
                <w:sz w:val="18"/>
                <w:szCs w:val="18"/>
                <w:color w:val="0000FF"/>
                <w:w w:val="88"/>
              </w:rPr>
              <w:t>1,050</w:t>
            </w:r>
          </w:p>
        </w:tc>
        <w:tc>
          <w:tcPr>
            <w:tcW w:w="560" w:type="dxa"/>
            <w:vAlign w:val="bottom"/>
          </w:tcPr>
          <w:p>
            <w:pPr>
              <w:ind w:left="26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1"/>
                <w:szCs w:val="11"/>
                <w:color w:val="008000"/>
              </w:rPr>
              <w:t>(1)</w:t>
            </w:r>
          </w:p>
        </w:tc>
        <w:tc>
          <w:tcPr>
            <w:tcW w:w="1160" w:type="dxa"/>
            <w:vAlign w:val="bottom"/>
          </w:tcPr>
          <w:p>
            <w:pPr>
              <w:ind w:left="400"/>
              <w:spacing w:after="0"/>
              <w:rPr>
                <w:sz w:val="20"/>
                <w:szCs w:val="20"/>
                <w:color w:val="auto"/>
              </w:rPr>
            </w:pPr>
            <w:r>
              <w:rPr>
                <w:rFonts w:ascii="Arial" w:cs="Arial" w:eastAsia="Arial" w:hAnsi="Arial"/>
                <w:sz w:val="18"/>
                <w:szCs w:val="18"/>
                <w:color w:val="0000FF"/>
              </w:rPr>
              <w:t>1,976</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0000FF"/>
                <w:w w:val="91"/>
              </w:rPr>
              <w:t>Common Stock, par value $0.001 per share</w:t>
            </w:r>
          </w:p>
        </w:tc>
        <w:tc>
          <w:tcPr>
            <w:tcW w:w="1200" w:type="dxa"/>
            <w:vAlign w:val="bottom"/>
          </w:tcPr>
          <w:p>
            <w:pPr>
              <w:jc w:val="center"/>
              <w:ind w:left="6"/>
              <w:spacing w:after="0"/>
              <w:rPr>
                <w:sz w:val="20"/>
                <w:szCs w:val="20"/>
                <w:color w:val="auto"/>
              </w:rPr>
            </w:pPr>
            <w:r>
              <w:rPr>
                <w:rFonts w:ascii="Arial" w:cs="Arial" w:eastAsia="Arial" w:hAnsi="Arial"/>
                <w:sz w:val="18"/>
                <w:szCs w:val="18"/>
                <w:color w:val="0000FF"/>
                <w:w w:val="88"/>
              </w:rPr>
              <w:t>02/07/2015</w:t>
            </w:r>
          </w:p>
        </w:tc>
        <w:tc>
          <w:tcPr>
            <w:tcW w:w="114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4"/>
                <w:szCs w:val="14"/>
                <w:color w:val="0000FF"/>
              </w:rPr>
              <w:t>M</w:t>
            </w:r>
          </w:p>
        </w:tc>
        <w:tc>
          <w:tcPr>
            <w:tcW w:w="760" w:type="dxa"/>
            <w:vAlign w:val="bottom"/>
          </w:tcPr>
          <w:p>
            <w:pPr>
              <w:jc w:val="center"/>
              <w:spacing w:after="0"/>
              <w:rPr>
                <w:sz w:val="20"/>
                <w:szCs w:val="20"/>
                <w:color w:val="auto"/>
              </w:rPr>
            </w:pPr>
            <w:r>
              <w:rPr>
                <w:rFonts w:ascii="Arial" w:cs="Arial" w:eastAsia="Arial" w:hAnsi="Arial"/>
                <w:sz w:val="18"/>
                <w:szCs w:val="18"/>
                <w:color w:val="0000FF"/>
                <w:w w:val="86"/>
              </w:rPr>
              <w:t>361</w:t>
            </w:r>
          </w:p>
        </w:tc>
        <w:tc>
          <w:tcPr>
            <w:tcW w:w="560" w:type="dxa"/>
            <w:vAlign w:val="bottom"/>
          </w:tcPr>
          <w:p>
            <w:pPr>
              <w:ind w:left="260"/>
              <w:spacing w:after="0"/>
              <w:rPr>
                <w:sz w:val="20"/>
                <w:szCs w:val="20"/>
                <w:color w:val="auto"/>
              </w:rPr>
            </w:pPr>
            <w:r>
              <w:rPr>
                <w:rFonts w:ascii="Arial" w:cs="Arial" w:eastAsia="Arial" w:hAnsi="Arial"/>
                <w:sz w:val="18"/>
                <w:szCs w:val="18"/>
                <w:color w:val="0000FF"/>
              </w:rPr>
              <w:t>A</w:t>
            </w:r>
          </w:p>
        </w:tc>
        <w:tc>
          <w:tcPr>
            <w:tcW w:w="700" w:type="dxa"/>
            <w:vAlign w:val="bottom"/>
          </w:tcPr>
          <w:p>
            <w:pPr>
              <w:jc w:val="center"/>
              <w:spacing w:after="0"/>
              <w:rPr>
                <w:sz w:val="20"/>
                <w:szCs w:val="20"/>
                <w:color w:val="auto"/>
              </w:rPr>
            </w:pPr>
            <w:r>
              <w:rPr>
                <w:rFonts w:ascii="Arial" w:cs="Arial" w:eastAsia="Arial" w:hAnsi="Arial"/>
                <w:sz w:val="11"/>
                <w:szCs w:val="11"/>
                <w:color w:val="008000"/>
              </w:rPr>
              <w:t>(1)</w:t>
            </w:r>
          </w:p>
        </w:tc>
        <w:tc>
          <w:tcPr>
            <w:tcW w:w="1160" w:type="dxa"/>
            <w:vAlign w:val="bottom"/>
          </w:tcPr>
          <w:p>
            <w:pPr>
              <w:ind w:left="400"/>
              <w:spacing w:after="0"/>
              <w:rPr>
                <w:sz w:val="20"/>
                <w:szCs w:val="20"/>
                <w:color w:val="auto"/>
              </w:rPr>
            </w:pPr>
            <w:r>
              <w:rPr>
                <w:rFonts w:ascii="Arial" w:cs="Arial" w:eastAsia="Arial" w:hAnsi="Arial"/>
                <w:sz w:val="18"/>
                <w:szCs w:val="18"/>
                <w:color w:val="0000FF"/>
              </w:rPr>
              <w:t>2,337</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1"/>
              </w:rPr>
              <w:t>Common Stock, par value $0.001 per share</w:t>
            </w:r>
          </w:p>
        </w:tc>
        <w:tc>
          <w:tcPr>
            <w:tcW w:w="1200" w:type="dxa"/>
            <w:vAlign w:val="bottom"/>
            <w:tcBorders>
              <w:bottom w:val="single" w:sz="8" w:color="2C2C2C"/>
            </w:tcBorders>
          </w:tcPr>
          <w:p>
            <w:pPr>
              <w:jc w:val="center"/>
              <w:ind w:left="6"/>
              <w:spacing w:after="0"/>
              <w:rPr>
                <w:sz w:val="20"/>
                <w:szCs w:val="20"/>
                <w:color w:val="auto"/>
              </w:rPr>
            </w:pPr>
            <w:r>
              <w:rPr>
                <w:rFonts w:ascii="Arial" w:cs="Arial" w:eastAsia="Arial" w:hAnsi="Arial"/>
                <w:sz w:val="18"/>
                <w:szCs w:val="18"/>
                <w:color w:val="0000FF"/>
                <w:w w:val="88"/>
              </w:rPr>
              <w:t>02/07/2015</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7"/>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480</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31.3</w:t>
            </w:r>
            <w:r>
              <w:rPr>
                <w:rFonts w:ascii="Arial" w:cs="Arial" w:eastAsia="Arial" w:hAnsi="Arial"/>
                <w:sz w:val="22"/>
                <w:szCs w:val="22"/>
                <w:color w:val="008000"/>
                <w:w w:val="85"/>
                <w:vertAlign w:val="superscript"/>
              </w:rPr>
              <w:t>(2)</w:t>
            </w:r>
          </w:p>
        </w:tc>
        <w:tc>
          <w:tcPr>
            <w:tcW w:w="11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1,857</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6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1,050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02/07/2015</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right"/>
              <w:ind w:right="18"/>
              <w:spacing w:after="0" w:line="149" w:lineRule="exact"/>
              <w:rPr>
                <w:sz w:val="20"/>
                <w:szCs w:val="20"/>
                <w:color w:val="auto"/>
              </w:rPr>
            </w:pPr>
            <w:r>
              <w:rPr>
                <w:rFonts w:ascii="Arial" w:cs="Arial" w:eastAsia="Arial" w:hAnsi="Arial"/>
                <w:sz w:val="14"/>
                <w:szCs w:val="14"/>
                <w:color w:val="0000FF"/>
              </w:rPr>
              <w:t>1,050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80" w:type="dxa"/>
            <w:vAlign w:val="bottom"/>
          </w:tcPr>
          <w:p>
            <w:pPr>
              <w:jc w:val="right"/>
              <w:ind w:right="278"/>
              <w:spacing w:after="0" w:line="149" w:lineRule="exact"/>
              <w:rPr>
                <w:sz w:val="20"/>
                <w:szCs w:val="20"/>
                <w:color w:val="auto"/>
              </w:rPr>
            </w:pPr>
            <w:r>
              <w:rPr>
                <w:rFonts w:ascii="Arial" w:cs="Arial" w:eastAsia="Arial" w:hAnsi="Arial"/>
                <w:sz w:val="14"/>
                <w:szCs w:val="14"/>
                <w:color w:val="0000FF"/>
              </w:rPr>
              <w:t>1,400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112"/>
              <w:spacing w:after="0"/>
              <w:rPr>
                <w:sz w:val="20"/>
                <w:szCs w:val="20"/>
                <w:color w:val="auto"/>
              </w:rPr>
            </w:pPr>
            <w:r>
              <w:rPr>
                <w:rFonts w:ascii="Arial" w:cs="Arial" w:eastAsia="Arial" w:hAnsi="Arial"/>
                <w:sz w:val="18"/>
                <w:szCs w:val="18"/>
                <w:color w:val="0000FF"/>
              </w:rPr>
              <w:t>361</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02/07/2015</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right"/>
              <w:ind w:right="58"/>
              <w:spacing w:after="0" w:line="149" w:lineRule="exact"/>
              <w:rPr>
                <w:sz w:val="20"/>
                <w:szCs w:val="20"/>
                <w:color w:val="auto"/>
              </w:rPr>
            </w:pPr>
            <w:r>
              <w:rPr>
                <w:rFonts w:ascii="Arial" w:cs="Arial" w:eastAsia="Arial" w:hAnsi="Arial"/>
                <w:sz w:val="14"/>
                <w:szCs w:val="14"/>
                <w:color w:val="0000FF"/>
              </w:rPr>
              <w:t>361</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80" w:type="dxa"/>
            <w:vAlign w:val="bottom"/>
          </w:tcPr>
          <w:p>
            <w:pPr>
              <w:jc w:val="right"/>
              <w:ind w:right="398"/>
              <w:spacing w:after="0" w:line="149" w:lineRule="exact"/>
              <w:rPr>
                <w:sz w:val="20"/>
                <w:szCs w:val="20"/>
                <w:color w:val="auto"/>
              </w:rPr>
            </w:pPr>
            <w:r>
              <w:rPr>
                <w:rFonts w:ascii="Arial" w:cs="Arial" w:eastAsia="Arial" w:hAnsi="Arial"/>
                <w:sz w:val="14"/>
                <w:szCs w:val="14"/>
                <w:color w:val="0000FF"/>
              </w:rPr>
              <w:t>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7, 2015.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7, 2011, the reporting person was granted 3,500 restricted stock units, vesting in 10%, 20%, 30% and 40% beginning on the first anniversary of the grant date. The remaining balance i/n/o 1,400 shares of restricted stock units will vest on February 7, 2016.</w:t>
      </w:r>
    </w:p>
    <w:p>
      <w:pPr>
        <w:spacing w:after="0" w:line="30" w:lineRule="exact"/>
        <w:rPr>
          <w:rFonts w:ascii="Arial" w:cs="Arial" w:eastAsia="Arial" w:hAnsi="Arial"/>
          <w:sz w:val="14"/>
          <w:szCs w:val="14"/>
          <w:color w:val="008000"/>
        </w:rPr>
      </w:pPr>
    </w:p>
    <w:p>
      <w:pPr>
        <w:jc w:val="both"/>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7, 2012, the reporting person was granted 1,080 restricted stock units, vesting in three annual installments beginning on the first anniversary of the grant date. 359 shares of the restricted stock units became vested on February 7, 2013, an additional 360 shares of the restricted stock units became vested on February 7, 2014, and the remaining balance i/n/o 361 shares of restricted stock units became vested on February 7, 2015.</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02/11/2015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70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2019-12-08T12:02:52Z</dcterms:created>
  <dcterms:modified xsi:type="dcterms:W3CDTF">2019-12-08T12:02:52Z</dcterms:modified>
</cp:coreProperties>
</file>