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Jetley Vivek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01/13/2020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63"/>
        <w:spacing w:after="0"/>
        <w:rPr>
          <w:sz w:val="20"/>
          <w:szCs w:val="20"/>
          <w:color w:val="auto"/>
        </w:rPr>
      </w:pPr>
      <w:r>
        <w:rPr>
          <w:rFonts w:ascii="Arial" w:cs="Arial" w:eastAsia="Arial" w:hAnsi="Arial"/>
          <w:sz w:val="18"/>
          <w:szCs w:val="18"/>
          <w:color w:val="0000FF"/>
        </w:rPr>
        <w:t>EVP and Head of Analytics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8"/>
                <w:szCs w:val="18"/>
                <w:color w:val="0000FF"/>
              </w:rPr>
              <w:t>01/13/2020</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2,000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19.76</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35,633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60" w:type="dxa"/>
            <w:vAlign w:val="bottom"/>
            <w:tcBorders>
              <w:bottom w:val="single" w:sz="8" w:color="2C2C2C"/>
            </w:tcBorders>
            <w:gridSpan w:val="2"/>
          </w:tcPr>
          <w:p>
            <w:pPr>
              <w:jc w:val="right"/>
              <w:ind w:right="120"/>
              <w:spacing w:after="0"/>
              <w:rPr>
                <w:sz w:val="20"/>
                <w:szCs w:val="20"/>
                <w:color w:val="auto"/>
              </w:rPr>
            </w:pPr>
            <w:r>
              <w:rPr>
                <w:rFonts w:ascii="Arial" w:cs="Arial" w:eastAsia="Arial" w:hAnsi="Arial"/>
                <w:sz w:val="18"/>
                <w:szCs w:val="18"/>
                <w:color w:val="0000FF"/>
              </w:rPr>
              <w:t>01/13/2020</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2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(2)</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4"/>
              </w:rPr>
              <w:t>2,000</w:t>
            </w:r>
          </w:p>
        </w:tc>
        <w:tc>
          <w:tcPr>
            <w:tcW w:w="6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71.8</w:t>
            </w: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33,633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jc w:val="center"/>
              <w:ind w:left="83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00" w:type="dxa"/>
            <w:vAlign w:val="bottom"/>
            <w:gridSpan w:val="11"/>
          </w:tcPr>
          <w:p>
            <w:pPr>
              <w:jc w:val="center"/>
              <w:ind w:right="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gridSpan w:val="2"/>
            <w:vMerge w:val="restart"/>
          </w:tcPr>
          <w:p>
            <w:pPr>
              <w:jc w:val="center"/>
              <w:ind w:right="1"/>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2,000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19.76</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01/13/2020</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2,000</w:t>
            </w:r>
          </w:p>
        </w:tc>
        <w:tc>
          <w:tcPr>
            <w:tcW w:w="800" w:type="dxa"/>
            <w:vAlign w:val="bottom"/>
            <w:gridSpan w:val="2"/>
            <w:vMerge w:val="continue"/>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color w:val="0000FF"/>
                <w:w w:val="99"/>
              </w:rPr>
              <w:t>02/03/2021</w:t>
            </w: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80"/>
              <w:spacing w:after="0" w:line="149" w:lineRule="exact"/>
              <w:rPr>
                <w:sz w:val="20"/>
                <w:szCs w:val="20"/>
                <w:color w:val="auto"/>
              </w:rPr>
            </w:pPr>
            <w:r>
              <w:rPr>
                <w:rFonts w:ascii="Arial" w:cs="Arial" w:eastAsia="Arial" w:hAnsi="Arial"/>
                <w:sz w:val="14"/>
                <w:szCs w:val="14"/>
                <w:color w:val="0000FF"/>
                <w:w w:val="91"/>
              </w:rPr>
              <w:t>4,320</w:t>
            </w:r>
          </w:p>
        </w:tc>
        <w:tc>
          <w:tcPr>
            <w:tcW w:w="30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4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13, 2020, the reporting person exercised previously issued options to purchase an aggregate of 2,000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ind w:left="40" w:right="5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3, 2011, the reporting person was granted 8,320 stock options. 10 percent of these options became vested and exercisable on February 3, 2012, an additional 20 percent became vested and exercisable on February 3, 2013, an additional 30 percent became vested and exercisable on February 3, 2014, and the balance of 40 percent became vested and exercisable on February 3, 2015.</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01/15/2020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9812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2020-01-15T16:03:12Z</dcterms:created>
  <dcterms:modified xsi:type="dcterms:W3CDTF">2020-01-15T16:03:12Z</dcterms:modified>
</cp:coreProperties>
</file>