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AYYAPPAN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&amp; Gen Counsel/Corp. Sec'y.</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516</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0"/>
                <w:szCs w:val="20"/>
                <w:color w:val="auto"/>
              </w:rPr>
            </w:pPr>
            <w:r>
              <w:rPr>
                <w:rFonts w:ascii="Arial" w:cs="Arial" w:eastAsia="Arial" w:hAnsi="Arial"/>
                <w:sz w:val="18"/>
                <w:szCs w:val="18"/>
                <w:color w:val="0000FF"/>
              </w:rPr>
              <w:t>516</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277</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78.56</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239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jc w:val="center"/>
              <w:ind w:left="9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516</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02/20/2020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516</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tcPr>
          <w:p>
            <w:pPr>
              <w:ind w:left="380"/>
              <w:spacing w:after="0" w:line="149" w:lineRule="exact"/>
              <w:rPr>
                <w:sz w:val="20"/>
                <w:szCs w:val="20"/>
                <w:color w:val="auto"/>
              </w:rPr>
            </w:pPr>
            <w:r>
              <w:rPr>
                <w:rFonts w:ascii="Arial" w:cs="Arial" w:eastAsia="Arial" w:hAnsi="Arial"/>
                <w:sz w:val="14"/>
                <w:szCs w:val="14"/>
                <w:color w:val="0000FF"/>
              </w:rPr>
              <w:t>1,549</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2,065 restricted stock units, vesting in four annual installments beginning on the first anniversary of the grant date. 25 percent of the restricted stock units became vested on February 20, 2020, an additional twenty-five percent of the restricted stock units will vest on February 20, 2021, an additional twenty-five percent of the restricted stock units will vest on February 20, 2022; and the remaining balance of twenty-five percent of the restricted stock units will vest on February 20, 2023.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2020-02-24T16:46:38Z</dcterms:created>
  <dcterms:modified xsi:type="dcterms:W3CDTF">2020-02-24T16:46:38Z</dcterms:modified>
</cp:coreProperties>
</file>