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7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560705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ind w:right="-57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314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21" w:lineRule="exact"/>
        <w:rPr>
          <w:sz w:val="24"/>
          <w:szCs w:val="24"/>
          <w:color w:val="auto"/>
        </w:rPr>
      </w:pPr>
    </w:p>
    <w:p>
      <w:pPr>
        <w:jc w:val="center"/>
        <w:ind w:right="-579"/>
        <w:spacing w:after="0"/>
        <w:rPr>
          <w:sz w:val="20"/>
          <w:szCs w:val="20"/>
          <w:color w:val="auto"/>
        </w:rPr>
      </w:pPr>
      <w:r>
        <w:rPr>
          <w:rFonts w:ascii="Arial" w:cs="Arial" w:eastAsia="Arial" w:hAnsi="Arial"/>
          <w:sz w:val="29"/>
          <w:szCs w:val="29"/>
          <w:b w:val="1"/>
          <w:bCs w:val="1"/>
          <w:color w:val="auto"/>
        </w:rPr>
        <w:t>FORM 8-K</w:t>
      </w:r>
    </w:p>
    <w:p>
      <w:pPr>
        <w:spacing w:after="0" w:line="6" w:lineRule="exact"/>
        <w:rPr>
          <w:sz w:val="24"/>
          <w:szCs w:val="24"/>
          <w:color w:val="auto"/>
        </w:rPr>
      </w:pPr>
    </w:p>
    <w:p>
      <w:pPr>
        <w:ind w:left="314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257"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CURRENT REPORT</w:t>
      </w:r>
    </w:p>
    <w:p>
      <w:pPr>
        <w:spacing w:after="0" w:line="266" w:lineRule="exact"/>
        <w:rPr>
          <w:sz w:val="24"/>
          <w:szCs w:val="24"/>
          <w:color w:val="auto"/>
        </w:rPr>
      </w:pPr>
    </w:p>
    <w:p>
      <w:pPr>
        <w:ind w:left="2980"/>
        <w:spacing w:after="0"/>
        <w:rPr>
          <w:sz w:val="20"/>
          <w:szCs w:val="20"/>
          <w:color w:val="auto"/>
        </w:rPr>
      </w:pPr>
      <w:r>
        <w:rPr>
          <w:rFonts w:ascii="Arial" w:cs="Arial" w:eastAsia="Arial" w:hAnsi="Arial"/>
          <w:sz w:val="17"/>
          <w:szCs w:val="17"/>
          <w:b w:val="1"/>
          <w:bCs w:val="1"/>
          <w:color w:val="auto"/>
        </w:rPr>
        <w:t>Pursuant to Sections 13 or 15(d) of the Securities Exchange Act of 1934</w:t>
      </w:r>
    </w:p>
    <w:p>
      <w:pPr>
        <w:spacing w:after="0" w:line="65" w:lineRule="exact"/>
        <w:rPr>
          <w:sz w:val="24"/>
          <w:szCs w:val="24"/>
          <w:color w:val="auto"/>
        </w:rPr>
      </w:pPr>
    </w:p>
    <w:p>
      <w:pPr>
        <w:ind w:left="3300"/>
        <w:spacing w:after="0"/>
        <w:rPr>
          <w:sz w:val="20"/>
          <w:szCs w:val="20"/>
          <w:color w:val="auto"/>
        </w:rPr>
      </w:pPr>
      <w:r>
        <w:rPr>
          <w:rFonts w:ascii="Arial" w:cs="Arial" w:eastAsia="Arial" w:hAnsi="Arial"/>
          <w:sz w:val="18"/>
          <w:szCs w:val="18"/>
          <w:color w:val="auto"/>
        </w:rPr>
        <w:t>Date of Report (Date of earliest event reported): February 28, 2017</w:t>
      </w:r>
    </w:p>
    <w:p>
      <w:pPr>
        <w:spacing w:after="0" w:line="59" w:lineRule="exact"/>
        <w:rPr>
          <w:sz w:val="24"/>
          <w:szCs w:val="24"/>
          <w:color w:val="auto"/>
        </w:rPr>
      </w:pPr>
    </w:p>
    <w:p>
      <w:pPr>
        <w:ind w:left="318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39" w:lineRule="exact"/>
        <w:rPr>
          <w:sz w:val="24"/>
          <w:szCs w:val="24"/>
          <w:color w:val="auto"/>
        </w:rPr>
      </w:pPr>
    </w:p>
    <w:p>
      <w:pPr>
        <w:jc w:val="center"/>
        <w:ind w:right="-579"/>
        <w:spacing w:after="0"/>
        <w:rPr>
          <w:sz w:val="20"/>
          <w:szCs w:val="20"/>
          <w:color w:val="auto"/>
        </w:rPr>
      </w:pPr>
      <w:r>
        <w:rPr>
          <w:rFonts w:ascii="Arial" w:cs="Arial" w:eastAsia="Arial" w:hAnsi="Arial"/>
          <w:sz w:val="36"/>
          <w:szCs w:val="36"/>
          <w:b w:val="1"/>
          <w:bCs w:val="1"/>
          <w:color w:val="auto"/>
        </w:rPr>
        <w:t>EXLSERVICE HOLDINGS, INC.</w:t>
      </w:r>
    </w:p>
    <w:p>
      <w:pPr>
        <w:spacing w:after="0" w:line="36" w:lineRule="exact"/>
        <w:rPr>
          <w:sz w:val="24"/>
          <w:szCs w:val="24"/>
          <w:color w:val="auto"/>
        </w:rPr>
      </w:pPr>
    </w:p>
    <w:p>
      <w:pPr>
        <w:jc w:val="center"/>
        <w:ind w:right="-57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3" w:lineRule="exact"/>
        <w:rPr>
          <w:sz w:val="24"/>
          <w:szCs w:val="24"/>
          <w:color w:val="auto"/>
        </w:rPr>
      </w:pPr>
    </w:p>
    <w:p>
      <w:pPr>
        <w:ind w:left="314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ectPr>
          <w:pgSz w:w="11900" w:h="16838" w:orient="portrait"/>
          <w:cols w:equalWidth="0" w:num="1">
            <w:col w:w="10860"/>
          </w:cols>
          <w:pgMar w:left="240" w:top="999" w:right="799" w:bottom="1440" w:gutter="0" w:footer="0" w:header="0"/>
        </w:sectPr>
      </w:pPr>
    </w:p>
    <w:p>
      <w:pPr>
        <w:spacing w:after="0" w:line="200" w:lineRule="exact"/>
        <w:rPr>
          <w:sz w:val="24"/>
          <w:szCs w:val="24"/>
          <w:color w:val="auto"/>
        </w:rPr>
      </w:pPr>
    </w:p>
    <w:p>
      <w:pPr>
        <w:spacing w:after="0" w:line="219" w:lineRule="exact"/>
        <w:rPr>
          <w:sz w:val="24"/>
          <w:szCs w:val="24"/>
          <w:color w:val="auto"/>
        </w:rPr>
      </w:pPr>
    </w:p>
    <w:p>
      <w:pPr>
        <w:ind w:left="15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0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34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99" w:lineRule="exact"/>
        <w:rPr>
          <w:sz w:val="24"/>
          <w:szCs w:val="24"/>
          <w:color w:val="auto"/>
        </w:rPr>
      </w:pPr>
    </w:p>
    <w:p>
      <w:pPr>
        <w:jc w:val="center"/>
        <w:ind w:right="1380"/>
        <w:spacing w:after="0"/>
        <w:rPr>
          <w:sz w:val="20"/>
          <w:szCs w:val="20"/>
          <w:color w:val="auto"/>
        </w:rPr>
      </w:pPr>
      <w:r>
        <w:rPr>
          <w:rFonts w:ascii="Arial" w:cs="Arial" w:eastAsia="Arial" w:hAnsi="Arial"/>
          <w:sz w:val="18"/>
          <w:szCs w:val="18"/>
          <w:b w:val="1"/>
          <w:bCs w:val="1"/>
          <w:color w:val="auto"/>
        </w:rPr>
        <w:t>001-33089</w:t>
      </w:r>
    </w:p>
    <w:p>
      <w:pPr>
        <w:spacing w:after="0" w:line="27" w:lineRule="exact"/>
        <w:rPr>
          <w:sz w:val="24"/>
          <w:szCs w:val="24"/>
          <w:color w:val="auto"/>
        </w:rPr>
      </w:pPr>
    </w:p>
    <w:p>
      <w:pPr>
        <w:jc w:val="center"/>
        <w:ind w:right="13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99"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82-0572194</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6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60" w:space="720"/>
            <w:col w:w="3380" w:space="720"/>
            <w:col w:w="1980"/>
          </w:cols>
          <w:pgMar w:left="240" w:top="999" w:right="799" w:bottom="1440" w:gutter="0" w:footer="0" w:header="0"/>
          <w:type w:val="continuous"/>
        </w:sectPr>
      </w:pPr>
    </w:p>
    <w:p>
      <w:pPr>
        <w:spacing w:after="0" w:line="236" w:lineRule="exact"/>
        <w:rPr>
          <w:sz w:val="24"/>
          <w:szCs w:val="24"/>
          <w:color w:val="auto"/>
        </w:rPr>
      </w:pPr>
    </w:p>
    <w:p>
      <w:pPr>
        <w:ind w:left="4680"/>
        <w:spacing w:after="0"/>
        <w:rPr>
          <w:sz w:val="20"/>
          <w:szCs w:val="20"/>
          <w:color w:val="auto"/>
        </w:rPr>
      </w:pPr>
      <w:r>
        <w:rPr>
          <w:rFonts w:ascii="Arial" w:cs="Arial" w:eastAsia="Arial" w:hAnsi="Arial"/>
          <w:sz w:val="18"/>
          <w:szCs w:val="18"/>
          <w:b w:val="1"/>
          <w:bCs w:val="1"/>
          <w:color w:val="auto"/>
        </w:rPr>
        <w:t>280 Park Avenue, 38th Floor</w:t>
      </w:r>
    </w:p>
    <w:p>
      <w:pPr>
        <w:spacing w:after="0" w:line="27"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(Address of principal executive offices)</w:t>
      </w:r>
    </w:p>
    <w:p>
      <w:pPr>
        <w:spacing w:after="0" w:line="274" w:lineRule="exact"/>
        <w:rPr>
          <w:sz w:val="24"/>
          <w:szCs w:val="24"/>
          <w:color w:val="auto"/>
        </w:rPr>
      </w:pPr>
    </w:p>
    <w:p>
      <w:pPr>
        <w:ind w:left="3240"/>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(212) 277-7100</w:t>
      </w:r>
    </w:p>
    <w:p>
      <w:pPr>
        <w:spacing w:after="0" w:line="289"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579"/>
        <w:spacing w:after="0"/>
        <w:rPr>
          <w:sz w:val="20"/>
          <w:szCs w:val="20"/>
          <w:color w:val="auto"/>
        </w:rPr>
      </w:pPr>
      <w:r>
        <w:rPr>
          <w:rFonts w:ascii="Arial" w:cs="Arial" w:eastAsia="Arial" w:hAnsi="Arial"/>
          <w:sz w:val="18"/>
          <w:szCs w:val="18"/>
          <w:color w:val="auto"/>
        </w:rPr>
        <w:t>(Former name or address, if changed since last report)</w:t>
      </w:r>
    </w:p>
    <w:p>
      <w:pPr>
        <w:spacing w:after="0" w:line="9"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____________________________________________</w:t>
      </w:r>
    </w:p>
    <w:p>
      <w:pPr>
        <w:sectPr>
          <w:pgSz w:w="11900" w:h="16838" w:orient="portrait"/>
          <w:cols w:equalWidth="0" w:num="1">
            <w:col w:w="10860"/>
          </w:cols>
          <w:pgMar w:left="240" w:top="999" w:right="799" w:bottom="1440" w:gutter="0" w:footer="0" w:header="0"/>
          <w:type w:val="continuous"/>
        </w:sectPr>
      </w:pPr>
    </w:p>
    <w:p>
      <w:pPr>
        <w:spacing w:after="0" w:line="25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373" w:lineRule="exact"/>
        <w:rPr>
          <w:sz w:val="24"/>
          <w:szCs w:val="24"/>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98"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60"/>
          </w:cols>
          <w:pgMar w:left="240" w:top="999" w:right="7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February 28, 2017, ExlService Holdings, Inc. (the “Company”) reported its results of operations for the three months and twelve months ended December 31, 2016. A copy of the press release issued by the Company concerning the foregoing is furnished herewith as Exhibit 99.1 and is incorporated herein by reference. The information provided in Item 2.02 of this report, including Exhibit 99.1, shall not be deemed to be “filed” for purposes of Section 18 of the Securities Exchange Act of 1934, as amended.</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b w:val="1"/>
                <w:bCs w:val="1"/>
                <w:color w:val="auto"/>
                <w:w w:val="91"/>
              </w:rPr>
              <w:t>Exhibit No.</w:t>
            </w:r>
          </w:p>
        </w:tc>
        <w:tc>
          <w:tcPr>
            <w:tcW w:w="7020" w:type="dxa"/>
            <w:vAlign w:val="bottom"/>
            <w:gridSpan w:val="3"/>
          </w:tcPr>
          <w:p>
            <w:pPr>
              <w:ind w:left="540"/>
              <w:spacing w:after="0"/>
              <w:rPr>
                <w:sz w:val="20"/>
                <w:szCs w:val="20"/>
                <w:color w:val="auto"/>
              </w:rPr>
            </w:pPr>
            <w:r>
              <w:rPr>
                <w:rFonts w:ascii="Arial" w:cs="Arial" w:eastAsia="Arial" w:hAnsi="Arial"/>
                <w:sz w:val="18"/>
                <w:szCs w:val="18"/>
                <w:b w:val="1"/>
                <w:bCs w:val="1"/>
                <w:color w:val="auto"/>
              </w:rPr>
              <w:t>Description</w:t>
            </w:r>
          </w:p>
        </w:tc>
      </w:tr>
      <w:tr>
        <w:trPr>
          <w:trHeight w:val="453"/>
        </w:trPr>
        <w:tc>
          <w:tcPr>
            <w:tcW w:w="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5580" w:type="dxa"/>
            <w:vAlign w:val="bottom"/>
          </w:tcPr>
          <w:p>
            <w:pPr>
              <w:ind w:left="280"/>
              <w:spacing w:after="0"/>
              <w:rPr>
                <w:sz w:val="20"/>
                <w:szCs w:val="20"/>
                <w:color w:val="auto"/>
              </w:rPr>
            </w:pPr>
            <w:r>
              <w:rPr>
                <w:rFonts w:ascii="Arial" w:cs="Arial" w:eastAsia="Arial" w:hAnsi="Arial"/>
                <w:sz w:val="18"/>
                <w:szCs w:val="18"/>
                <w:color w:val="auto"/>
                <w:w w:val="88"/>
              </w:rPr>
              <w:t>Press Release, dated February 28, 2017 (furnished pursuant to Item 2.02).</w:t>
            </w:r>
          </w:p>
        </w:tc>
      </w:tr>
    </w:tbl>
    <w:p>
      <w:pPr>
        <w:sectPr>
          <w:pgSz w:w="11900" w:h="16838" w:orient="portrait"/>
          <w:cols w:equalWidth="0" w:num="1">
            <w:col w:w="11420"/>
          </w:cols>
          <w:pgMar w:left="240" w:top="85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3400" w:type="dxa"/>
            <w:vAlign w:val="bottom"/>
          </w:tcPr>
          <w:p>
            <w:pPr>
              <w:spacing w:after="0"/>
              <w:rPr>
                <w:sz w:val="19"/>
                <w:szCs w:val="19"/>
                <w:color w:val="auto"/>
              </w:rPr>
            </w:pPr>
          </w:p>
        </w:tc>
        <w:tc>
          <w:tcPr>
            <w:tcW w:w="7980" w:type="dxa"/>
            <w:vAlign w:val="bottom"/>
            <w:gridSpan w:val="2"/>
          </w:tcPr>
          <w:p>
            <w:pPr>
              <w:ind w:left="1620"/>
              <w:spacing w:after="0"/>
              <w:rPr>
                <w:sz w:val="20"/>
                <w:szCs w:val="20"/>
                <w:color w:val="auto"/>
              </w:rPr>
            </w:pPr>
            <w:r>
              <w:rPr>
                <w:rFonts w:ascii="Arial" w:cs="Arial" w:eastAsia="Arial" w:hAnsi="Arial"/>
                <w:sz w:val="18"/>
                <w:szCs w:val="18"/>
                <w:b w:val="1"/>
                <w:bCs w:val="1"/>
                <w:color w:val="auto"/>
              </w:rPr>
              <w:t>EXLSERVICE HOLDINGS, INC.</w:t>
            </w:r>
          </w:p>
        </w:tc>
      </w:tr>
      <w:tr>
        <w:trPr>
          <w:trHeight w:val="230"/>
        </w:trPr>
        <w:tc>
          <w:tcPr>
            <w:tcW w:w="3400" w:type="dxa"/>
            <w:vAlign w:val="bottom"/>
          </w:tcPr>
          <w:p>
            <w:pPr>
              <w:spacing w:after="0"/>
              <w:rPr>
                <w:sz w:val="20"/>
                <w:szCs w:val="20"/>
                <w:color w:val="auto"/>
              </w:rPr>
            </w:pPr>
          </w:p>
        </w:tc>
        <w:tc>
          <w:tcPr>
            <w:tcW w:w="2960" w:type="dxa"/>
            <w:vAlign w:val="bottom"/>
          </w:tcPr>
          <w:p>
            <w:pPr>
              <w:ind w:left="1620"/>
              <w:spacing w:after="0"/>
              <w:rPr>
                <w:sz w:val="20"/>
                <w:szCs w:val="20"/>
                <w:color w:val="auto"/>
              </w:rPr>
            </w:pPr>
            <w:r>
              <w:rPr>
                <w:rFonts w:ascii="Arial" w:cs="Arial" w:eastAsia="Arial" w:hAnsi="Arial"/>
                <w:sz w:val="18"/>
                <w:szCs w:val="18"/>
                <w:color w:val="auto"/>
              </w:rPr>
              <w:t>(Registrant)</w:t>
            </w:r>
          </w:p>
        </w:tc>
        <w:tc>
          <w:tcPr>
            <w:tcW w:w="5020" w:type="dxa"/>
            <w:vAlign w:val="bottom"/>
          </w:tcPr>
          <w:p>
            <w:pPr>
              <w:spacing w:after="0"/>
              <w:rPr>
                <w:sz w:val="20"/>
                <w:szCs w:val="20"/>
                <w:color w:val="auto"/>
              </w:rPr>
            </w:pPr>
          </w:p>
        </w:tc>
      </w:tr>
      <w:tr>
        <w:trPr>
          <w:trHeight w:val="864"/>
        </w:trPr>
        <w:tc>
          <w:tcPr>
            <w:tcW w:w="3400" w:type="dxa"/>
            <w:vAlign w:val="bottom"/>
          </w:tcPr>
          <w:p>
            <w:pPr>
              <w:spacing w:after="0"/>
              <w:rPr>
                <w:sz w:val="20"/>
                <w:szCs w:val="20"/>
                <w:color w:val="auto"/>
              </w:rPr>
            </w:pPr>
            <w:r>
              <w:rPr>
                <w:rFonts w:ascii="Arial" w:cs="Arial" w:eastAsia="Arial" w:hAnsi="Arial"/>
                <w:sz w:val="18"/>
                <w:szCs w:val="18"/>
                <w:color w:val="auto"/>
              </w:rPr>
              <w:t>Date: February 28, 2017</w:t>
            </w:r>
          </w:p>
        </w:tc>
        <w:tc>
          <w:tcPr>
            <w:tcW w:w="2960" w:type="dxa"/>
            <w:vAlign w:val="bottom"/>
          </w:tcPr>
          <w:p>
            <w:pPr>
              <w:ind w:left="1620"/>
              <w:spacing w:after="0"/>
              <w:rPr>
                <w:sz w:val="20"/>
                <w:szCs w:val="20"/>
                <w:color w:val="auto"/>
              </w:rPr>
            </w:pPr>
            <w:r>
              <w:rPr>
                <w:rFonts w:ascii="Arial" w:cs="Arial" w:eastAsia="Arial" w:hAnsi="Arial"/>
                <w:sz w:val="18"/>
                <w:szCs w:val="18"/>
                <w:color w:val="auto"/>
              </w:rPr>
              <w:t>By:</w:t>
            </w:r>
          </w:p>
        </w:tc>
        <w:tc>
          <w:tcPr>
            <w:tcW w:w="5020" w:type="dxa"/>
            <w:vAlign w:val="bottom"/>
          </w:tcPr>
          <w:p>
            <w:pPr>
              <w:ind w:left="40"/>
              <w:spacing w:after="0"/>
              <w:rPr>
                <w:sz w:val="20"/>
                <w:szCs w:val="20"/>
                <w:color w:val="auto"/>
              </w:rPr>
            </w:pPr>
            <w:r>
              <w:rPr>
                <w:rFonts w:ascii="Arial" w:cs="Arial" w:eastAsia="Arial" w:hAnsi="Arial"/>
                <w:sz w:val="18"/>
                <w:szCs w:val="18"/>
                <w:color w:val="auto"/>
              </w:rPr>
              <w:t>/s/ Nancy Saltzman</w:t>
            </w:r>
          </w:p>
        </w:tc>
      </w:tr>
      <w:tr>
        <w:trPr>
          <w:trHeight w:val="41"/>
        </w:trPr>
        <w:tc>
          <w:tcPr>
            <w:tcW w:w="3400" w:type="dxa"/>
            <w:vAlign w:val="bottom"/>
          </w:tcPr>
          <w:p>
            <w:pPr>
              <w:spacing w:after="0"/>
              <w:rPr>
                <w:sz w:val="3"/>
                <w:szCs w:val="3"/>
                <w:color w:val="auto"/>
              </w:rPr>
            </w:pPr>
          </w:p>
        </w:tc>
        <w:tc>
          <w:tcPr>
            <w:tcW w:w="2960" w:type="dxa"/>
            <w:vAlign w:val="bottom"/>
          </w:tcPr>
          <w:p>
            <w:pPr>
              <w:spacing w:after="0"/>
              <w:rPr>
                <w:sz w:val="3"/>
                <w:szCs w:val="3"/>
                <w:color w:val="auto"/>
              </w:rPr>
            </w:pPr>
          </w:p>
        </w:tc>
        <w:tc>
          <w:tcPr>
            <w:tcW w:w="5020" w:type="dxa"/>
            <w:vAlign w:val="bottom"/>
            <w:tcBorders>
              <w:bottom w:val="single" w:sz="8" w:color="auto"/>
            </w:tcBorders>
          </w:tcPr>
          <w:p>
            <w:pPr>
              <w:spacing w:after="0"/>
              <w:rPr>
                <w:sz w:val="3"/>
                <w:szCs w:val="3"/>
                <w:color w:val="auto"/>
              </w:rPr>
            </w:pPr>
          </w:p>
        </w:tc>
      </w:tr>
      <w:tr>
        <w:trPr>
          <w:trHeight w:val="250"/>
        </w:trPr>
        <w:tc>
          <w:tcPr>
            <w:tcW w:w="3400" w:type="dxa"/>
            <w:vAlign w:val="bottom"/>
          </w:tcPr>
          <w:p>
            <w:pPr>
              <w:spacing w:after="0"/>
              <w:rPr>
                <w:sz w:val="21"/>
                <w:szCs w:val="21"/>
                <w:color w:val="auto"/>
              </w:rPr>
            </w:pPr>
          </w:p>
        </w:tc>
        <w:tc>
          <w:tcPr>
            <w:tcW w:w="2960" w:type="dxa"/>
            <w:vAlign w:val="bottom"/>
          </w:tcPr>
          <w:p>
            <w:pPr>
              <w:ind w:left="1620"/>
              <w:spacing w:after="0"/>
              <w:rPr>
                <w:sz w:val="20"/>
                <w:szCs w:val="20"/>
                <w:color w:val="auto"/>
              </w:rPr>
            </w:pPr>
            <w:r>
              <w:rPr>
                <w:rFonts w:ascii="Arial" w:cs="Arial" w:eastAsia="Arial" w:hAnsi="Arial"/>
                <w:sz w:val="18"/>
                <w:szCs w:val="18"/>
                <w:color w:val="auto"/>
              </w:rPr>
              <w:t>Name:</w:t>
            </w:r>
          </w:p>
        </w:tc>
        <w:tc>
          <w:tcPr>
            <w:tcW w:w="5020" w:type="dxa"/>
            <w:vAlign w:val="bottom"/>
          </w:tcPr>
          <w:p>
            <w:pPr>
              <w:ind w:left="40"/>
              <w:spacing w:after="0"/>
              <w:rPr>
                <w:sz w:val="20"/>
                <w:szCs w:val="20"/>
                <w:color w:val="auto"/>
              </w:rPr>
            </w:pPr>
            <w:r>
              <w:rPr>
                <w:rFonts w:ascii="Arial" w:cs="Arial" w:eastAsia="Arial" w:hAnsi="Arial"/>
                <w:sz w:val="18"/>
                <w:szCs w:val="18"/>
                <w:color w:val="auto"/>
              </w:rPr>
              <w:t>Nancy Saltzman</w:t>
            </w:r>
          </w:p>
        </w:tc>
      </w:tr>
      <w:tr>
        <w:trPr>
          <w:trHeight w:val="256"/>
        </w:trPr>
        <w:tc>
          <w:tcPr>
            <w:tcW w:w="3400" w:type="dxa"/>
            <w:vAlign w:val="bottom"/>
          </w:tcPr>
          <w:p>
            <w:pPr>
              <w:spacing w:after="0"/>
              <w:rPr>
                <w:sz w:val="22"/>
                <w:szCs w:val="22"/>
                <w:color w:val="auto"/>
              </w:rPr>
            </w:pPr>
          </w:p>
        </w:tc>
        <w:tc>
          <w:tcPr>
            <w:tcW w:w="2960" w:type="dxa"/>
            <w:vAlign w:val="bottom"/>
          </w:tcPr>
          <w:p>
            <w:pPr>
              <w:ind w:left="1620"/>
              <w:spacing w:after="0"/>
              <w:rPr>
                <w:sz w:val="20"/>
                <w:szCs w:val="20"/>
                <w:color w:val="auto"/>
              </w:rPr>
            </w:pPr>
            <w:r>
              <w:rPr>
                <w:rFonts w:ascii="Arial" w:cs="Arial" w:eastAsia="Arial" w:hAnsi="Arial"/>
                <w:sz w:val="18"/>
                <w:szCs w:val="18"/>
                <w:color w:val="auto"/>
              </w:rPr>
              <w:t>Title:</w:t>
            </w:r>
          </w:p>
        </w:tc>
        <w:tc>
          <w:tcPr>
            <w:tcW w:w="5020" w:type="dxa"/>
            <w:vAlign w:val="bottom"/>
          </w:tcPr>
          <w:p>
            <w:pPr>
              <w:ind w:left="40"/>
              <w:spacing w:after="0"/>
              <w:rPr>
                <w:sz w:val="20"/>
                <w:szCs w:val="20"/>
                <w:color w:val="auto"/>
              </w:rPr>
            </w:pPr>
            <w:r>
              <w:rPr>
                <w:rFonts w:ascii="Arial" w:cs="Arial" w:eastAsia="Arial" w:hAnsi="Arial"/>
                <w:sz w:val="18"/>
                <w:szCs w:val="18"/>
                <w:color w:val="auto"/>
              </w:rPr>
              <w:t>Executive Vice President,</w:t>
            </w:r>
          </w:p>
        </w:tc>
      </w:tr>
      <w:tr>
        <w:trPr>
          <w:trHeight w:val="230"/>
        </w:trPr>
        <w:tc>
          <w:tcPr>
            <w:tcW w:w="34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General Counsel and Secretary</w:t>
            </w:r>
          </w:p>
        </w:tc>
      </w:tr>
    </w:tbl>
    <w:p>
      <w:pPr>
        <w:sectPr>
          <w:pgSz w:w="11900" w:h="16838" w:orient="portrait"/>
          <w:cols w:equalWidth="0" w:num="1">
            <w:col w:w="11420"/>
          </w:cols>
          <w:pgMar w:left="240" w:top="621"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540" w:type="dxa"/>
            <w:vAlign w:val="bottom"/>
          </w:tcPr>
          <w:p>
            <w:pPr>
              <w:ind w:left="2520"/>
              <w:spacing w:after="0"/>
              <w:rPr>
                <w:sz w:val="20"/>
                <w:szCs w:val="20"/>
                <w:color w:val="auto"/>
              </w:rPr>
            </w:pPr>
            <w:r>
              <w:rPr>
                <w:rFonts w:ascii="Arial" w:cs="Arial" w:eastAsia="Arial" w:hAnsi="Arial"/>
                <w:sz w:val="22"/>
                <w:szCs w:val="22"/>
                <w:b w:val="1"/>
                <w:bCs w:val="1"/>
                <w:color w:val="auto"/>
              </w:rPr>
              <w:t>EXHIBIT INDEX</w:t>
            </w:r>
          </w:p>
        </w:tc>
      </w:tr>
      <w:tr>
        <w:trPr>
          <w:trHeight w:val="422"/>
        </w:trPr>
        <w:tc>
          <w:tcPr>
            <w:tcW w:w="880" w:type="dxa"/>
            <w:vAlign w:val="bottom"/>
          </w:tcPr>
          <w:p>
            <w:pPr>
              <w:spacing w:after="0"/>
              <w:rPr>
                <w:sz w:val="20"/>
                <w:szCs w:val="20"/>
                <w:color w:val="auto"/>
              </w:rPr>
            </w:pPr>
            <w:r>
              <w:rPr>
                <w:rFonts w:ascii="Arial" w:cs="Arial" w:eastAsia="Arial" w:hAnsi="Arial"/>
                <w:sz w:val="18"/>
                <w:szCs w:val="18"/>
                <w:b w:val="1"/>
                <w:bCs w:val="1"/>
                <w:color w:val="auto"/>
                <w:w w:val="91"/>
              </w:rPr>
              <w:t>Exhibit No.</w:t>
            </w:r>
          </w:p>
        </w:tc>
        <w:tc>
          <w:tcPr>
            <w:tcW w:w="600" w:type="dxa"/>
            <w:vAlign w:val="bottom"/>
          </w:tcPr>
          <w:p>
            <w:pPr>
              <w:spacing w:after="0"/>
              <w:rPr>
                <w:sz w:val="24"/>
                <w:szCs w:val="24"/>
                <w:color w:val="auto"/>
              </w:rPr>
            </w:pPr>
          </w:p>
        </w:tc>
        <w:tc>
          <w:tcPr>
            <w:tcW w:w="642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399"/>
        </w:trPr>
        <w:tc>
          <w:tcPr>
            <w:tcW w:w="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60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5540" w:type="dxa"/>
            <w:vAlign w:val="bottom"/>
          </w:tcPr>
          <w:p>
            <w:pPr>
              <w:ind w:left="240"/>
              <w:spacing w:after="0"/>
              <w:rPr>
                <w:sz w:val="20"/>
                <w:szCs w:val="20"/>
                <w:color w:val="auto"/>
              </w:rPr>
            </w:pPr>
            <w:r>
              <w:rPr>
                <w:rFonts w:ascii="Arial" w:cs="Arial" w:eastAsia="Arial" w:hAnsi="Arial"/>
                <w:sz w:val="18"/>
                <w:szCs w:val="18"/>
                <w:color w:val="auto"/>
                <w:w w:val="88"/>
              </w:rPr>
              <w:t>Press Release, dated February 28, 2017 (furnished pursuant to Item 2.02).</w:t>
            </w:r>
          </w:p>
        </w:tc>
      </w:tr>
    </w:tbl>
    <w:p>
      <w:pPr>
        <w:sectPr>
          <w:pgSz w:w="11900" w:h="16838" w:orient="portrait"/>
          <w:cols w:equalWidth="0" w:num="1">
            <w:col w:w="10219"/>
          </w:cols>
          <w:pgMar w:left="240" w:top="625"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 REPORTS 2016 FOURTH QUARTER AND FULL YEAR RESULTS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2016 Fourth Quarter Revenues of $177.3 Million, up 6.9% year over year</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4Q Diluted EPS (GAAP) of $0.45, up from $0.43 in Q4 of 2015</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4QAdjusted Diluted EPS (Non-GAAP) of $0.61, up from $0.56 in Q4 of 2015</w:t>
      </w:r>
    </w:p>
    <w:p>
      <w:pPr>
        <w:spacing w:after="0" w:line="36" w:lineRule="exact"/>
        <w:rPr>
          <w:sz w:val="20"/>
          <w:szCs w:val="20"/>
          <w:color w:val="auto"/>
        </w:rPr>
      </w:pPr>
    </w:p>
    <w:p>
      <w:pPr>
        <w:ind w:left="3600"/>
        <w:spacing w:after="0"/>
        <w:rPr>
          <w:sz w:val="20"/>
          <w:szCs w:val="20"/>
          <w:color w:val="auto"/>
        </w:rPr>
      </w:pPr>
      <w:r>
        <w:rPr>
          <w:rFonts w:ascii="Arial" w:cs="Arial" w:eastAsia="Arial" w:hAnsi="Arial"/>
          <w:sz w:val="18"/>
          <w:szCs w:val="18"/>
          <w:b w:val="1"/>
          <w:bCs w:val="1"/>
          <w:i w:val="1"/>
          <w:iCs w:val="1"/>
          <w:color w:val="auto"/>
        </w:rPr>
        <w:t>2016 Revenues of $686.0 Million, up 9.1% year over year</w:t>
      </w:r>
    </w:p>
    <w:p>
      <w:pPr>
        <w:spacing w:after="0" w:line="36" w:lineRule="exact"/>
        <w:rPr>
          <w:sz w:val="20"/>
          <w:szCs w:val="20"/>
          <w:color w:val="auto"/>
        </w:rPr>
      </w:pPr>
    </w:p>
    <w:p>
      <w:pPr>
        <w:ind w:left="3540"/>
        <w:spacing w:after="0"/>
        <w:rPr>
          <w:sz w:val="20"/>
          <w:szCs w:val="20"/>
          <w:color w:val="auto"/>
        </w:rPr>
      </w:pPr>
      <w:r>
        <w:rPr>
          <w:rFonts w:ascii="Arial" w:cs="Arial" w:eastAsia="Arial" w:hAnsi="Arial"/>
          <w:sz w:val="18"/>
          <w:szCs w:val="18"/>
          <w:b w:val="1"/>
          <w:bCs w:val="1"/>
          <w:i w:val="1"/>
          <w:iCs w:val="1"/>
          <w:color w:val="auto"/>
        </w:rPr>
        <w:t>2016 Diluted EPS (GAAP) of $1.79, up from $1.51 in 2015</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2016 Adjusted Diluted EPS (Non-GAAP) of $2.33, up from $2.03 in 2015</w:t>
      </w:r>
    </w:p>
    <w:p>
      <w:pPr>
        <w:spacing w:after="0" w:line="200" w:lineRule="exact"/>
        <w:rPr>
          <w:sz w:val="20"/>
          <w:szCs w:val="20"/>
          <w:color w:val="auto"/>
        </w:rPr>
      </w:pPr>
    </w:p>
    <w:p>
      <w:pPr>
        <w:spacing w:after="0" w:line="2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New York, NY - February 28, 2017 - ExlService Holdings, Inc. (NASDAQ: EXLS), a leading operations management and analytics company, today announced its financial results for the quarter ended December 31, 2016 and the full year 2016.</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Rohit Kapoor, Vice Chairman and CEO, commented, “Our fourth quarter 2016 revenues beat expectations, and for the full year 2016 revenues increased 9.1% year over year or 10.9% in constant currency (non-GAAP) to $686.0 million. We achieved an 18.4% increase in diluted EPS to $1.79 and a 14.8% increase in adjusted diluted EPS to $2.33 for the full year 2016. Our revenues growth this year was led by our Analytics segment which grew 35.7% for the full year. Our Operations Management segment revenues growth was 2.7% for the full year driven by new and existing clients offset by weakness in our consulting business.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growth was broad-based, the result of our driving superior customer experiences and our investments in automation and robotics including the Business EXLerator Framework</w:t>
      </w:r>
      <w:r>
        <w:rPr>
          <w:rFonts w:ascii="Arial" w:cs="Arial" w:eastAsia="Arial" w:hAnsi="Arial"/>
          <w:sz w:val="18"/>
          <w:szCs w:val="18"/>
          <w:color w:val="auto"/>
          <w:vertAlign w:val="superscript"/>
        </w:rPr>
        <w:t>TM</w:t>
      </w:r>
      <w:r>
        <w:rPr>
          <w:rFonts w:ascii="Arial" w:cs="Arial" w:eastAsia="Arial" w:hAnsi="Arial"/>
          <w:sz w:val="18"/>
          <w:szCs w:val="18"/>
          <w:color w:val="auto"/>
        </w:rPr>
        <w:t>. The integrated selling of our business process management and analytics solutions continues to strengthen our competitive positioning with our clients and prospects. Our three acquisitions in 2016 have been assimilated and are performing at or above expectations. I believe our market position is strong, and we have great momentum to execute our growth plans in 2017.”</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Vishal Chhibbar, CFO, commented, “In 2016, we generated $100.3 million of cash flow from operations and ended the year with $226.6 million in cash and short term investments. For 2017, we are providing revenue guidance of $735 million to $760 million, representing annual revenue growth of 8% to11% in constant currency. Our adjusted diluted earnings per share guidance is $2.50 to $2.60, representing an increase of 7% to 12%.”</w:t>
      </w:r>
    </w:p>
    <w:p>
      <w:pPr>
        <w:sectPr>
          <w:pgSz w:w="11900" w:h="16838" w:orient="portrait"/>
          <w:cols w:equalWidth="0" w:num="1">
            <w:col w:w="11420"/>
          </w:cols>
          <w:pgMar w:left="240" w:top="702"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Financial Highlights: Fourth Quarter 2016</w:t>
      </w:r>
    </w:p>
    <w:p>
      <w:pPr>
        <w:spacing w:after="0" w:line="162" w:lineRule="exact"/>
        <w:rPr>
          <w:sz w:val="20"/>
          <w:szCs w:val="20"/>
          <w:color w:val="auto"/>
        </w:rPr>
      </w:pPr>
    </w:p>
    <w:p>
      <w:pPr>
        <w:ind w:right="480"/>
        <w:spacing w:after="0" w:line="324" w:lineRule="auto"/>
        <w:rPr>
          <w:sz w:val="20"/>
          <w:szCs w:val="20"/>
          <w:color w:val="auto"/>
        </w:rPr>
      </w:pPr>
      <w:r>
        <w:rPr>
          <w:rFonts w:ascii="Arial" w:cs="Arial" w:eastAsia="Arial" w:hAnsi="Arial"/>
          <w:sz w:val="18"/>
          <w:szCs w:val="18"/>
          <w:i w:val="1"/>
          <w:iCs w:val="1"/>
          <w:color w:val="auto"/>
        </w:rPr>
        <w:t>We have two reportable segments: Operations Management and Analytics. Reconciliations of adjusted (non-GAAP) financial measures, including those reflecting constant currency, to GAAP measures are included at the end of this release.</w:t>
      </w:r>
    </w:p>
    <w:p>
      <w:pPr>
        <w:spacing w:after="0" w:line="143" w:lineRule="exact"/>
        <w:rPr>
          <w:sz w:val="20"/>
          <w:szCs w:val="20"/>
          <w:color w:val="auto"/>
        </w:rPr>
      </w:pPr>
    </w:p>
    <w:p>
      <w:pPr>
        <w:ind w:left="660" w:right="20" w:hanging="328"/>
        <w:spacing w:after="0" w:line="342"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Revenues for the quarter ended December 31, 2016 increased to $177.3 million compared to $165.9 million for the fourth quarter of 2015, up 6.9% (8.4% on a constant currency basis) from the fourth quarter of 2015 and up 3.5% sequentially from the quarter ended September 30, 2016.</w:t>
      </w:r>
    </w:p>
    <w:p>
      <w:pPr>
        <w:spacing w:after="0" w:line="123" w:lineRule="exact"/>
        <w:rPr>
          <w:rFonts w:ascii="Arial" w:cs="Arial" w:eastAsia="Arial" w:hAnsi="Arial"/>
          <w:sz w:val="16"/>
          <w:szCs w:val="16"/>
          <w:color w:val="auto"/>
        </w:rPr>
      </w:pPr>
    </w:p>
    <w:p>
      <w:pPr>
        <w:ind w:left="1300" w:hanging="320"/>
        <w:spacing w:after="0" w:line="277" w:lineRule="auto"/>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Operations Management revenues in the fourth quarter of 2016 increased 1.8% to $131.8 million compared to $129.4 million in the fourth quarter of 2015 and increased 1.7% sequentially from the quarter ended September 30, 2016.</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Analytics revenues in the fourth quarter of 2016 increased 24.9% to $45.5 million compared to $36.5 million in the fourth quarter of 2015, and increased 9.3% sequentially from the quarter ended September 30, 2016.</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income margin for the quarter ended December 31, 2016 was 8.0% compared to 10.8% in the fourth quarter of 2015 and 10.1% for the quarter ended September 30, 2016. Adjusted operating income margin was 12.9% compared to 14.7% in the fourth quarter of 2015 and 14.4% for the quarter ended September 30, 2016.</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Diluted earnings per share for the quarter ended December 31, 2016 was $0.45 compared to $0.43 in the fourth quarter of 2015 and $0.46 for the quarter ended September 30, 2016. Adjusted diluted earnings per share was $0.61 compared to $0.56 in the fourth quarter of 2015 and $0.61 for the quarter ended September 30, 2016.</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 Full Year 2016</w:t>
      </w:r>
    </w:p>
    <w:p>
      <w:pPr>
        <w:spacing w:after="0" w:line="310" w:lineRule="exact"/>
        <w:rPr>
          <w:sz w:val="20"/>
          <w:szCs w:val="20"/>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Revenues for the year ended December 31, 2016 increased 9.1% to $686.0 million compared to $628.5 million for the year ended December 31, 2015.</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Operations Management revenues for the year ended December 31, 2016 increased 2.7% to $520.3 million compared to $506.3 million for the year ended December 31, 2015.</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Analytics revenues for the year ended December 31, 2016 increased 35.7% to $165.7 million compared to $122.2 million for the year ended December 31, 2015.</w:t>
      </w:r>
    </w:p>
    <w:p>
      <w:pPr>
        <w:spacing w:after="0" w:line="170"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Operating income margin for the year ended December 31, 2016 was 9.4% compared to 10.7% for the year ended December 31, 2015. Adjusted operating income margin for the year ended December 31, 2016 was 14.0% compared to 14.9% for the year ended December 31, 2015.</w:t>
      </w:r>
    </w:p>
    <w:p>
      <w:pPr>
        <w:spacing w:after="0" w:line="123" w:lineRule="exact"/>
        <w:rPr>
          <w:rFonts w:ascii="Arial" w:cs="Arial" w:eastAsia="Arial" w:hAnsi="Arial"/>
          <w:sz w:val="16"/>
          <w:szCs w:val="16"/>
          <w:color w:val="auto"/>
        </w:rPr>
      </w:pPr>
    </w:p>
    <w:p>
      <w:pPr>
        <w:ind w:left="660" w:hanging="328"/>
        <w:spacing w:after="0" w:line="34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Diluted earnings per share for the year ended December 31, 2016 was $1.79 compared to $1.51 for the year ended December 31, 2015. Adjusted diluted earnings per share for the year ended December 31, 2016 was $2.33 compared to $2.03 for the year ended December 31, 2015.</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Highlights: Fourth Quarter 2016</w:t>
      </w:r>
    </w:p>
    <w:p>
      <w:pPr>
        <w:spacing w:after="0" w:line="229" w:lineRule="exact"/>
        <w:rPr>
          <w:sz w:val="20"/>
          <w:szCs w:val="20"/>
          <w:color w:val="auto"/>
        </w:rPr>
      </w:pPr>
    </w:p>
    <w:p>
      <w:pPr>
        <w:ind w:left="340" w:hanging="264"/>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Acquired Datasource Consulting, LLC, a provider of enterprise management and business intelligence solutions.</w:t>
      </w:r>
    </w:p>
    <w:p>
      <w:pPr>
        <w:spacing w:after="0" w:line="225" w:lineRule="exact"/>
        <w:rPr>
          <w:rFonts w:ascii="Arial" w:cs="Arial" w:eastAsia="Arial" w:hAnsi="Arial"/>
          <w:sz w:val="18"/>
          <w:szCs w:val="18"/>
          <w:color w:val="auto"/>
        </w:rPr>
      </w:pPr>
    </w:p>
    <w:p>
      <w:pPr>
        <w:ind w:left="340" w:hanging="264"/>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Won 13 new clients, consisting of 6 new clients in Operations Management and 7 new clients in Analytics. For the full year, we won 40 new clients, 21 in Operations Management and 19 in Analytics.</w:t>
      </w:r>
    </w:p>
    <w:p>
      <w:pPr>
        <w:spacing w:after="0" w:line="170" w:lineRule="exact"/>
        <w:rPr>
          <w:rFonts w:ascii="Arial" w:cs="Arial" w:eastAsia="Arial" w:hAnsi="Arial"/>
          <w:sz w:val="18"/>
          <w:szCs w:val="18"/>
          <w:color w:val="auto"/>
        </w:rPr>
      </w:pPr>
    </w:p>
    <w:p>
      <w:pPr>
        <w:ind w:left="340" w:hanging="264"/>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Announced the appointment of Nagaraja Srivatsan as the Company’s EVP, Chief Growth Officer.</w:t>
      </w:r>
    </w:p>
    <w:p>
      <w:pPr>
        <w:spacing w:after="0" w:line="225" w:lineRule="exact"/>
        <w:rPr>
          <w:rFonts w:ascii="Arial" w:cs="Arial" w:eastAsia="Arial" w:hAnsi="Arial"/>
          <w:sz w:val="18"/>
          <w:szCs w:val="18"/>
          <w:color w:val="auto"/>
        </w:rPr>
      </w:pPr>
    </w:p>
    <w:p>
      <w:pPr>
        <w:ind w:left="340" w:hanging="264"/>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Positioned as a Leader in the “IDC MarketScape: Worldwide Business Analytics BPO Services 2016 Vendor Assessment.”</w:t>
      </w:r>
    </w:p>
    <w:p>
      <w:pPr>
        <w:spacing w:after="0" w:line="225" w:lineRule="exact"/>
        <w:rPr>
          <w:rFonts w:ascii="Arial" w:cs="Arial" w:eastAsia="Arial" w:hAnsi="Arial"/>
          <w:sz w:val="18"/>
          <w:szCs w:val="18"/>
          <w:color w:val="auto"/>
        </w:rPr>
      </w:pPr>
    </w:p>
    <w:p>
      <w:pPr>
        <w:ind w:left="340" w:hanging="264"/>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Included in both the HfS Research “2016 RPA Premier League Table” and “HfS Blueprint Report: Intelligent Automation 2016.”</w:t>
      </w:r>
    </w:p>
    <w:p>
      <w:pPr>
        <w:sectPr>
          <w:pgSz w:w="11900" w:h="16838" w:orient="portrait"/>
          <w:cols w:equalWidth="0" w:num="1">
            <w:col w:w="11420"/>
          </w:cols>
          <w:pgMar w:left="240" w:top="688" w:right="239" w:bottom="1440" w:gutter="0" w:footer="0" w:header="0"/>
        </w:sectPr>
      </w:pPr>
    </w:p>
    <w:bookmarkStart w:id="6" w:name="page7"/>
    <w:bookmarkEnd w:id="6"/>
    <w:p>
      <w:pPr>
        <w:ind w:left="340" w:hanging="264"/>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Positioned as a High Performer in the “HfS Blueprint Report: Digital Marketing Operations 2016.”</w:t>
      </w:r>
    </w:p>
    <w:p>
      <w:pPr>
        <w:spacing w:after="0" w:line="225" w:lineRule="exact"/>
        <w:rPr>
          <w:rFonts w:ascii="Arial" w:cs="Arial" w:eastAsia="Arial" w:hAnsi="Arial"/>
          <w:sz w:val="18"/>
          <w:szCs w:val="18"/>
          <w:color w:val="auto"/>
        </w:rPr>
      </w:pPr>
    </w:p>
    <w:p>
      <w:pPr>
        <w:ind w:left="340" w:hanging="264"/>
        <w:spacing w:after="0"/>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Expanded multiple Operations Management relationships, including migrating 61 new processes. For the full year we migrated 213 processes.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w:t>
      </w:r>
    </w:p>
    <w:p>
      <w:pPr>
        <w:spacing w:after="0" w:line="12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Today, we announced that our Board of Directors authorized an additional $100 million common stock repurchase program, effective immediately. The approval increases the 2017 authorization from $20 million to $40 million and authorizes stock repurchases of up to $40 million in 2018 and 2019. The shares may be purchased through December 31, 2019 by the Company on the open market and through private transactions as determined by EXL’s management.</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Guidance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current visibility and a U.S. Dollar to Indian rupee exchange rate of 67.0, British Pound to U.S. Dollar exchange rate at 1.25, U.S. Dollar to the Philippine Peso exchange rate of 50.0 and all other currencies at current exchange rates, the Company is providing the following guidance for the calendar year 2017:</w:t>
      </w:r>
    </w:p>
    <w:p>
      <w:pPr>
        <w:spacing w:after="0" w:line="181" w:lineRule="exact"/>
        <w:rPr>
          <w:sz w:val="20"/>
          <w:szCs w:val="20"/>
          <w:color w:val="auto"/>
        </w:rPr>
      </w:pPr>
    </w:p>
    <w:p>
      <w:pPr>
        <w:ind w:left="340" w:hanging="264"/>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Revenues of $735 million to $760 million, representing an annual revenue growth of 8% to 11% on a constant currency basis.</w:t>
      </w:r>
    </w:p>
    <w:p>
      <w:pPr>
        <w:spacing w:after="0" w:line="225" w:lineRule="exact"/>
        <w:rPr>
          <w:rFonts w:ascii="Arial" w:cs="Arial" w:eastAsia="Arial" w:hAnsi="Arial"/>
          <w:sz w:val="18"/>
          <w:szCs w:val="18"/>
          <w:color w:val="auto"/>
        </w:rPr>
      </w:pPr>
    </w:p>
    <w:p>
      <w:pPr>
        <w:ind w:left="340" w:hanging="264"/>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diluted earnings per share of $2.50 to $2.60, representing an annual increase of 7% to 12%.</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Conference Call</w:t>
      </w:r>
    </w:p>
    <w:p>
      <w:pPr>
        <w:spacing w:after="0" w:line="158"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 xml:space="preserve">ExlService Holdings, Inc. will host a conference call on Tuesday, February 28, 2017 at 8:00 A.M. ET to discuss the Company’s quarterly operating and financial results. The conference call will be available live via the internet by accessing the investor relations section of EXL’s website at </w:t>
      </w:r>
      <w:r>
        <w:rPr>
          <w:rFonts w:ascii="Arial" w:cs="Arial" w:eastAsia="Arial" w:hAnsi="Arial"/>
          <w:sz w:val="18"/>
          <w:szCs w:val="18"/>
          <w:u w:val="single" w:color="auto"/>
          <w:color w:val="0000FF"/>
        </w:rPr>
        <w:t>ir.exlservice.com</w:t>
      </w:r>
      <w:r>
        <w:rPr>
          <w:rFonts w:ascii="Arial" w:cs="Arial" w:eastAsia="Arial" w:hAnsi="Arial"/>
          <w:sz w:val="18"/>
          <w:szCs w:val="18"/>
          <w:color w:val="auto"/>
        </w:rPr>
        <w:t>, where an accompanying investor-friendly spreadsheet of historical operating and financial data can also be accessed. Please access the website at least fifteen minutes prior to the call to register, download and install any necessary audio software.</w:t>
      </w:r>
    </w:p>
    <w:p>
      <w:pPr>
        <w:spacing w:after="0" w:line="79" w:lineRule="exact"/>
        <w:rPr>
          <w:sz w:val="20"/>
          <w:szCs w:val="20"/>
          <w:color w:val="auto"/>
        </w:rPr>
      </w:pPr>
    </w:p>
    <w:p>
      <w:pPr>
        <w:jc w:val="both"/>
        <w:ind w:right="20"/>
        <w:spacing w:after="0" w:line="324" w:lineRule="auto"/>
        <w:rPr>
          <w:sz w:val="20"/>
          <w:szCs w:val="20"/>
          <w:color w:val="auto"/>
        </w:rPr>
      </w:pPr>
      <w:r>
        <w:rPr>
          <w:rFonts w:ascii="Arial" w:cs="Arial" w:eastAsia="Arial" w:hAnsi="Arial"/>
          <w:sz w:val="18"/>
          <w:szCs w:val="18"/>
          <w:color w:val="auto"/>
        </w:rPr>
        <w:t xml:space="preserve">To listen to the conference call via phone, please dial 1-877-303-6384, or if dialing internationally, 1-224-357-2191 and an operator will assist you. For those who cannot access the live broadcast, a replay will be available on the EXL website </w:t>
      </w:r>
      <w:r>
        <w:rPr>
          <w:rFonts w:ascii="Arial" w:cs="Arial" w:eastAsia="Arial" w:hAnsi="Arial"/>
          <w:sz w:val="18"/>
          <w:szCs w:val="18"/>
          <w:u w:val="single" w:color="auto"/>
          <w:color w:val="0000FF"/>
        </w:rPr>
        <w:t>ir.exlservice.com</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ExlService Holdings, Inc.</w:t>
      </w:r>
    </w:p>
    <w:p>
      <w:pPr>
        <w:spacing w:after="0" w:line="2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EXL (NASDAQ: EXLS) is a leading operations management and analytics company that designs and enables agile, customer-centric operating models to help clients improve their revenue growth and profitability. Our delivery model provides market-leading business outcomes using EXL’s proprietary Business EXLerator Framework™, cutting-edge analytics, digital transformation and domain expertise. At EXL, we look deeper to help companies improve global operations, enhance data-driven insights, increase customer satisfaction, and manage risk and compliance. EXL serves the insurance, healthcare, banking and financial services, utilities, travel, transportation and logistics industries. Headquartered in New York, New York, EXL has more than 26,000 professionals in locations throughout the United States, Europe, Asia (primarily India and Philippines), South America, Australia and South Africa. For more information, visit </w:t>
      </w:r>
      <w:r>
        <w:rPr>
          <w:rFonts w:ascii="Arial" w:cs="Arial" w:eastAsia="Arial" w:hAnsi="Arial"/>
          <w:sz w:val="18"/>
          <w:szCs w:val="18"/>
          <w:u w:val="single" w:color="auto"/>
          <w:color w:val="0000FF"/>
        </w:rPr>
        <w:t>www.exlservice.com.</w:t>
      </w:r>
    </w:p>
    <w:p>
      <w:pPr>
        <w:sectPr>
          <w:pgSz w:w="11900" w:h="16838" w:orient="portrait"/>
          <w:cols w:equalWidth="0" w:num="1">
            <w:col w:w="11420"/>
          </w:cols>
          <w:pgMar w:left="240" w:top="800" w:right="239" w:bottom="1440" w:gutter="0" w:footer="0" w:header="0"/>
        </w:sectPr>
      </w:pPr>
    </w:p>
    <w:bookmarkStart w:id="7" w:name="page8"/>
    <w:bookmarkEnd w:id="7"/>
    <w:p>
      <w:pPr>
        <w:jc w:val="both"/>
        <w:spacing w:after="0" w:line="339" w:lineRule="auto"/>
        <w:rPr>
          <w:sz w:val="20"/>
          <w:szCs w:val="20"/>
          <w:color w:val="auto"/>
        </w:rPr>
      </w:pPr>
      <w:r>
        <w:rPr>
          <w:rFonts w:ascii="Arial" w:cs="Arial" w:eastAsia="Arial" w:hAnsi="Arial"/>
          <w:sz w:val="16"/>
          <w:szCs w:val="16"/>
          <w:b w:val="1"/>
          <w:bCs w:val="1"/>
          <w:color w:val="auto"/>
        </w:rPr>
        <w:t xml:space="preserve">Continuing Statement Regarding Forward-Looking Statements </w:t>
      </w:r>
      <w:r>
        <w:rPr>
          <w:rFonts w:ascii="Arial" w:cs="Arial" w:eastAsia="Arial" w:hAnsi="Arial"/>
          <w:sz w:val="16"/>
          <w:szCs w:val="16"/>
          <w:i w:val="1"/>
          <w:iCs w:val="1"/>
          <w:color w:val="auto"/>
        </w:rPr>
        <w:t>This press release contains forward-looking statements. You should not place undue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reliance on those statements because they are subject to numerous uncertainties and factors relating to EXL's operations and business environment, all of which are difficult to predict and many of which are beyond EXL’s control. Forward-looking statements include information concerning EXL’s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EXL believes that these forward-looking statements are based on reasonable assumptions, you should be aware that many factors could affect EXL’s actual financial results or results of operations and could cause actual results to differ materially from those in the forward-looking statements. These factors are discussed in more detail in EXL’s filings with the Securities and Exchange Commission, including EXL’s Annual Report on Form 10-K for the year ended December 31, 2015. These risks could cause actual results to differ materially from those implied by forward-looking statements in this release. You should keep in mind that any forward-looking statement made herein, or elsewhere, speaks only as of the date on which it is made. New risks and uncertainties come up from time to time, and it is impossible to predict these events or how they may affect EXL. EXL has no obligation to update any forward-looking statements after the date hereof, except as required by federal securities laws.</w:t>
      </w:r>
    </w:p>
    <w:p>
      <w:pPr>
        <w:sectPr>
          <w:pgSz w:w="11900" w:h="16838" w:orient="portrait"/>
          <w:cols w:equalWidth="0" w:num="1">
            <w:col w:w="11420"/>
          </w:cols>
          <w:pgMar w:left="240" w:top="715" w:right="2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00" w:type="dxa"/>
            <w:vAlign w:val="bottom"/>
            <w:gridSpan w:val="5"/>
          </w:tcPr>
          <w:p>
            <w:pPr>
              <w:ind w:left="240"/>
              <w:spacing w:after="0"/>
              <w:rPr>
                <w:sz w:val="20"/>
                <w:szCs w:val="20"/>
                <w:color w:val="auto"/>
              </w:rPr>
            </w:pPr>
            <w:r>
              <w:rPr>
                <w:rFonts w:ascii="Arial" w:cs="Arial" w:eastAsia="Arial" w:hAnsi="Arial"/>
                <w:sz w:val="16"/>
                <w:szCs w:val="16"/>
                <w:b w:val="1"/>
                <w:bCs w:val="1"/>
                <w:color w:val="auto"/>
              </w:rPr>
              <w:t>Year ended December 31,</w:t>
            </w:r>
          </w:p>
        </w:tc>
        <w:tc>
          <w:tcPr>
            <w:tcW w:w="260" w:type="dxa"/>
            <w:vAlign w:val="bottom"/>
          </w:tcPr>
          <w:p>
            <w:pPr>
              <w:spacing w:after="0"/>
              <w:rPr>
                <w:sz w:val="18"/>
                <w:szCs w:val="18"/>
                <w:color w:val="auto"/>
              </w:rPr>
            </w:pPr>
          </w:p>
        </w:tc>
        <w:tc>
          <w:tcPr>
            <w:tcW w:w="2960" w:type="dxa"/>
            <w:vAlign w:val="bottom"/>
            <w:gridSpan w:val="4"/>
          </w:tcPr>
          <w:p>
            <w:pPr>
              <w:jc w:val="right"/>
              <w:ind w:right="319"/>
              <w:spacing w:after="0"/>
              <w:rPr>
                <w:sz w:val="20"/>
                <w:szCs w:val="20"/>
                <w:color w:val="auto"/>
              </w:rPr>
            </w:pPr>
            <w:r>
              <w:rPr>
                <w:rFonts w:ascii="Arial" w:cs="Arial" w:eastAsia="Arial" w:hAnsi="Arial"/>
                <w:sz w:val="16"/>
                <w:szCs w:val="16"/>
                <w:b w:val="1"/>
                <w:bCs w:val="1"/>
                <w:color w:val="auto"/>
                <w:w w:val="95"/>
              </w:rPr>
              <w:t>Three months ended December 31,</w:t>
            </w:r>
          </w:p>
        </w:tc>
        <w:tc>
          <w:tcPr>
            <w:tcW w:w="0" w:type="dxa"/>
            <w:vAlign w:val="bottom"/>
          </w:tcPr>
          <w:p>
            <w:pPr>
              <w:spacing w:after="0"/>
              <w:rPr>
                <w:sz w:val="1"/>
                <w:szCs w:val="1"/>
                <w:color w:val="auto"/>
              </w:rPr>
            </w:pPr>
          </w:p>
        </w:tc>
      </w:tr>
      <w:tr>
        <w:trPr>
          <w:trHeight w:val="47"/>
        </w:trPr>
        <w:tc>
          <w:tcPr>
            <w:tcW w:w="338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3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2016</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2015</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519"/>
              <w:spacing w:after="0"/>
              <w:rPr>
                <w:sz w:val="20"/>
                <w:szCs w:val="20"/>
                <w:color w:val="auto"/>
              </w:rPr>
            </w:pPr>
            <w:r>
              <w:rPr>
                <w:rFonts w:ascii="Arial" w:cs="Arial" w:eastAsia="Arial" w:hAnsi="Arial"/>
                <w:sz w:val="16"/>
                <w:szCs w:val="16"/>
                <w:b w:val="1"/>
                <w:bCs w:val="1"/>
                <w:color w:val="auto"/>
              </w:rPr>
              <w:t>2016</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51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47"/>
        </w:trPr>
        <w:tc>
          <w:tcPr>
            <w:tcW w:w="33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 net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685,988</w:t>
            </w:r>
          </w:p>
        </w:tc>
        <w:tc>
          <w:tcPr>
            <w:tcW w:w="1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628,492</w:t>
            </w:r>
          </w:p>
        </w:tc>
        <w:tc>
          <w:tcPr>
            <w:tcW w:w="1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177,274</w:t>
            </w:r>
          </w:p>
        </w:tc>
        <w:tc>
          <w:tcPr>
            <w:tcW w:w="2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165,858</w:t>
            </w:r>
          </w:p>
        </w:tc>
        <w:tc>
          <w:tcPr>
            <w:tcW w:w="0" w:type="dxa"/>
            <w:vAlign w:val="bottom"/>
          </w:tcPr>
          <w:p>
            <w:pPr>
              <w:spacing w:after="0"/>
              <w:rPr>
                <w:sz w:val="1"/>
                <w:szCs w:val="1"/>
                <w:color w:val="auto"/>
              </w:rPr>
            </w:pPr>
          </w:p>
        </w:tc>
      </w:tr>
      <w:tr>
        <w:trPr>
          <w:trHeight w:val="220"/>
        </w:trPr>
        <w:tc>
          <w:tcPr>
            <w:tcW w:w="3380" w:type="dxa"/>
            <w:vAlign w:val="bottom"/>
          </w:tcPr>
          <w:p>
            <w:pPr>
              <w:ind w:left="20"/>
              <w:spacing w:after="0"/>
              <w:rPr>
                <w:sz w:val="20"/>
                <w:szCs w:val="20"/>
                <w:color w:val="auto"/>
              </w:rPr>
            </w:pPr>
            <w:r>
              <w:rPr>
                <w:rFonts w:ascii="Arial" w:cs="Arial" w:eastAsia="Arial" w:hAnsi="Arial"/>
                <w:sz w:val="16"/>
                <w:szCs w:val="16"/>
                <w:color w:val="auto"/>
                <w:w w:val="99"/>
              </w:rPr>
              <w:t>Cost of revenues (exclusive of depreciation and</w:t>
            </w:r>
          </w:p>
        </w:tc>
        <w:tc>
          <w:tcPr>
            <w:tcW w:w="300" w:type="dxa"/>
            <w:vAlign w:val="bottom"/>
          </w:tcPr>
          <w:p>
            <w:pPr>
              <w:spacing w:after="0"/>
              <w:rPr>
                <w:sz w:val="19"/>
                <w:szCs w:val="19"/>
                <w:color w:val="auto"/>
              </w:rPr>
            </w:pPr>
          </w:p>
        </w:tc>
        <w:tc>
          <w:tcPr>
            <w:tcW w:w="1020" w:type="dxa"/>
            <w:vAlign w:val="bottom"/>
            <w:vMerge w:val="restart"/>
          </w:tcPr>
          <w:p>
            <w:pPr>
              <w:jc w:val="right"/>
              <w:ind w:right="19"/>
              <w:spacing w:after="0"/>
              <w:rPr>
                <w:sz w:val="20"/>
                <w:szCs w:val="20"/>
                <w:color w:val="auto"/>
              </w:rPr>
            </w:pPr>
            <w:r>
              <w:rPr>
                <w:rFonts w:ascii="Arial" w:cs="Arial" w:eastAsia="Arial" w:hAnsi="Arial"/>
                <w:sz w:val="16"/>
                <w:szCs w:val="16"/>
                <w:color w:val="auto"/>
              </w:rPr>
              <w:t>447,956</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vMerge w:val="restart"/>
          </w:tcPr>
          <w:p>
            <w:pPr>
              <w:jc w:val="right"/>
              <w:ind w:right="19"/>
              <w:spacing w:after="0"/>
              <w:rPr>
                <w:sz w:val="20"/>
                <w:szCs w:val="20"/>
                <w:color w:val="auto"/>
              </w:rPr>
            </w:pPr>
            <w:r>
              <w:rPr>
                <w:rFonts w:ascii="Arial" w:cs="Arial" w:eastAsia="Arial" w:hAnsi="Arial"/>
                <w:sz w:val="16"/>
                <w:szCs w:val="16"/>
                <w:color w:val="auto"/>
              </w:rPr>
              <w:t>402,917</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vMerge w:val="restart"/>
          </w:tcPr>
          <w:p>
            <w:pPr>
              <w:jc w:val="right"/>
              <w:ind w:right="19"/>
              <w:spacing w:after="0"/>
              <w:rPr>
                <w:sz w:val="20"/>
                <w:szCs w:val="20"/>
                <w:color w:val="auto"/>
              </w:rPr>
            </w:pPr>
            <w:r>
              <w:rPr>
                <w:rFonts w:ascii="Arial" w:cs="Arial" w:eastAsia="Arial" w:hAnsi="Arial"/>
                <w:sz w:val="16"/>
                <w:szCs w:val="16"/>
                <w:color w:val="auto"/>
              </w:rPr>
              <w:t>115,784</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vMerge w:val="restart"/>
          </w:tcPr>
          <w:p>
            <w:pPr>
              <w:jc w:val="right"/>
              <w:ind w:right="19"/>
              <w:spacing w:after="0"/>
              <w:rPr>
                <w:sz w:val="20"/>
                <w:szCs w:val="20"/>
                <w:color w:val="auto"/>
              </w:rPr>
            </w:pPr>
            <w:r>
              <w:rPr>
                <w:rFonts w:ascii="Arial" w:cs="Arial" w:eastAsia="Arial" w:hAnsi="Arial"/>
                <w:sz w:val="16"/>
                <w:szCs w:val="16"/>
                <w:color w:val="auto"/>
              </w:rPr>
              <w:t>106,116</w:t>
            </w:r>
          </w:p>
        </w:tc>
        <w:tc>
          <w:tcPr>
            <w:tcW w:w="0" w:type="dxa"/>
            <w:vAlign w:val="bottom"/>
          </w:tcPr>
          <w:p>
            <w:pPr>
              <w:spacing w:after="0"/>
              <w:rPr>
                <w:sz w:val="1"/>
                <w:szCs w:val="1"/>
                <w:color w:val="auto"/>
              </w:rPr>
            </w:pPr>
          </w:p>
        </w:tc>
      </w:tr>
      <w:tr>
        <w:trPr>
          <w:trHeight w:val="98"/>
        </w:trPr>
        <w:tc>
          <w:tcPr>
            <w:tcW w:w="3380" w:type="dxa"/>
            <w:vAlign w:val="bottom"/>
            <w:vMerge w:val="restart"/>
          </w:tcPr>
          <w:p>
            <w:pPr>
              <w:ind w:left="20"/>
              <w:spacing w:after="0"/>
              <w:rPr>
                <w:sz w:val="20"/>
                <w:szCs w:val="20"/>
                <w:color w:val="auto"/>
              </w:rPr>
            </w:pPr>
            <w:r>
              <w:rPr>
                <w:rFonts w:ascii="Arial" w:cs="Arial" w:eastAsia="Arial" w:hAnsi="Arial"/>
                <w:sz w:val="16"/>
                <w:szCs w:val="16"/>
                <w:color w:val="auto"/>
              </w:rPr>
              <w:t>amortization)</w:t>
            </w:r>
          </w:p>
        </w:tc>
        <w:tc>
          <w:tcPr>
            <w:tcW w:w="30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3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238,032</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225,575</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61,490</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59,742</w:t>
            </w:r>
          </w:p>
        </w:tc>
        <w:tc>
          <w:tcPr>
            <w:tcW w:w="0" w:type="dxa"/>
            <w:vAlign w:val="bottom"/>
          </w:tcPr>
          <w:p>
            <w:pPr>
              <w:spacing w:after="0"/>
              <w:rPr>
                <w:sz w:val="1"/>
                <w:szCs w:val="1"/>
                <w:color w:val="auto"/>
              </w:rPr>
            </w:pPr>
          </w:p>
        </w:tc>
      </w:tr>
      <w:tr>
        <w:trPr>
          <w:trHeight w:val="231"/>
        </w:trPr>
        <w:tc>
          <w:tcPr>
            <w:tcW w:w="338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3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General and administrative expenses</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88,648</w:t>
            </w:r>
          </w:p>
        </w:tc>
        <w:tc>
          <w:tcPr>
            <w:tcW w:w="1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77,293</w:t>
            </w:r>
          </w:p>
        </w:tc>
        <w:tc>
          <w:tcPr>
            <w:tcW w:w="1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25,028</w:t>
            </w:r>
          </w:p>
        </w:tc>
        <w:tc>
          <w:tcPr>
            <w:tcW w:w="2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19,865</w:t>
            </w:r>
          </w:p>
        </w:tc>
        <w:tc>
          <w:tcPr>
            <w:tcW w:w="0" w:type="dxa"/>
            <w:vAlign w:val="bottom"/>
          </w:tcPr>
          <w:p>
            <w:pPr>
              <w:spacing w:after="0"/>
              <w:rPr>
                <w:sz w:val="1"/>
                <w:szCs w:val="1"/>
                <w:color w:val="auto"/>
              </w:rPr>
            </w:pPr>
          </w:p>
        </w:tc>
      </w:tr>
      <w:tr>
        <w:trPr>
          <w:trHeight w:val="224"/>
        </w:trPr>
        <w:tc>
          <w:tcPr>
            <w:tcW w:w="3380" w:type="dxa"/>
            <w:vAlign w:val="bottom"/>
          </w:tcPr>
          <w:p>
            <w:pPr>
              <w:ind w:left="260"/>
              <w:spacing w:after="0"/>
              <w:rPr>
                <w:sz w:val="20"/>
                <w:szCs w:val="20"/>
                <w:color w:val="auto"/>
              </w:rPr>
            </w:pPr>
            <w:r>
              <w:rPr>
                <w:rFonts w:ascii="Arial" w:cs="Arial" w:eastAsia="Arial" w:hAnsi="Arial"/>
                <w:sz w:val="16"/>
                <w:szCs w:val="16"/>
                <w:color w:val="auto"/>
              </w:rPr>
              <w:t>Selling and marketing expenses</w:t>
            </w:r>
          </w:p>
        </w:tc>
        <w:tc>
          <w:tcPr>
            <w:tcW w:w="30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50,582</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49,474</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12,707</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13,705</w:t>
            </w:r>
          </w:p>
        </w:tc>
        <w:tc>
          <w:tcPr>
            <w:tcW w:w="0" w:type="dxa"/>
            <w:vAlign w:val="bottom"/>
          </w:tcPr>
          <w:p>
            <w:pPr>
              <w:spacing w:after="0"/>
              <w:rPr>
                <w:sz w:val="1"/>
                <w:szCs w:val="1"/>
                <w:color w:val="auto"/>
              </w:rPr>
            </w:pPr>
          </w:p>
        </w:tc>
      </w:tr>
      <w:tr>
        <w:trPr>
          <w:trHeight w:val="47"/>
        </w:trPr>
        <w:tc>
          <w:tcPr>
            <w:tcW w:w="3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Depreciation and amortization</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34,580</w:t>
            </w:r>
          </w:p>
        </w:tc>
        <w:tc>
          <w:tcPr>
            <w:tcW w:w="1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31,465</w:t>
            </w:r>
          </w:p>
        </w:tc>
        <w:tc>
          <w:tcPr>
            <w:tcW w:w="1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9,580</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8,294</w:t>
            </w:r>
          </w:p>
        </w:tc>
        <w:tc>
          <w:tcPr>
            <w:tcW w:w="0" w:type="dxa"/>
            <w:vAlign w:val="bottom"/>
          </w:tcPr>
          <w:p>
            <w:pPr>
              <w:spacing w:after="0"/>
              <w:rPr>
                <w:sz w:val="1"/>
                <w:szCs w:val="1"/>
                <w:color w:val="auto"/>
              </w:rPr>
            </w:pPr>
          </w:p>
        </w:tc>
      </w:tr>
      <w:tr>
        <w:trPr>
          <w:trHeight w:val="217"/>
        </w:trPr>
        <w:tc>
          <w:tcPr>
            <w:tcW w:w="3380" w:type="dxa"/>
            <w:vAlign w:val="bottom"/>
          </w:tcPr>
          <w:p>
            <w:pPr>
              <w:ind w:left="2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173,810</w:t>
            </w:r>
          </w:p>
        </w:tc>
        <w:tc>
          <w:tcPr>
            <w:tcW w:w="1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158,232</w:t>
            </w:r>
          </w:p>
        </w:tc>
        <w:tc>
          <w:tcPr>
            <w:tcW w:w="1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47,315</w:t>
            </w:r>
          </w:p>
        </w:tc>
        <w:tc>
          <w:tcPr>
            <w:tcW w:w="2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41,864</w:t>
            </w:r>
          </w:p>
        </w:tc>
        <w:tc>
          <w:tcPr>
            <w:tcW w:w="0" w:type="dxa"/>
            <w:vAlign w:val="bottom"/>
          </w:tcPr>
          <w:p>
            <w:pPr>
              <w:spacing w:after="0"/>
              <w:rPr>
                <w:sz w:val="1"/>
                <w:szCs w:val="1"/>
                <w:color w:val="auto"/>
              </w:rPr>
            </w:pPr>
          </w:p>
        </w:tc>
      </w:tr>
      <w:tr>
        <w:trPr>
          <w:trHeight w:val="47"/>
        </w:trPr>
        <w:tc>
          <w:tcPr>
            <w:tcW w:w="33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64,222</w:t>
            </w:r>
          </w:p>
        </w:tc>
        <w:tc>
          <w:tcPr>
            <w:tcW w:w="1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67,343</w:t>
            </w:r>
          </w:p>
        </w:tc>
        <w:tc>
          <w:tcPr>
            <w:tcW w:w="1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14,175</w:t>
            </w:r>
          </w:p>
        </w:tc>
        <w:tc>
          <w:tcPr>
            <w:tcW w:w="2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17,878</w:t>
            </w:r>
          </w:p>
        </w:tc>
        <w:tc>
          <w:tcPr>
            <w:tcW w:w="0" w:type="dxa"/>
            <w:vAlign w:val="bottom"/>
          </w:tcPr>
          <w:p>
            <w:pPr>
              <w:spacing w:after="0"/>
              <w:rPr>
                <w:sz w:val="1"/>
                <w:szCs w:val="1"/>
                <w:color w:val="auto"/>
              </w:rPr>
            </w:pPr>
          </w:p>
        </w:tc>
      </w:tr>
      <w:tr>
        <w:trPr>
          <w:trHeight w:val="224"/>
        </w:trPr>
        <w:tc>
          <w:tcPr>
            <w:tcW w:w="3380" w:type="dxa"/>
            <w:vAlign w:val="bottom"/>
          </w:tcPr>
          <w:p>
            <w:pPr>
              <w:ind w:left="20"/>
              <w:spacing w:after="0"/>
              <w:rPr>
                <w:sz w:val="20"/>
                <w:szCs w:val="20"/>
                <w:color w:val="auto"/>
              </w:rPr>
            </w:pPr>
            <w:r>
              <w:rPr>
                <w:rFonts w:ascii="Arial" w:cs="Arial" w:eastAsia="Arial" w:hAnsi="Arial"/>
                <w:sz w:val="16"/>
                <w:szCs w:val="16"/>
                <w:color w:val="auto"/>
              </w:rPr>
              <w:t>Foreign exchange gain, net</w:t>
            </w:r>
          </w:p>
        </w:tc>
        <w:tc>
          <w:tcPr>
            <w:tcW w:w="30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5,597</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2,744</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2,024</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397</w:t>
            </w:r>
          </w:p>
        </w:tc>
        <w:tc>
          <w:tcPr>
            <w:tcW w:w="0" w:type="dxa"/>
            <w:vAlign w:val="bottom"/>
          </w:tcPr>
          <w:p>
            <w:pPr>
              <w:spacing w:after="0"/>
              <w:rPr>
                <w:sz w:val="1"/>
                <w:szCs w:val="1"/>
                <w:color w:val="auto"/>
              </w:rPr>
            </w:pPr>
          </w:p>
        </w:tc>
      </w:tr>
      <w:tr>
        <w:trPr>
          <w:trHeight w:val="47"/>
        </w:trPr>
        <w:tc>
          <w:tcPr>
            <w:tcW w:w="3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(1,343)</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(1,338)</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0" w:type="dxa"/>
            <w:vAlign w:val="bottom"/>
          </w:tcPr>
          <w:p>
            <w:pPr>
              <w:spacing w:after="0"/>
              <w:rPr>
                <w:sz w:val="1"/>
                <w:szCs w:val="1"/>
                <w:color w:val="auto"/>
              </w:rPr>
            </w:pPr>
          </w:p>
        </w:tc>
      </w:tr>
      <w:tr>
        <w:trPr>
          <w:trHeight w:val="224"/>
        </w:trPr>
        <w:tc>
          <w:tcPr>
            <w:tcW w:w="3380" w:type="dxa"/>
            <w:vAlign w:val="bottom"/>
          </w:tcPr>
          <w:p>
            <w:pPr>
              <w:ind w:left="20"/>
              <w:spacing w:after="0"/>
              <w:rPr>
                <w:sz w:val="20"/>
                <w:szCs w:val="20"/>
                <w:color w:val="auto"/>
              </w:rPr>
            </w:pPr>
            <w:r>
              <w:rPr>
                <w:rFonts w:ascii="Arial" w:cs="Arial" w:eastAsia="Arial" w:hAnsi="Arial"/>
                <w:sz w:val="16"/>
                <w:szCs w:val="16"/>
                <w:color w:val="auto"/>
              </w:rPr>
              <w:t>Other income, net</w:t>
            </w:r>
          </w:p>
        </w:tc>
        <w:tc>
          <w:tcPr>
            <w:tcW w:w="30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15,408</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7,027</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3,211</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1,744</w:t>
            </w:r>
          </w:p>
        </w:tc>
        <w:tc>
          <w:tcPr>
            <w:tcW w:w="0" w:type="dxa"/>
            <w:vAlign w:val="bottom"/>
          </w:tcPr>
          <w:p>
            <w:pPr>
              <w:spacing w:after="0"/>
              <w:rPr>
                <w:sz w:val="1"/>
                <w:szCs w:val="1"/>
                <w:color w:val="auto"/>
              </w:rPr>
            </w:pPr>
          </w:p>
        </w:tc>
      </w:tr>
      <w:tr>
        <w:trPr>
          <w:trHeight w:val="47"/>
        </w:trPr>
        <w:tc>
          <w:tcPr>
            <w:tcW w:w="33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83,884</w:t>
            </w:r>
          </w:p>
        </w:tc>
        <w:tc>
          <w:tcPr>
            <w:tcW w:w="1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75,776</w:t>
            </w:r>
          </w:p>
        </w:tc>
        <w:tc>
          <w:tcPr>
            <w:tcW w:w="1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19,090</w:t>
            </w:r>
          </w:p>
        </w:tc>
        <w:tc>
          <w:tcPr>
            <w:tcW w:w="2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19,664</w:t>
            </w:r>
          </w:p>
        </w:tc>
        <w:tc>
          <w:tcPr>
            <w:tcW w:w="0" w:type="dxa"/>
            <w:vAlign w:val="bottom"/>
          </w:tcPr>
          <w:p>
            <w:pPr>
              <w:spacing w:after="0"/>
              <w:rPr>
                <w:sz w:val="1"/>
                <w:szCs w:val="1"/>
                <w:color w:val="auto"/>
              </w:rPr>
            </w:pPr>
          </w:p>
        </w:tc>
      </w:tr>
      <w:tr>
        <w:trPr>
          <w:trHeight w:val="224"/>
        </w:trPr>
        <w:tc>
          <w:tcPr>
            <w:tcW w:w="338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30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22,151</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24,211</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3,602</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4,902</w:t>
            </w:r>
          </w:p>
        </w:tc>
        <w:tc>
          <w:tcPr>
            <w:tcW w:w="0" w:type="dxa"/>
            <w:vAlign w:val="bottom"/>
          </w:tcPr>
          <w:p>
            <w:pPr>
              <w:spacing w:after="0"/>
              <w:rPr>
                <w:sz w:val="1"/>
                <w:szCs w:val="1"/>
                <w:color w:val="auto"/>
              </w:rPr>
            </w:pPr>
          </w:p>
        </w:tc>
      </w:tr>
      <w:tr>
        <w:trPr>
          <w:trHeight w:val="47"/>
        </w:trPr>
        <w:tc>
          <w:tcPr>
            <w:tcW w:w="33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61,733</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51,565</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15,488</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14,762</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Earnings per share:</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3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3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3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Basic</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w:t>
            </w:r>
          </w:p>
        </w:tc>
        <w:tc>
          <w:tcPr>
            <w:tcW w:w="1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w:t>
            </w:r>
          </w:p>
        </w:tc>
        <w:tc>
          <w:tcPr>
            <w:tcW w:w="1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0.46</w:t>
            </w:r>
          </w:p>
        </w:tc>
        <w:tc>
          <w:tcPr>
            <w:tcW w:w="2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0.44</w:t>
            </w:r>
          </w:p>
        </w:tc>
        <w:tc>
          <w:tcPr>
            <w:tcW w:w="0" w:type="dxa"/>
            <w:vAlign w:val="bottom"/>
          </w:tcPr>
          <w:p>
            <w:pPr>
              <w:spacing w:after="0"/>
              <w:rPr>
                <w:sz w:val="1"/>
                <w:szCs w:val="1"/>
                <w:color w:val="auto"/>
              </w:rPr>
            </w:pPr>
          </w:p>
        </w:tc>
      </w:tr>
      <w:tr>
        <w:trPr>
          <w:trHeight w:val="224"/>
        </w:trPr>
        <w:tc>
          <w:tcPr>
            <w:tcW w:w="3380" w:type="dxa"/>
            <w:vAlign w:val="bottom"/>
          </w:tcPr>
          <w:p>
            <w:pPr>
              <w:ind w:left="500"/>
              <w:spacing w:after="0"/>
              <w:rPr>
                <w:sz w:val="20"/>
                <w:szCs w:val="20"/>
                <w:color w:val="auto"/>
              </w:rPr>
            </w:pPr>
            <w:r>
              <w:rPr>
                <w:rFonts w:ascii="Arial" w:cs="Arial" w:eastAsia="Arial" w:hAnsi="Arial"/>
                <w:sz w:val="16"/>
                <w:szCs w:val="16"/>
                <w:color w:val="auto"/>
              </w:rPr>
              <w:t>Diluted</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1.79</w:t>
            </w:r>
          </w:p>
        </w:tc>
        <w:tc>
          <w:tcPr>
            <w:tcW w:w="18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1.51</w:t>
            </w:r>
          </w:p>
        </w:tc>
        <w:tc>
          <w:tcPr>
            <w:tcW w:w="18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0.45</w:t>
            </w:r>
          </w:p>
        </w:tc>
        <w:tc>
          <w:tcPr>
            <w:tcW w:w="22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0.43</w:t>
            </w:r>
          </w:p>
        </w:tc>
        <w:tc>
          <w:tcPr>
            <w:tcW w:w="0" w:type="dxa"/>
            <w:vAlign w:val="bottom"/>
          </w:tcPr>
          <w:p>
            <w:pPr>
              <w:spacing w:after="0"/>
              <w:rPr>
                <w:sz w:val="1"/>
                <w:szCs w:val="1"/>
                <w:color w:val="auto"/>
              </w:rPr>
            </w:pPr>
          </w:p>
        </w:tc>
      </w:tr>
      <w:tr>
        <w:trPr>
          <w:trHeight w:val="47"/>
        </w:trPr>
        <w:tc>
          <w:tcPr>
            <w:tcW w:w="4700" w:type="dxa"/>
            <w:vAlign w:val="bottom"/>
            <w:gridSpan w:val="3"/>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8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w w:val="90"/>
              </w:rPr>
              <w:t>Weighted-average number of shares used in computing earnings per share:</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380" w:type="dxa"/>
            <w:vAlign w:val="bottom"/>
          </w:tcPr>
          <w:p>
            <w:pPr>
              <w:ind w:left="500"/>
              <w:spacing w:after="0"/>
              <w:rPr>
                <w:sz w:val="20"/>
                <w:szCs w:val="20"/>
                <w:color w:val="auto"/>
              </w:rPr>
            </w:pPr>
            <w:r>
              <w:rPr>
                <w:rFonts w:ascii="Arial" w:cs="Arial" w:eastAsia="Arial" w:hAnsi="Arial"/>
                <w:sz w:val="16"/>
                <w:szCs w:val="16"/>
                <w:color w:val="auto"/>
              </w:rPr>
              <w:t>Basic</w:t>
            </w:r>
          </w:p>
        </w:tc>
        <w:tc>
          <w:tcPr>
            <w:tcW w:w="30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33,566,367</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33,298,104</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33,638,170</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33,231,716</w:t>
            </w:r>
          </w:p>
        </w:tc>
        <w:tc>
          <w:tcPr>
            <w:tcW w:w="0" w:type="dxa"/>
            <w:vAlign w:val="bottom"/>
          </w:tcPr>
          <w:p>
            <w:pPr>
              <w:spacing w:after="0"/>
              <w:rPr>
                <w:sz w:val="1"/>
                <w:szCs w:val="1"/>
                <w:color w:val="auto"/>
              </w:rPr>
            </w:pPr>
          </w:p>
        </w:tc>
      </w:tr>
      <w:tr>
        <w:trPr>
          <w:trHeight w:val="47"/>
        </w:trPr>
        <w:tc>
          <w:tcPr>
            <w:tcW w:w="3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3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Diluted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34,563,319</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34,178,340</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34,714,308</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34,272,731</w:t>
            </w:r>
          </w:p>
        </w:tc>
        <w:tc>
          <w:tcPr>
            <w:tcW w:w="0" w:type="dxa"/>
            <w:vAlign w:val="bottom"/>
          </w:tcPr>
          <w:p>
            <w:pPr>
              <w:spacing w:after="0"/>
              <w:rPr>
                <w:sz w:val="1"/>
                <w:szCs w:val="1"/>
                <w:color w:val="auto"/>
              </w:rPr>
            </w:pPr>
          </w:p>
        </w:tc>
      </w:tr>
      <w:tr>
        <w:trPr>
          <w:trHeight w:val="47"/>
        </w:trPr>
        <w:tc>
          <w:tcPr>
            <w:tcW w:w="338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102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102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124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11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9600"/>
          </w:cols>
          <w:pgMar w:left="1160" w:top="796" w:right="113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2016</w:t>
            </w:r>
          </w:p>
        </w:tc>
        <w:tc>
          <w:tcPr>
            <w:tcW w:w="160" w:type="dxa"/>
            <w:vAlign w:val="bottom"/>
          </w:tcPr>
          <w:p>
            <w:pPr>
              <w:spacing w:after="0"/>
              <w:rPr>
                <w:sz w:val="18"/>
                <w:szCs w:val="18"/>
                <w:color w:val="auto"/>
              </w:rPr>
            </w:pPr>
          </w:p>
        </w:tc>
        <w:tc>
          <w:tcPr>
            <w:tcW w:w="154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December 31, 2015</w:t>
            </w:r>
          </w:p>
        </w:tc>
        <w:tc>
          <w:tcPr>
            <w:tcW w:w="0" w:type="dxa"/>
            <w:vAlign w:val="bottom"/>
          </w:tcPr>
          <w:p>
            <w:pPr>
              <w:spacing w:after="0"/>
              <w:rPr>
                <w:sz w:val="1"/>
                <w:szCs w:val="1"/>
                <w:color w:val="auto"/>
              </w:rPr>
            </w:pPr>
          </w:p>
        </w:tc>
      </w:tr>
      <w:tr>
        <w:trPr>
          <w:trHeight w:val="33"/>
        </w:trPr>
        <w:tc>
          <w:tcPr>
            <w:tcW w:w="7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78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78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8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213,155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205,323</w:t>
            </w:r>
          </w:p>
        </w:tc>
        <w:tc>
          <w:tcPr>
            <w:tcW w:w="0" w:type="dxa"/>
            <w:vAlign w:val="bottom"/>
          </w:tcPr>
          <w:p>
            <w:pPr>
              <w:spacing w:after="0"/>
              <w:rPr>
                <w:sz w:val="1"/>
                <w:szCs w:val="1"/>
                <w:color w:val="auto"/>
              </w:rPr>
            </w:pPr>
          </w:p>
        </w:tc>
      </w:tr>
      <w:tr>
        <w:trPr>
          <w:trHeight w:val="237"/>
        </w:trPr>
        <w:tc>
          <w:tcPr>
            <w:tcW w:w="7840" w:type="dxa"/>
            <w:vAlign w:val="bottom"/>
          </w:tcPr>
          <w:p>
            <w:pPr>
              <w:ind w:left="380"/>
              <w:spacing w:after="0"/>
              <w:rPr>
                <w:sz w:val="20"/>
                <w:szCs w:val="20"/>
                <w:color w:val="auto"/>
              </w:rPr>
            </w:pPr>
            <w:r>
              <w:rPr>
                <w:rFonts w:ascii="Arial" w:cs="Arial" w:eastAsia="Arial" w:hAnsi="Arial"/>
                <w:sz w:val="16"/>
                <w:szCs w:val="16"/>
                <w:color w:val="auto"/>
              </w:rPr>
              <w:t>Short-term investments</w:t>
            </w:r>
          </w:p>
        </w:tc>
        <w:tc>
          <w:tcPr>
            <w:tcW w:w="1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13,491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13,676</w:t>
            </w:r>
          </w:p>
        </w:tc>
        <w:tc>
          <w:tcPr>
            <w:tcW w:w="0" w:type="dxa"/>
            <w:vAlign w:val="bottom"/>
          </w:tcPr>
          <w:p>
            <w:pPr>
              <w:spacing w:after="0"/>
              <w:rPr>
                <w:sz w:val="1"/>
                <w:szCs w:val="1"/>
                <w:color w:val="auto"/>
              </w:rPr>
            </w:pPr>
          </w:p>
        </w:tc>
      </w:tr>
      <w:tr>
        <w:trPr>
          <w:trHeight w:val="33"/>
        </w:trPr>
        <w:tc>
          <w:tcPr>
            <w:tcW w:w="7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Restricted cash</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1,872</w:t>
            </w:r>
          </w:p>
        </w:tc>
        <w:tc>
          <w:tcPr>
            <w:tcW w:w="0" w:type="dxa"/>
            <w:vAlign w:val="bottom"/>
          </w:tcPr>
          <w:p>
            <w:pPr>
              <w:spacing w:after="0"/>
              <w:rPr>
                <w:sz w:val="1"/>
                <w:szCs w:val="1"/>
                <w:color w:val="auto"/>
              </w:rPr>
            </w:pPr>
          </w:p>
        </w:tc>
      </w:tr>
      <w:tr>
        <w:trPr>
          <w:trHeight w:val="237"/>
        </w:trPr>
        <w:tc>
          <w:tcPr>
            <w:tcW w:w="7840" w:type="dxa"/>
            <w:vAlign w:val="bottom"/>
          </w:tcPr>
          <w:p>
            <w:pPr>
              <w:ind w:left="380"/>
              <w:spacing w:after="0"/>
              <w:rPr>
                <w:sz w:val="20"/>
                <w:szCs w:val="20"/>
                <w:color w:val="auto"/>
              </w:rPr>
            </w:pPr>
            <w:r>
              <w:rPr>
                <w:rFonts w:ascii="Arial" w:cs="Arial" w:eastAsia="Arial" w:hAnsi="Arial"/>
                <w:sz w:val="16"/>
                <w:szCs w:val="16"/>
                <w:color w:val="auto"/>
              </w:rPr>
              <w:t>Accounts receivable, net</w:t>
            </w:r>
          </w:p>
        </w:tc>
        <w:tc>
          <w:tcPr>
            <w:tcW w:w="1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113,067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92,650</w:t>
            </w:r>
          </w:p>
        </w:tc>
        <w:tc>
          <w:tcPr>
            <w:tcW w:w="0" w:type="dxa"/>
            <w:vAlign w:val="bottom"/>
          </w:tcPr>
          <w:p>
            <w:pPr>
              <w:spacing w:after="0"/>
              <w:rPr>
                <w:sz w:val="1"/>
                <w:szCs w:val="1"/>
                <w:color w:val="auto"/>
              </w:rPr>
            </w:pPr>
          </w:p>
        </w:tc>
      </w:tr>
      <w:tr>
        <w:trPr>
          <w:trHeight w:val="33"/>
        </w:trPr>
        <w:tc>
          <w:tcPr>
            <w:tcW w:w="7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8,027</w:t>
            </w:r>
          </w:p>
        </w:tc>
        <w:tc>
          <w:tcPr>
            <w:tcW w:w="0" w:type="dxa"/>
            <w:vAlign w:val="bottom"/>
          </w:tcPr>
          <w:p>
            <w:pPr>
              <w:spacing w:after="0"/>
              <w:rPr>
                <w:sz w:val="1"/>
                <w:szCs w:val="1"/>
                <w:color w:val="auto"/>
              </w:rPr>
            </w:pPr>
          </w:p>
        </w:tc>
      </w:tr>
      <w:tr>
        <w:trPr>
          <w:trHeight w:val="237"/>
        </w:trPr>
        <w:tc>
          <w:tcPr>
            <w:tcW w:w="7840" w:type="dxa"/>
            <w:vAlign w:val="bottom"/>
          </w:tcPr>
          <w:p>
            <w:pPr>
              <w:ind w:left="380"/>
              <w:spacing w:after="0"/>
              <w:rPr>
                <w:sz w:val="20"/>
                <w:szCs w:val="20"/>
                <w:color w:val="auto"/>
              </w:rPr>
            </w:pPr>
            <w:r>
              <w:rPr>
                <w:rFonts w:ascii="Arial" w:cs="Arial" w:eastAsia="Arial" w:hAnsi="Arial"/>
                <w:sz w:val="16"/>
                <w:szCs w:val="16"/>
                <w:color w:val="auto"/>
              </w:rPr>
              <w:t>Advance income tax, net</w:t>
            </w:r>
          </w:p>
        </w:tc>
        <w:tc>
          <w:tcPr>
            <w:tcW w:w="1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6,242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2,432</w:t>
            </w:r>
          </w:p>
        </w:tc>
        <w:tc>
          <w:tcPr>
            <w:tcW w:w="0" w:type="dxa"/>
            <w:vAlign w:val="bottom"/>
          </w:tcPr>
          <w:p>
            <w:pPr>
              <w:spacing w:after="0"/>
              <w:rPr>
                <w:sz w:val="1"/>
                <w:szCs w:val="1"/>
                <w:color w:val="auto"/>
              </w:rPr>
            </w:pPr>
          </w:p>
        </w:tc>
      </w:tr>
      <w:tr>
        <w:trPr>
          <w:trHeight w:val="33"/>
        </w:trPr>
        <w:tc>
          <w:tcPr>
            <w:tcW w:w="7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21,168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15,219</w:t>
            </w:r>
          </w:p>
        </w:tc>
        <w:tc>
          <w:tcPr>
            <w:tcW w:w="0" w:type="dxa"/>
            <w:vAlign w:val="bottom"/>
          </w:tcPr>
          <w:p>
            <w:pPr>
              <w:spacing w:after="0"/>
              <w:rPr>
                <w:sz w:val="1"/>
                <w:szCs w:val="1"/>
                <w:color w:val="auto"/>
              </w:rPr>
            </w:pPr>
          </w:p>
        </w:tc>
      </w:tr>
      <w:tr>
        <w:trPr>
          <w:trHeight w:val="217"/>
        </w:trPr>
        <w:tc>
          <w:tcPr>
            <w:tcW w:w="7840" w:type="dxa"/>
            <w:vAlign w:val="bottom"/>
          </w:tcPr>
          <w:p>
            <w:pPr>
              <w:ind w:left="20"/>
              <w:spacing w:after="0"/>
              <w:rPr>
                <w:sz w:val="20"/>
                <w:szCs w:val="20"/>
                <w:color w:val="auto"/>
              </w:rPr>
            </w:pPr>
            <w:r>
              <w:rPr>
                <w:rFonts w:ascii="Arial" w:cs="Arial" w:eastAsia="Arial" w:hAnsi="Arial"/>
                <w:sz w:val="16"/>
                <w:szCs w:val="16"/>
                <w:color w:val="auto"/>
              </w:rPr>
              <w:t>Total current assets</w:t>
            </w:r>
          </w:p>
        </w:tc>
        <w:tc>
          <w:tcPr>
            <w:tcW w:w="1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378,824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339,199</w:t>
            </w:r>
          </w:p>
        </w:tc>
        <w:tc>
          <w:tcPr>
            <w:tcW w:w="0" w:type="dxa"/>
            <w:vAlign w:val="bottom"/>
          </w:tcPr>
          <w:p>
            <w:pPr>
              <w:spacing w:after="0"/>
              <w:rPr>
                <w:sz w:val="1"/>
                <w:szCs w:val="1"/>
                <w:color w:val="auto"/>
              </w:rPr>
            </w:pPr>
          </w:p>
        </w:tc>
      </w:tr>
      <w:tr>
        <w:trPr>
          <w:trHeight w:val="33"/>
        </w:trPr>
        <w:tc>
          <w:tcPr>
            <w:tcW w:w="7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1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49,029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47,991</w:t>
            </w:r>
          </w:p>
        </w:tc>
        <w:tc>
          <w:tcPr>
            <w:tcW w:w="0" w:type="dxa"/>
            <w:vAlign w:val="bottom"/>
          </w:tcPr>
          <w:p>
            <w:pPr>
              <w:spacing w:after="0"/>
              <w:rPr>
                <w:sz w:val="1"/>
                <w:szCs w:val="1"/>
                <w:color w:val="auto"/>
              </w:rPr>
            </w:pPr>
          </w:p>
        </w:tc>
      </w:tr>
      <w:tr>
        <w:trPr>
          <w:trHeight w:val="237"/>
        </w:trPr>
        <w:tc>
          <w:tcPr>
            <w:tcW w:w="784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1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3,393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3,319</w:t>
            </w:r>
          </w:p>
        </w:tc>
        <w:tc>
          <w:tcPr>
            <w:tcW w:w="0" w:type="dxa"/>
            <w:vAlign w:val="bottom"/>
          </w:tcPr>
          <w:p>
            <w:pPr>
              <w:spacing w:after="0"/>
              <w:rPr>
                <w:sz w:val="1"/>
                <w:szCs w:val="1"/>
                <w:color w:val="auto"/>
              </w:rPr>
            </w:pPr>
          </w:p>
        </w:tc>
      </w:tr>
      <w:tr>
        <w:trPr>
          <w:trHeight w:val="33"/>
        </w:trPr>
        <w:tc>
          <w:tcPr>
            <w:tcW w:w="7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taxes, net</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14,799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13,749</w:t>
            </w:r>
          </w:p>
        </w:tc>
        <w:tc>
          <w:tcPr>
            <w:tcW w:w="0" w:type="dxa"/>
            <w:vAlign w:val="bottom"/>
          </w:tcPr>
          <w:p>
            <w:pPr>
              <w:spacing w:after="0"/>
              <w:rPr>
                <w:sz w:val="1"/>
                <w:szCs w:val="1"/>
                <w:color w:val="auto"/>
              </w:rPr>
            </w:pPr>
          </w:p>
        </w:tc>
      </w:tr>
      <w:tr>
        <w:trPr>
          <w:trHeight w:val="237"/>
        </w:trPr>
        <w:tc>
          <w:tcPr>
            <w:tcW w:w="784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1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53,770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52,733</w:t>
            </w:r>
          </w:p>
        </w:tc>
        <w:tc>
          <w:tcPr>
            <w:tcW w:w="0" w:type="dxa"/>
            <w:vAlign w:val="bottom"/>
          </w:tcPr>
          <w:p>
            <w:pPr>
              <w:spacing w:after="0"/>
              <w:rPr>
                <w:sz w:val="1"/>
                <w:szCs w:val="1"/>
                <w:color w:val="auto"/>
              </w:rPr>
            </w:pPr>
          </w:p>
        </w:tc>
      </w:tr>
      <w:tr>
        <w:trPr>
          <w:trHeight w:val="33"/>
        </w:trPr>
        <w:tc>
          <w:tcPr>
            <w:tcW w:w="7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186,770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171,535</w:t>
            </w:r>
          </w:p>
        </w:tc>
        <w:tc>
          <w:tcPr>
            <w:tcW w:w="0" w:type="dxa"/>
            <w:vAlign w:val="bottom"/>
          </w:tcPr>
          <w:p>
            <w:pPr>
              <w:spacing w:after="0"/>
              <w:rPr>
                <w:sz w:val="1"/>
                <w:szCs w:val="1"/>
                <w:color w:val="auto"/>
              </w:rPr>
            </w:pPr>
          </w:p>
        </w:tc>
      </w:tr>
      <w:tr>
        <w:trPr>
          <w:trHeight w:val="237"/>
        </w:trPr>
        <w:tc>
          <w:tcPr>
            <w:tcW w:w="784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1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19,943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22,257</w:t>
            </w:r>
          </w:p>
        </w:tc>
        <w:tc>
          <w:tcPr>
            <w:tcW w:w="0" w:type="dxa"/>
            <w:vAlign w:val="bottom"/>
          </w:tcPr>
          <w:p>
            <w:pPr>
              <w:spacing w:after="0"/>
              <w:rPr>
                <w:sz w:val="1"/>
                <w:szCs w:val="1"/>
                <w:color w:val="auto"/>
              </w:rPr>
            </w:pPr>
          </w:p>
        </w:tc>
      </w:tr>
      <w:tr>
        <w:trPr>
          <w:trHeight w:val="33"/>
        </w:trPr>
        <w:tc>
          <w:tcPr>
            <w:tcW w:w="7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706,528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650,783</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8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78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840" w:type="dxa"/>
            <w:vAlign w:val="bottom"/>
          </w:tcPr>
          <w:p>
            <w:pPr>
              <w:ind w:left="380"/>
              <w:spacing w:after="0"/>
              <w:rPr>
                <w:sz w:val="20"/>
                <w:szCs w:val="20"/>
                <w:color w:val="auto"/>
              </w:rPr>
            </w:pPr>
            <w:r>
              <w:rPr>
                <w:rFonts w:ascii="Arial" w:cs="Arial" w:eastAsia="Arial" w:hAnsi="Arial"/>
                <w:sz w:val="16"/>
                <w:szCs w:val="16"/>
                <w:color w:val="auto"/>
              </w:rPr>
              <w:t>Accounts payable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3,288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6,401</w:t>
            </w:r>
          </w:p>
        </w:tc>
        <w:tc>
          <w:tcPr>
            <w:tcW w:w="0" w:type="dxa"/>
            <w:vAlign w:val="bottom"/>
          </w:tcPr>
          <w:p>
            <w:pPr>
              <w:spacing w:after="0"/>
              <w:rPr>
                <w:sz w:val="1"/>
                <w:szCs w:val="1"/>
                <w:color w:val="auto"/>
              </w:rPr>
            </w:pPr>
          </w:p>
        </w:tc>
      </w:tr>
      <w:tr>
        <w:trPr>
          <w:trHeight w:val="33"/>
        </w:trPr>
        <w:tc>
          <w:tcPr>
            <w:tcW w:w="7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Short-term borrowings</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37"/>
        </w:trPr>
        <w:tc>
          <w:tcPr>
            <w:tcW w:w="7840" w:type="dxa"/>
            <w:vAlign w:val="bottom"/>
          </w:tcPr>
          <w:p>
            <w:pPr>
              <w:ind w:left="380"/>
              <w:spacing w:after="0"/>
              <w:rPr>
                <w:sz w:val="20"/>
                <w:szCs w:val="20"/>
                <w:color w:val="auto"/>
              </w:rPr>
            </w:pPr>
            <w:r>
              <w:rPr>
                <w:rFonts w:ascii="Arial" w:cs="Arial" w:eastAsia="Arial" w:hAnsi="Arial"/>
                <w:sz w:val="16"/>
                <w:szCs w:val="16"/>
                <w:color w:val="auto"/>
              </w:rPr>
              <w:t>Deferred revenue</w:t>
            </w:r>
          </w:p>
        </w:tc>
        <w:tc>
          <w:tcPr>
            <w:tcW w:w="1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16,615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11,518</w:t>
            </w:r>
          </w:p>
        </w:tc>
        <w:tc>
          <w:tcPr>
            <w:tcW w:w="0" w:type="dxa"/>
            <w:vAlign w:val="bottom"/>
          </w:tcPr>
          <w:p>
            <w:pPr>
              <w:spacing w:after="0"/>
              <w:rPr>
                <w:sz w:val="1"/>
                <w:szCs w:val="1"/>
                <w:color w:val="auto"/>
              </w:rPr>
            </w:pPr>
          </w:p>
        </w:tc>
      </w:tr>
      <w:tr>
        <w:trPr>
          <w:trHeight w:val="33"/>
        </w:trPr>
        <w:tc>
          <w:tcPr>
            <w:tcW w:w="7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employee cost</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50,832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44,526</w:t>
            </w:r>
          </w:p>
        </w:tc>
        <w:tc>
          <w:tcPr>
            <w:tcW w:w="0" w:type="dxa"/>
            <w:vAlign w:val="bottom"/>
          </w:tcPr>
          <w:p>
            <w:pPr>
              <w:spacing w:after="0"/>
              <w:rPr>
                <w:sz w:val="1"/>
                <w:szCs w:val="1"/>
                <w:color w:val="auto"/>
              </w:rPr>
            </w:pPr>
          </w:p>
        </w:tc>
      </w:tr>
      <w:tr>
        <w:trPr>
          <w:trHeight w:val="237"/>
        </w:trPr>
        <w:tc>
          <w:tcPr>
            <w:tcW w:w="7840" w:type="dxa"/>
            <w:vAlign w:val="bottom"/>
          </w:tcPr>
          <w:p>
            <w:pPr>
              <w:ind w:left="380"/>
              <w:spacing w:after="0"/>
              <w:rPr>
                <w:sz w:val="20"/>
                <w:szCs w:val="20"/>
                <w:color w:val="auto"/>
              </w:rPr>
            </w:pPr>
            <w:r>
              <w:rPr>
                <w:rFonts w:ascii="Arial" w:cs="Arial" w:eastAsia="Arial" w:hAnsi="Arial"/>
                <w:sz w:val="16"/>
                <w:szCs w:val="16"/>
                <w:color w:val="auto"/>
              </w:rPr>
              <w:t>Accrued expenses and other current liabilities</w:t>
            </w:r>
          </w:p>
        </w:tc>
        <w:tc>
          <w:tcPr>
            <w:tcW w:w="1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43,264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34,250</w:t>
            </w:r>
          </w:p>
        </w:tc>
        <w:tc>
          <w:tcPr>
            <w:tcW w:w="0" w:type="dxa"/>
            <w:vAlign w:val="bottom"/>
          </w:tcPr>
          <w:p>
            <w:pPr>
              <w:spacing w:after="0"/>
              <w:rPr>
                <w:sz w:val="1"/>
                <w:szCs w:val="1"/>
                <w:color w:val="auto"/>
              </w:rPr>
            </w:pPr>
          </w:p>
        </w:tc>
      </w:tr>
      <w:tr>
        <w:trPr>
          <w:trHeight w:val="33"/>
        </w:trPr>
        <w:tc>
          <w:tcPr>
            <w:tcW w:w="7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Current portion of capital lease obligations</w:t>
            </w: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217"/>
        </w:trPr>
        <w:tc>
          <w:tcPr>
            <w:tcW w:w="7840" w:type="dxa"/>
            <w:vAlign w:val="bottom"/>
          </w:tcPr>
          <w:p>
            <w:pPr>
              <w:ind w:left="20"/>
              <w:spacing w:after="0"/>
              <w:rPr>
                <w:sz w:val="20"/>
                <w:szCs w:val="20"/>
                <w:color w:val="auto"/>
              </w:rPr>
            </w:pPr>
            <w:r>
              <w:rPr>
                <w:rFonts w:ascii="Arial" w:cs="Arial" w:eastAsia="Arial" w:hAnsi="Arial"/>
                <w:sz w:val="16"/>
                <w:szCs w:val="16"/>
                <w:color w:val="auto"/>
              </w:rPr>
              <w:t>Total current liabilities</w:t>
            </w:r>
          </w:p>
        </w:tc>
        <w:tc>
          <w:tcPr>
            <w:tcW w:w="1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124,231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107,079</w:t>
            </w:r>
          </w:p>
        </w:tc>
        <w:tc>
          <w:tcPr>
            <w:tcW w:w="0" w:type="dxa"/>
            <w:vAlign w:val="bottom"/>
          </w:tcPr>
          <w:p>
            <w:pPr>
              <w:spacing w:after="0"/>
              <w:rPr>
                <w:sz w:val="1"/>
                <w:szCs w:val="1"/>
                <w:color w:val="auto"/>
              </w:rPr>
            </w:pPr>
          </w:p>
        </w:tc>
      </w:tr>
      <w:tr>
        <w:trPr>
          <w:trHeight w:val="33"/>
        </w:trPr>
        <w:tc>
          <w:tcPr>
            <w:tcW w:w="7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 term borrowings</w:t>
            </w:r>
          </w:p>
        </w:tc>
        <w:tc>
          <w:tcPr>
            <w:tcW w:w="1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35,000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60,000</w:t>
            </w:r>
          </w:p>
        </w:tc>
        <w:tc>
          <w:tcPr>
            <w:tcW w:w="0" w:type="dxa"/>
            <w:vAlign w:val="bottom"/>
          </w:tcPr>
          <w:p>
            <w:pPr>
              <w:spacing w:after="0"/>
              <w:rPr>
                <w:sz w:val="1"/>
                <w:szCs w:val="1"/>
                <w:color w:val="auto"/>
              </w:rPr>
            </w:pPr>
          </w:p>
        </w:tc>
      </w:tr>
      <w:tr>
        <w:trPr>
          <w:trHeight w:val="237"/>
        </w:trPr>
        <w:tc>
          <w:tcPr>
            <w:tcW w:w="7840" w:type="dxa"/>
            <w:vAlign w:val="bottom"/>
          </w:tcPr>
          <w:p>
            <w:pPr>
              <w:ind w:left="20"/>
              <w:spacing w:after="0"/>
              <w:rPr>
                <w:sz w:val="20"/>
                <w:szCs w:val="20"/>
                <w:color w:val="auto"/>
              </w:rPr>
            </w:pPr>
            <w:r>
              <w:rPr>
                <w:rFonts w:ascii="Arial" w:cs="Arial" w:eastAsia="Arial" w:hAnsi="Arial"/>
                <w:sz w:val="16"/>
                <w:szCs w:val="16"/>
                <w:color w:val="auto"/>
              </w:rPr>
              <w:t>Capital lease obligations, less current portion</w:t>
            </w:r>
          </w:p>
        </w:tc>
        <w:tc>
          <w:tcPr>
            <w:tcW w:w="1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33"/>
        </w:trPr>
        <w:tc>
          <w:tcPr>
            <w:tcW w:w="7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Non-current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14,819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17,655</w:t>
            </w:r>
          </w:p>
        </w:tc>
        <w:tc>
          <w:tcPr>
            <w:tcW w:w="0" w:type="dxa"/>
            <w:vAlign w:val="bottom"/>
          </w:tcPr>
          <w:p>
            <w:pPr>
              <w:spacing w:after="0"/>
              <w:rPr>
                <w:sz w:val="1"/>
                <w:szCs w:val="1"/>
                <w:color w:val="auto"/>
              </w:rPr>
            </w:pPr>
          </w:p>
        </w:tc>
      </w:tr>
      <w:tr>
        <w:trPr>
          <w:trHeight w:val="217"/>
        </w:trPr>
        <w:tc>
          <w:tcPr>
            <w:tcW w:w="7840" w:type="dxa"/>
            <w:vAlign w:val="bottom"/>
          </w:tcPr>
          <w:p>
            <w:pPr>
              <w:ind w:left="20"/>
              <w:spacing w:after="0"/>
              <w:rPr>
                <w:sz w:val="20"/>
                <w:szCs w:val="20"/>
                <w:color w:val="auto"/>
              </w:rPr>
            </w:pPr>
            <w:r>
              <w:rPr>
                <w:rFonts w:ascii="Arial" w:cs="Arial" w:eastAsia="Arial" w:hAnsi="Arial"/>
                <w:sz w:val="16"/>
                <w:szCs w:val="16"/>
                <w:color w:val="auto"/>
              </w:rPr>
              <w:t>Total liabilities</w:t>
            </w:r>
          </w:p>
        </w:tc>
        <w:tc>
          <w:tcPr>
            <w:tcW w:w="1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174,350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185,012</w:t>
            </w:r>
          </w:p>
        </w:tc>
        <w:tc>
          <w:tcPr>
            <w:tcW w:w="0" w:type="dxa"/>
            <w:vAlign w:val="bottom"/>
          </w:tcPr>
          <w:p>
            <w:pPr>
              <w:spacing w:after="0"/>
              <w:rPr>
                <w:sz w:val="1"/>
                <w:szCs w:val="1"/>
                <w:color w:val="auto"/>
              </w:rPr>
            </w:pPr>
          </w:p>
        </w:tc>
      </w:tr>
      <w:tr>
        <w:trPr>
          <w:trHeight w:val="33"/>
        </w:trPr>
        <w:tc>
          <w:tcPr>
            <w:tcW w:w="7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Commitments and contingencies</w:t>
            </w:r>
          </w:p>
        </w:tc>
        <w:tc>
          <w:tcPr>
            <w:tcW w:w="1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840" w:type="dxa"/>
            <w:vAlign w:val="bottom"/>
          </w:tcPr>
          <w:p>
            <w:pPr>
              <w:ind w:left="20"/>
              <w:spacing w:after="0"/>
              <w:rPr>
                <w:sz w:val="20"/>
                <w:szCs w:val="20"/>
                <w:color w:val="auto"/>
              </w:rPr>
            </w:pPr>
            <w:r>
              <w:rPr>
                <w:rFonts w:ascii="Arial" w:cs="Arial" w:eastAsia="Arial" w:hAnsi="Arial"/>
                <w:sz w:val="16"/>
                <w:szCs w:val="16"/>
                <w:color w:val="auto"/>
              </w:rPr>
              <w:t>Preferred stock, $0.001 par value; 15,000,000 shares authorized, none issued</w:t>
            </w:r>
          </w:p>
        </w:tc>
        <w:tc>
          <w:tcPr>
            <w:tcW w:w="160" w:type="dxa"/>
            <w:vAlign w:val="bottom"/>
          </w:tcPr>
          <w:p>
            <w:pPr>
              <w:spacing w:after="0"/>
              <w:rPr>
                <w:sz w:val="20"/>
                <w:szCs w:val="20"/>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ExlService Holdings, Inc 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7840" w:type="dxa"/>
            <w:vAlign w:val="bottom"/>
          </w:tcPr>
          <w:p>
            <w:pPr>
              <w:ind w:left="380"/>
              <w:spacing w:after="0"/>
              <w:rPr>
                <w:sz w:val="20"/>
                <w:szCs w:val="20"/>
                <w:color w:val="auto"/>
              </w:rPr>
            </w:pPr>
            <w:r>
              <w:rPr>
                <w:rFonts w:ascii="Arial" w:cs="Arial" w:eastAsia="Arial" w:hAnsi="Arial"/>
                <w:sz w:val="16"/>
                <w:szCs w:val="16"/>
                <w:color w:val="auto"/>
                <w:w w:val="96"/>
              </w:rPr>
              <w:t>Common stock, $0.001 par value; 100,000,000 shares authorized, 35,699,819 shares issued and 33,628,109</w:t>
            </w: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840" w:type="dxa"/>
            <w:vAlign w:val="bottom"/>
          </w:tcPr>
          <w:p>
            <w:pPr>
              <w:ind w:left="380"/>
              <w:spacing w:after="0"/>
              <w:rPr>
                <w:sz w:val="20"/>
                <w:szCs w:val="20"/>
                <w:color w:val="auto"/>
              </w:rPr>
            </w:pPr>
            <w:r>
              <w:rPr>
                <w:rFonts w:ascii="Arial" w:cs="Arial" w:eastAsia="Arial" w:hAnsi="Arial"/>
                <w:sz w:val="16"/>
                <w:szCs w:val="16"/>
                <w:color w:val="auto"/>
                <w:w w:val="91"/>
              </w:rPr>
              <w:t>shares outstanding as of December 31, 2016 and 34,781,201 shares issued and 33,091,223 shares outstanding as</w:t>
            </w: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840" w:type="dxa"/>
            <w:vAlign w:val="bottom"/>
          </w:tcPr>
          <w:p>
            <w:pPr>
              <w:ind w:left="380"/>
              <w:spacing w:after="0"/>
              <w:rPr>
                <w:sz w:val="20"/>
                <w:szCs w:val="20"/>
                <w:color w:val="auto"/>
              </w:rPr>
            </w:pPr>
            <w:r>
              <w:rPr>
                <w:rFonts w:ascii="Arial" w:cs="Arial" w:eastAsia="Arial" w:hAnsi="Arial"/>
                <w:sz w:val="16"/>
                <w:szCs w:val="16"/>
                <w:color w:val="auto"/>
              </w:rPr>
              <w:t>of December 31, 2015</w:t>
            </w:r>
          </w:p>
        </w:tc>
        <w:tc>
          <w:tcPr>
            <w:tcW w:w="160" w:type="dxa"/>
            <w:vAlign w:val="bottom"/>
          </w:tcPr>
          <w:p>
            <w:pPr>
              <w:spacing w:after="0"/>
              <w:rPr>
                <w:sz w:val="17"/>
                <w:szCs w:val="17"/>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33"/>
        </w:trPr>
        <w:tc>
          <w:tcPr>
            <w:tcW w:w="7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Additional paid-in-capital</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284,646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254,052</w:t>
            </w:r>
          </w:p>
        </w:tc>
        <w:tc>
          <w:tcPr>
            <w:tcW w:w="0" w:type="dxa"/>
            <w:vAlign w:val="bottom"/>
          </w:tcPr>
          <w:p>
            <w:pPr>
              <w:spacing w:after="0"/>
              <w:rPr>
                <w:sz w:val="1"/>
                <w:szCs w:val="1"/>
                <w:color w:val="auto"/>
              </w:rPr>
            </w:pPr>
          </w:p>
        </w:tc>
      </w:tr>
      <w:tr>
        <w:trPr>
          <w:trHeight w:val="237"/>
        </w:trPr>
        <w:tc>
          <w:tcPr>
            <w:tcW w:w="7840" w:type="dxa"/>
            <w:vAlign w:val="bottom"/>
          </w:tcPr>
          <w:p>
            <w:pPr>
              <w:ind w:left="380"/>
              <w:spacing w:after="0"/>
              <w:rPr>
                <w:sz w:val="20"/>
                <w:szCs w:val="20"/>
                <w:color w:val="auto"/>
              </w:rPr>
            </w:pPr>
            <w:r>
              <w:rPr>
                <w:rFonts w:ascii="Arial" w:cs="Arial" w:eastAsia="Arial" w:hAnsi="Arial"/>
                <w:sz w:val="16"/>
                <w:szCs w:val="16"/>
                <w:color w:val="auto"/>
              </w:rPr>
              <w:t>Retained earnings</w:t>
            </w:r>
          </w:p>
        </w:tc>
        <w:tc>
          <w:tcPr>
            <w:tcW w:w="1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382,722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320,989</w:t>
            </w:r>
          </w:p>
        </w:tc>
        <w:tc>
          <w:tcPr>
            <w:tcW w:w="0" w:type="dxa"/>
            <w:vAlign w:val="bottom"/>
          </w:tcPr>
          <w:p>
            <w:pPr>
              <w:spacing w:after="0"/>
              <w:rPr>
                <w:sz w:val="1"/>
                <w:szCs w:val="1"/>
                <w:color w:val="auto"/>
              </w:rPr>
            </w:pPr>
          </w:p>
        </w:tc>
      </w:tr>
      <w:tr>
        <w:trPr>
          <w:trHeight w:val="33"/>
        </w:trPr>
        <w:tc>
          <w:tcPr>
            <w:tcW w:w="7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(75,057)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(67,325)</w:t>
            </w:r>
          </w:p>
        </w:tc>
        <w:tc>
          <w:tcPr>
            <w:tcW w:w="0" w:type="dxa"/>
            <w:vAlign w:val="bottom"/>
          </w:tcPr>
          <w:p>
            <w:pPr>
              <w:spacing w:after="0"/>
              <w:rPr>
                <w:sz w:val="1"/>
                <w:szCs w:val="1"/>
                <w:color w:val="auto"/>
              </w:rPr>
            </w:pPr>
          </w:p>
        </w:tc>
      </w:tr>
      <w:tr>
        <w:trPr>
          <w:trHeight w:val="217"/>
        </w:trPr>
        <w:tc>
          <w:tcPr>
            <w:tcW w:w="7840" w:type="dxa"/>
            <w:vAlign w:val="bottom"/>
          </w:tcPr>
          <w:p>
            <w:pPr>
              <w:ind w:left="20"/>
              <w:spacing w:after="0"/>
              <w:rPr>
                <w:sz w:val="20"/>
                <w:szCs w:val="20"/>
                <w:color w:val="auto"/>
              </w:rPr>
            </w:pPr>
            <w:r>
              <w:rPr>
                <w:rFonts w:ascii="Arial" w:cs="Arial" w:eastAsia="Arial" w:hAnsi="Arial"/>
                <w:sz w:val="16"/>
                <w:szCs w:val="16"/>
                <w:color w:val="auto"/>
              </w:rPr>
              <w:t>Total including shares held in treasury</w:t>
            </w:r>
          </w:p>
        </w:tc>
        <w:tc>
          <w:tcPr>
            <w:tcW w:w="1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592,347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507,751</w:t>
            </w:r>
          </w:p>
        </w:tc>
        <w:tc>
          <w:tcPr>
            <w:tcW w:w="0" w:type="dxa"/>
            <w:vAlign w:val="bottom"/>
          </w:tcPr>
          <w:p>
            <w:pPr>
              <w:spacing w:after="0"/>
              <w:rPr>
                <w:sz w:val="1"/>
                <w:szCs w:val="1"/>
                <w:color w:val="auto"/>
              </w:rPr>
            </w:pPr>
          </w:p>
        </w:tc>
      </w:tr>
      <w:tr>
        <w:trPr>
          <w:trHeight w:val="33"/>
        </w:trPr>
        <w:tc>
          <w:tcPr>
            <w:tcW w:w="7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3"/>
              </w:rPr>
              <w:t>Less: 2,071,710 shares as of December 31, 2016 and 1,689,978 shares as of December 31, 2015, held in treasury, at</w:t>
            </w: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w:t>
            </w:r>
          </w:p>
        </w:tc>
        <w:tc>
          <w:tcPr>
            <w:tcW w:w="1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(60,362)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(42,159)</w:t>
            </w:r>
          </w:p>
        </w:tc>
        <w:tc>
          <w:tcPr>
            <w:tcW w:w="0" w:type="dxa"/>
            <w:vAlign w:val="bottom"/>
          </w:tcPr>
          <w:p>
            <w:pPr>
              <w:spacing w:after="0"/>
              <w:rPr>
                <w:sz w:val="1"/>
                <w:szCs w:val="1"/>
                <w:color w:val="auto"/>
              </w:rPr>
            </w:pPr>
          </w:p>
        </w:tc>
      </w:tr>
      <w:tr>
        <w:trPr>
          <w:trHeight w:val="217"/>
        </w:trPr>
        <w:tc>
          <w:tcPr>
            <w:tcW w:w="7840" w:type="dxa"/>
            <w:vAlign w:val="bottom"/>
          </w:tcPr>
          <w:p>
            <w:pPr>
              <w:ind w:left="20"/>
              <w:spacing w:after="0"/>
              <w:rPr>
                <w:sz w:val="20"/>
                <w:szCs w:val="20"/>
                <w:color w:val="auto"/>
              </w:rPr>
            </w:pPr>
            <w:r>
              <w:rPr>
                <w:rFonts w:ascii="Arial" w:cs="Arial" w:eastAsia="Arial" w:hAnsi="Arial"/>
                <w:sz w:val="16"/>
                <w:szCs w:val="16"/>
                <w:color w:val="auto"/>
              </w:rPr>
              <w:t>ExlService Holdings, Inc. stockholders' equity</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531,985</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465,592</w:t>
            </w:r>
          </w:p>
        </w:tc>
        <w:tc>
          <w:tcPr>
            <w:tcW w:w="0" w:type="dxa"/>
            <w:vAlign w:val="bottom"/>
          </w:tcPr>
          <w:p>
            <w:pPr>
              <w:spacing w:after="0"/>
              <w:rPr>
                <w:sz w:val="1"/>
                <w:szCs w:val="1"/>
                <w:color w:val="auto"/>
              </w:rPr>
            </w:pPr>
          </w:p>
        </w:tc>
      </w:tr>
      <w:tr>
        <w:trPr>
          <w:trHeight w:val="33"/>
        </w:trPr>
        <w:tc>
          <w:tcPr>
            <w:tcW w:w="7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Non-controlling interest</w:t>
            </w: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17"/>
        </w:trPr>
        <w:tc>
          <w:tcPr>
            <w:tcW w:w="7840" w:type="dxa"/>
            <w:vAlign w:val="bottom"/>
          </w:tcPr>
          <w:p>
            <w:pPr>
              <w:ind w:left="20"/>
              <w:spacing w:after="0"/>
              <w:rPr>
                <w:sz w:val="20"/>
                <w:szCs w:val="20"/>
                <w:color w:val="auto"/>
              </w:rPr>
            </w:pPr>
            <w:r>
              <w:rPr>
                <w:rFonts w:ascii="Arial" w:cs="Arial" w:eastAsia="Arial" w:hAnsi="Arial"/>
                <w:sz w:val="16"/>
                <w:szCs w:val="16"/>
                <w:color w:val="auto"/>
              </w:rPr>
              <w:t>Total equity</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532,178</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465,771</w:t>
            </w:r>
          </w:p>
        </w:tc>
        <w:tc>
          <w:tcPr>
            <w:tcW w:w="0" w:type="dxa"/>
            <w:vAlign w:val="bottom"/>
          </w:tcPr>
          <w:p>
            <w:pPr>
              <w:spacing w:after="0"/>
              <w:rPr>
                <w:sz w:val="1"/>
                <w:szCs w:val="1"/>
                <w:color w:val="auto"/>
              </w:rPr>
            </w:pPr>
          </w:p>
        </w:tc>
      </w:tr>
      <w:tr>
        <w:trPr>
          <w:trHeight w:val="33"/>
        </w:trPr>
        <w:tc>
          <w:tcPr>
            <w:tcW w:w="7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706,528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650,783</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60"/>
          </w:cols>
          <w:pgMar w:left="280" w:top="580" w:right="25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Financial Measures to GAAP Measures</w:t>
      </w:r>
    </w:p>
    <w:p>
      <w:pPr>
        <w:spacing w:after="0" w:line="22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7"/>
          <w:szCs w:val="17"/>
          <w:color w:val="auto"/>
        </w:rPr>
        <w:t>In addition to its reported operating results in accordance with U.S. generally accepted accounting principles (GAAP), EXL has included in this release adjusted financial measures (adjusted operating income, adjusted operating income margin, adjusted EBITDA, adjusted EBITDA margin, adjusted net income, adjusted diluted earnings per share and information on a constant currency basis) that the Securities and Exchange Commission defines as “non-GAAP financial measures.” The adjusted financial measures disclosed by EXL should not be considered a substitute for, or superior to, financial measures calculated in accordance with GAAP, and the financial results calculated in accordance with GAAP and reconciliations from those financial statements should be carefully evaluated. EXL believes that providing these adjusted measures may help investors better understand EXL’s underlying financial performance. Management also believes that these adjusted financial measures, when read in conjunction with EXL’s reported results, can provide useful supplemental information for investors analyzing period to period comparisons of the Company’s results and comparisons of the Company’s results with the results of other companies. Additionally, management considers some of these adjusted financial measures to determine variable compensation of its employees. EXL believes that it is unreasonably difficult to provide its earnings per share financial guidance in accordance with GAAP for a number of reasons including, without limitation, EXL’s inability to predict its future stock-based compensation expense under ASC Topic 718, the amortization of intangibles associated with further acquisitions and the currency fluctuations. EXL also incurs significant non-cash charges for depreciation that may not be indicative of the Company’s ability to generate cash flow.</w:t>
      </w:r>
    </w:p>
    <w:p>
      <w:pPr>
        <w:spacing w:after="0" w:line="7"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Additionally, EXL provides certain information on a constant currency basis, which reflects a comparison of current period results translated at the prior period currency rates. EXL primary exchange rate exposure is with the Indian Rupee, the U.K. pound sterling and the Philippine peso. The average exchange rate of the U.S. dollar against the Indian rupee increased from 66.08 during the quarter ended December 31, 2015 to 67.70 during the quarter ended December 31, 2016, representing a depreciation of 2.5%. The average exchange rate of the U.S. dollar against the Philippine peso increased from 47.01 during the quarter ended December 31, 2015 to 49.29 during the quarter ended December 31, 2016, representing a depreciation of 4.9%. The average exchange rate of the British Pound against the U.S. dollar decreased from 1.51 during the quarter ended December 31, 2015 to 1.23 during the quarter ended December 31, 2016, representing a depreciation of 18.5%. This information is provided because EXL believes that it provides useful comparative incremental information to investors regarding EXL’s operating performance.</w:t>
      </w:r>
    </w:p>
    <w:p>
      <w:pPr>
        <w:spacing w:after="0" w:line="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shows the reconciliation of these adjusted financial measures from GAAP measures for the year ended December 31, 2016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2015, the three months ended December 31, 2016 and December 31, 2015 and for the three months ended September 30, 2016:</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Operating Income and Adjusted EBITDA to Net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center"/>
              <w:ind w:right="99"/>
              <w:spacing w:after="0"/>
              <w:rPr>
                <w:sz w:val="20"/>
                <w:szCs w:val="20"/>
                <w:color w:val="auto"/>
              </w:rPr>
            </w:pPr>
            <w:r>
              <w:rPr>
                <w:rFonts w:ascii="Arial" w:cs="Arial" w:eastAsia="Arial" w:hAnsi="Arial"/>
                <w:sz w:val="16"/>
                <w:szCs w:val="16"/>
                <w:b w:val="1"/>
                <w:bCs w:val="1"/>
                <w:color w:val="auto"/>
                <w:w w:val="93"/>
              </w:rPr>
              <w:t>Three Months</w:t>
            </w:r>
          </w:p>
        </w:tc>
        <w:tc>
          <w:tcPr>
            <w:tcW w:w="0" w:type="dxa"/>
            <w:vAlign w:val="bottom"/>
          </w:tcPr>
          <w:p>
            <w:pPr>
              <w:spacing w:after="0"/>
              <w:rPr>
                <w:sz w:val="1"/>
                <w:szCs w:val="1"/>
                <w:color w:val="auto"/>
              </w:rPr>
            </w:pPr>
          </w:p>
        </w:tc>
      </w:tr>
      <w:tr>
        <w:trPr>
          <w:trHeight w:val="203"/>
        </w:trPr>
        <w:tc>
          <w:tcPr>
            <w:tcW w:w="5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3"/>
          </w:tcPr>
          <w:p>
            <w:pPr>
              <w:jc w:val="center"/>
              <w:ind w:left="399"/>
              <w:spacing w:after="0"/>
              <w:rPr>
                <w:sz w:val="20"/>
                <w:szCs w:val="20"/>
                <w:color w:val="auto"/>
              </w:rPr>
            </w:pPr>
            <w:r>
              <w:rPr>
                <w:rFonts w:ascii="Arial" w:cs="Arial" w:eastAsia="Arial" w:hAnsi="Arial"/>
                <w:sz w:val="16"/>
                <w:szCs w:val="16"/>
                <w:b w:val="1"/>
                <w:bCs w:val="1"/>
                <w:color w:val="auto"/>
                <w:w w:val="93"/>
              </w:rPr>
              <w:t>Year Ended</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0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3"/>
              </w:rPr>
              <w:t>Three Months Ended</w:t>
            </w:r>
          </w:p>
        </w:tc>
        <w:tc>
          <w:tcPr>
            <w:tcW w:w="200" w:type="dxa"/>
            <w:vAlign w:val="bottom"/>
          </w:tcPr>
          <w:p>
            <w:pPr>
              <w:spacing w:after="0"/>
              <w:rPr>
                <w:sz w:val="17"/>
                <w:szCs w:val="17"/>
                <w:color w:val="auto"/>
              </w:rPr>
            </w:pPr>
          </w:p>
        </w:tc>
        <w:tc>
          <w:tcPr>
            <w:tcW w:w="1320" w:type="dxa"/>
            <w:vAlign w:val="bottom"/>
          </w:tcPr>
          <w:p>
            <w:pPr>
              <w:jc w:val="center"/>
              <w:ind w:right="119"/>
              <w:spacing w:after="0"/>
              <w:rPr>
                <w:sz w:val="20"/>
                <w:szCs w:val="20"/>
                <w:color w:val="auto"/>
              </w:rPr>
            </w:pPr>
            <w:r>
              <w:rPr>
                <w:rFonts w:ascii="Arial" w:cs="Arial" w:eastAsia="Arial" w:hAnsi="Arial"/>
                <w:sz w:val="16"/>
                <w:szCs w:val="16"/>
                <w:b w:val="1"/>
                <w:bCs w:val="1"/>
                <w:color w:val="auto"/>
                <w:w w:val="89"/>
              </w:rPr>
              <w:t>Ended</w:t>
            </w:r>
          </w:p>
        </w:tc>
        <w:tc>
          <w:tcPr>
            <w:tcW w:w="0" w:type="dxa"/>
            <w:vAlign w:val="bottom"/>
          </w:tcPr>
          <w:p>
            <w:pPr>
              <w:spacing w:after="0"/>
              <w:rPr>
                <w:sz w:val="1"/>
                <w:szCs w:val="1"/>
                <w:color w:val="auto"/>
              </w:rPr>
            </w:pPr>
          </w:p>
        </w:tc>
      </w:tr>
      <w:tr>
        <w:trPr>
          <w:trHeight w:val="210"/>
        </w:trPr>
        <w:tc>
          <w:tcPr>
            <w:tcW w:w="5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0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0"/>
              </w:rPr>
              <w:t>December 31,</w:t>
            </w:r>
          </w:p>
        </w:tc>
        <w:tc>
          <w:tcPr>
            <w:tcW w:w="260" w:type="dxa"/>
            <w:vAlign w:val="bottom"/>
          </w:tcPr>
          <w:p>
            <w:pPr>
              <w:spacing w:after="0"/>
              <w:rPr>
                <w:sz w:val="18"/>
                <w:szCs w:val="18"/>
                <w:color w:val="auto"/>
              </w:rPr>
            </w:pPr>
          </w:p>
        </w:tc>
        <w:tc>
          <w:tcPr>
            <w:tcW w:w="230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0"/>
              </w:rPr>
              <w:t>December 31,</w:t>
            </w:r>
          </w:p>
        </w:tc>
        <w:tc>
          <w:tcPr>
            <w:tcW w:w="200" w:type="dxa"/>
            <w:vAlign w:val="bottom"/>
          </w:tcPr>
          <w:p>
            <w:pPr>
              <w:spacing w:after="0"/>
              <w:rPr>
                <w:sz w:val="18"/>
                <w:szCs w:val="18"/>
                <w:color w:val="auto"/>
              </w:rPr>
            </w:pPr>
          </w:p>
        </w:tc>
        <w:tc>
          <w:tcPr>
            <w:tcW w:w="1320" w:type="dxa"/>
            <w:vAlign w:val="bottom"/>
          </w:tcPr>
          <w:p>
            <w:pPr>
              <w:jc w:val="center"/>
              <w:ind w:right="119"/>
              <w:spacing w:after="0"/>
              <w:rPr>
                <w:sz w:val="20"/>
                <w:szCs w:val="20"/>
                <w:color w:val="auto"/>
              </w:rPr>
            </w:pPr>
            <w:r>
              <w:rPr>
                <w:rFonts w:ascii="Arial" w:cs="Arial" w:eastAsia="Arial" w:hAnsi="Arial"/>
                <w:sz w:val="16"/>
                <w:szCs w:val="16"/>
                <w:b w:val="1"/>
                <w:bCs w:val="1"/>
                <w:color w:val="auto"/>
                <w:w w:val="91"/>
              </w:rPr>
              <w:t>September 30,</w:t>
            </w:r>
          </w:p>
        </w:tc>
        <w:tc>
          <w:tcPr>
            <w:tcW w:w="0" w:type="dxa"/>
            <w:vAlign w:val="bottom"/>
          </w:tcPr>
          <w:p>
            <w:pPr>
              <w:spacing w:after="0"/>
              <w:rPr>
                <w:sz w:val="1"/>
                <w:szCs w:val="1"/>
                <w:color w:val="auto"/>
              </w:rPr>
            </w:pPr>
          </w:p>
        </w:tc>
      </w:tr>
      <w:tr>
        <w:trPr>
          <w:trHeight w:val="33"/>
        </w:trPr>
        <w:tc>
          <w:tcPr>
            <w:tcW w:w="5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9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ind w:right="299"/>
              <w:spacing w:after="0"/>
              <w:rPr>
                <w:sz w:val="20"/>
                <w:szCs w:val="20"/>
                <w:color w:val="auto"/>
              </w:rPr>
            </w:pPr>
            <w:r>
              <w:rPr>
                <w:rFonts w:ascii="Arial" w:cs="Arial" w:eastAsia="Arial" w:hAnsi="Arial"/>
                <w:sz w:val="16"/>
                <w:szCs w:val="16"/>
                <w:b w:val="1"/>
                <w:bCs w:val="1"/>
                <w:color w:val="auto"/>
                <w:w w:val="84"/>
              </w:rPr>
              <w:t>2015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3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center"/>
              <w:ind w:right="119"/>
              <w:spacing w:after="0"/>
              <w:rPr>
                <w:sz w:val="20"/>
                <w:szCs w:val="20"/>
                <w:color w:val="auto"/>
              </w:rPr>
            </w:pPr>
            <w:r>
              <w:rPr>
                <w:rFonts w:ascii="Arial" w:cs="Arial" w:eastAsia="Arial" w:hAnsi="Arial"/>
                <w:sz w:val="16"/>
                <w:szCs w:val="16"/>
                <w:b w:val="1"/>
                <w:bCs w:val="1"/>
                <w:color w:val="auto"/>
                <w:w w:val="89"/>
              </w:rPr>
              <w:t>2016</w:t>
            </w:r>
          </w:p>
        </w:tc>
        <w:tc>
          <w:tcPr>
            <w:tcW w:w="0" w:type="dxa"/>
            <w:vAlign w:val="bottom"/>
          </w:tcPr>
          <w:p>
            <w:pPr>
              <w:spacing w:after="0"/>
              <w:rPr>
                <w:sz w:val="1"/>
                <w:szCs w:val="1"/>
                <w:color w:val="auto"/>
              </w:rPr>
            </w:pPr>
          </w:p>
        </w:tc>
      </w:tr>
      <w:tr>
        <w:trPr>
          <w:trHeight w:val="47"/>
        </w:trPr>
        <w:tc>
          <w:tcPr>
            <w:tcW w:w="50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(GAAP)</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61,733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51,565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15,488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14,762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16,050</w:t>
            </w:r>
          </w:p>
        </w:tc>
        <w:tc>
          <w:tcPr>
            <w:tcW w:w="0" w:type="dxa"/>
            <w:vAlign w:val="bottom"/>
          </w:tcPr>
          <w:p>
            <w:pPr>
              <w:spacing w:after="0"/>
              <w:rPr>
                <w:sz w:val="1"/>
                <w:szCs w:val="1"/>
                <w:color w:val="auto"/>
              </w:rPr>
            </w:pPr>
          </w:p>
        </w:tc>
      </w:tr>
      <w:tr>
        <w:trPr>
          <w:trHeight w:val="224"/>
        </w:trPr>
        <w:tc>
          <w:tcPr>
            <w:tcW w:w="5000" w:type="dxa"/>
            <w:vAlign w:val="bottom"/>
          </w:tcPr>
          <w:p>
            <w:pPr>
              <w:ind w:left="380"/>
              <w:spacing w:after="0"/>
              <w:rPr>
                <w:sz w:val="20"/>
                <w:szCs w:val="20"/>
                <w:color w:val="auto"/>
              </w:rPr>
            </w:pPr>
            <w:r>
              <w:rPr>
                <w:rFonts w:ascii="Arial" w:cs="Arial" w:eastAsia="Arial" w:hAnsi="Arial"/>
                <w:sz w:val="16"/>
                <w:szCs w:val="16"/>
                <w:color w:val="auto"/>
              </w:rPr>
              <w:t>add: Income tax provision</w:t>
            </w:r>
          </w:p>
        </w:tc>
        <w:tc>
          <w:tcPr>
            <w:tcW w:w="240" w:type="dxa"/>
            <w:vAlign w:val="bottom"/>
          </w:tcPr>
          <w:p>
            <w:pPr>
              <w:spacing w:after="0"/>
              <w:rPr>
                <w:sz w:val="19"/>
                <w:szCs w:val="19"/>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22,151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24,211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3,602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4,902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5,646</w:t>
            </w:r>
          </w:p>
        </w:tc>
        <w:tc>
          <w:tcPr>
            <w:tcW w:w="0" w:type="dxa"/>
            <w:vAlign w:val="bottom"/>
          </w:tcPr>
          <w:p>
            <w:pPr>
              <w:spacing w:after="0"/>
              <w:rPr>
                <w:sz w:val="1"/>
                <w:szCs w:val="1"/>
                <w:color w:val="auto"/>
              </w:rPr>
            </w:pPr>
          </w:p>
        </w:tc>
      </w:tr>
      <w:tr>
        <w:trPr>
          <w:trHeight w:val="47"/>
        </w:trPr>
        <w:tc>
          <w:tcPr>
            <w:tcW w:w="50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subtract: Other income and foreign exchange gain, net</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(19,662)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(8,433)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(4,915)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(4,337)</w:t>
            </w:r>
          </w:p>
        </w:tc>
        <w:tc>
          <w:tcPr>
            <w:tcW w:w="0" w:type="dxa"/>
            <w:vAlign w:val="bottom"/>
          </w:tcPr>
          <w:p>
            <w:pPr>
              <w:spacing w:after="0"/>
              <w:rPr>
                <w:sz w:val="1"/>
                <w:szCs w:val="1"/>
                <w:color w:val="auto"/>
              </w:rPr>
            </w:pPr>
          </w:p>
        </w:tc>
      </w:tr>
      <w:tr>
        <w:trPr>
          <w:trHeight w:val="217"/>
        </w:trPr>
        <w:tc>
          <w:tcPr>
            <w:tcW w:w="5000" w:type="dxa"/>
            <w:vAlign w:val="bottom"/>
          </w:tcPr>
          <w:p>
            <w:pPr>
              <w:ind w:left="40"/>
              <w:spacing w:after="0"/>
              <w:rPr>
                <w:sz w:val="20"/>
                <w:szCs w:val="20"/>
                <w:color w:val="auto"/>
              </w:rPr>
            </w:pPr>
            <w:r>
              <w:rPr>
                <w:rFonts w:ascii="Arial" w:cs="Arial" w:eastAsia="Arial" w:hAnsi="Arial"/>
                <w:sz w:val="16"/>
                <w:szCs w:val="16"/>
                <w:b w:val="1"/>
                <w:bCs w:val="1"/>
                <w:color w:val="auto"/>
              </w:rPr>
              <w:t>Income from operations (GAAP)</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64,222</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7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67,343</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14,175</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17,878</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17,359</w:t>
            </w:r>
          </w:p>
        </w:tc>
        <w:tc>
          <w:tcPr>
            <w:tcW w:w="0" w:type="dxa"/>
            <w:vAlign w:val="bottom"/>
          </w:tcPr>
          <w:p>
            <w:pPr>
              <w:spacing w:after="0"/>
              <w:rPr>
                <w:sz w:val="1"/>
                <w:szCs w:val="1"/>
                <w:color w:val="auto"/>
              </w:rPr>
            </w:pPr>
          </w:p>
        </w:tc>
      </w:tr>
      <w:tr>
        <w:trPr>
          <w:trHeight w:val="33"/>
        </w:trPr>
        <w:tc>
          <w:tcPr>
            <w:tcW w:w="5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add: Stock-based compensation expense (a)</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19,770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16,047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5,027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3,768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4,483</w:t>
            </w:r>
          </w:p>
        </w:tc>
        <w:tc>
          <w:tcPr>
            <w:tcW w:w="0" w:type="dxa"/>
            <w:vAlign w:val="bottom"/>
          </w:tcPr>
          <w:p>
            <w:pPr>
              <w:spacing w:after="0"/>
              <w:rPr>
                <w:sz w:val="1"/>
                <w:szCs w:val="1"/>
                <w:color w:val="auto"/>
              </w:rPr>
            </w:pPr>
          </w:p>
        </w:tc>
      </w:tr>
      <w:tr>
        <w:trPr>
          <w:trHeight w:val="224"/>
        </w:trPr>
        <w:tc>
          <w:tcPr>
            <w:tcW w:w="5000" w:type="dxa"/>
            <w:vAlign w:val="bottom"/>
          </w:tcPr>
          <w:p>
            <w:pPr>
              <w:ind w:left="380"/>
              <w:spacing w:after="0"/>
              <w:rPr>
                <w:sz w:val="20"/>
                <w:szCs w:val="20"/>
                <w:color w:val="auto"/>
              </w:rPr>
            </w:pPr>
            <w:r>
              <w:rPr>
                <w:rFonts w:ascii="Arial" w:cs="Arial" w:eastAsia="Arial" w:hAnsi="Arial"/>
                <w:sz w:val="16"/>
                <w:szCs w:val="16"/>
                <w:color w:val="auto"/>
              </w:rPr>
              <w:t>add: Amortization of acquisition-related intangibles (b)</w:t>
            </w:r>
          </w:p>
        </w:tc>
        <w:tc>
          <w:tcPr>
            <w:tcW w:w="240" w:type="dxa"/>
            <w:vAlign w:val="bottom"/>
          </w:tcPr>
          <w:p>
            <w:pPr>
              <w:spacing w:after="0"/>
              <w:rPr>
                <w:sz w:val="19"/>
                <w:szCs w:val="19"/>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11,873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10,226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3,592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2,717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2,848</w:t>
            </w:r>
          </w:p>
        </w:tc>
        <w:tc>
          <w:tcPr>
            <w:tcW w:w="0" w:type="dxa"/>
            <w:vAlign w:val="bottom"/>
          </w:tcPr>
          <w:p>
            <w:pPr>
              <w:spacing w:after="0"/>
              <w:rPr>
                <w:sz w:val="1"/>
                <w:szCs w:val="1"/>
                <w:color w:val="auto"/>
              </w:rPr>
            </w:pPr>
          </w:p>
        </w:tc>
      </w:tr>
      <w:tr>
        <w:trPr>
          <w:trHeight w:val="47"/>
        </w:trPr>
        <w:tc>
          <w:tcPr>
            <w:tcW w:w="50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Adjusted operating income (Non-GAAP)</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95,865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93,616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22,794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24,363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24,690</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i w:val="1"/>
                <w:iCs w:val="1"/>
                <w:color w:val="auto"/>
              </w:rPr>
              <w:t>Adjusted operating income margin as a % of Revenues (Non-GAAP)</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i w:val="1"/>
                <w:iCs w:val="1"/>
                <w:color w:val="auto"/>
              </w:rPr>
              <w:t>14.0%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i w:val="1"/>
                <w:iCs w:val="1"/>
                <w:color w:val="auto"/>
              </w:rPr>
              <w:t>14.9%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i w:val="1"/>
                <w:iCs w:val="1"/>
                <w:color w:val="auto"/>
              </w:rPr>
              <w:t>12.9%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i w:val="1"/>
                <w:iCs w:val="1"/>
                <w:color w:val="auto"/>
              </w:rPr>
              <w:t>14.7%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i w:val="1"/>
                <w:iCs w:val="1"/>
                <w:color w:val="auto"/>
              </w:rPr>
              <w:t>14.4%</w:t>
            </w:r>
          </w:p>
        </w:tc>
        <w:tc>
          <w:tcPr>
            <w:tcW w:w="0" w:type="dxa"/>
            <w:vAlign w:val="bottom"/>
          </w:tcPr>
          <w:p>
            <w:pPr>
              <w:spacing w:after="0"/>
              <w:rPr>
                <w:sz w:val="1"/>
                <w:szCs w:val="1"/>
                <w:color w:val="auto"/>
              </w:rPr>
            </w:pPr>
          </w:p>
        </w:tc>
      </w:tr>
      <w:tr>
        <w:trPr>
          <w:trHeight w:val="33"/>
        </w:trPr>
        <w:tc>
          <w:tcPr>
            <w:tcW w:w="5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add: Depreciation</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22,707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21,239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5,988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5,577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5,749</w:t>
            </w:r>
          </w:p>
        </w:tc>
        <w:tc>
          <w:tcPr>
            <w:tcW w:w="0" w:type="dxa"/>
            <w:vAlign w:val="bottom"/>
          </w:tcPr>
          <w:p>
            <w:pPr>
              <w:spacing w:after="0"/>
              <w:rPr>
                <w:sz w:val="1"/>
                <w:szCs w:val="1"/>
                <w:color w:val="auto"/>
              </w:rPr>
            </w:pPr>
          </w:p>
        </w:tc>
      </w:tr>
      <w:tr>
        <w:trPr>
          <w:trHeight w:val="217"/>
        </w:trPr>
        <w:tc>
          <w:tcPr>
            <w:tcW w:w="5000" w:type="dxa"/>
            <w:vAlign w:val="bottom"/>
          </w:tcPr>
          <w:p>
            <w:pPr>
              <w:ind w:left="40"/>
              <w:spacing w:after="0"/>
              <w:rPr>
                <w:sz w:val="20"/>
                <w:szCs w:val="20"/>
                <w:color w:val="auto"/>
              </w:rPr>
            </w:pPr>
            <w:r>
              <w:rPr>
                <w:rFonts w:ascii="Arial" w:cs="Arial" w:eastAsia="Arial" w:hAnsi="Arial"/>
                <w:sz w:val="16"/>
                <w:szCs w:val="16"/>
                <w:b w:val="1"/>
                <w:bCs w:val="1"/>
                <w:color w:val="auto"/>
              </w:rPr>
              <w:t>Adjusted EBITDA (Non-GAAP)</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118,572</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7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114,855</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28,782</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29,940</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30,439</w:t>
            </w:r>
          </w:p>
        </w:tc>
        <w:tc>
          <w:tcPr>
            <w:tcW w:w="0" w:type="dxa"/>
            <w:vAlign w:val="bottom"/>
          </w:tcPr>
          <w:p>
            <w:pPr>
              <w:spacing w:after="0"/>
              <w:rPr>
                <w:sz w:val="1"/>
                <w:szCs w:val="1"/>
                <w:color w:val="auto"/>
              </w:rPr>
            </w:pPr>
          </w:p>
        </w:tc>
      </w:tr>
      <w:tr>
        <w:trPr>
          <w:trHeight w:val="73"/>
        </w:trPr>
        <w:tc>
          <w:tcPr>
            <w:tcW w:w="50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5000" w:type="dxa"/>
            <w:vAlign w:val="bottom"/>
            <w:shd w:val="clear" w:color="auto" w:fill="CCEEFF"/>
          </w:tcPr>
          <w:p>
            <w:pPr>
              <w:ind w:left="40"/>
              <w:spacing w:after="0"/>
              <w:rPr>
                <w:sz w:val="20"/>
                <w:szCs w:val="20"/>
                <w:color w:val="auto"/>
              </w:rPr>
            </w:pPr>
            <w:r>
              <w:rPr>
                <w:rFonts w:ascii="Arial" w:cs="Arial" w:eastAsia="Arial" w:hAnsi="Arial"/>
                <w:sz w:val="16"/>
                <w:szCs w:val="16"/>
                <w:i w:val="1"/>
                <w:iCs w:val="1"/>
                <w:color w:val="auto"/>
              </w:rPr>
              <w:t>Adjusted EBITDA margin as a % of Revenues (Non-GAAP)</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17.3%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18.3%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16.2%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18.1%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17.8%</w:t>
            </w:r>
          </w:p>
        </w:tc>
        <w:tc>
          <w:tcPr>
            <w:tcW w:w="0" w:type="dxa"/>
            <w:vAlign w:val="bottom"/>
          </w:tcPr>
          <w:p>
            <w:pPr>
              <w:spacing w:after="0"/>
              <w:rPr>
                <w:sz w:val="1"/>
                <w:szCs w:val="1"/>
                <w:color w:val="auto"/>
              </w:rPr>
            </w:pPr>
          </w:p>
        </w:tc>
      </w:tr>
      <w:tr>
        <w:trPr>
          <w:trHeight w:val="33"/>
        </w:trPr>
        <w:tc>
          <w:tcPr>
            <w:tcW w:w="50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260" w:hanging="225"/>
        <w:spacing w:after="0"/>
        <w:tabs>
          <w:tab w:leader="none" w:pos="2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exclude stock-based compensation expense under ASC Topic 718.</w:t>
      </w:r>
    </w:p>
    <w:p>
      <w:pPr>
        <w:spacing w:after="0" w:line="22" w:lineRule="exact"/>
        <w:rPr>
          <w:rFonts w:ascii="Arial" w:cs="Arial" w:eastAsia="Arial" w:hAnsi="Arial"/>
          <w:sz w:val="16"/>
          <w:szCs w:val="16"/>
          <w:color w:val="auto"/>
        </w:rPr>
      </w:pPr>
    </w:p>
    <w:p>
      <w:pPr>
        <w:ind w:left="260" w:hanging="225"/>
        <w:spacing w:after="0"/>
        <w:tabs>
          <w:tab w:leader="none" w:pos="2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exclude amortization of acquisition-related intangibles.</w:t>
      </w:r>
    </w:p>
    <w:p>
      <w:pPr>
        <w:sectPr>
          <w:pgSz w:w="11900" w:h="16838" w:orient="portrait"/>
          <w:cols w:equalWidth="0" w:num="1">
            <w:col w:w="11420"/>
          </w:cols>
          <w:pgMar w:left="240" w:top="702"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Reconciliation of Adjusted Net Income and Adjusted Diluted Earnings Per Share to Net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center"/>
              <w:ind w:right="99"/>
              <w:spacing w:after="0"/>
              <w:rPr>
                <w:sz w:val="20"/>
                <w:szCs w:val="20"/>
                <w:color w:val="auto"/>
              </w:rPr>
            </w:pPr>
            <w:r>
              <w:rPr>
                <w:rFonts w:ascii="Arial" w:cs="Arial" w:eastAsia="Arial" w:hAnsi="Arial"/>
                <w:sz w:val="16"/>
                <w:szCs w:val="16"/>
                <w:b w:val="1"/>
                <w:bCs w:val="1"/>
                <w:color w:val="auto"/>
                <w:w w:val="93"/>
              </w:rPr>
              <w:t>Three Months</w:t>
            </w:r>
          </w:p>
        </w:tc>
        <w:tc>
          <w:tcPr>
            <w:tcW w:w="0" w:type="dxa"/>
            <w:vAlign w:val="bottom"/>
          </w:tcPr>
          <w:p>
            <w:pPr>
              <w:spacing w:after="0"/>
              <w:rPr>
                <w:sz w:val="1"/>
                <w:szCs w:val="1"/>
                <w:color w:val="auto"/>
              </w:rPr>
            </w:pPr>
          </w:p>
        </w:tc>
      </w:tr>
      <w:tr>
        <w:trPr>
          <w:trHeight w:val="203"/>
        </w:trPr>
        <w:tc>
          <w:tcPr>
            <w:tcW w:w="5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3"/>
          </w:tcPr>
          <w:p>
            <w:pPr>
              <w:jc w:val="center"/>
              <w:ind w:left="399"/>
              <w:spacing w:after="0"/>
              <w:rPr>
                <w:sz w:val="20"/>
                <w:szCs w:val="20"/>
                <w:color w:val="auto"/>
              </w:rPr>
            </w:pPr>
            <w:r>
              <w:rPr>
                <w:rFonts w:ascii="Arial" w:cs="Arial" w:eastAsia="Arial" w:hAnsi="Arial"/>
                <w:sz w:val="16"/>
                <w:szCs w:val="16"/>
                <w:b w:val="1"/>
                <w:bCs w:val="1"/>
                <w:color w:val="auto"/>
                <w:w w:val="93"/>
              </w:rPr>
              <w:t>Year Ended</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7"/>
                <w:szCs w:val="17"/>
                <w:color w:val="auto"/>
              </w:rPr>
            </w:pPr>
          </w:p>
        </w:tc>
        <w:tc>
          <w:tcPr>
            <w:tcW w:w="1280" w:type="dxa"/>
            <w:vAlign w:val="bottom"/>
          </w:tcPr>
          <w:p>
            <w:pPr>
              <w:jc w:val="center"/>
              <w:ind w:right="99"/>
              <w:spacing w:after="0"/>
              <w:rPr>
                <w:sz w:val="20"/>
                <w:szCs w:val="20"/>
                <w:color w:val="auto"/>
              </w:rPr>
            </w:pPr>
            <w:r>
              <w:rPr>
                <w:rFonts w:ascii="Arial" w:cs="Arial" w:eastAsia="Arial" w:hAnsi="Arial"/>
                <w:sz w:val="16"/>
                <w:szCs w:val="16"/>
                <w:b w:val="1"/>
                <w:bCs w:val="1"/>
                <w:color w:val="auto"/>
                <w:w w:val="93"/>
              </w:rPr>
              <w:t>Ended</w:t>
            </w:r>
          </w:p>
        </w:tc>
        <w:tc>
          <w:tcPr>
            <w:tcW w:w="0" w:type="dxa"/>
            <w:vAlign w:val="bottom"/>
          </w:tcPr>
          <w:p>
            <w:pPr>
              <w:spacing w:after="0"/>
              <w:rPr>
                <w:sz w:val="1"/>
                <w:szCs w:val="1"/>
                <w:color w:val="auto"/>
              </w:rPr>
            </w:pPr>
          </w:p>
        </w:tc>
      </w:tr>
      <w:tr>
        <w:trPr>
          <w:trHeight w:val="210"/>
        </w:trPr>
        <w:tc>
          <w:tcPr>
            <w:tcW w:w="5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0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0"/>
              </w:rPr>
              <w:t>December 31,</w:t>
            </w:r>
          </w:p>
        </w:tc>
        <w:tc>
          <w:tcPr>
            <w:tcW w:w="220" w:type="dxa"/>
            <w:vAlign w:val="bottom"/>
          </w:tcPr>
          <w:p>
            <w:pPr>
              <w:spacing w:after="0"/>
              <w:rPr>
                <w:sz w:val="18"/>
                <w:szCs w:val="18"/>
                <w:color w:val="auto"/>
              </w:rPr>
            </w:pPr>
          </w:p>
        </w:tc>
        <w:tc>
          <w:tcPr>
            <w:tcW w:w="2020" w:type="dxa"/>
            <w:vAlign w:val="bottom"/>
            <w:gridSpan w:val="5"/>
          </w:tcPr>
          <w:p>
            <w:pPr>
              <w:ind w:left="380"/>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18"/>
                <w:szCs w:val="18"/>
                <w:color w:val="auto"/>
              </w:rPr>
            </w:pPr>
          </w:p>
        </w:tc>
        <w:tc>
          <w:tcPr>
            <w:tcW w:w="1280" w:type="dxa"/>
            <w:vAlign w:val="bottom"/>
          </w:tcPr>
          <w:p>
            <w:pPr>
              <w:jc w:val="center"/>
              <w:ind w:right="99"/>
              <w:spacing w:after="0"/>
              <w:rPr>
                <w:sz w:val="20"/>
                <w:szCs w:val="20"/>
                <w:color w:val="auto"/>
              </w:rPr>
            </w:pPr>
            <w:r>
              <w:rPr>
                <w:rFonts w:ascii="Arial" w:cs="Arial" w:eastAsia="Arial" w:hAnsi="Arial"/>
                <w:sz w:val="16"/>
                <w:szCs w:val="16"/>
                <w:b w:val="1"/>
                <w:bCs w:val="1"/>
                <w:color w:val="auto"/>
                <w:w w:val="89"/>
              </w:rPr>
              <w:t>September 30,</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ind w:right="299"/>
              <w:spacing w:after="0"/>
              <w:rPr>
                <w:sz w:val="20"/>
                <w:szCs w:val="20"/>
                <w:color w:val="auto"/>
              </w:rPr>
            </w:pPr>
            <w:r>
              <w:rPr>
                <w:rFonts w:ascii="Arial" w:cs="Arial" w:eastAsia="Arial" w:hAnsi="Arial"/>
                <w:sz w:val="16"/>
                <w:szCs w:val="16"/>
                <w:b w:val="1"/>
                <w:bCs w:val="1"/>
                <w:color w:val="auto"/>
                <w:w w:val="84"/>
              </w:rPr>
              <w:t>2015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ind w:left="120"/>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7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ind w:right="99"/>
              <w:spacing w:after="0"/>
              <w:rPr>
                <w:sz w:val="20"/>
                <w:szCs w:val="20"/>
                <w:color w:val="auto"/>
              </w:rPr>
            </w:pPr>
            <w:r>
              <w:rPr>
                <w:rFonts w:ascii="Arial" w:cs="Arial" w:eastAsia="Arial" w:hAnsi="Arial"/>
                <w:sz w:val="16"/>
                <w:szCs w:val="16"/>
                <w:b w:val="1"/>
                <w:bCs w:val="1"/>
                <w:color w:val="auto"/>
                <w:w w:val="95"/>
              </w:rPr>
              <w:t>2016</w:t>
            </w:r>
          </w:p>
        </w:tc>
        <w:tc>
          <w:tcPr>
            <w:tcW w:w="0" w:type="dxa"/>
            <w:vAlign w:val="bottom"/>
          </w:tcPr>
          <w:p>
            <w:pPr>
              <w:spacing w:after="0"/>
              <w:rPr>
                <w:sz w:val="1"/>
                <w:szCs w:val="1"/>
                <w:color w:val="auto"/>
              </w:rPr>
            </w:pPr>
          </w:p>
        </w:tc>
      </w:tr>
      <w:tr>
        <w:trPr>
          <w:trHeight w:val="47"/>
        </w:trPr>
        <w:tc>
          <w:tcPr>
            <w:tcW w:w="538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(GAAP)</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61,733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51,565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15,488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14,762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16,050</w:t>
            </w:r>
          </w:p>
        </w:tc>
        <w:tc>
          <w:tcPr>
            <w:tcW w:w="0" w:type="dxa"/>
            <w:vAlign w:val="bottom"/>
          </w:tcPr>
          <w:p>
            <w:pPr>
              <w:spacing w:after="0"/>
              <w:rPr>
                <w:sz w:val="1"/>
                <w:szCs w:val="1"/>
                <w:color w:val="auto"/>
              </w:rPr>
            </w:pPr>
          </w:p>
        </w:tc>
      </w:tr>
      <w:tr>
        <w:trPr>
          <w:trHeight w:val="224"/>
        </w:trPr>
        <w:tc>
          <w:tcPr>
            <w:tcW w:w="5380" w:type="dxa"/>
            <w:vAlign w:val="bottom"/>
          </w:tcPr>
          <w:p>
            <w:pPr>
              <w:ind w:left="40"/>
              <w:spacing w:after="0"/>
              <w:rPr>
                <w:sz w:val="20"/>
                <w:szCs w:val="20"/>
                <w:color w:val="auto"/>
              </w:rPr>
            </w:pPr>
            <w:r>
              <w:rPr>
                <w:rFonts w:ascii="Arial" w:cs="Arial" w:eastAsia="Arial" w:hAnsi="Arial"/>
                <w:sz w:val="16"/>
                <w:szCs w:val="16"/>
                <w:color w:val="auto"/>
              </w:rPr>
              <w:t>add: Stock-based compensation expense (a)</w:t>
            </w:r>
          </w:p>
        </w:tc>
        <w:tc>
          <w:tcPr>
            <w:tcW w:w="24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19,770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16,047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5,027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3,768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4,483</w:t>
            </w:r>
          </w:p>
        </w:tc>
        <w:tc>
          <w:tcPr>
            <w:tcW w:w="0" w:type="dxa"/>
            <w:vAlign w:val="bottom"/>
          </w:tcPr>
          <w:p>
            <w:pPr>
              <w:spacing w:after="0"/>
              <w:rPr>
                <w:sz w:val="1"/>
                <w:szCs w:val="1"/>
                <w:color w:val="auto"/>
              </w:rPr>
            </w:pPr>
          </w:p>
        </w:tc>
      </w:tr>
      <w:tr>
        <w:trPr>
          <w:trHeight w:val="47"/>
        </w:trPr>
        <w:tc>
          <w:tcPr>
            <w:tcW w:w="5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Amortization of acquisition-related intangibles (b)</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11,873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2,848</w:t>
            </w:r>
          </w:p>
        </w:tc>
        <w:tc>
          <w:tcPr>
            <w:tcW w:w="0" w:type="dxa"/>
            <w:vAlign w:val="bottom"/>
          </w:tcPr>
          <w:p>
            <w:pPr>
              <w:spacing w:after="0"/>
              <w:rPr>
                <w:sz w:val="1"/>
                <w:szCs w:val="1"/>
                <w:color w:val="auto"/>
              </w:rPr>
            </w:pPr>
          </w:p>
        </w:tc>
      </w:tr>
      <w:tr>
        <w:trPr>
          <w:trHeight w:val="224"/>
        </w:trPr>
        <w:tc>
          <w:tcPr>
            <w:tcW w:w="5380" w:type="dxa"/>
            <w:vAlign w:val="bottom"/>
          </w:tcPr>
          <w:p>
            <w:pPr>
              <w:ind w:left="40"/>
              <w:spacing w:after="0"/>
              <w:rPr>
                <w:sz w:val="20"/>
                <w:szCs w:val="20"/>
                <w:color w:val="auto"/>
              </w:rPr>
            </w:pPr>
            <w:r>
              <w:rPr>
                <w:rFonts w:ascii="Arial" w:cs="Arial" w:eastAsia="Arial" w:hAnsi="Arial"/>
                <w:sz w:val="16"/>
                <w:szCs w:val="16"/>
                <w:color w:val="auto"/>
              </w:rPr>
              <w:t>subtract: Tax impact on stock-based compensation expense</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(7,216)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(6,081)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(1,561)</w:t>
            </w:r>
          </w:p>
        </w:tc>
        <w:tc>
          <w:tcPr>
            <w:tcW w:w="0" w:type="dxa"/>
            <w:vAlign w:val="bottom"/>
          </w:tcPr>
          <w:p>
            <w:pPr>
              <w:spacing w:after="0"/>
              <w:rPr>
                <w:sz w:val="1"/>
                <w:szCs w:val="1"/>
                <w:color w:val="auto"/>
              </w:rPr>
            </w:pPr>
          </w:p>
        </w:tc>
      </w:tr>
      <w:tr>
        <w:trPr>
          <w:trHeight w:val="47"/>
        </w:trPr>
        <w:tc>
          <w:tcPr>
            <w:tcW w:w="5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subtract: Tax impact on amortization of acquisition-related intangibles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(3,073)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(717)</w:t>
            </w:r>
          </w:p>
        </w:tc>
        <w:tc>
          <w:tcPr>
            <w:tcW w:w="0" w:type="dxa"/>
            <w:vAlign w:val="bottom"/>
          </w:tcPr>
          <w:p>
            <w:pPr>
              <w:spacing w:after="0"/>
              <w:rPr>
                <w:sz w:val="1"/>
                <w:szCs w:val="1"/>
                <w:color w:val="auto"/>
              </w:rPr>
            </w:pPr>
          </w:p>
        </w:tc>
      </w:tr>
      <w:tr>
        <w:trPr>
          <w:trHeight w:val="224"/>
        </w:trPr>
        <w:tc>
          <w:tcPr>
            <w:tcW w:w="5380" w:type="dxa"/>
            <w:vAlign w:val="bottom"/>
          </w:tcPr>
          <w:p>
            <w:pPr>
              <w:ind w:left="40"/>
              <w:spacing w:after="0"/>
              <w:rPr>
                <w:sz w:val="20"/>
                <w:szCs w:val="20"/>
                <w:color w:val="auto"/>
              </w:rPr>
            </w:pPr>
            <w:r>
              <w:rPr>
                <w:rFonts w:ascii="Arial" w:cs="Arial" w:eastAsia="Arial" w:hAnsi="Arial"/>
                <w:sz w:val="16"/>
                <w:szCs w:val="16"/>
                <w:color w:val="auto"/>
              </w:rPr>
              <w:t>Subtract: Changes in fair value of earn-out consideration (net of tax) (c)</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(2,515)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538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Adjusted net income (Non-GAAP)</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80,572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69,273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21,308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19,137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21,103</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Adjusted diluted earnings per share (Non-GAAP)</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380" w:type="dxa"/>
            <w:vAlign w:val="bottom"/>
            <w:vMerge w:val="continue"/>
          </w:tcPr>
          <w:p>
            <w:pPr>
              <w:spacing w:after="0"/>
              <w:rPr>
                <w:sz w:val="17"/>
                <w:szCs w:val="17"/>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2.33</w:t>
            </w:r>
          </w:p>
        </w:tc>
        <w:tc>
          <w:tcPr>
            <w:tcW w:w="12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Pr>
          <w:p>
            <w:pPr>
              <w:jc w:val="right"/>
              <w:ind w:right="39"/>
              <w:spacing w:after="0"/>
              <w:rPr>
                <w:sz w:val="20"/>
                <w:szCs w:val="20"/>
                <w:color w:val="auto"/>
              </w:rPr>
            </w:pPr>
            <w:r>
              <w:rPr>
                <w:rFonts w:ascii="Arial" w:cs="Arial" w:eastAsia="Arial" w:hAnsi="Arial"/>
                <w:sz w:val="16"/>
                <w:szCs w:val="16"/>
                <w:b w:val="1"/>
                <w:bCs w:val="1"/>
                <w:color w:val="auto"/>
              </w:rPr>
              <w:t>2.03</w:t>
            </w:r>
          </w:p>
        </w:tc>
        <w:tc>
          <w:tcPr>
            <w:tcW w:w="10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0.61</w:t>
            </w:r>
          </w:p>
        </w:tc>
        <w:tc>
          <w:tcPr>
            <w:tcW w:w="10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0.56</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Pr>
          <w:p>
            <w:pPr>
              <w:jc w:val="right"/>
              <w:ind w:right="19"/>
              <w:spacing w:after="0"/>
              <w:rPr>
                <w:sz w:val="20"/>
                <w:szCs w:val="20"/>
                <w:color w:val="auto"/>
              </w:rPr>
            </w:pPr>
            <w:r>
              <w:rPr>
                <w:rFonts w:ascii="Arial" w:cs="Arial" w:eastAsia="Arial" w:hAnsi="Arial"/>
                <w:sz w:val="16"/>
                <w:szCs w:val="16"/>
                <w:b w:val="1"/>
                <w:bCs w:val="1"/>
                <w:color w:val="auto"/>
              </w:rPr>
              <w:t>0.61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677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677545"/>
                    </a:xfrm>
                    <a:prstGeom prst="rect">
                      <a:avLst/>
                    </a:prstGeom>
                    <a:noFill/>
                  </pic:spPr>
                </pic:pic>
              </a:graphicData>
            </a:graphic>
          </wp:anchor>
        </w:drawing>
      </w:r>
    </w:p>
    <w:p>
      <w:pPr>
        <w:spacing w:after="0" w:line="233" w:lineRule="exact"/>
        <w:rPr>
          <w:sz w:val="20"/>
          <w:szCs w:val="20"/>
          <w:color w:val="auto"/>
        </w:rPr>
      </w:pPr>
    </w:p>
    <w:p>
      <w:pPr>
        <w:ind w:left="260" w:hanging="225"/>
        <w:spacing w:after="0"/>
        <w:tabs>
          <w:tab w:leader="none" w:pos="2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exclude stock-based compensation expense under ASC Topic 718.</w:t>
      </w:r>
    </w:p>
    <w:p>
      <w:pPr>
        <w:spacing w:after="0" w:line="22" w:lineRule="exact"/>
        <w:rPr>
          <w:rFonts w:ascii="Arial" w:cs="Arial" w:eastAsia="Arial" w:hAnsi="Arial"/>
          <w:sz w:val="16"/>
          <w:szCs w:val="16"/>
          <w:color w:val="auto"/>
        </w:rPr>
      </w:pPr>
    </w:p>
    <w:p>
      <w:pPr>
        <w:ind w:left="260" w:hanging="225"/>
        <w:spacing w:after="0"/>
        <w:tabs>
          <w:tab w:leader="none" w:pos="2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exclude amortization of acquisition-related intangibles.</w:t>
      </w:r>
    </w:p>
    <w:p>
      <w:pPr>
        <w:spacing w:after="0" w:line="18" w:lineRule="exact"/>
        <w:rPr>
          <w:rFonts w:ascii="Arial" w:cs="Arial" w:eastAsia="Arial" w:hAnsi="Arial"/>
          <w:sz w:val="16"/>
          <w:szCs w:val="16"/>
          <w:color w:val="auto"/>
        </w:rPr>
      </w:pPr>
    </w:p>
    <w:p>
      <w:pPr>
        <w:ind w:left="260" w:hanging="225"/>
        <w:spacing w:after="0"/>
        <w:tabs>
          <w:tab w:leader="none" w:pos="2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exclude change in fair value of earn-out consideration related to the RPM acquisition.</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Contact: Steven N. Barlow</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ind w:right="10060" w:firstLine="8"/>
        <w:spacing w:after="0" w:line="323" w:lineRule="auto"/>
        <w:tabs>
          <w:tab w:leader="none" w:pos="435"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624-5913 </w:t>
      </w:r>
      <w:r>
        <w:rPr>
          <w:rFonts w:ascii="Arial" w:cs="Arial" w:eastAsia="Arial" w:hAnsi="Arial"/>
          <w:sz w:val="16"/>
          <w:szCs w:val="16"/>
          <w:u w:val="single" w:color="auto"/>
          <w:color w:val="0000FF"/>
        </w:rPr>
        <w:t>ir@exlservice.com</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o"/>
      <w:numFmt w:val="bullet"/>
      <w:start w:val="1"/>
    </w:lvl>
  </w:abstractNum>
  <w:abstractNum w:abstractNumId="1">
    <w:nsid w:val="3D1B58BA"/>
    <w:multiLevelType w:val="hybridMultilevel"/>
    <w:lvl w:ilvl="0">
      <w:lvlJc w:val="left"/>
      <w:lvlText w:val="•"/>
      <w:numFmt w:val="bullet"/>
      <w:start w:val="1"/>
    </w:lvl>
    <w:lvl w:ilvl="1">
      <w:lvlJc w:val="left"/>
      <w:lvlText w:val="•"/>
      <w:numFmt w:val="bullet"/>
      <w:start w:val="1"/>
    </w:lvl>
  </w:abstractNum>
  <w:abstractNum w:abstractNumId="2">
    <w:nsid w:val="507ED7AB"/>
    <w:multiLevelType w:val="hybridMultilevel"/>
    <w:lvl w:ilvl="0">
      <w:lvlJc w:val="left"/>
      <w:lvlText w:val="•"/>
      <w:numFmt w:val="bullet"/>
      <w:start w:val="1"/>
    </w:lvl>
    <w:lvl w:ilvl="1">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2019-12-06T22:31:14Z</dcterms:created>
  <dcterms:modified xsi:type="dcterms:W3CDTF">2019-12-06T22:31:14Z</dcterms:modified>
</cp:coreProperties>
</file>