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219075</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260350</wp:posOffset>
            </wp:positionV>
            <wp:extent cx="674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00"/>
        <w:spacing w:after="0"/>
        <w:rPr>
          <w:sz w:val="20"/>
          <w:szCs w:val="20"/>
          <w:color w:val="auto"/>
        </w:rPr>
      </w:pPr>
      <w:r>
        <w:rPr>
          <w:rFonts w:ascii="Calibri" w:cs="Calibri" w:eastAsia="Calibri" w:hAnsi="Calibri"/>
          <w:sz w:val="31"/>
          <w:szCs w:val="31"/>
          <w:b w:val="1"/>
          <w:bCs w:val="1"/>
          <w:color w:val="auto"/>
        </w:rPr>
        <w:t>UNITED STATES</w:t>
      </w:r>
    </w:p>
    <w:p>
      <w:pPr>
        <w:jc w:val="center"/>
        <w:ind w:right="-1100"/>
        <w:spacing w:after="0" w:line="239" w:lineRule="auto"/>
        <w:rPr>
          <w:sz w:val="20"/>
          <w:szCs w:val="20"/>
          <w:color w:val="auto"/>
        </w:rPr>
      </w:pPr>
      <w:r>
        <w:rPr>
          <w:rFonts w:ascii="Calibri" w:cs="Calibri" w:eastAsia="Calibri" w:hAnsi="Calibri"/>
          <w:sz w:val="31"/>
          <w:szCs w:val="31"/>
          <w:b w:val="1"/>
          <w:bCs w:val="1"/>
          <w:color w:val="auto"/>
        </w:rPr>
        <w:t>SECURITIES AND EXCHANGE COMMISSION</w:t>
      </w:r>
    </w:p>
    <w:p>
      <w:pPr>
        <w:spacing w:after="0" w:line="17" w:lineRule="exact"/>
        <w:rPr>
          <w:sz w:val="24"/>
          <w:szCs w:val="24"/>
          <w:color w:val="auto"/>
        </w:rPr>
      </w:pPr>
    </w:p>
    <w:p>
      <w:pPr>
        <w:ind w:left="4600"/>
        <w:spacing w:after="0"/>
        <w:rPr>
          <w:sz w:val="20"/>
          <w:szCs w:val="20"/>
          <w:color w:val="auto"/>
        </w:rPr>
      </w:pPr>
      <w:r>
        <w:rPr>
          <w:rFonts w:ascii="Calibri" w:cs="Calibri" w:eastAsia="Calibri" w:hAnsi="Calibri"/>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231140</wp:posOffset>
            </wp:positionV>
            <wp:extent cx="1421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100"/>
        <w:spacing w:after="0"/>
        <w:rPr>
          <w:sz w:val="20"/>
          <w:szCs w:val="20"/>
          <w:color w:val="auto"/>
        </w:rPr>
      </w:pPr>
      <w:r>
        <w:rPr>
          <w:rFonts w:ascii="Calibri" w:cs="Calibri" w:eastAsia="Calibri" w:hAnsi="Calibri"/>
          <w:sz w:val="31"/>
          <w:szCs w:val="31"/>
          <w:b w:val="1"/>
          <w:bCs w:val="1"/>
          <w:color w:val="auto"/>
        </w:rPr>
        <w:t>SCHEDULE 14A</w:t>
      </w:r>
    </w:p>
    <w:p>
      <w:pPr>
        <w:spacing w:after="0" w:line="17" w:lineRule="exact"/>
        <w:rPr>
          <w:sz w:val="24"/>
          <w:szCs w:val="24"/>
          <w:color w:val="auto"/>
        </w:rPr>
      </w:pPr>
    </w:p>
    <w:p>
      <w:pPr>
        <w:jc w:val="center"/>
        <w:ind w:right="-1100"/>
        <w:spacing w:after="0"/>
        <w:rPr>
          <w:sz w:val="20"/>
          <w:szCs w:val="20"/>
          <w:color w:val="auto"/>
        </w:rPr>
      </w:pPr>
      <w:r>
        <w:rPr>
          <w:rFonts w:ascii="Calibri" w:cs="Calibri" w:eastAsia="Calibri" w:hAnsi="Calibri"/>
          <w:sz w:val="21"/>
          <w:szCs w:val="21"/>
          <w:b w:val="1"/>
          <w:bCs w:val="1"/>
          <w:color w:val="auto"/>
        </w:rPr>
        <w:t>Proxy Statement Pursuant to Secton 14(a) of the</w:t>
      </w:r>
    </w:p>
    <w:p>
      <w:pPr>
        <w:spacing w:after="0" w:line="4" w:lineRule="exact"/>
        <w:rPr>
          <w:sz w:val="24"/>
          <w:szCs w:val="24"/>
          <w:color w:val="auto"/>
        </w:rPr>
      </w:pPr>
    </w:p>
    <w:p>
      <w:pPr>
        <w:jc w:val="center"/>
        <w:ind w:right="-1100"/>
        <w:spacing w:after="0"/>
        <w:rPr>
          <w:sz w:val="20"/>
          <w:szCs w:val="20"/>
          <w:color w:val="auto"/>
        </w:rPr>
      </w:pPr>
      <w:r>
        <w:rPr>
          <w:rFonts w:ascii="Calibri" w:cs="Calibri" w:eastAsia="Calibri" w:hAnsi="Calibri"/>
          <w:sz w:val="21"/>
          <w:szCs w:val="21"/>
          <w:b w:val="1"/>
          <w:bCs w:val="1"/>
          <w:color w:val="auto"/>
        </w:rPr>
        <w:t>Securites Exchange Act of 1934</w:t>
      </w:r>
    </w:p>
    <w:p>
      <w:pPr>
        <w:spacing w:after="0" w:line="4" w:lineRule="exact"/>
        <w:rPr>
          <w:sz w:val="24"/>
          <w:szCs w:val="24"/>
          <w:color w:val="auto"/>
        </w:rPr>
      </w:pPr>
    </w:p>
    <w:p>
      <w:pPr>
        <w:jc w:val="center"/>
        <w:ind w:right="-1100"/>
        <w:spacing w:after="0"/>
        <w:rPr>
          <w:sz w:val="20"/>
          <w:szCs w:val="20"/>
          <w:color w:val="auto"/>
        </w:rPr>
      </w:pPr>
      <w:r>
        <w:rPr>
          <w:rFonts w:ascii="Calibri" w:cs="Calibri" w:eastAsia="Calibri" w:hAnsi="Calibri"/>
          <w:sz w:val="21"/>
          <w:szCs w:val="21"/>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231140</wp:posOffset>
            </wp:positionV>
            <wp:extent cx="142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320"/>
        <w:spacing w:after="0"/>
        <w:tabs>
          <w:tab w:leader="none" w:pos="2100" w:val="left"/>
        </w:tabs>
        <w:rPr>
          <w:sz w:val="20"/>
          <w:szCs w:val="20"/>
          <w:color w:val="auto"/>
        </w:rPr>
      </w:pPr>
      <w:r>
        <w:rPr>
          <w:rFonts w:ascii="Calibri" w:cs="Calibri" w:eastAsia="Calibri" w:hAnsi="Calibri"/>
          <w:sz w:val="17"/>
          <w:szCs w:val="17"/>
          <w:color w:val="auto"/>
        </w:rPr>
        <w:t>Filed by the Registrant [</w:t>
        <w:tab/>
        <w:t>]</w:t>
      </w:r>
    </w:p>
    <w:p>
      <w:pPr>
        <w:spacing w:after="0" w:line="209" w:lineRule="exact"/>
        <w:rPr>
          <w:sz w:val="24"/>
          <w:szCs w:val="24"/>
          <w:color w:val="auto"/>
        </w:rPr>
      </w:pPr>
    </w:p>
    <w:p>
      <w:pPr>
        <w:ind w:left="320"/>
        <w:spacing w:after="0"/>
        <w:tabs>
          <w:tab w:leader="none" w:pos="3400" w:val="left"/>
        </w:tabs>
        <w:rPr>
          <w:sz w:val="20"/>
          <w:szCs w:val="20"/>
          <w:color w:val="auto"/>
        </w:rPr>
      </w:pPr>
      <w:r>
        <w:rPr>
          <w:rFonts w:ascii="Calibri" w:cs="Calibri" w:eastAsia="Calibri" w:hAnsi="Calibri"/>
          <w:sz w:val="17"/>
          <w:szCs w:val="17"/>
          <w:color w:val="auto"/>
        </w:rPr>
        <w:t>Filed by a Party other than the Registrant [</w:t>
      </w:r>
      <w:r>
        <w:rPr>
          <w:sz w:val="20"/>
          <w:szCs w:val="20"/>
          <w:color w:val="auto"/>
        </w:rPr>
        <w:tab/>
      </w:r>
      <w:r>
        <w:rPr>
          <w:rFonts w:ascii="Calibri" w:cs="Calibri" w:eastAsia="Calibri" w:hAnsi="Calibri"/>
          <w:sz w:val="13"/>
          <w:szCs w:val="13"/>
          <w:color w:val="auto"/>
        </w:rPr>
        <w:t>]</w:t>
      </w:r>
    </w:p>
    <w:p>
      <w:pPr>
        <w:spacing w:after="0" w:line="200" w:lineRule="exact"/>
        <w:rPr>
          <w:sz w:val="24"/>
          <w:szCs w:val="24"/>
          <w:color w:val="auto"/>
        </w:rPr>
      </w:pPr>
    </w:p>
    <w:p>
      <w:pPr>
        <w:spacing w:after="0" w:line="217" w:lineRule="exact"/>
        <w:rPr>
          <w:sz w:val="24"/>
          <w:szCs w:val="24"/>
          <w:color w:val="auto"/>
        </w:rPr>
      </w:pPr>
    </w:p>
    <w:p>
      <w:pPr>
        <w:ind w:left="320"/>
        <w:spacing w:after="0"/>
        <w:rPr>
          <w:sz w:val="20"/>
          <w:szCs w:val="20"/>
          <w:color w:val="auto"/>
        </w:rPr>
      </w:pPr>
      <w:r>
        <w:rPr>
          <w:rFonts w:ascii="Calibri" w:cs="Calibri" w:eastAsia="Calibri" w:hAnsi="Calibri"/>
          <w:sz w:val="17"/>
          <w:szCs w:val="17"/>
          <w:color w:val="auto"/>
        </w:rPr>
        <w:t>Check the appropriate box:</w:t>
      </w:r>
    </w:p>
    <w:p>
      <w:pPr>
        <w:spacing w:after="0" w:line="235" w:lineRule="exact"/>
        <w:rPr>
          <w:sz w:val="24"/>
          <w:szCs w:val="24"/>
          <w:color w:val="auto"/>
        </w:rPr>
      </w:pPr>
    </w:p>
    <w:p>
      <w:pPr>
        <w:ind w:left="740" w:hanging="424"/>
        <w:spacing w:after="0"/>
        <w:tabs>
          <w:tab w:leader="none" w:pos="74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color w:val="auto"/>
        </w:rPr>
        <w:t>Preliminary Proxy Statement</w:t>
      </w:r>
    </w:p>
    <w:p>
      <w:pPr>
        <w:spacing w:after="0" w:line="234" w:lineRule="exact"/>
        <w:rPr>
          <w:rFonts w:ascii="MS PGothic" w:cs="MS PGothic" w:eastAsia="MS PGothic" w:hAnsi="MS PGothic"/>
          <w:sz w:val="17"/>
          <w:szCs w:val="17"/>
          <w:color w:val="auto"/>
        </w:rPr>
      </w:pPr>
    </w:p>
    <w:p>
      <w:pPr>
        <w:ind w:left="740" w:hanging="424"/>
        <w:spacing w:after="0"/>
        <w:tabs>
          <w:tab w:leader="none" w:pos="740" w:val="left"/>
        </w:tabs>
        <w:numPr>
          <w:ilvl w:val="0"/>
          <w:numId w:val="1"/>
        </w:numPr>
        <w:rPr>
          <w:rFonts w:ascii="MS PGothic" w:cs="MS PGothic" w:eastAsia="MS PGothic" w:hAnsi="MS PGothic"/>
          <w:sz w:val="17"/>
          <w:szCs w:val="17"/>
          <w:color w:val="auto"/>
        </w:rPr>
      </w:pPr>
      <w:r>
        <w:rPr>
          <w:rFonts w:ascii="Calibri" w:cs="Calibri" w:eastAsia="Calibri" w:hAnsi="Calibri"/>
          <w:sz w:val="17"/>
          <w:szCs w:val="17"/>
          <w:b w:val="1"/>
          <w:bCs w:val="1"/>
          <w:color w:val="auto"/>
        </w:rPr>
        <w:t>Confdental, for Use of the Commission Only (as permited by Rule 14a-6(e)(2))</w:t>
      </w:r>
    </w:p>
    <w:p>
      <w:pPr>
        <w:spacing w:after="0" w:line="235" w:lineRule="exact"/>
        <w:rPr>
          <w:sz w:val="24"/>
          <w:szCs w:val="24"/>
          <w:color w:val="auto"/>
        </w:rPr>
      </w:pPr>
    </w:p>
    <w:p>
      <w:pPr>
        <w:ind w:left="740" w:hanging="424"/>
        <w:spacing w:after="0"/>
        <w:tabs>
          <w:tab w:leader="none" w:pos="740" w:val="left"/>
        </w:tabs>
        <w:numPr>
          <w:ilvl w:val="0"/>
          <w:numId w:val="2"/>
        </w:numPr>
        <w:rPr>
          <w:rFonts w:ascii="MS PGothic" w:cs="MS PGothic" w:eastAsia="MS PGothic" w:hAnsi="MS PGothic"/>
          <w:sz w:val="17"/>
          <w:szCs w:val="17"/>
          <w:color w:val="auto"/>
        </w:rPr>
      </w:pPr>
      <w:r>
        <w:rPr>
          <w:rFonts w:ascii="Calibri" w:cs="Calibri" w:eastAsia="Calibri" w:hAnsi="Calibri"/>
          <w:sz w:val="17"/>
          <w:szCs w:val="17"/>
          <w:color w:val="auto"/>
        </w:rPr>
        <w:t>Defnitve Proxy Statement</w:t>
      </w:r>
    </w:p>
    <w:p>
      <w:pPr>
        <w:spacing w:after="0" w:line="235" w:lineRule="exact"/>
        <w:rPr>
          <w:sz w:val="24"/>
          <w:szCs w:val="24"/>
          <w:color w:val="auto"/>
        </w:rPr>
      </w:pPr>
    </w:p>
    <w:p>
      <w:pPr>
        <w:ind w:left="740" w:hanging="424"/>
        <w:spacing w:after="0"/>
        <w:tabs>
          <w:tab w:leader="none" w:pos="740" w:val="left"/>
        </w:tabs>
        <w:numPr>
          <w:ilvl w:val="0"/>
          <w:numId w:val="3"/>
        </w:numPr>
        <w:rPr>
          <w:rFonts w:ascii="MS PGothic" w:cs="MS PGothic" w:eastAsia="MS PGothic" w:hAnsi="MS PGothic"/>
          <w:sz w:val="17"/>
          <w:szCs w:val="17"/>
          <w:color w:val="auto"/>
        </w:rPr>
      </w:pPr>
      <w:r>
        <w:rPr>
          <w:rFonts w:ascii="Calibri" w:cs="Calibri" w:eastAsia="Calibri" w:hAnsi="Calibri"/>
          <w:sz w:val="17"/>
          <w:szCs w:val="17"/>
          <w:color w:val="auto"/>
        </w:rPr>
        <w:t>Defnitve Additonal Materials</w:t>
      </w:r>
    </w:p>
    <w:p>
      <w:pPr>
        <w:spacing w:after="0" w:line="234" w:lineRule="exact"/>
        <w:rPr>
          <w:rFonts w:ascii="MS PGothic" w:cs="MS PGothic" w:eastAsia="MS PGothic" w:hAnsi="MS PGothic"/>
          <w:sz w:val="17"/>
          <w:szCs w:val="17"/>
          <w:color w:val="auto"/>
        </w:rPr>
      </w:pPr>
    </w:p>
    <w:p>
      <w:pPr>
        <w:ind w:left="740" w:hanging="424"/>
        <w:spacing w:after="0"/>
        <w:tabs>
          <w:tab w:leader="none" w:pos="740" w:val="left"/>
        </w:tabs>
        <w:numPr>
          <w:ilvl w:val="0"/>
          <w:numId w:val="3"/>
        </w:numPr>
        <w:rPr>
          <w:rFonts w:ascii="MS PGothic" w:cs="MS PGothic" w:eastAsia="MS PGothic" w:hAnsi="MS PGothic"/>
          <w:sz w:val="17"/>
          <w:szCs w:val="17"/>
          <w:color w:val="auto"/>
        </w:rPr>
      </w:pPr>
      <w:r>
        <w:rPr>
          <w:rFonts w:ascii="Calibri" w:cs="Calibri" w:eastAsia="Calibri" w:hAnsi="Calibri"/>
          <w:sz w:val="17"/>
          <w:szCs w:val="17"/>
          <w:color w:val="auto"/>
        </w:rPr>
        <w:t>Solicitng Material under §240.14a-12</w:t>
      </w:r>
    </w:p>
    <w:p>
      <w:pPr>
        <w:spacing w:after="0" w:line="191" w:lineRule="exact"/>
        <w:rPr>
          <w:sz w:val="24"/>
          <w:szCs w:val="24"/>
          <w:color w:val="auto"/>
        </w:rPr>
      </w:pPr>
    </w:p>
    <w:p>
      <w:pPr>
        <w:ind w:left="4060"/>
        <w:spacing w:after="0"/>
        <w:rPr>
          <w:sz w:val="20"/>
          <w:szCs w:val="20"/>
          <w:color w:val="auto"/>
        </w:rPr>
      </w:pPr>
      <w:r>
        <w:rPr>
          <w:rFonts w:ascii="Calibri" w:cs="Calibri" w:eastAsia="Calibri" w:hAnsi="Calibri"/>
          <w:sz w:val="31"/>
          <w:szCs w:val="31"/>
          <w:b w:val="1"/>
          <w:bCs w:val="1"/>
          <w:color w:val="auto"/>
        </w:rPr>
        <w:t>ExlService Holdings, Inc.</w:t>
      </w:r>
    </w:p>
    <w:p>
      <w:pPr>
        <w:spacing w:after="0" w:line="17" w:lineRule="exact"/>
        <w:rPr>
          <w:sz w:val="24"/>
          <w:szCs w:val="24"/>
          <w:color w:val="auto"/>
        </w:rPr>
      </w:pPr>
    </w:p>
    <w:p>
      <w:pPr>
        <w:ind w:left="4000"/>
        <w:spacing w:after="0"/>
        <w:rPr>
          <w:sz w:val="20"/>
          <w:szCs w:val="20"/>
          <w:color w:val="auto"/>
        </w:rPr>
      </w:pPr>
      <w:r>
        <w:rPr>
          <w:rFonts w:ascii="Calibri" w:cs="Calibri" w:eastAsia="Calibri" w:hAnsi="Calibri"/>
          <w:sz w:val="17"/>
          <w:szCs w:val="17"/>
          <w:b w:val="1"/>
          <w:bCs w:val="1"/>
          <w:color w:val="auto"/>
        </w:rPr>
        <w:t>(Name of Registrant as Specifed In Its Charter)</w:t>
      </w:r>
    </w:p>
    <w:p>
      <w:pPr>
        <w:spacing w:after="0" w:line="209" w:lineRule="exact"/>
        <w:rPr>
          <w:sz w:val="24"/>
          <w:szCs w:val="24"/>
          <w:color w:val="auto"/>
        </w:rPr>
      </w:pPr>
    </w:p>
    <w:p>
      <w:pPr>
        <w:ind w:left="3120"/>
        <w:spacing w:after="0"/>
        <w:rPr>
          <w:sz w:val="20"/>
          <w:szCs w:val="20"/>
          <w:color w:val="auto"/>
        </w:rPr>
      </w:pPr>
      <w:r>
        <w:rPr>
          <w:rFonts w:ascii="Calibri" w:cs="Calibri" w:eastAsia="Calibri" w:hAnsi="Calibri"/>
          <w:sz w:val="17"/>
          <w:szCs w:val="17"/>
          <w:b w:val="1"/>
          <w:bCs w:val="1"/>
          <w:color w:val="auto"/>
        </w:rPr>
        <w:t>(Name of Person(s) Filing Proxy Statement, if other than the Registrant)</w:t>
      </w:r>
    </w:p>
    <w:p>
      <w:pPr>
        <w:spacing w:after="0" w:line="209" w:lineRule="exact"/>
        <w:rPr>
          <w:sz w:val="24"/>
          <w:szCs w:val="24"/>
          <w:color w:val="auto"/>
        </w:rPr>
      </w:pPr>
    </w:p>
    <w:p>
      <w:pPr>
        <w:ind w:left="320"/>
        <w:spacing w:after="0"/>
        <w:rPr>
          <w:sz w:val="20"/>
          <w:szCs w:val="20"/>
          <w:color w:val="auto"/>
        </w:rPr>
      </w:pPr>
      <w:r>
        <w:rPr>
          <w:rFonts w:ascii="Calibri" w:cs="Calibri" w:eastAsia="Calibri" w:hAnsi="Calibri"/>
          <w:sz w:val="17"/>
          <w:szCs w:val="17"/>
          <w:color w:val="auto"/>
        </w:rPr>
        <w:t>Payment of Filing Fee (Check all boxes that apply):</w:t>
      </w:r>
    </w:p>
    <w:p>
      <w:pPr>
        <w:spacing w:after="0" w:line="235" w:lineRule="exact"/>
        <w:rPr>
          <w:sz w:val="24"/>
          <w:szCs w:val="24"/>
          <w:color w:val="auto"/>
        </w:rPr>
      </w:pPr>
    </w:p>
    <w:p>
      <w:pPr>
        <w:ind w:left="740" w:hanging="424"/>
        <w:spacing w:after="0"/>
        <w:tabs>
          <w:tab w:leader="none" w:pos="740" w:val="left"/>
        </w:tabs>
        <w:numPr>
          <w:ilvl w:val="0"/>
          <w:numId w:val="4"/>
        </w:numPr>
        <w:rPr>
          <w:rFonts w:ascii="MS PGothic" w:cs="MS PGothic" w:eastAsia="MS PGothic" w:hAnsi="MS PGothic"/>
          <w:sz w:val="17"/>
          <w:szCs w:val="17"/>
          <w:color w:val="auto"/>
        </w:rPr>
      </w:pPr>
      <w:r>
        <w:rPr>
          <w:rFonts w:ascii="Calibri" w:cs="Calibri" w:eastAsia="Calibri" w:hAnsi="Calibri"/>
          <w:sz w:val="17"/>
          <w:szCs w:val="17"/>
          <w:color w:val="auto"/>
        </w:rPr>
        <w:t>No fee required</w:t>
      </w:r>
    </w:p>
    <w:p>
      <w:pPr>
        <w:spacing w:after="0" w:line="234" w:lineRule="exact"/>
        <w:rPr>
          <w:rFonts w:ascii="MS PGothic" w:cs="MS PGothic" w:eastAsia="MS PGothic" w:hAnsi="MS PGothic"/>
          <w:sz w:val="17"/>
          <w:szCs w:val="17"/>
          <w:color w:val="auto"/>
        </w:rPr>
      </w:pPr>
    </w:p>
    <w:p>
      <w:pPr>
        <w:ind w:left="740" w:hanging="424"/>
        <w:spacing w:after="0"/>
        <w:tabs>
          <w:tab w:leader="none" w:pos="740" w:val="left"/>
        </w:tabs>
        <w:numPr>
          <w:ilvl w:val="0"/>
          <w:numId w:val="4"/>
        </w:numPr>
        <w:rPr>
          <w:rFonts w:ascii="MS PGothic" w:cs="MS PGothic" w:eastAsia="MS PGothic" w:hAnsi="MS PGothic"/>
          <w:sz w:val="17"/>
          <w:szCs w:val="17"/>
          <w:color w:val="auto"/>
        </w:rPr>
      </w:pPr>
      <w:r>
        <w:rPr>
          <w:rFonts w:ascii="Calibri" w:cs="Calibri" w:eastAsia="Calibri" w:hAnsi="Calibri"/>
          <w:sz w:val="17"/>
          <w:szCs w:val="17"/>
          <w:color w:val="auto"/>
        </w:rPr>
        <w:t>Fee paid previously with preliminary materials</w:t>
      </w:r>
    </w:p>
    <w:p>
      <w:pPr>
        <w:spacing w:after="0" w:line="234" w:lineRule="exact"/>
        <w:rPr>
          <w:rFonts w:ascii="MS PGothic" w:cs="MS PGothic" w:eastAsia="MS PGothic" w:hAnsi="MS PGothic"/>
          <w:sz w:val="17"/>
          <w:szCs w:val="17"/>
          <w:color w:val="auto"/>
        </w:rPr>
      </w:pPr>
    </w:p>
    <w:p>
      <w:pPr>
        <w:ind w:left="740" w:hanging="424"/>
        <w:spacing w:after="0"/>
        <w:tabs>
          <w:tab w:leader="none" w:pos="740" w:val="left"/>
        </w:tabs>
        <w:numPr>
          <w:ilvl w:val="0"/>
          <w:numId w:val="4"/>
        </w:numPr>
        <w:rPr>
          <w:rFonts w:ascii="MS PGothic" w:cs="MS PGothic" w:eastAsia="MS PGothic" w:hAnsi="MS PGothic"/>
          <w:sz w:val="17"/>
          <w:szCs w:val="17"/>
          <w:color w:val="auto"/>
        </w:rPr>
      </w:pPr>
      <w:r>
        <w:rPr>
          <w:rFonts w:ascii="Calibri" w:cs="Calibri" w:eastAsia="Calibri" w:hAnsi="Calibri"/>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171450</wp:posOffset>
            </wp:positionV>
            <wp:extent cx="674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212725</wp:posOffset>
            </wp:positionV>
            <wp:extent cx="6740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7000240" cy="9119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329" w:lineRule="exact"/>
        <w:rPr>
          <w:sz w:val="20"/>
          <w:szCs w:val="20"/>
          <w:color w:val="auto"/>
        </w:rPr>
      </w:pPr>
    </w:p>
    <w:p>
      <w:pPr>
        <w:jc w:val="right"/>
        <w:spacing w:after="0"/>
        <w:rPr>
          <w:sz w:val="20"/>
          <w:szCs w:val="20"/>
          <w:color w:val="auto"/>
        </w:rPr>
      </w:pPr>
      <w:r>
        <w:rPr>
          <w:rFonts w:ascii="Calibri" w:cs="Calibri" w:eastAsia="Calibri" w:hAnsi="Calibri"/>
          <w:sz w:val="17"/>
          <w:szCs w:val="17"/>
          <w:b w:val="1"/>
          <w:bCs w:val="1"/>
          <w:color w:val="auto"/>
        </w:rPr>
        <w:t>320 Park Avenue, 29</w:t>
      </w:r>
      <w:r>
        <w:rPr>
          <w:rFonts w:ascii="Calibri" w:cs="Calibri" w:eastAsia="Calibri" w:hAnsi="Calibri"/>
          <w:sz w:val="29"/>
          <w:szCs w:val="29"/>
          <w:b w:val="1"/>
          <w:bCs w:val="1"/>
          <w:color w:val="auto"/>
          <w:vertAlign w:val="superscript"/>
        </w:rPr>
        <w:t>th</w:t>
      </w:r>
      <w:r>
        <w:rPr>
          <w:rFonts w:ascii="Calibri" w:cs="Calibri" w:eastAsia="Calibri" w:hAnsi="Calibri"/>
          <w:sz w:val="17"/>
          <w:szCs w:val="17"/>
          <w:b w:val="1"/>
          <w:bCs w:val="1"/>
          <w:color w:val="auto"/>
        </w:rPr>
        <w:t xml:space="preserve"> Floor</w:t>
      </w:r>
    </w:p>
    <w:p>
      <w:pPr>
        <w:jc w:val="right"/>
        <w:spacing w:after="0" w:line="198" w:lineRule="auto"/>
        <w:rPr>
          <w:sz w:val="20"/>
          <w:szCs w:val="20"/>
          <w:color w:val="auto"/>
        </w:rPr>
      </w:pPr>
      <w:r>
        <w:rPr>
          <w:rFonts w:ascii="Calibri" w:cs="Calibri" w:eastAsia="Calibri" w:hAnsi="Calibri"/>
          <w:sz w:val="17"/>
          <w:szCs w:val="17"/>
          <w:b w:val="1"/>
          <w:bCs w:val="1"/>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-58420</wp:posOffset>
            </wp:positionV>
            <wp:extent cx="603250" cy="231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0" cy="231140"/>
                    </a:xfrm>
                    <a:prstGeom prst="rect">
                      <a:avLst/>
                    </a:prstGeom>
                    <a:noFill/>
                  </pic:spPr>
                </pic:pic>
              </a:graphicData>
            </a:graphic>
          </wp:anchor>
        </w:drawing>
      </w:r>
    </w:p>
    <w:p>
      <w:pPr>
        <w:jc w:val="right"/>
        <w:spacing w:after="0"/>
        <w:rPr>
          <w:sz w:val="20"/>
          <w:szCs w:val="20"/>
          <w:color w:val="auto"/>
        </w:rPr>
      </w:pPr>
      <w:r>
        <w:rPr>
          <w:rFonts w:ascii="Calibri" w:cs="Calibri" w:eastAsia="Calibri" w:hAnsi="Calibri"/>
          <w:sz w:val="17"/>
          <w:szCs w:val="17"/>
          <w:b w:val="1"/>
          <w:bCs w:val="1"/>
          <w:color w:val="auto"/>
        </w:rPr>
        <w:t>(212) 277-7100</w:t>
      </w:r>
    </w:p>
    <w:p>
      <w:pPr>
        <w:spacing w:after="0" w:line="26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Dear Stockholder,</w:t>
      </w:r>
    </w:p>
    <w:p>
      <w:pPr>
        <w:spacing w:after="0" w:line="21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At EXL, 2021 was a year marked by creatvity, adaptaton and evoluton. As businesses around the world, including our clients, contnued to grapple with rapidly changing market conditons and consumer behaviors in response to COVID-19, we are proud that EXL’s responsiveness and agility helped our clients not only navigate, but capitalize, on those changing dynamics through the use of our solutons and our emphasis on data-led value creaton. EXL has evolved over the last few years having systematcally invested in data and digital assets with a clear vision for the future—we are now a fully integrated data analytcs and digital operatons and solutons business with exceptonal talent. The transformaton of our business is refected in our new mission statement: “we make sense of data to move your business forward.”</w:t>
      </w:r>
    </w:p>
    <w:p>
      <w:pPr>
        <w:spacing w:after="0" w:line="212"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We believe that our fnancial results in 2021 evidence the market’s recepton to EXL’s evoluton. We generated revenues of $1.12 billion, representng a 17.1% increase from 2020. We were able to grow revenues sequentally every quarter, despite the impacts of the Delta COVID-19 variant on our workforce, and we closed the year with contnuing strong revenue momentum. EXL achieved record proftability with diluted EPS of $3.35, up from $2.59 in 2020.</w:t>
      </w:r>
    </w:p>
    <w:p>
      <w:pPr>
        <w:spacing w:after="0" w:line="211"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successes last year are atributable to the agility and resilience of our team, along with the proactve and systematc adaptaton of our business model to address rapidly evolving market needs. Refectng on the last several years, our increased focus and investments in developing data, cloud, artfcial intelligence, machine learning and digital capabilites was ahead of the curve. That strategic foresight, empowered by EXL’s strong foundaton in advanced analytcs and deep domain operatonal expertse, enabled us to provide increasingly integrated solutons to our clients in 2021, which brought growth opportunites, both in deepening relatonships with existng clients and developing new ones. It also lef us well positoned to leverage the existng opportunity-rich demand environment, and for the future—beter able to tackle bigger projects faster, with scalable solutons designed to support complex, enterprise-wide digital transformaton initatves across industries and businesses. Our December 2021 acquisiton of Clairvoyant, a worldwide data, AI and cloud services provider, broadens our data engineering and cloud computng capabilites and will further help us succeed in our mission to be an indispensable partner for data-driven enterprises.</w:t>
      </w:r>
    </w:p>
    <w:p>
      <w:pPr>
        <w:spacing w:after="0" w:line="2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Critcal to our contnued growth and evoluton and our ongoing success is our hardworking global workforce that spans six contnents. Each of our more than 39,000 employees is an essental part of what we call “ONE EXL” which refects the essence of our corporate culture, built on our fve core values of collaboraton, innovaton, excellence, integrity and respect. In 2021, our employees showed their tenacity and willingness to evolve with our business strategy, spending nearly 571,000 hours on trainings, including reskilling for critcal digital capabilites, and applied their experience and ingenuity to pursuing our company goals. In 2021, we contnued to prioritze the use of digital tools for communicaton with our employees, including via digital surveys, as approximately 93% of our employees worked remotely. We thank all of the members of the ONE EXL team for their dedicaton and tremendous eforts over 2021. Together with the support of our stockholders, clients and partners, we look forward to contnued evoluton, growth and success in 2022.</w:t>
      </w:r>
    </w:p>
    <w:p>
      <w:pPr>
        <w:spacing w:after="0" w:line="291"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This year’s Proxy Statement contnues to highlight our environmental, social and governance (ESG) - related eforts, which we view as integral to our long-term success, durability and resiliency as an organizaton. In December 2021, we published our second annual Sustainability Report according to the Sustainability Accountng Standards Board, the Global Reportng Initatve standards</w:t>
      </w:r>
    </w:p>
    <w:p>
      <w:pPr>
        <w:spacing w:after="0" w:line="129" w:lineRule="exact"/>
        <w:rPr>
          <w:sz w:val="20"/>
          <w:szCs w:val="20"/>
          <w:color w:val="auto"/>
        </w:rPr>
      </w:pPr>
    </w:p>
    <w:p>
      <w:pPr>
        <w:ind w:left="960"/>
        <w:spacing w:after="0"/>
        <w:tabs>
          <w:tab w:leader="none" w:pos="1280" w:val="left"/>
          <w:tab w:leader="none" w:pos="1640" w:val="left"/>
        </w:tabs>
        <w:rPr>
          <w:sz w:val="20"/>
          <w:szCs w:val="20"/>
          <w:color w:val="auto"/>
        </w:rPr>
      </w:pPr>
      <w:r>
        <w:rPr>
          <w:rFonts w:ascii="Calibri" w:cs="Calibri" w:eastAsia="Calibri" w:hAnsi="Calibri"/>
          <w:sz w:val="17"/>
          <w:szCs w:val="17"/>
          <w:b w:val="1"/>
          <w:bCs w:val="1"/>
          <w:color w:val="auto"/>
        </w:rPr>
        <w:t>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and the UN Sustainability Development Goals. The report outlines our environmental, human capital management, and corporate social responsibility eforts and goals, among others. In our Sustainability Report, we announced our commitment to taking steps toward near-term and long-term emissions reductons. We also became a partcipant in the UN Global Compact in 2021 and were recently included on Newsweek’s list of America’s Most Responsible Companies, and Barron’s 2022 list of 100 Most Sustainable Companies. You can read more about our recent accomplishments in ESG on our website, and in the “Sustainability” secton of this Proxy Statement.</w:t>
      </w:r>
    </w:p>
    <w:p>
      <w:pPr>
        <w:spacing w:after="0" w:line="289"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We also contnue to improve upon our strong corporate governance practces. In 2021, we expanded our board commitees’ involvement in ESG maters, distributng ESG-related responsibilites across our commitees in order to ensure efectve and appropriate oversight. We also expanded our formal stockholder engagement program, through which management and members of our board partcipated in meetngs with our stockholders on topics relatng to strategy, performance and governance, engaging with stockholders holding a total of 43% of shares outstanding. These conversatons inform our governance practces. Please refer to the “Corporate governance” secton of this Proxy Statement to learn more about governance practces and philosophy, including board commitee responsibilites and stockholder engagement.</w:t>
      </w:r>
    </w:p>
    <w:p>
      <w:pPr>
        <w:spacing w:after="0" w:line="277"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Finally, we wish to thank Garen Staglin, who will be departng from our board of directors following our 2022 Annual Meetng of Stockholders, for his 17 years of service to EXL including eight years as Chairman of the Board.</w:t>
      </w:r>
    </w:p>
    <w:p>
      <w:pPr>
        <w:spacing w:after="0" w:line="27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On behalf of the board of directors of ExlService Holdings, Inc., we are pleased to invite you to the 2022 Annual Meetng of Stockholders, which will be held on June 21, 2022. We look forward to sharing more about our Company at the Annual Meetng. We will hold our Annual Meetng in virtual format only via live audio webcast instead of holding the meetng at any physical locaton. We encourage you to read carefully the atached 2022 Annual Meetng of Stockholders and Proxy Statement, which contain important informaton about the maters to be voted upon and instructons on how you can vote your shares.</w:t>
      </w:r>
    </w:p>
    <w:p>
      <w:pPr>
        <w:spacing w:after="0" w:line="288"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Your vote is important to us. Please vote as soon as possible whether or not you plan to partcipate in the Annual Meetng.</w:t>
      </w:r>
    </w:p>
    <w:p>
      <w:pPr>
        <w:spacing w:after="0" w:line="27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board of directors and management look forward to your atendance at the Annual Meetng.</w:t>
      </w:r>
    </w:p>
    <w:p>
      <w:pPr>
        <w:spacing w:after="0" w:line="27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220980</wp:posOffset>
            </wp:positionV>
            <wp:extent cx="1990725" cy="933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90725" cy="93345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220980</wp:posOffset>
            </wp:positionV>
            <wp:extent cx="1379855" cy="793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9855" cy="793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860" w:type="dxa"/>
            <w:vAlign w:val="bottom"/>
          </w:tcPr>
          <w:p>
            <w:pPr>
              <w:spacing w:after="0"/>
              <w:rPr>
                <w:sz w:val="20"/>
                <w:szCs w:val="20"/>
                <w:color w:val="auto"/>
              </w:rPr>
            </w:pPr>
            <w:r>
              <w:rPr>
                <w:rFonts w:ascii="Calibri" w:cs="Calibri" w:eastAsia="Calibri" w:hAnsi="Calibri"/>
                <w:sz w:val="17"/>
                <w:szCs w:val="17"/>
                <w:b w:val="1"/>
                <w:bCs w:val="1"/>
                <w:color w:val="auto"/>
              </w:rPr>
              <w:t>Vikram Pandit</w:t>
            </w:r>
          </w:p>
        </w:tc>
        <w:tc>
          <w:tcPr>
            <w:tcW w:w="5880" w:type="dxa"/>
            <w:vAlign w:val="bottom"/>
          </w:tcPr>
          <w:p>
            <w:pPr>
              <w:ind w:left="2880"/>
              <w:spacing w:after="0"/>
              <w:rPr>
                <w:sz w:val="20"/>
                <w:szCs w:val="20"/>
                <w:color w:val="auto"/>
              </w:rPr>
            </w:pPr>
            <w:r>
              <w:rPr>
                <w:rFonts w:ascii="Calibri" w:cs="Calibri" w:eastAsia="Calibri" w:hAnsi="Calibri"/>
                <w:sz w:val="17"/>
                <w:szCs w:val="17"/>
                <w:b w:val="1"/>
                <w:bCs w:val="1"/>
                <w:color w:val="auto"/>
              </w:rPr>
              <w:t>Rohit Kapoor</w:t>
            </w:r>
          </w:p>
        </w:tc>
        <w:tc>
          <w:tcPr>
            <w:tcW w:w="220" w:type="dxa"/>
            <w:vAlign w:val="bottom"/>
          </w:tcPr>
          <w:p>
            <w:pPr>
              <w:spacing w:after="0"/>
              <w:rPr>
                <w:sz w:val="18"/>
                <w:szCs w:val="18"/>
                <w:color w:val="auto"/>
              </w:rPr>
            </w:pPr>
          </w:p>
        </w:tc>
      </w:tr>
      <w:tr>
        <w:trPr>
          <w:trHeight w:val="208"/>
        </w:trPr>
        <w:tc>
          <w:tcPr>
            <w:tcW w:w="3860" w:type="dxa"/>
            <w:vAlign w:val="bottom"/>
          </w:tcPr>
          <w:p>
            <w:pPr>
              <w:spacing w:after="0"/>
              <w:rPr>
                <w:sz w:val="20"/>
                <w:szCs w:val="20"/>
                <w:color w:val="auto"/>
              </w:rPr>
            </w:pPr>
            <w:r>
              <w:rPr>
                <w:rFonts w:ascii="Calibri" w:cs="Calibri" w:eastAsia="Calibri" w:hAnsi="Calibri"/>
                <w:sz w:val="17"/>
                <w:szCs w:val="17"/>
                <w:i w:val="1"/>
                <w:iCs w:val="1"/>
                <w:color w:val="auto"/>
              </w:rPr>
              <w:t>Chairman</w:t>
            </w:r>
          </w:p>
        </w:tc>
        <w:tc>
          <w:tcPr>
            <w:tcW w:w="5880" w:type="dxa"/>
            <w:vAlign w:val="bottom"/>
          </w:tcPr>
          <w:p>
            <w:pPr>
              <w:ind w:left="2880"/>
              <w:spacing w:after="0"/>
              <w:rPr>
                <w:sz w:val="20"/>
                <w:szCs w:val="20"/>
                <w:color w:val="auto"/>
              </w:rPr>
            </w:pPr>
            <w:r>
              <w:rPr>
                <w:rFonts w:ascii="Calibri" w:cs="Calibri" w:eastAsia="Calibri" w:hAnsi="Calibri"/>
                <w:sz w:val="17"/>
                <w:szCs w:val="17"/>
                <w:i w:val="1"/>
                <w:iCs w:val="1"/>
                <w:color w:val="auto"/>
              </w:rPr>
              <w:t>Vice Chairman and CEO</w:t>
            </w:r>
          </w:p>
        </w:tc>
        <w:tc>
          <w:tcPr>
            <w:tcW w:w="220" w:type="dxa"/>
            <w:vAlign w:val="bottom"/>
          </w:tcPr>
          <w:p>
            <w:pPr>
              <w:spacing w:after="0"/>
              <w:rPr>
                <w:sz w:val="18"/>
                <w:szCs w:val="18"/>
                <w:color w:val="auto"/>
              </w:rPr>
            </w:pPr>
          </w:p>
        </w:tc>
      </w:tr>
      <w:tr>
        <w:trPr>
          <w:trHeight w:val="481"/>
        </w:trPr>
        <w:tc>
          <w:tcPr>
            <w:tcW w:w="3860" w:type="dxa"/>
            <w:vAlign w:val="bottom"/>
          </w:tcPr>
          <w:p>
            <w:pPr>
              <w:spacing w:after="0"/>
              <w:rPr>
                <w:sz w:val="24"/>
                <w:szCs w:val="24"/>
                <w:color w:val="auto"/>
              </w:rPr>
            </w:pPr>
          </w:p>
        </w:tc>
        <w:tc>
          <w:tcPr>
            <w:tcW w:w="5880" w:type="dxa"/>
            <w:vAlign w:val="bottom"/>
          </w:tcPr>
          <w:p>
            <w:pPr>
              <w:ind w:left="4000"/>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220" w:type="dxa"/>
            <w:vAlign w:val="bottom"/>
          </w:tcPr>
          <w:p>
            <w:pPr>
              <w:jc w:val="right"/>
              <w:spacing w:after="0"/>
              <w:rPr>
                <w:sz w:val="20"/>
                <w:szCs w:val="20"/>
                <w:color w:val="auto"/>
              </w:rPr>
            </w:pPr>
            <w:r>
              <w:rPr>
                <w:rFonts w:ascii="Calibri" w:cs="Calibri" w:eastAsia="Calibri" w:hAnsi="Calibri"/>
                <w:sz w:val="17"/>
                <w:szCs w:val="17"/>
                <w:b w:val="1"/>
                <w:bCs w:val="1"/>
                <w:color w:val="auto"/>
              </w:rPr>
              <w:t>3</w:t>
            </w:r>
          </w:p>
        </w:tc>
      </w:tr>
    </w:tbl>
    <w:p>
      <w:pPr>
        <w:sectPr>
          <w:pgSz w:w="11900" w:h="16838" w:orient="portrait"/>
          <w:cols w:equalWidth="0" w:num="1">
            <w:col w:w="10900"/>
          </w:cols>
          <w:pgMar w:left="320" w:top="445"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Notce of 2022 Annual Meetng of Stockholders</w:t>
      </w:r>
    </w:p>
    <w:p>
      <w:pPr>
        <w:spacing w:after="0" w:line="32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Dear Stockholder:</w:t>
      </w:r>
    </w:p>
    <w:p>
      <w:pPr>
        <w:spacing w:after="0" w:line="210" w:lineRule="exact"/>
        <w:rPr>
          <w:sz w:val="20"/>
          <w:szCs w:val="20"/>
          <w:color w:val="auto"/>
        </w:rPr>
      </w:pPr>
    </w:p>
    <w:p>
      <w:pPr>
        <w:ind w:left="320" w:right="580"/>
        <w:spacing w:after="0" w:line="239" w:lineRule="auto"/>
        <w:rPr>
          <w:sz w:val="20"/>
          <w:szCs w:val="20"/>
          <w:color w:val="auto"/>
        </w:rPr>
      </w:pPr>
      <w:r>
        <w:rPr>
          <w:rFonts w:ascii="Calibri" w:cs="Calibri" w:eastAsia="Calibri" w:hAnsi="Calibri"/>
          <w:sz w:val="17"/>
          <w:szCs w:val="17"/>
          <w:color w:val="auto"/>
        </w:rPr>
        <w:t>You are cordially invited to the 2022 Annual Meetng of Stockholders of ExlService Holdings, Inc., a Delaware corporaton (the “Company”), for the purposes of votng on the following maters:</w:t>
      </w:r>
    </w:p>
    <w:p>
      <w:pPr>
        <w:spacing w:after="0" w:line="327" w:lineRule="exact"/>
        <w:rPr>
          <w:sz w:val="20"/>
          <w:szCs w:val="20"/>
          <w:color w:val="auto"/>
        </w:rPr>
      </w:pPr>
    </w:p>
    <w:p>
      <w:pPr>
        <w:ind w:left="1140" w:hanging="407"/>
        <w:spacing w:after="0"/>
        <w:tabs>
          <w:tab w:leader="none" w:pos="11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the electon of eight members of the board of directors of the Company;</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the approval of the ExlService Holdings, Inc. 2022 Employee Stock Purchase Plan;</w:t>
      </w:r>
    </w:p>
    <w:p>
      <w:pPr>
        <w:spacing w:after="0" w:line="119" w:lineRule="exact"/>
        <w:rPr>
          <w:rFonts w:ascii="Calibri" w:cs="Calibri" w:eastAsia="Calibri" w:hAnsi="Calibri"/>
          <w:sz w:val="17"/>
          <w:szCs w:val="17"/>
          <w:color w:val="auto"/>
        </w:rPr>
      </w:pPr>
    </w:p>
    <w:p>
      <w:pPr>
        <w:ind w:left="1140" w:right="240" w:hanging="407"/>
        <w:spacing w:after="0" w:line="239" w:lineRule="auto"/>
        <w:tabs>
          <w:tab w:leader="none" w:pos="11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the ratfcaton of the appointment of Deloite &amp; Touche LLP as the independent registered public accountng frm of the Company for fscal year 2022;</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the approval, on a non-binding advisory basis, of the compensaton of the named executve ofcers of the Company;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the transacton of such other business as may properly come before the Annual Meetng or any adjournment or postponement thereof.</w:t>
      </w:r>
    </w:p>
    <w:p>
      <w:pPr>
        <w:spacing w:after="0" w:line="28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will hold our Annual Meetng in virtual format only, via live audio webcast (rather than at any physical locaton) on June 21, 2022 at 8:30 AM, Eastern Time, instead of holding the meetng in New York or at any physical locaton. However, our virtual meetng platorm will allow for full partcipaton as if you were atending physically. You or your proxyholder may partcipate, vote, and examine our stockholder list at the Annual Meetng by visitng www.virtualshareholdermeetng.com/EXLS2022 and using your 16-digit control number.</w:t>
      </w:r>
    </w:p>
    <w:p>
      <w:pPr>
        <w:spacing w:after="0" w:line="276" w:lineRule="exact"/>
        <w:rPr>
          <w:sz w:val="20"/>
          <w:szCs w:val="20"/>
          <w:color w:val="auto"/>
        </w:rPr>
      </w:pPr>
    </w:p>
    <w:p>
      <w:pPr>
        <w:ind w:left="320" w:right="40"/>
        <w:spacing w:after="0" w:line="215" w:lineRule="auto"/>
        <w:rPr>
          <w:sz w:val="20"/>
          <w:szCs w:val="20"/>
          <w:color w:val="auto"/>
        </w:rPr>
      </w:pPr>
      <w:r>
        <w:rPr>
          <w:rFonts w:ascii="Calibri" w:cs="Calibri" w:eastAsia="Calibri" w:hAnsi="Calibri"/>
          <w:sz w:val="17"/>
          <w:szCs w:val="17"/>
          <w:color w:val="auto"/>
        </w:rPr>
        <w:t>If you are a stockholder of record at the close of business on April 22, 2022, the record date for the Annual Meetng, you are enttled to vote at the Annual Meetng. A list of stockholders as of the record date will be available for examinaton for any purpose germane to the Annual Meetng, during ordinary business hours, at the Company’s executve ofces at 320 Park Avenue, 29</w:t>
      </w:r>
      <w:r>
        <w:rPr>
          <w:rFonts w:ascii="Calibri" w:cs="Calibri" w:eastAsia="Calibri" w:hAnsi="Calibri"/>
          <w:sz w:val="29"/>
          <w:szCs w:val="29"/>
          <w:color w:val="auto"/>
          <w:vertAlign w:val="superscript"/>
        </w:rPr>
        <w:t>th</w:t>
      </w:r>
      <w:r>
        <w:rPr>
          <w:rFonts w:ascii="Calibri" w:cs="Calibri" w:eastAsia="Calibri" w:hAnsi="Calibri"/>
          <w:sz w:val="17"/>
          <w:szCs w:val="17"/>
          <w:color w:val="auto"/>
        </w:rPr>
        <w:t xml:space="preserve"> Floor, New York, New York 10022, for a period of 10 days prior to the date of the Annual Meetng and at the Annual Meetng itself. If our corporate headquarters are closed during the 10 days prior to the Annual Meetng, you may send a writen request to the Corporate Secretary at our corporate headquarters, and we will arrange a method for you to inspect the list. The list of stockholders will also be available during the Annual Meetng at www.virtualshareholdermeetng.com/EXLS2022.</w:t>
      </w:r>
    </w:p>
    <w:p>
      <w:pPr>
        <w:spacing w:after="0" w:line="314"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b w:val="1"/>
          <w:bCs w:val="1"/>
          <w:color w:val="auto"/>
        </w:rPr>
        <w:t>Please note the technical requirements for virtual atendance at the Annual Meetng, as described in the enclosed Proxy Statement beginning on page 123 under the heading “Annual Meetng Q&amp;A.”</w:t>
      </w:r>
    </w:p>
    <w:p>
      <w:pPr>
        <w:spacing w:after="0" w:line="276"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Pursuant to rules promulgated by the Securites and Exchange Commission, we are providing access to our proxy materials over the Internet. On or about April 28, 2022, we will mail a Notce of Internet Availability of Proxy Materials (the “Internet Notce”) to each of our stockholders of record and benefcial owners at the close of business on the record date. On the date of mailing of the Internet Notce, all stockholders and benefcial owners will have the ability to access all of the proxy materials on a website referred to in the Internet Notce. These proxy materials will be available free of charge.</w:t>
      </w:r>
    </w:p>
    <w:p>
      <w:pPr>
        <w:spacing w:after="0" w:line="127" w:lineRule="exact"/>
        <w:rPr>
          <w:sz w:val="20"/>
          <w:szCs w:val="20"/>
          <w:color w:val="auto"/>
        </w:rPr>
      </w:pPr>
    </w:p>
    <w:p>
      <w:pPr>
        <w:ind w:left="960"/>
        <w:spacing w:after="0"/>
        <w:tabs>
          <w:tab w:leader="none" w:pos="1280" w:val="left"/>
          <w:tab w:leader="none" w:pos="1640" w:val="left"/>
        </w:tabs>
        <w:rPr>
          <w:sz w:val="20"/>
          <w:szCs w:val="20"/>
          <w:color w:val="auto"/>
        </w:rPr>
      </w:pPr>
      <w:r>
        <w:rPr>
          <w:rFonts w:ascii="Calibri" w:cs="Calibri" w:eastAsia="Calibri" w:hAnsi="Calibri"/>
          <w:sz w:val="17"/>
          <w:szCs w:val="17"/>
          <w:b w:val="1"/>
          <w:bCs w:val="1"/>
          <w:color w:val="auto"/>
        </w:rPr>
        <w:t>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00"/>
          </w:cols>
          <w:pgMar w:left="320" w:top="445"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Whether or not you expect to atend the Annual Meetng, the Company encourages you to promptly vote and submit your proxy by (i) Internet (by following the instructons provided in the Internet Notce), (ii) by phone (by following the instructons provided in the Internet Notce) or (iii) by requestng that proxy materials be sent to you by mail that will include a proxy card that you can use to vote by completng, signing, datng and returning the proxy card in the prepaid postage envelope provided. Votng by proxy will not deprive you of the right to atend the Annual Meetng or to vote your shares. You can revoke a proxy at any tme before it is exercised by votng at the Annual Meetng, by delivering a subsequent proxy or by notfying the inspector of electons in writng of such revocaton prior to the Annual Meetng. 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w:t>
      </w:r>
    </w:p>
    <w:p>
      <w:pPr>
        <w:spacing w:after="0" w:line="29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220980</wp:posOffset>
            </wp:positionV>
            <wp:extent cx="2032000" cy="685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0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Ajay Ayyappan</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i w:val="1"/>
          <w:iCs w:val="1"/>
          <w:color w:val="auto"/>
        </w:rPr>
        <w:t>Senior Vice President, General Counsel and Corporate Secretary</w:t>
      </w:r>
    </w:p>
    <w:p>
      <w:pPr>
        <w:spacing w:after="0" w:line="33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New York, New York</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April 28, 2022</w:t>
      </w:r>
    </w:p>
    <w:p>
      <w:pPr>
        <w:spacing w:after="0" w:line="127" w:lineRule="exact"/>
        <w:rPr>
          <w:sz w:val="20"/>
          <w:szCs w:val="20"/>
          <w:color w:val="auto"/>
        </w:rPr>
      </w:pPr>
    </w:p>
    <w:p>
      <w:pPr>
        <w:ind w:left="8180"/>
        <w:spacing w:after="0"/>
        <w:tabs>
          <w:tab w:leader="none" w:pos="9780" w:val="left"/>
          <w:tab w:leader="none" w:pos="10160" w:val="left"/>
        </w:tabs>
        <w:rPr>
          <w:sz w:val="20"/>
          <w:szCs w:val="20"/>
          <w:color w:val="auto"/>
        </w:rPr>
      </w:pPr>
      <w:r>
        <w:rPr>
          <w:rFonts w:ascii="Calibri" w:cs="Calibri" w:eastAsia="Calibri" w:hAnsi="Calibri"/>
          <w:sz w:val="13"/>
          <w:szCs w:val="13"/>
          <w:color w:val="auto"/>
        </w:rPr>
        <w:t>EXL 2022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5</w:t>
      </w:r>
    </w:p>
    <w:p>
      <w:pPr>
        <w:sectPr>
          <w:pgSz w:w="11900" w:h="16838" w:orient="portrait"/>
          <w:cols w:equalWidth="0" w:num="1">
            <w:col w:w="10880"/>
          </w:cols>
          <w:pgMar w:left="320" w:top="445"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2022 Proxy Statement</w:t>
      </w:r>
    </w:p>
    <w:p>
      <w:pPr>
        <w:spacing w:after="0" w:line="203" w:lineRule="exact"/>
        <w:rPr>
          <w:sz w:val="20"/>
          <w:szCs w:val="20"/>
          <w:color w:val="auto"/>
        </w:rPr>
      </w:pPr>
    </w:p>
    <w:p>
      <w:pPr>
        <w:ind w:left="320"/>
        <w:spacing w:after="0"/>
        <w:rPr>
          <w:sz w:val="20"/>
          <w:szCs w:val="20"/>
          <w:color w:val="auto"/>
        </w:rPr>
      </w:pPr>
      <w:r>
        <w:rPr>
          <w:rFonts w:ascii="Calibri" w:cs="Calibri" w:eastAsia="Calibri" w:hAnsi="Calibri"/>
          <w:sz w:val="28"/>
          <w:szCs w:val="28"/>
          <w:b w:val="1"/>
          <w:bCs w:val="1"/>
          <w:color w:val="auto"/>
        </w:rPr>
        <w:t>Table of contents</w:t>
      </w:r>
    </w:p>
    <w:p>
      <w:pPr>
        <w:spacing w:after="0" w:line="231"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080" w:type="dxa"/>
            <w:vAlign w:val="bottom"/>
            <w:tcBorders>
              <w:bottom w:val="single" w:sz="8" w:color="0000EE"/>
            </w:tcBorders>
            <w:gridSpan w:val="9"/>
          </w:tcPr>
          <w:p>
            <w:pPr>
              <w:spacing w:after="0"/>
              <w:rPr>
                <w:sz w:val="20"/>
                <w:szCs w:val="20"/>
                <w:color w:val="auto"/>
              </w:rPr>
            </w:pPr>
            <w:r>
              <w:rPr>
                <w:rFonts w:ascii="Calibri" w:cs="Calibri" w:eastAsia="Calibri" w:hAnsi="Calibri"/>
                <w:sz w:val="16"/>
                <w:szCs w:val="16"/>
                <w:b w:val="1"/>
                <w:bCs w:val="1"/>
                <w:color w:val="0000EE"/>
                <w:w w:val="96"/>
              </w:rPr>
              <w:t>2022 Proxy Statement Summary</w:t>
            </w:r>
          </w:p>
        </w:tc>
        <w:tc>
          <w:tcPr>
            <w:tcW w:w="6160" w:type="dxa"/>
            <w:vAlign w:val="bottom"/>
            <w:gridSpan w:val="11"/>
          </w:tcPr>
          <w:p>
            <w:pPr>
              <w:spacing w:after="0"/>
              <w:rPr>
                <w:sz w:val="16"/>
                <w:szCs w:val="16"/>
                <w:color w:val="auto"/>
              </w:rPr>
            </w:pPr>
          </w:p>
        </w:tc>
        <w:tc>
          <w:tcPr>
            <w:tcW w:w="2340" w:type="dxa"/>
            <w:vAlign w:val="bottom"/>
          </w:tcPr>
          <w:p>
            <w:pPr>
              <w:jc w:val="right"/>
              <w:ind w:right="2"/>
              <w:spacing w:after="0"/>
              <w:rPr>
                <w:sz w:val="20"/>
                <w:szCs w:val="20"/>
                <w:color w:val="auto"/>
              </w:rPr>
            </w:pPr>
            <w:r>
              <w:rPr>
                <w:rFonts w:ascii="Calibri" w:cs="Calibri" w:eastAsia="Calibri" w:hAnsi="Calibri"/>
                <w:sz w:val="16"/>
                <w:szCs w:val="16"/>
                <w:b w:val="1"/>
                <w:bCs w:val="1"/>
                <w:color w:val="auto"/>
              </w:rPr>
              <w:t>7</w:t>
            </w:r>
          </w:p>
        </w:tc>
      </w:tr>
      <w:tr>
        <w:trPr>
          <w:trHeight w:val="279"/>
        </w:trPr>
        <w:tc>
          <w:tcPr>
            <w:tcW w:w="1440" w:type="dxa"/>
            <w:vAlign w:val="bottom"/>
            <w:tcBorders>
              <w:bottom w:val="single" w:sz="8" w:color="0000EE"/>
            </w:tcBorders>
            <w:gridSpan w:val="6"/>
          </w:tcPr>
          <w:p>
            <w:pPr>
              <w:spacing w:after="0"/>
              <w:rPr>
                <w:sz w:val="20"/>
                <w:szCs w:val="20"/>
                <w:color w:val="auto"/>
              </w:rPr>
            </w:pPr>
            <w:r>
              <w:rPr>
                <w:rFonts w:ascii="Calibri" w:cs="Calibri" w:eastAsia="Calibri" w:hAnsi="Calibri"/>
                <w:sz w:val="16"/>
                <w:szCs w:val="16"/>
                <w:b w:val="1"/>
                <w:bCs w:val="1"/>
                <w:color w:val="0000EE"/>
                <w:w w:val="95"/>
              </w:rPr>
              <w:t>Our board of directors</w:t>
            </w:r>
          </w:p>
        </w:tc>
        <w:tc>
          <w:tcPr>
            <w:tcW w:w="6800" w:type="dxa"/>
            <w:vAlign w:val="bottom"/>
            <w:gridSpan w:val="14"/>
          </w:tcPr>
          <w:p>
            <w:pPr>
              <w:spacing w:after="0"/>
              <w:rPr>
                <w:sz w:val="24"/>
                <w:szCs w:val="24"/>
                <w:color w:val="auto"/>
              </w:rPr>
            </w:pP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18</w:t>
            </w:r>
          </w:p>
        </w:tc>
      </w:tr>
      <w:tr>
        <w:trPr>
          <w:trHeight w:val="279"/>
        </w:trPr>
        <w:tc>
          <w:tcPr>
            <w:tcW w:w="8240" w:type="dxa"/>
            <w:vAlign w:val="bottom"/>
            <w:gridSpan w:val="20"/>
          </w:tcPr>
          <w:p>
            <w:pPr>
              <w:spacing w:after="0"/>
              <w:rPr>
                <w:sz w:val="20"/>
                <w:szCs w:val="20"/>
                <w:color w:val="auto"/>
              </w:rPr>
            </w:pPr>
            <w:r>
              <w:rPr>
                <w:rFonts w:ascii="Calibri" w:cs="Calibri" w:eastAsia="Calibri" w:hAnsi="Calibri"/>
                <w:sz w:val="16"/>
                <w:szCs w:val="16"/>
                <w:b w:val="1"/>
                <w:bCs w:val="1"/>
                <w:color w:val="0000EE"/>
              </w:rPr>
              <w:t>Corporate governance</w:t>
            </w: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28</w:t>
            </w:r>
          </w:p>
        </w:tc>
      </w:tr>
      <w:tr>
        <w:trPr>
          <w:trHeight w:val="279"/>
        </w:trPr>
        <w:tc>
          <w:tcPr>
            <w:tcW w:w="880" w:type="dxa"/>
            <w:vAlign w:val="bottom"/>
            <w:tcBorders>
              <w:top w:val="single" w:sz="8" w:color="0000EE"/>
              <w:bottom w:val="single" w:sz="8" w:color="0000EE"/>
            </w:tcBorders>
            <w:gridSpan w:val="2"/>
          </w:tcPr>
          <w:p>
            <w:pPr>
              <w:spacing w:after="0"/>
              <w:rPr>
                <w:sz w:val="20"/>
                <w:szCs w:val="20"/>
                <w:color w:val="auto"/>
              </w:rPr>
            </w:pPr>
            <w:r>
              <w:rPr>
                <w:rFonts w:ascii="Calibri" w:cs="Calibri" w:eastAsia="Calibri" w:hAnsi="Calibri"/>
                <w:sz w:val="16"/>
                <w:szCs w:val="16"/>
                <w:b w:val="1"/>
                <w:bCs w:val="1"/>
                <w:color w:val="0000EE"/>
                <w:w w:val="95"/>
              </w:rPr>
              <w:t>Sustainability</w:t>
            </w:r>
          </w:p>
        </w:tc>
        <w:tc>
          <w:tcPr>
            <w:tcW w:w="40" w:type="dxa"/>
            <w:vAlign w:val="bottom"/>
            <w:tcBorders>
              <w:top w:val="single" w:sz="8" w:color="0000EE"/>
            </w:tcBorders>
            <w:gridSpan w:val="2"/>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45</w:t>
            </w:r>
          </w:p>
        </w:tc>
      </w:tr>
      <w:tr>
        <w:trPr>
          <w:trHeight w:val="279"/>
        </w:trPr>
        <w:tc>
          <w:tcPr>
            <w:tcW w:w="8240" w:type="dxa"/>
            <w:vAlign w:val="bottom"/>
            <w:gridSpan w:val="20"/>
          </w:tcPr>
          <w:p>
            <w:pPr>
              <w:spacing w:after="0"/>
              <w:rPr>
                <w:sz w:val="20"/>
                <w:szCs w:val="20"/>
                <w:color w:val="auto"/>
              </w:rPr>
            </w:pPr>
            <w:r>
              <w:rPr>
                <w:rFonts w:ascii="Calibri" w:cs="Calibri" w:eastAsia="Calibri" w:hAnsi="Calibri"/>
                <w:sz w:val="16"/>
                <w:szCs w:val="16"/>
                <w:b w:val="1"/>
                <w:bCs w:val="1"/>
                <w:color w:val="0000EE"/>
              </w:rPr>
              <w:t>Our executve ofcers</w:t>
            </w: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58</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79"/>
        </w:trPr>
        <w:tc>
          <w:tcPr>
            <w:tcW w:w="8240" w:type="dxa"/>
            <w:vAlign w:val="bottom"/>
            <w:gridSpan w:val="20"/>
          </w:tcPr>
          <w:p>
            <w:pPr>
              <w:spacing w:after="0"/>
              <w:rPr>
                <w:sz w:val="20"/>
                <w:szCs w:val="20"/>
                <w:color w:val="auto"/>
              </w:rPr>
            </w:pPr>
            <w:r>
              <w:rPr>
                <w:rFonts w:ascii="Calibri" w:cs="Calibri" w:eastAsia="Calibri" w:hAnsi="Calibri"/>
                <w:sz w:val="16"/>
                <w:szCs w:val="16"/>
                <w:b w:val="1"/>
                <w:bCs w:val="1"/>
                <w:color w:val="0000EE"/>
              </w:rPr>
              <w:t>Executve compensaton</w:t>
            </w: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60</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79"/>
        </w:trPr>
        <w:tc>
          <w:tcPr>
            <w:tcW w:w="160" w:type="dxa"/>
            <w:vAlign w:val="bottom"/>
          </w:tcPr>
          <w:p>
            <w:pPr>
              <w:spacing w:after="0"/>
              <w:rPr>
                <w:sz w:val="24"/>
                <w:szCs w:val="24"/>
                <w:color w:val="auto"/>
              </w:rPr>
            </w:pPr>
          </w:p>
        </w:tc>
        <w:tc>
          <w:tcPr>
            <w:tcW w:w="8080" w:type="dxa"/>
            <w:vAlign w:val="bottom"/>
            <w:gridSpan w:val="19"/>
          </w:tcPr>
          <w:p>
            <w:pPr>
              <w:spacing w:after="0"/>
              <w:rPr>
                <w:sz w:val="20"/>
                <w:szCs w:val="20"/>
                <w:color w:val="auto"/>
              </w:rPr>
            </w:pPr>
            <w:r>
              <w:rPr>
                <w:rFonts w:ascii="Calibri" w:cs="Calibri" w:eastAsia="Calibri" w:hAnsi="Calibri"/>
                <w:sz w:val="16"/>
                <w:szCs w:val="16"/>
                <w:color w:val="0000EE"/>
              </w:rPr>
              <w:t>Compensaton Discussion and Analysis</w:t>
            </w: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60</w:t>
            </w:r>
          </w:p>
        </w:tc>
      </w:tr>
      <w:tr>
        <w:trPr>
          <w:trHeight w:val="279"/>
        </w:trPr>
        <w:tc>
          <w:tcPr>
            <w:tcW w:w="160" w:type="dxa"/>
            <w:vAlign w:val="bottom"/>
          </w:tcPr>
          <w:p>
            <w:pPr>
              <w:spacing w:after="0"/>
              <w:rPr>
                <w:sz w:val="24"/>
                <w:szCs w:val="24"/>
                <w:color w:val="auto"/>
              </w:rPr>
            </w:pPr>
          </w:p>
        </w:tc>
        <w:tc>
          <w:tcPr>
            <w:tcW w:w="2120" w:type="dxa"/>
            <w:vAlign w:val="bottom"/>
            <w:tcBorders>
              <w:top w:val="single" w:sz="8" w:color="0000EE"/>
              <w:bottom w:val="single" w:sz="8" w:color="0000EE"/>
            </w:tcBorders>
            <w:gridSpan w:val="10"/>
          </w:tcPr>
          <w:p>
            <w:pPr>
              <w:spacing w:after="0"/>
              <w:rPr>
                <w:sz w:val="20"/>
                <w:szCs w:val="20"/>
                <w:color w:val="auto"/>
              </w:rPr>
            </w:pPr>
            <w:r>
              <w:rPr>
                <w:rFonts w:ascii="Calibri" w:cs="Calibri" w:eastAsia="Calibri" w:hAnsi="Calibri"/>
                <w:sz w:val="16"/>
                <w:szCs w:val="16"/>
                <w:color w:val="0000EE"/>
              </w:rPr>
              <w:t>Compensaton Commitee Report</w:t>
            </w:r>
          </w:p>
        </w:tc>
        <w:tc>
          <w:tcPr>
            <w:tcW w:w="300" w:type="dxa"/>
            <w:vAlign w:val="bottom"/>
            <w:tcBorders>
              <w:top w:val="single" w:sz="8" w:color="0000EE"/>
            </w:tcBorders>
          </w:tcPr>
          <w:p>
            <w:pPr>
              <w:spacing w:after="0"/>
              <w:rPr>
                <w:sz w:val="24"/>
                <w:szCs w:val="24"/>
                <w:color w:val="auto"/>
              </w:rPr>
            </w:pPr>
          </w:p>
        </w:tc>
        <w:tc>
          <w:tcPr>
            <w:tcW w:w="5660" w:type="dxa"/>
            <w:vAlign w:val="bottom"/>
            <w:gridSpan w:val="8"/>
          </w:tcPr>
          <w:p>
            <w:pPr>
              <w:spacing w:after="0"/>
              <w:rPr>
                <w:sz w:val="24"/>
                <w:szCs w:val="24"/>
                <w:color w:val="auto"/>
              </w:rPr>
            </w:pP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82</w:t>
            </w:r>
          </w:p>
        </w:tc>
      </w:tr>
      <w:tr>
        <w:trPr>
          <w:trHeight w:val="279"/>
        </w:trPr>
        <w:tc>
          <w:tcPr>
            <w:tcW w:w="160" w:type="dxa"/>
            <w:vAlign w:val="bottom"/>
          </w:tcPr>
          <w:p>
            <w:pPr>
              <w:spacing w:after="0"/>
              <w:rPr>
                <w:sz w:val="24"/>
                <w:szCs w:val="24"/>
                <w:color w:val="auto"/>
              </w:rPr>
            </w:pPr>
          </w:p>
        </w:tc>
        <w:tc>
          <w:tcPr>
            <w:tcW w:w="8080" w:type="dxa"/>
            <w:vAlign w:val="bottom"/>
            <w:gridSpan w:val="19"/>
          </w:tcPr>
          <w:p>
            <w:pPr>
              <w:spacing w:after="0"/>
              <w:rPr>
                <w:sz w:val="20"/>
                <w:szCs w:val="20"/>
                <w:color w:val="auto"/>
              </w:rPr>
            </w:pPr>
            <w:r>
              <w:rPr>
                <w:rFonts w:ascii="Calibri" w:cs="Calibri" w:eastAsia="Calibri" w:hAnsi="Calibri"/>
                <w:sz w:val="16"/>
                <w:szCs w:val="16"/>
                <w:color w:val="0000EE"/>
              </w:rPr>
              <w:t>Summary compensaton table for fscal year 2021</w:t>
            </w: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83</w:t>
            </w:r>
          </w:p>
        </w:tc>
      </w:tr>
      <w:tr>
        <w:trPr>
          <w:trHeight w:val="20"/>
        </w:trPr>
        <w:tc>
          <w:tcPr>
            <w:tcW w:w="1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79"/>
        </w:trPr>
        <w:tc>
          <w:tcPr>
            <w:tcW w:w="8240" w:type="dxa"/>
            <w:vAlign w:val="bottom"/>
            <w:gridSpan w:val="20"/>
          </w:tcPr>
          <w:p>
            <w:pPr>
              <w:spacing w:after="0"/>
              <w:rPr>
                <w:sz w:val="20"/>
                <w:szCs w:val="20"/>
                <w:color w:val="auto"/>
              </w:rPr>
            </w:pPr>
            <w:r>
              <w:rPr>
                <w:rFonts w:ascii="Calibri" w:cs="Calibri" w:eastAsia="Calibri" w:hAnsi="Calibri"/>
                <w:sz w:val="16"/>
                <w:szCs w:val="16"/>
                <w:b w:val="1"/>
                <w:bCs w:val="1"/>
                <w:color w:val="0000EE"/>
              </w:rPr>
              <w:t>Stock ownership of directors, executve ofcers and certain benefcial owners</w:t>
            </w: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104</w:t>
            </w:r>
          </w:p>
        </w:tc>
      </w:tr>
      <w:tr>
        <w:trPr>
          <w:trHeight w:val="279"/>
        </w:trPr>
        <w:tc>
          <w:tcPr>
            <w:tcW w:w="4980" w:type="dxa"/>
            <w:vAlign w:val="bottom"/>
            <w:tcBorders>
              <w:top w:val="single" w:sz="8" w:color="0000EE"/>
            </w:tcBorders>
            <w:gridSpan w:val="16"/>
          </w:tcPr>
          <w:p>
            <w:pPr>
              <w:spacing w:after="0"/>
              <w:rPr>
                <w:sz w:val="20"/>
                <w:szCs w:val="20"/>
                <w:color w:val="auto"/>
              </w:rPr>
            </w:pPr>
            <w:r>
              <w:rPr>
                <w:rFonts w:ascii="Calibri" w:cs="Calibri" w:eastAsia="Calibri" w:hAnsi="Calibri"/>
                <w:sz w:val="16"/>
                <w:szCs w:val="16"/>
                <w:b w:val="1"/>
                <w:bCs w:val="1"/>
                <w:color w:val="0000EE"/>
              </w:rPr>
              <w:t>Certain relatonships and related person transactons</w:t>
            </w:r>
          </w:p>
        </w:tc>
        <w:tc>
          <w:tcPr>
            <w:tcW w:w="326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106</w:t>
            </w:r>
          </w:p>
        </w:tc>
      </w:tr>
      <w:tr>
        <w:trPr>
          <w:trHeight w:val="279"/>
        </w:trPr>
        <w:tc>
          <w:tcPr>
            <w:tcW w:w="1580" w:type="dxa"/>
            <w:vAlign w:val="bottom"/>
            <w:tcBorders>
              <w:top w:val="single" w:sz="8" w:color="0000EE"/>
              <w:bottom w:val="single" w:sz="8" w:color="0000EE"/>
            </w:tcBorders>
            <w:gridSpan w:val="8"/>
          </w:tcPr>
          <w:p>
            <w:pPr>
              <w:spacing w:after="0"/>
              <w:rPr>
                <w:sz w:val="20"/>
                <w:szCs w:val="20"/>
                <w:color w:val="auto"/>
              </w:rPr>
            </w:pPr>
            <w:r>
              <w:rPr>
                <w:rFonts w:ascii="Calibri" w:cs="Calibri" w:eastAsia="Calibri" w:hAnsi="Calibri"/>
                <w:sz w:val="16"/>
                <w:szCs w:val="16"/>
                <w:b w:val="1"/>
                <w:bCs w:val="1"/>
                <w:color w:val="0000EE"/>
                <w:w w:val="98"/>
              </w:rPr>
              <w:t>Audit Commitee Report</w:t>
            </w:r>
          </w:p>
        </w:tc>
        <w:tc>
          <w:tcPr>
            <w:tcW w:w="1840" w:type="dxa"/>
            <w:vAlign w:val="bottom"/>
            <w:tcBorders>
              <w:top w:val="single" w:sz="8" w:color="0000EE"/>
            </w:tcBorders>
            <w:gridSpan w:val="6"/>
          </w:tcPr>
          <w:p>
            <w:pPr>
              <w:spacing w:after="0"/>
              <w:rPr>
                <w:sz w:val="24"/>
                <w:szCs w:val="24"/>
                <w:color w:val="auto"/>
              </w:rPr>
            </w:pPr>
          </w:p>
        </w:tc>
        <w:tc>
          <w:tcPr>
            <w:tcW w:w="4820" w:type="dxa"/>
            <w:vAlign w:val="bottom"/>
            <w:gridSpan w:val="6"/>
          </w:tcPr>
          <w:p>
            <w:pPr>
              <w:spacing w:after="0"/>
              <w:rPr>
                <w:sz w:val="24"/>
                <w:szCs w:val="24"/>
                <w:color w:val="auto"/>
              </w:rPr>
            </w:pP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107</w:t>
            </w:r>
          </w:p>
        </w:tc>
      </w:tr>
      <w:tr>
        <w:trPr>
          <w:trHeight w:val="279"/>
        </w:trPr>
        <w:tc>
          <w:tcPr>
            <w:tcW w:w="8240" w:type="dxa"/>
            <w:vAlign w:val="bottom"/>
            <w:gridSpan w:val="20"/>
          </w:tcPr>
          <w:p>
            <w:pPr>
              <w:spacing w:after="0"/>
              <w:rPr>
                <w:sz w:val="20"/>
                <w:szCs w:val="20"/>
                <w:color w:val="auto"/>
              </w:rPr>
            </w:pPr>
            <w:r>
              <w:rPr>
                <w:rFonts w:ascii="Calibri" w:cs="Calibri" w:eastAsia="Calibri" w:hAnsi="Calibri"/>
                <w:sz w:val="16"/>
                <w:szCs w:val="16"/>
                <w:b w:val="1"/>
                <w:bCs w:val="1"/>
                <w:color w:val="0000EE"/>
              </w:rPr>
              <w:t>Proposal 1 — Electon of directors</w:t>
            </w: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108</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79"/>
        </w:trPr>
        <w:tc>
          <w:tcPr>
            <w:tcW w:w="5840" w:type="dxa"/>
            <w:vAlign w:val="bottom"/>
            <w:tcBorders>
              <w:bottom w:val="single" w:sz="8" w:color="0000EE"/>
            </w:tcBorders>
            <w:gridSpan w:val="18"/>
          </w:tcPr>
          <w:p>
            <w:pPr>
              <w:spacing w:after="0"/>
              <w:rPr>
                <w:sz w:val="20"/>
                <w:szCs w:val="20"/>
                <w:color w:val="auto"/>
              </w:rPr>
            </w:pPr>
            <w:r>
              <w:rPr>
                <w:rFonts w:ascii="Calibri" w:cs="Calibri" w:eastAsia="Calibri" w:hAnsi="Calibri"/>
                <w:sz w:val="16"/>
                <w:szCs w:val="16"/>
                <w:b w:val="1"/>
                <w:bCs w:val="1"/>
                <w:color w:val="0000EE"/>
                <w:w w:val="96"/>
              </w:rPr>
              <w:t>Proposal 2 — Approval of the ExlService Holdings, Inc. 2022 Employee Stock Purchase Plan</w:t>
            </w:r>
          </w:p>
        </w:tc>
        <w:tc>
          <w:tcPr>
            <w:tcW w:w="240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110</w:t>
            </w:r>
          </w:p>
        </w:tc>
      </w:tr>
      <w:tr>
        <w:trPr>
          <w:trHeight w:val="279"/>
        </w:trPr>
        <w:tc>
          <w:tcPr>
            <w:tcW w:w="8240" w:type="dxa"/>
            <w:vAlign w:val="bottom"/>
            <w:gridSpan w:val="20"/>
          </w:tcPr>
          <w:p>
            <w:pPr>
              <w:spacing w:after="0"/>
              <w:rPr>
                <w:sz w:val="20"/>
                <w:szCs w:val="20"/>
                <w:color w:val="auto"/>
              </w:rPr>
            </w:pPr>
            <w:r>
              <w:rPr>
                <w:rFonts w:ascii="Calibri" w:cs="Calibri" w:eastAsia="Calibri" w:hAnsi="Calibri"/>
                <w:sz w:val="16"/>
                <w:szCs w:val="16"/>
                <w:b w:val="1"/>
                <w:bCs w:val="1"/>
                <w:color w:val="0000EE"/>
              </w:rPr>
              <w:t>Proposal 3 — Ratfcaton of the appointment of independent registered public accountng frm</w:t>
            </w: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117</w:t>
            </w:r>
          </w:p>
        </w:tc>
      </w:tr>
      <w:tr>
        <w:trPr>
          <w:trHeight w:val="279"/>
        </w:trPr>
        <w:tc>
          <w:tcPr>
            <w:tcW w:w="6120" w:type="dxa"/>
            <w:vAlign w:val="bottom"/>
            <w:tcBorders>
              <w:top w:val="single" w:sz="8" w:color="0000EE"/>
            </w:tcBorders>
            <w:gridSpan w:val="19"/>
          </w:tcPr>
          <w:p>
            <w:pPr>
              <w:spacing w:after="0"/>
              <w:rPr>
                <w:sz w:val="20"/>
                <w:szCs w:val="20"/>
                <w:color w:val="auto"/>
              </w:rPr>
            </w:pPr>
            <w:r>
              <w:rPr>
                <w:rFonts w:ascii="Calibri" w:cs="Calibri" w:eastAsia="Calibri" w:hAnsi="Calibri"/>
                <w:sz w:val="16"/>
                <w:szCs w:val="16"/>
                <w:b w:val="1"/>
                <w:bCs w:val="1"/>
                <w:color w:val="0000EE"/>
              </w:rPr>
              <w:t>Proposal 4 — Advisory (non-binding) vote on executve compensaton</w:t>
            </w:r>
          </w:p>
        </w:tc>
        <w:tc>
          <w:tcPr>
            <w:tcW w:w="21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119</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3100" w:type="dxa"/>
            <w:vAlign w:val="bottom"/>
            <w:gridSpan w:val="10"/>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79"/>
        </w:trPr>
        <w:tc>
          <w:tcPr>
            <w:tcW w:w="8240" w:type="dxa"/>
            <w:vAlign w:val="bottom"/>
            <w:gridSpan w:val="20"/>
          </w:tcPr>
          <w:p>
            <w:pPr>
              <w:spacing w:after="0"/>
              <w:rPr>
                <w:sz w:val="20"/>
                <w:szCs w:val="20"/>
                <w:color w:val="auto"/>
              </w:rPr>
            </w:pPr>
            <w:r>
              <w:rPr>
                <w:rFonts w:ascii="Calibri" w:cs="Calibri" w:eastAsia="Calibri" w:hAnsi="Calibri"/>
                <w:sz w:val="16"/>
                <w:szCs w:val="16"/>
                <w:b w:val="1"/>
                <w:bCs w:val="1"/>
                <w:color w:val="0000EE"/>
              </w:rPr>
              <w:t>Stockholder proposals and director nominatons for the 2023 Annual Meetng</w:t>
            </w: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121</w:t>
            </w:r>
          </w:p>
        </w:tc>
      </w:tr>
      <w:tr>
        <w:trPr>
          <w:trHeight w:val="279"/>
        </w:trPr>
        <w:tc>
          <w:tcPr>
            <w:tcW w:w="920" w:type="dxa"/>
            <w:vAlign w:val="bottom"/>
            <w:tcBorders>
              <w:top w:val="single" w:sz="8" w:color="0000EE"/>
              <w:bottom w:val="single" w:sz="8" w:color="0000EE"/>
            </w:tcBorders>
            <w:gridSpan w:val="4"/>
          </w:tcPr>
          <w:p>
            <w:pPr>
              <w:spacing w:after="0"/>
              <w:rPr>
                <w:sz w:val="20"/>
                <w:szCs w:val="20"/>
                <w:color w:val="auto"/>
              </w:rPr>
            </w:pPr>
            <w:r>
              <w:rPr>
                <w:rFonts w:ascii="Calibri" w:cs="Calibri" w:eastAsia="Calibri" w:hAnsi="Calibri"/>
                <w:sz w:val="16"/>
                <w:szCs w:val="16"/>
                <w:b w:val="1"/>
                <w:bCs w:val="1"/>
                <w:color w:val="0000EE"/>
                <w:w w:val="94"/>
              </w:rPr>
              <w:t>Miscellaneous</w:t>
            </w: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121</w:t>
            </w:r>
          </w:p>
        </w:tc>
      </w:tr>
      <w:tr>
        <w:trPr>
          <w:trHeight w:val="279"/>
        </w:trPr>
        <w:tc>
          <w:tcPr>
            <w:tcW w:w="8240" w:type="dxa"/>
            <w:vAlign w:val="bottom"/>
            <w:gridSpan w:val="20"/>
          </w:tcPr>
          <w:p>
            <w:pPr>
              <w:spacing w:after="0"/>
              <w:rPr>
                <w:sz w:val="20"/>
                <w:szCs w:val="20"/>
                <w:color w:val="auto"/>
              </w:rPr>
            </w:pPr>
            <w:r>
              <w:rPr>
                <w:rFonts w:ascii="Calibri" w:cs="Calibri" w:eastAsia="Calibri" w:hAnsi="Calibri"/>
                <w:sz w:val="16"/>
                <w:szCs w:val="16"/>
                <w:b w:val="1"/>
                <w:bCs w:val="1"/>
                <w:color w:val="0000EE"/>
              </w:rPr>
              <w:t>Annual Meetng Q&amp;A</w:t>
            </w: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123</w:t>
            </w:r>
          </w:p>
        </w:tc>
      </w:tr>
      <w:tr>
        <w:trPr>
          <w:trHeight w:val="279"/>
        </w:trPr>
        <w:tc>
          <w:tcPr>
            <w:tcW w:w="920" w:type="dxa"/>
            <w:vAlign w:val="bottom"/>
            <w:tcBorders>
              <w:top w:val="single" w:sz="8" w:color="0000EE"/>
            </w:tcBorders>
            <w:gridSpan w:val="4"/>
          </w:tcPr>
          <w:p>
            <w:pPr>
              <w:spacing w:after="0"/>
              <w:rPr>
                <w:sz w:val="20"/>
                <w:szCs w:val="20"/>
                <w:color w:val="auto"/>
              </w:rPr>
            </w:pPr>
            <w:r>
              <w:rPr>
                <w:rFonts w:ascii="Calibri" w:cs="Calibri" w:eastAsia="Calibri" w:hAnsi="Calibri"/>
                <w:sz w:val="16"/>
                <w:szCs w:val="16"/>
                <w:b w:val="1"/>
                <w:bCs w:val="1"/>
                <w:color w:val="0000EE"/>
              </w:rPr>
              <w:t>Other maters</w:t>
            </w: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Calibri" w:cs="Calibri" w:eastAsia="Calibri" w:hAnsi="Calibri"/>
                <w:sz w:val="16"/>
                <w:szCs w:val="16"/>
                <w:b w:val="1"/>
                <w:bCs w:val="1"/>
                <w:color w:val="auto"/>
              </w:rPr>
              <w:t>128</w:t>
            </w:r>
          </w:p>
        </w:tc>
      </w:tr>
      <w:tr>
        <w:trPr>
          <w:trHeight w:val="829"/>
        </w:trPr>
        <w:tc>
          <w:tcPr>
            <w:tcW w:w="880" w:type="dxa"/>
            <w:vAlign w:val="bottom"/>
            <w:tcBorders>
              <w:top w:val="single" w:sz="8" w:color="0000EE"/>
            </w:tcBorders>
            <w:gridSpan w:val="2"/>
          </w:tcPr>
          <w:p>
            <w:pPr>
              <w:ind w:left="640"/>
              <w:spacing w:after="0"/>
              <w:rPr>
                <w:sz w:val="20"/>
                <w:szCs w:val="20"/>
                <w:color w:val="auto"/>
              </w:rPr>
            </w:pPr>
            <w:r>
              <w:rPr>
                <w:rFonts w:ascii="Calibri" w:cs="Calibri" w:eastAsia="Calibri" w:hAnsi="Calibri"/>
                <w:sz w:val="17"/>
                <w:szCs w:val="17"/>
                <w:b w:val="1"/>
                <w:bCs w:val="1"/>
                <w:color w:val="auto"/>
              </w:rPr>
              <w:t>6</w:t>
            </w: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gridSpan w:val="16"/>
          </w:tcPr>
          <w:p>
            <w:pPr>
              <w:ind w:left="6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2022 Proxy Statement</w:t>
            </w:r>
          </w:p>
        </w:tc>
        <w:tc>
          <w:tcPr>
            <w:tcW w:w="2340" w:type="dxa"/>
            <w:vAlign w:val="bottom"/>
          </w:tcPr>
          <w:p>
            <w:pPr>
              <w:spacing w:after="0"/>
              <w:rPr>
                <w:sz w:val="24"/>
                <w:szCs w:val="24"/>
                <w:color w:val="auto"/>
              </w:rPr>
            </w:pPr>
          </w:p>
        </w:tc>
      </w:tr>
    </w:tbl>
    <w:p>
      <w:pPr>
        <w:sectPr>
          <w:pgSz w:w="11900" w:h="16838" w:orient="portrait"/>
          <w:cols w:equalWidth="0" w:num="1">
            <w:col w:w="10900"/>
          </w:cols>
          <w:pgMar w:left="320" w:top="445"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2022 Proxy Statement summary</w:t>
      </w:r>
    </w:p>
    <w:p>
      <w:pPr>
        <w:spacing w:after="0" w:line="392"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Summary</w:t>
      </w:r>
    </w:p>
    <w:p>
      <w:pPr>
        <w:spacing w:after="0" w:line="140"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Below is a summary of select components of this Proxy Statement, including informaton regarding this year’s stockholder meetng, nominees for our board of directors, summary of our business, performance highlights and selectve executve compensaton informaton. This summary does not contain all of the informaton that you should consider prior to submitng your proxy, and you should review the entre Proxy Statement and our Annual Report on Form 10-K for the fscal year ended December 31, 2021 (the “2021 Form 10-K”). We refer to the fscal year ended December 31, 2021 as “fscal year 2021,” “fscal 2021,” and “2021.”</w:t>
      </w:r>
    </w:p>
    <w:p>
      <w:pPr>
        <w:spacing w:after="0" w:line="200" w:lineRule="exact"/>
        <w:rPr>
          <w:sz w:val="20"/>
          <w:szCs w:val="20"/>
          <w:color w:val="auto"/>
        </w:rPr>
      </w:pPr>
    </w:p>
    <w:p>
      <w:pPr>
        <w:spacing w:after="0" w:line="308"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Meetng agenda, votng maters and recommendatons*</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640" w:type="dxa"/>
            <w:vAlign w:val="bottom"/>
          </w:tcPr>
          <w:p>
            <w:pPr>
              <w:spacing w:after="0"/>
              <w:rPr>
                <w:sz w:val="20"/>
                <w:szCs w:val="20"/>
                <w:color w:val="auto"/>
              </w:rPr>
            </w:pPr>
            <w:r>
              <w:rPr>
                <w:rFonts w:ascii="Calibri" w:cs="Calibri" w:eastAsia="Calibri" w:hAnsi="Calibri"/>
                <w:sz w:val="17"/>
                <w:szCs w:val="17"/>
                <w:b w:val="1"/>
                <w:bCs w:val="1"/>
                <w:color w:val="FB4E0B"/>
              </w:rPr>
              <w:t>Votng proposal item</w:t>
            </w:r>
          </w:p>
        </w:tc>
        <w:tc>
          <w:tcPr>
            <w:tcW w:w="3460" w:type="dxa"/>
            <w:vAlign w:val="bottom"/>
          </w:tcPr>
          <w:p>
            <w:pPr>
              <w:ind w:left="280"/>
              <w:spacing w:after="0"/>
              <w:rPr>
                <w:sz w:val="20"/>
                <w:szCs w:val="20"/>
                <w:color w:val="auto"/>
              </w:rPr>
            </w:pPr>
            <w:r>
              <w:rPr>
                <w:rFonts w:ascii="Calibri" w:cs="Calibri" w:eastAsia="Calibri" w:hAnsi="Calibri"/>
                <w:sz w:val="17"/>
                <w:szCs w:val="17"/>
                <w:b w:val="1"/>
                <w:bCs w:val="1"/>
                <w:color w:val="FB4E0B"/>
              </w:rPr>
              <w:t>Board vote recommendaton</w:t>
            </w:r>
          </w:p>
        </w:tc>
      </w:tr>
      <w:tr>
        <w:trPr>
          <w:trHeight w:val="94"/>
        </w:trPr>
        <w:tc>
          <w:tcPr>
            <w:tcW w:w="3640" w:type="dxa"/>
            <w:vAlign w:val="bottom"/>
            <w:tcBorders>
              <w:bottom w:val="single" w:sz="8" w:color="FB4E0B"/>
            </w:tcBorders>
          </w:tcPr>
          <w:p>
            <w:pPr>
              <w:spacing w:after="0"/>
              <w:rPr>
                <w:sz w:val="8"/>
                <w:szCs w:val="8"/>
                <w:color w:val="auto"/>
              </w:rPr>
            </w:pPr>
          </w:p>
        </w:tc>
        <w:tc>
          <w:tcPr>
            <w:tcW w:w="3460" w:type="dxa"/>
            <w:vAlign w:val="bottom"/>
            <w:tcBorders>
              <w:bottom w:val="single" w:sz="8" w:color="FB4E0B"/>
            </w:tcBorders>
          </w:tcPr>
          <w:p>
            <w:pPr>
              <w:spacing w:after="0"/>
              <w:rPr>
                <w:sz w:val="8"/>
                <w:szCs w:val="8"/>
                <w:color w:val="auto"/>
              </w:rPr>
            </w:pPr>
          </w:p>
        </w:tc>
      </w:tr>
      <w:tr>
        <w:trPr>
          <w:trHeight w:val="315"/>
        </w:trPr>
        <w:tc>
          <w:tcPr>
            <w:tcW w:w="3640" w:type="dxa"/>
            <w:vAlign w:val="bottom"/>
          </w:tcPr>
          <w:p>
            <w:pPr>
              <w:spacing w:after="0"/>
              <w:rPr>
                <w:sz w:val="20"/>
                <w:szCs w:val="20"/>
                <w:color w:val="auto"/>
              </w:rPr>
            </w:pPr>
            <w:r>
              <w:rPr>
                <w:rFonts w:ascii="Calibri" w:cs="Calibri" w:eastAsia="Calibri" w:hAnsi="Calibri"/>
                <w:sz w:val="17"/>
                <w:szCs w:val="17"/>
                <w:b w:val="1"/>
                <w:bCs w:val="1"/>
                <w:color w:val="auto"/>
              </w:rPr>
              <w:t>1. Electon of directors</w:t>
            </w:r>
          </w:p>
        </w:tc>
        <w:tc>
          <w:tcPr>
            <w:tcW w:w="3460" w:type="dxa"/>
            <w:vAlign w:val="bottom"/>
          </w:tcPr>
          <w:p>
            <w:pPr>
              <w:ind w:left="280"/>
              <w:spacing w:after="0"/>
              <w:rPr>
                <w:sz w:val="20"/>
                <w:szCs w:val="20"/>
                <w:color w:val="auto"/>
              </w:rPr>
            </w:pPr>
            <w:r>
              <w:rPr>
                <w:rFonts w:ascii="Calibri" w:cs="Calibri" w:eastAsia="Calibri" w:hAnsi="Calibri"/>
                <w:sz w:val="17"/>
                <w:szCs w:val="17"/>
                <w:b w:val="1"/>
                <w:bCs w:val="1"/>
                <w:color w:val="FB4E0B"/>
              </w:rPr>
              <w:t xml:space="preserve">FOR </w:t>
            </w:r>
            <w:r>
              <w:rPr>
                <w:rFonts w:ascii="Calibri" w:cs="Calibri" w:eastAsia="Calibri" w:hAnsi="Calibri"/>
                <w:sz w:val="17"/>
                <w:szCs w:val="17"/>
                <w:color w:val="FB4E0B"/>
              </w:rPr>
              <w:t>the electon of each nominee</w:t>
            </w:r>
          </w:p>
        </w:tc>
      </w:tr>
      <w:tr>
        <w:trPr>
          <w:trHeight w:val="208"/>
        </w:trPr>
        <w:tc>
          <w:tcPr>
            <w:tcW w:w="3640" w:type="dxa"/>
            <w:vAlign w:val="bottom"/>
          </w:tcPr>
          <w:p>
            <w:pPr>
              <w:spacing w:after="0"/>
              <w:rPr>
                <w:sz w:val="18"/>
                <w:szCs w:val="18"/>
                <w:color w:val="auto"/>
              </w:rPr>
            </w:pPr>
          </w:p>
        </w:tc>
        <w:tc>
          <w:tcPr>
            <w:tcW w:w="3460" w:type="dxa"/>
            <w:vAlign w:val="bottom"/>
          </w:tcPr>
          <w:p>
            <w:pPr>
              <w:ind w:left="280"/>
              <w:spacing w:after="0"/>
              <w:rPr>
                <w:sz w:val="20"/>
                <w:szCs w:val="20"/>
                <w:color w:val="auto"/>
              </w:rPr>
            </w:pPr>
            <w:r>
              <w:rPr>
                <w:rFonts w:ascii="Calibri" w:cs="Calibri" w:eastAsia="Calibri" w:hAnsi="Calibri"/>
                <w:sz w:val="17"/>
                <w:szCs w:val="17"/>
                <w:color w:val="FB4E0B"/>
              </w:rPr>
              <w:t>(</w:t>
            </w:r>
            <w:r>
              <w:rPr>
                <w:rFonts w:ascii="Calibri" w:cs="Calibri" w:eastAsia="Calibri" w:hAnsi="Calibri"/>
                <w:sz w:val="17"/>
                <w:szCs w:val="17"/>
                <w:i w:val="1"/>
                <w:iCs w:val="1"/>
                <w:color w:val="FB4E0B"/>
              </w:rPr>
              <w:t>pg. 108</w:t>
            </w:r>
            <w:r>
              <w:rPr>
                <w:rFonts w:ascii="Calibri" w:cs="Calibri" w:eastAsia="Calibri" w:hAnsi="Calibri"/>
                <w:sz w:val="17"/>
                <w:szCs w:val="17"/>
                <w:color w:val="FB4E0B"/>
              </w:rPr>
              <w:t>)</w:t>
            </w:r>
          </w:p>
        </w:tc>
      </w:tr>
      <w:tr>
        <w:trPr>
          <w:trHeight w:val="429"/>
        </w:trPr>
        <w:tc>
          <w:tcPr>
            <w:tcW w:w="7100" w:type="dxa"/>
            <w:vAlign w:val="bottom"/>
            <w:gridSpan w:val="2"/>
          </w:tcPr>
          <w:p>
            <w:pPr>
              <w:spacing w:after="0"/>
              <w:rPr>
                <w:sz w:val="20"/>
                <w:szCs w:val="20"/>
                <w:color w:val="auto"/>
              </w:rPr>
            </w:pPr>
            <w:r>
              <w:rPr>
                <w:rFonts w:ascii="Calibri" w:cs="Calibri" w:eastAsia="Calibri" w:hAnsi="Calibri"/>
                <w:sz w:val="17"/>
                <w:szCs w:val="17"/>
                <w:i w:val="1"/>
                <w:iCs w:val="1"/>
                <w:color w:val="auto"/>
              </w:rPr>
              <w:t>Required vote: Afrmatve vote of a majority of votes cast</w:t>
            </w:r>
          </w:p>
        </w:tc>
      </w:tr>
      <w:tr>
        <w:trPr>
          <w:trHeight w:val="270"/>
        </w:trPr>
        <w:tc>
          <w:tcPr>
            <w:tcW w:w="3640" w:type="dxa"/>
            <w:vAlign w:val="bottom"/>
            <w:tcBorders>
              <w:bottom w:val="single" w:sz="8" w:color="auto"/>
            </w:tcBorders>
          </w:tcPr>
          <w:p>
            <w:pPr>
              <w:spacing w:after="0"/>
              <w:rPr>
                <w:sz w:val="23"/>
                <w:szCs w:val="23"/>
                <w:color w:val="auto"/>
              </w:rPr>
            </w:pPr>
          </w:p>
        </w:tc>
        <w:tc>
          <w:tcPr>
            <w:tcW w:w="3460" w:type="dxa"/>
            <w:vAlign w:val="bottom"/>
            <w:tcBorders>
              <w:bottom w:val="single" w:sz="8" w:color="auto"/>
            </w:tcBorders>
          </w:tcPr>
          <w:p>
            <w:pPr>
              <w:spacing w:after="0"/>
              <w:rPr>
                <w:sz w:val="23"/>
                <w:szCs w:val="23"/>
                <w:color w:val="auto"/>
              </w:rPr>
            </w:pPr>
          </w:p>
        </w:tc>
      </w:tr>
      <w:tr>
        <w:trPr>
          <w:trHeight w:val="271"/>
        </w:trPr>
        <w:tc>
          <w:tcPr>
            <w:tcW w:w="3640" w:type="dxa"/>
            <w:vAlign w:val="bottom"/>
          </w:tcPr>
          <w:p>
            <w:pPr>
              <w:spacing w:after="0"/>
              <w:rPr>
                <w:sz w:val="20"/>
                <w:szCs w:val="20"/>
                <w:color w:val="auto"/>
              </w:rPr>
            </w:pPr>
            <w:r>
              <w:rPr>
                <w:rFonts w:ascii="Calibri" w:cs="Calibri" w:eastAsia="Calibri" w:hAnsi="Calibri"/>
                <w:sz w:val="17"/>
                <w:szCs w:val="17"/>
                <w:b w:val="1"/>
                <w:bCs w:val="1"/>
                <w:color w:val="auto"/>
              </w:rPr>
              <w:t>2. Approval of the ExlService Holdings, Inc. 2022</w:t>
            </w:r>
          </w:p>
        </w:tc>
        <w:tc>
          <w:tcPr>
            <w:tcW w:w="3460" w:type="dxa"/>
            <w:vAlign w:val="bottom"/>
          </w:tcPr>
          <w:p>
            <w:pPr>
              <w:ind w:left="280"/>
              <w:spacing w:after="0"/>
              <w:rPr>
                <w:sz w:val="20"/>
                <w:szCs w:val="20"/>
                <w:color w:val="auto"/>
              </w:rPr>
            </w:pPr>
            <w:r>
              <w:rPr>
                <w:rFonts w:ascii="Calibri" w:cs="Calibri" w:eastAsia="Calibri" w:hAnsi="Calibri"/>
                <w:sz w:val="17"/>
                <w:szCs w:val="17"/>
                <w:b w:val="1"/>
                <w:bCs w:val="1"/>
                <w:color w:val="FB4E0B"/>
              </w:rPr>
              <w:t xml:space="preserve">FOR </w:t>
            </w:r>
            <w:r>
              <w:rPr>
                <w:rFonts w:ascii="Calibri" w:cs="Calibri" w:eastAsia="Calibri" w:hAnsi="Calibri"/>
                <w:sz w:val="17"/>
                <w:szCs w:val="17"/>
                <w:color w:val="FB4E0B"/>
              </w:rPr>
              <w:t>(</w:t>
            </w:r>
            <w:r>
              <w:rPr>
                <w:rFonts w:ascii="Calibri" w:cs="Calibri" w:eastAsia="Calibri" w:hAnsi="Calibri"/>
                <w:sz w:val="17"/>
                <w:szCs w:val="17"/>
                <w:i w:val="1"/>
                <w:iCs w:val="1"/>
                <w:color w:val="FB4E0B"/>
              </w:rPr>
              <w:t>pg. 110</w:t>
            </w:r>
            <w:r>
              <w:rPr>
                <w:rFonts w:ascii="Calibri" w:cs="Calibri" w:eastAsia="Calibri" w:hAnsi="Calibri"/>
                <w:sz w:val="17"/>
                <w:szCs w:val="17"/>
                <w:color w:val="FB4E0B"/>
              </w:rPr>
              <w:t>)</w:t>
            </w:r>
          </w:p>
        </w:tc>
      </w:tr>
      <w:tr>
        <w:trPr>
          <w:trHeight w:val="206"/>
        </w:trPr>
        <w:tc>
          <w:tcPr>
            <w:tcW w:w="3640" w:type="dxa"/>
            <w:vAlign w:val="bottom"/>
          </w:tcPr>
          <w:p>
            <w:pPr>
              <w:ind w:left="180"/>
              <w:spacing w:after="0" w:line="206" w:lineRule="exact"/>
              <w:rPr>
                <w:sz w:val="20"/>
                <w:szCs w:val="20"/>
                <w:color w:val="auto"/>
              </w:rPr>
            </w:pPr>
            <w:r>
              <w:rPr>
                <w:rFonts w:ascii="Calibri" w:cs="Calibri" w:eastAsia="Calibri" w:hAnsi="Calibri"/>
                <w:sz w:val="17"/>
                <w:szCs w:val="17"/>
                <w:b w:val="1"/>
                <w:bCs w:val="1"/>
                <w:color w:val="auto"/>
              </w:rPr>
              <w:t>Employee Stock Purchase Plan</w:t>
            </w:r>
          </w:p>
        </w:tc>
        <w:tc>
          <w:tcPr>
            <w:tcW w:w="34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-1033780</wp:posOffset>
            </wp:positionV>
            <wp:extent cx="148590" cy="148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8590" cy="1485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-248920</wp:posOffset>
            </wp:positionV>
            <wp:extent cx="148590" cy="148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90"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i w:val="1"/>
          <w:iCs w:val="1"/>
          <w:color w:val="auto"/>
        </w:rPr>
        <w:t>Required vote: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172085</wp:posOffset>
            </wp:positionV>
            <wp:extent cx="45104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10405" cy="8255"/>
                    </a:xfrm>
                    <a:prstGeom prst="rect">
                      <a:avLst/>
                    </a:prstGeom>
                    <a:noFill/>
                  </pic:spPr>
                </pic:pic>
              </a:graphicData>
            </a:graphic>
          </wp:anchor>
        </w:drawing>
      </w:r>
    </w:p>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3580" w:type="dxa"/>
            <w:vAlign w:val="bottom"/>
          </w:tcPr>
          <w:p>
            <w:pPr>
              <w:spacing w:after="0"/>
              <w:rPr>
                <w:sz w:val="20"/>
                <w:szCs w:val="20"/>
                <w:color w:val="auto"/>
              </w:rPr>
            </w:pPr>
            <w:r>
              <w:rPr>
                <w:rFonts w:ascii="Calibri" w:cs="Calibri" w:eastAsia="Calibri" w:hAnsi="Calibri"/>
                <w:sz w:val="17"/>
                <w:szCs w:val="17"/>
                <w:b w:val="1"/>
                <w:bCs w:val="1"/>
                <w:color w:val="auto"/>
              </w:rPr>
              <w:t>3. Ratfcaton of appointment of independent</w:t>
            </w:r>
          </w:p>
        </w:tc>
        <w:tc>
          <w:tcPr>
            <w:tcW w:w="1280" w:type="dxa"/>
            <w:vAlign w:val="bottom"/>
          </w:tcPr>
          <w:p>
            <w:pPr>
              <w:ind w:left="340"/>
              <w:spacing w:after="0"/>
              <w:rPr>
                <w:sz w:val="20"/>
                <w:szCs w:val="20"/>
                <w:color w:val="auto"/>
              </w:rPr>
            </w:pPr>
            <w:r>
              <w:rPr>
                <w:rFonts w:ascii="Calibri" w:cs="Calibri" w:eastAsia="Calibri" w:hAnsi="Calibri"/>
                <w:sz w:val="17"/>
                <w:szCs w:val="17"/>
                <w:b w:val="1"/>
                <w:bCs w:val="1"/>
                <w:color w:val="FB4E0B"/>
                <w:w w:val="97"/>
              </w:rPr>
              <w:t xml:space="preserve">FOR </w:t>
            </w:r>
            <w:r>
              <w:rPr>
                <w:rFonts w:ascii="Calibri" w:cs="Calibri" w:eastAsia="Calibri" w:hAnsi="Calibri"/>
                <w:sz w:val="17"/>
                <w:szCs w:val="17"/>
                <w:color w:val="FB4E0B"/>
                <w:w w:val="97"/>
              </w:rPr>
              <w:t>(</w:t>
            </w:r>
            <w:r>
              <w:rPr>
                <w:rFonts w:ascii="Calibri" w:cs="Calibri" w:eastAsia="Calibri" w:hAnsi="Calibri"/>
                <w:sz w:val="17"/>
                <w:szCs w:val="17"/>
                <w:i w:val="1"/>
                <w:iCs w:val="1"/>
                <w:color w:val="FB4E0B"/>
                <w:w w:val="97"/>
              </w:rPr>
              <w:t>pg. 117</w:t>
            </w:r>
            <w:r>
              <w:rPr>
                <w:rFonts w:ascii="Calibri" w:cs="Calibri" w:eastAsia="Calibri" w:hAnsi="Calibri"/>
                <w:sz w:val="17"/>
                <w:szCs w:val="17"/>
                <w:color w:val="FB4E0B"/>
                <w:w w:val="97"/>
              </w:rPr>
              <w:t>)</w:t>
            </w:r>
          </w:p>
        </w:tc>
      </w:tr>
      <w:tr>
        <w:trPr>
          <w:trHeight w:val="206"/>
        </w:trPr>
        <w:tc>
          <w:tcPr>
            <w:tcW w:w="3580" w:type="dxa"/>
            <w:vAlign w:val="bottom"/>
          </w:tcPr>
          <w:p>
            <w:pPr>
              <w:ind w:left="180"/>
              <w:spacing w:after="0" w:line="206" w:lineRule="exact"/>
              <w:rPr>
                <w:sz w:val="20"/>
                <w:szCs w:val="20"/>
                <w:color w:val="auto"/>
              </w:rPr>
            </w:pPr>
            <w:r>
              <w:rPr>
                <w:rFonts w:ascii="Calibri" w:cs="Calibri" w:eastAsia="Calibri" w:hAnsi="Calibri"/>
                <w:sz w:val="17"/>
                <w:szCs w:val="17"/>
                <w:b w:val="1"/>
                <w:bCs w:val="1"/>
                <w:color w:val="auto"/>
              </w:rPr>
              <w:t>registered public accountng frm</w:t>
            </w:r>
          </w:p>
        </w:tc>
        <w:tc>
          <w:tcPr>
            <w:tcW w:w="12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-248920</wp:posOffset>
            </wp:positionV>
            <wp:extent cx="148590" cy="148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90"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i w:val="1"/>
          <w:iCs w:val="1"/>
          <w:color w:val="auto"/>
        </w:rPr>
        <w:t>Required vote: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23495</wp:posOffset>
            </wp:positionV>
            <wp:extent cx="451040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10405" cy="16510"/>
                    </a:xfrm>
                    <a:prstGeom prst="rect">
                      <a:avLst/>
                    </a:prstGeom>
                    <a:noFill/>
                  </pic:spPr>
                </pic:pic>
              </a:graphicData>
            </a:graphic>
          </wp:anchor>
        </w:drawing>
      </w:r>
    </w:p>
    <w:p>
      <w:pPr>
        <w:spacing w:after="0" w:line="112"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3480" w:type="dxa"/>
            <w:vAlign w:val="bottom"/>
          </w:tcPr>
          <w:p>
            <w:pPr>
              <w:spacing w:after="0"/>
              <w:rPr>
                <w:sz w:val="20"/>
                <w:szCs w:val="20"/>
                <w:color w:val="auto"/>
              </w:rPr>
            </w:pPr>
            <w:r>
              <w:rPr>
                <w:rFonts w:ascii="Calibri" w:cs="Calibri" w:eastAsia="Calibri" w:hAnsi="Calibri"/>
                <w:sz w:val="17"/>
                <w:szCs w:val="17"/>
                <w:b w:val="1"/>
                <w:bCs w:val="1"/>
                <w:color w:val="auto"/>
              </w:rPr>
              <w:t>4. Advisory (non-binding) vote on executve</w:t>
            </w:r>
          </w:p>
        </w:tc>
        <w:tc>
          <w:tcPr>
            <w:tcW w:w="1380" w:type="dxa"/>
            <w:vAlign w:val="bottom"/>
          </w:tcPr>
          <w:p>
            <w:pPr>
              <w:ind w:left="440"/>
              <w:spacing w:after="0"/>
              <w:rPr>
                <w:sz w:val="20"/>
                <w:szCs w:val="20"/>
                <w:color w:val="auto"/>
              </w:rPr>
            </w:pPr>
            <w:r>
              <w:rPr>
                <w:rFonts w:ascii="Calibri" w:cs="Calibri" w:eastAsia="Calibri" w:hAnsi="Calibri"/>
                <w:sz w:val="17"/>
                <w:szCs w:val="17"/>
                <w:b w:val="1"/>
                <w:bCs w:val="1"/>
                <w:color w:val="FB4E0B"/>
                <w:w w:val="97"/>
              </w:rPr>
              <w:t xml:space="preserve">FOR </w:t>
            </w:r>
            <w:r>
              <w:rPr>
                <w:rFonts w:ascii="Calibri" w:cs="Calibri" w:eastAsia="Calibri" w:hAnsi="Calibri"/>
                <w:sz w:val="17"/>
                <w:szCs w:val="17"/>
                <w:color w:val="FB4E0B"/>
                <w:w w:val="97"/>
              </w:rPr>
              <w:t>(</w:t>
            </w:r>
            <w:r>
              <w:rPr>
                <w:rFonts w:ascii="Calibri" w:cs="Calibri" w:eastAsia="Calibri" w:hAnsi="Calibri"/>
                <w:sz w:val="17"/>
                <w:szCs w:val="17"/>
                <w:i w:val="1"/>
                <w:iCs w:val="1"/>
                <w:color w:val="FB4E0B"/>
                <w:w w:val="97"/>
              </w:rPr>
              <w:t>pg. 119</w:t>
            </w:r>
            <w:r>
              <w:rPr>
                <w:rFonts w:ascii="Calibri" w:cs="Calibri" w:eastAsia="Calibri" w:hAnsi="Calibri"/>
                <w:sz w:val="17"/>
                <w:szCs w:val="17"/>
                <w:color w:val="FB4E0B"/>
                <w:w w:val="97"/>
              </w:rPr>
              <w:t>)</w:t>
            </w:r>
          </w:p>
        </w:tc>
      </w:tr>
      <w:tr>
        <w:trPr>
          <w:trHeight w:val="206"/>
        </w:trPr>
        <w:tc>
          <w:tcPr>
            <w:tcW w:w="3480" w:type="dxa"/>
            <w:vAlign w:val="bottom"/>
          </w:tcPr>
          <w:p>
            <w:pPr>
              <w:ind w:left="180"/>
              <w:spacing w:after="0" w:line="206" w:lineRule="exact"/>
              <w:rPr>
                <w:sz w:val="20"/>
                <w:szCs w:val="20"/>
                <w:color w:val="auto"/>
              </w:rPr>
            </w:pPr>
            <w:r>
              <w:rPr>
                <w:rFonts w:ascii="Calibri" w:cs="Calibri" w:eastAsia="Calibri" w:hAnsi="Calibri"/>
                <w:sz w:val="17"/>
                <w:szCs w:val="17"/>
                <w:b w:val="1"/>
                <w:bCs w:val="1"/>
                <w:color w:val="auto"/>
              </w:rPr>
              <w:t>compensaton</w:t>
            </w:r>
          </w:p>
        </w:tc>
        <w:tc>
          <w:tcPr>
            <w:tcW w:w="13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-248920</wp:posOffset>
            </wp:positionV>
            <wp:extent cx="148590" cy="148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8590" cy="148590"/>
                    </a:xfrm>
                    <a:prstGeom prst="rect">
                      <a:avLst/>
                    </a:prstGeom>
                    <a:noFill/>
                  </pic:spPr>
                </pic:pic>
              </a:graphicData>
            </a:graphic>
          </wp:anchor>
        </w:drawing>
      </w:r>
    </w:p>
    <w:p>
      <w:pPr>
        <w:spacing w:after="0" w:line="190"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i w:val="1"/>
          <w:iCs w:val="1"/>
          <w:color w:val="auto"/>
        </w:rPr>
        <w:t>Required vote: Afrmatve vote of a majority of shares present in person or represented by proxy and enttled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23495</wp:posOffset>
            </wp:positionV>
            <wp:extent cx="451040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10405" cy="16510"/>
                    </a:xfrm>
                    <a:prstGeom prst="rect">
                      <a:avLst/>
                    </a:prstGeom>
                    <a:noFill/>
                  </pic:spPr>
                </pic:pic>
              </a:graphicData>
            </a:graphic>
          </wp:anchor>
        </w:drawing>
      </w:r>
    </w:p>
    <w:p>
      <w:pPr>
        <w:spacing w:after="0" w:line="154" w:lineRule="exact"/>
        <w:rPr>
          <w:sz w:val="20"/>
          <w:szCs w:val="20"/>
          <w:color w:val="auto"/>
        </w:rPr>
      </w:pPr>
    </w:p>
    <w:p>
      <w:pPr>
        <w:ind w:left="320" w:right="400" w:firstLine="1"/>
        <w:spacing w:after="0" w:line="251" w:lineRule="auto"/>
        <w:tabs>
          <w:tab w:leader="none" w:pos="414"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Virtual atendance at our Annual Meetng will consttute presence in person for purposes of quorum and votng at the Annual Meetng.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2022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133350</wp:posOffset>
            </wp:positionV>
            <wp:extent cx="2028190" cy="254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28190" cy="254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B4E0B"/>
        </w:rPr>
        <w:t>Annual meetng informaton</w:t>
      </w:r>
    </w:p>
    <w:p>
      <w:pPr>
        <w:spacing w:after="0" w:line="231" w:lineRule="exact"/>
        <w:rPr>
          <w:sz w:val="20"/>
          <w:szCs w:val="20"/>
          <w:color w:val="auto"/>
        </w:rPr>
      </w:pPr>
    </w:p>
    <w:p>
      <w:pPr>
        <w:ind w:left="440"/>
        <w:spacing w:after="0"/>
        <w:rPr>
          <w:sz w:val="20"/>
          <w:szCs w:val="20"/>
          <w:color w:val="auto"/>
        </w:rPr>
      </w:pPr>
      <w:r>
        <w:rPr>
          <w:rFonts w:ascii="Calibri" w:cs="Calibri" w:eastAsia="Calibri" w:hAnsi="Calibri"/>
          <w:sz w:val="17"/>
          <w:szCs w:val="17"/>
          <w:b w:val="1"/>
          <w:bCs w:val="1"/>
          <w:color w:val="auto"/>
        </w:rPr>
        <w:t>Time and date:</w:t>
      </w:r>
    </w:p>
    <w:p>
      <w:pPr>
        <w:spacing w:after="0" w:line="22" w:lineRule="exact"/>
        <w:rPr>
          <w:sz w:val="20"/>
          <w:szCs w:val="20"/>
          <w:color w:val="auto"/>
        </w:rPr>
      </w:pPr>
    </w:p>
    <w:p>
      <w:pPr>
        <w:ind w:left="440"/>
        <w:spacing w:after="0"/>
        <w:rPr>
          <w:sz w:val="20"/>
          <w:szCs w:val="20"/>
          <w:color w:val="auto"/>
        </w:rPr>
      </w:pPr>
      <w:r>
        <w:rPr>
          <w:rFonts w:ascii="Calibri" w:cs="Calibri" w:eastAsia="Calibri" w:hAnsi="Calibri"/>
          <w:sz w:val="16"/>
          <w:szCs w:val="16"/>
          <w:color w:val="auto"/>
        </w:rPr>
        <w:t>8:30 AM (Eastern Time)</w:t>
      </w:r>
    </w:p>
    <w:p>
      <w:pPr>
        <w:ind w:left="440"/>
        <w:spacing w:after="0"/>
        <w:rPr>
          <w:sz w:val="20"/>
          <w:szCs w:val="20"/>
          <w:color w:val="auto"/>
        </w:rPr>
      </w:pPr>
      <w:r>
        <w:rPr>
          <w:rFonts w:ascii="Calibri" w:cs="Calibri" w:eastAsia="Calibri" w:hAnsi="Calibri"/>
          <w:sz w:val="16"/>
          <w:szCs w:val="16"/>
          <w:color w:val="auto"/>
        </w:rPr>
        <w:t>June 21, 2022</w:t>
      </w:r>
    </w:p>
    <w:p>
      <w:pPr>
        <w:spacing w:after="0" w:line="278" w:lineRule="exact"/>
        <w:rPr>
          <w:sz w:val="20"/>
          <w:szCs w:val="20"/>
          <w:color w:val="auto"/>
        </w:rPr>
      </w:pPr>
    </w:p>
    <w:p>
      <w:pPr>
        <w:ind w:left="440"/>
        <w:spacing w:after="0"/>
        <w:rPr>
          <w:sz w:val="20"/>
          <w:szCs w:val="20"/>
          <w:color w:val="auto"/>
        </w:rPr>
      </w:pPr>
      <w:r>
        <w:rPr>
          <w:rFonts w:ascii="Calibri" w:cs="Calibri" w:eastAsia="Calibri" w:hAnsi="Calibri"/>
          <w:sz w:val="17"/>
          <w:szCs w:val="17"/>
          <w:b w:val="1"/>
          <w:bCs w:val="1"/>
          <w:color w:val="auto"/>
        </w:rPr>
        <w:t>Record date:</w:t>
      </w:r>
    </w:p>
    <w:p>
      <w:pPr>
        <w:spacing w:after="0" w:line="48" w:lineRule="exact"/>
        <w:rPr>
          <w:sz w:val="20"/>
          <w:szCs w:val="20"/>
          <w:color w:val="auto"/>
        </w:rPr>
      </w:pPr>
    </w:p>
    <w:p>
      <w:pPr>
        <w:ind w:left="440"/>
        <w:spacing w:after="0"/>
        <w:rPr>
          <w:sz w:val="20"/>
          <w:szCs w:val="20"/>
          <w:color w:val="auto"/>
        </w:rPr>
      </w:pPr>
      <w:r>
        <w:rPr>
          <w:rFonts w:ascii="Calibri" w:cs="Calibri" w:eastAsia="Calibri" w:hAnsi="Calibri"/>
          <w:sz w:val="16"/>
          <w:szCs w:val="16"/>
          <w:color w:val="auto"/>
        </w:rPr>
        <w:t>April 22, 2022</w:t>
      </w:r>
    </w:p>
    <w:p>
      <w:pPr>
        <w:spacing w:after="0" w:line="317" w:lineRule="exact"/>
        <w:rPr>
          <w:sz w:val="20"/>
          <w:szCs w:val="20"/>
          <w:color w:val="auto"/>
        </w:rPr>
      </w:pPr>
    </w:p>
    <w:p>
      <w:pPr>
        <w:ind w:left="440"/>
        <w:spacing w:after="0"/>
        <w:rPr>
          <w:sz w:val="20"/>
          <w:szCs w:val="20"/>
          <w:color w:val="auto"/>
        </w:rPr>
      </w:pPr>
      <w:r>
        <w:rPr>
          <w:rFonts w:ascii="Calibri" w:cs="Calibri" w:eastAsia="Calibri" w:hAnsi="Calibri"/>
          <w:sz w:val="17"/>
          <w:szCs w:val="17"/>
          <w:b w:val="1"/>
          <w:bCs w:val="1"/>
          <w:color w:val="auto"/>
        </w:rPr>
        <w:t>Place:</w:t>
      </w:r>
    </w:p>
    <w:p>
      <w:pPr>
        <w:spacing w:after="0" w:line="32" w:lineRule="exact"/>
        <w:rPr>
          <w:sz w:val="20"/>
          <w:szCs w:val="20"/>
          <w:color w:val="auto"/>
        </w:rPr>
      </w:pPr>
    </w:p>
    <w:p>
      <w:pPr>
        <w:ind w:left="440" w:right="1080"/>
        <w:spacing w:after="0" w:line="233" w:lineRule="auto"/>
        <w:rPr>
          <w:sz w:val="20"/>
          <w:szCs w:val="20"/>
          <w:color w:val="auto"/>
        </w:rPr>
      </w:pPr>
      <w:r>
        <w:rPr>
          <w:rFonts w:ascii="Calibri" w:cs="Calibri" w:eastAsia="Calibri" w:hAnsi="Calibri"/>
          <w:sz w:val="16"/>
          <w:szCs w:val="16"/>
          <w:color w:val="auto"/>
        </w:rPr>
        <w:t>Virtual format only via live audio webcast</w:t>
      </w:r>
    </w:p>
    <w:p>
      <w:pPr>
        <w:spacing w:after="0" w:line="318" w:lineRule="exact"/>
        <w:rPr>
          <w:sz w:val="20"/>
          <w:szCs w:val="20"/>
          <w:color w:val="auto"/>
        </w:rPr>
      </w:pPr>
    </w:p>
    <w:p>
      <w:pPr>
        <w:ind w:left="440"/>
        <w:spacing w:after="0"/>
        <w:rPr>
          <w:sz w:val="20"/>
          <w:szCs w:val="20"/>
          <w:color w:val="auto"/>
        </w:rPr>
      </w:pPr>
      <w:r>
        <w:rPr>
          <w:rFonts w:ascii="Calibri" w:cs="Calibri" w:eastAsia="Calibri" w:hAnsi="Calibri"/>
          <w:sz w:val="17"/>
          <w:szCs w:val="17"/>
          <w:b w:val="1"/>
          <w:bCs w:val="1"/>
          <w:color w:val="auto"/>
        </w:rPr>
        <w:t>Votng:</w:t>
      </w:r>
    </w:p>
    <w:p>
      <w:pPr>
        <w:spacing w:after="0" w:line="22" w:lineRule="exact"/>
        <w:rPr>
          <w:sz w:val="20"/>
          <w:szCs w:val="20"/>
          <w:color w:val="auto"/>
        </w:rPr>
      </w:pPr>
    </w:p>
    <w:p>
      <w:pPr>
        <w:ind w:left="440"/>
        <w:spacing w:after="0"/>
        <w:rPr>
          <w:sz w:val="20"/>
          <w:szCs w:val="20"/>
          <w:color w:val="auto"/>
        </w:rPr>
      </w:pPr>
      <w:r>
        <w:rPr>
          <w:rFonts w:ascii="Calibri" w:cs="Calibri" w:eastAsia="Calibri" w:hAnsi="Calibri"/>
          <w:sz w:val="16"/>
          <w:szCs w:val="16"/>
          <w:color w:val="auto"/>
        </w:rPr>
        <w:t>Stockholders as of the</w:t>
      </w:r>
    </w:p>
    <w:p>
      <w:pPr>
        <w:ind w:left="440"/>
        <w:spacing w:after="0"/>
        <w:rPr>
          <w:sz w:val="20"/>
          <w:szCs w:val="20"/>
          <w:color w:val="auto"/>
        </w:rPr>
      </w:pPr>
      <w:r>
        <w:rPr>
          <w:rFonts w:ascii="Calibri" w:cs="Calibri" w:eastAsia="Calibri" w:hAnsi="Calibri"/>
          <w:sz w:val="16"/>
          <w:szCs w:val="16"/>
          <w:color w:val="auto"/>
        </w:rPr>
        <w:t>Record Date are enttled</w:t>
      </w:r>
    </w:p>
    <w:p>
      <w:pPr>
        <w:ind w:left="440"/>
        <w:spacing w:after="0"/>
        <w:rPr>
          <w:sz w:val="20"/>
          <w:szCs w:val="20"/>
          <w:color w:val="auto"/>
        </w:rPr>
      </w:pPr>
      <w:r>
        <w:rPr>
          <w:rFonts w:ascii="Calibri" w:cs="Calibri" w:eastAsia="Calibri" w:hAnsi="Calibri"/>
          <w:sz w:val="16"/>
          <w:szCs w:val="16"/>
          <w:color w:val="auto"/>
        </w:rPr>
        <w:t>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212725</wp:posOffset>
            </wp:positionV>
            <wp:extent cx="2028190" cy="3101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28190" cy="310197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Calibri" w:cs="Calibri" w:eastAsia="Calibri" w:hAnsi="Calibri"/>
          <w:sz w:val="19"/>
          <w:szCs w:val="19"/>
          <w:b w:val="1"/>
          <w:bCs w:val="1"/>
          <w:color w:val="FB4E0B"/>
        </w:rPr>
        <w:t>Votng methods</w:t>
      </w:r>
    </w:p>
    <w:p>
      <w:pPr>
        <w:spacing w:after="0" w:line="114" w:lineRule="exact"/>
        <w:rPr>
          <w:sz w:val="20"/>
          <w:szCs w:val="20"/>
          <w:color w:val="auto"/>
        </w:rPr>
      </w:pPr>
    </w:p>
    <w:p>
      <w:pPr>
        <w:ind w:left="440"/>
        <w:spacing w:after="0"/>
        <w:rPr>
          <w:sz w:val="20"/>
          <w:szCs w:val="20"/>
          <w:color w:val="auto"/>
        </w:rPr>
      </w:pPr>
      <w:r>
        <w:rPr>
          <w:rFonts w:ascii="Calibri" w:cs="Calibri" w:eastAsia="Calibri" w:hAnsi="Calibri"/>
          <w:sz w:val="17"/>
          <w:szCs w:val="17"/>
          <w:b w:val="1"/>
          <w:bCs w:val="1"/>
          <w:color w:val="auto"/>
        </w:rPr>
        <w:t>Internet (pre-meetng):</w:t>
      </w:r>
    </w:p>
    <w:p>
      <w:pPr>
        <w:spacing w:after="0" w:line="22" w:lineRule="exact"/>
        <w:rPr>
          <w:sz w:val="20"/>
          <w:szCs w:val="20"/>
          <w:color w:val="auto"/>
        </w:rPr>
      </w:pPr>
    </w:p>
    <w:p>
      <w:pPr>
        <w:ind w:left="440"/>
        <w:spacing w:after="0"/>
        <w:rPr>
          <w:sz w:val="20"/>
          <w:szCs w:val="20"/>
          <w:color w:val="auto"/>
        </w:rPr>
      </w:pPr>
      <w:r>
        <w:rPr>
          <w:rFonts w:ascii="Calibri" w:cs="Calibri" w:eastAsia="Calibri" w:hAnsi="Calibri"/>
          <w:sz w:val="16"/>
          <w:szCs w:val="16"/>
          <w:i w:val="1"/>
          <w:iCs w:val="1"/>
          <w:color w:val="auto"/>
        </w:rPr>
        <w:t>www.proxyvote.com</w:t>
      </w:r>
    </w:p>
    <w:p>
      <w:pPr>
        <w:spacing w:after="0" w:line="252" w:lineRule="exact"/>
        <w:rPr>
          <w:sz w:val="20"/>
          <w:szCs w:val="20"/>
          <w:color w:val="auto"/>
        </w:rPr>
      </w:pPr>
    </w:p>
    <w:p>
      <w:pPr>
        <w:ind w:left="440"/>
        <w:spacing w:after="0"/>
        <w:rPr>
          <w:sz w:val="20"/>
          <w:szCs w:val="20"/>
          <w:color w:val="auto"/>
        </w:rPr>
      </w:pPr>
      <w:r>
        <w:rPr>
          <w:rFonts w:ascii="Calibri" w:cs="Calibri" w:eastAsia="Calibri" w:hAnsi="Calibri"/>
          <w:sz w:val="17"/>
          <w:szCs w:val="17"/>
          <w:b w:val="1"/>
          <w:bCs w:val="1"/>
          <w:color w:val="auto"/>
        </w:rPr>
        <w:t>Mail:</w:t>
      </w:r>
    </w:p>
    <w:p>
      <w:pPr>
        <w:spacing w:after="0" w:line="22" w:lineRule="exact"/>
        <w:rPr>
          <w:sz w:val="20"/>
          <w:szCs w:val="20"/>
          <w:color w:val="auto"/>
        </w:rPr>
      </w:pPr>
    </w:p>
    <w:p>
      <w:pPr>
        <w:ind w:left="440"/>
        <w:spacing w:after="0"/>
        <w:rPr>
          <w:sz w:val="20"/>
          <w:szCs w:val="20"/>
          <w:color w:val="auto"/>
        </w:rPr>
      </w:pPr>
      <w:r>
        <w:rPr>
          <w:rFonts w:ascii="Calibri" w:cs="Calibri" w:eastAsia="Calibri" w:hAnsi="Calibri"/>
          <w:sz w:val="16"/>
          <w:szCs w:val="16"/>
          <w:color w:val="auto"/>
        </w:rPr>
        <w:t>Follow instructons on the</w:t>
      </w:r>
    </w:p>
    <w:p>
      <w:pPr>
        <w:ind w:left="440"/>
        <w:spacing w:after="0"/>
        <w:rPr>
          <w:sz w:val="20"/>
          <w:szCs w:val="20"/>
          <w:color w:val="auto"/>
        </w:rPr>
      </w:pPr>
      <w:r>
        <w:rPr>
          <w:rFonts w:ascii="Calibri" w:cs="Calibri" w:eastAsia="Calibri" w:hAnsi="Calibri"/>
          <w:sz w:val="16"/>
          <w:szCs w:val="16"/>
          <w:color w:val="auto"/>
        </w:rPr>
        <w:t>Internet notce</w:t>
      </w:r>
    </w:p>
    <w:p>
      <w:pPr>
        <w:spacing w:after="0" w:line="265" w:lineRule="exact"/>
        <w:rPr>
          <w:sz w:val="20"/>
          <w:szCs w:val="20"/>
          <w:color w:val="auto"/>
        </w:rPr>
      </w:pPr>
    </w:p>
    <w:p>
      <w:pPr>
        <w:ind w:left="440"/>
        <w:spacing w:after="0"/>
        <w:rPr>
          <w:sz w:val="20"/>
          <w:szCs w:val="20"/>
          <w:color w:val="auto"/>
        </w:rPr>
      </w:pPr>
      <w:r>
        <w:rPr>
          <w:rFonts w:ascii="Calibri" w:cs="Calibri" w:eastAsia="Calibri" w:hAnsi="Calibri"/>
          <w:sz w:val="17"/>
          <w:szCs w:val="17"/>
          <w:b w:val="1"/>
          <w:bCs w:val="1"/>
          <w:color w:val="auto"/>
        </w:rPr>
        <w:t>Phone:</w:t>
      </w:r>
    </w:p>
    <w:p>
      <w:pPr>
        <w:spacing w:after="0" w:line="32" w:lineRule="exact"/>
        <w:rPr>
          <w:sz w:val="20"/>
          <w:szCs w:val="20"/>
          <w:color w:val="auto"/>
        </w:rPr>
      </w:pPr>
    </w:p>
    <w:p>
      <w:pPr>
        <w:ind w:left="440" w:right="900"/>
        <w:spacing w:after="0" w:line="233" w:lineRule="auto"/>
        <w:rPr>
          <w:sz w:val="20"/>
          <w:szCs w:val="20"/>
          <w:color w:val="auto"/>
        </w:rPr>
      </w:pPr>
      <w:r>
        <w:rPr>
          <w:rFonts w:ascii="Calibri" w:cs="Calibri" w:eastAsia="Calibri" w:hAnsi="Calibri"/>
          <w:sz w:val="16"/>
          <w:szCs w:val="16"/>
          <w:color w:val="auto"/>
        </w:rPr>
        <w:t>Call the number listed on the Internet notce</w:t>
      </w:r>
    </w:p>
    <w:p>
      <w:pPr>
        <w:spacing w:after="0" w:line="253" w:lineRule="exact"/>
        <w:rPr>
          <w:sz w:val="20"/>
          <w:szCs w:val="20"/>
          <w:color w:val="auto"/>
        </w:rPr>
      </w:pPr>
    </w:p>
    <w:p>
      <w:pPr>
        <w:ind w:left="440"/>
        <w:spacing w:after="0"/>
        <w:rPr>
          <w:sz w:val="20"/>
          <w:szCs w:val="20"/>
          <w:color w:val="auto"/>
        </w:rPr>
      </w:pPr>
      <w:r>
        <w:rPr>
          <w:rFonts w:ascii="Calibri" w:cs="Calibri" w:eastAsia="Calibri" w:hAnsi="Calibri"/>
          <w:sz w:val="17"/>
          <w:szCs w:val="17"/>
          <w:b w:val="1"/>
          <w:bCs w:val="1"/>
          <w:color w:val="auto"/>
        </w:rPr>
        <w:t>Electronically:</w:t>
      </w:r>
    </w:p>
    <w:p>
      <w:pPr>
        <w:spacing w:after="0" w:line="22" w:lineRule="exact"/>
        <w:rPr>
          <w:sz w:val="20"/>
          <w:szCs w:val="20"/>
          <w:color w:val="auto"/>
        </w:rPr>
      </w:pPr>
    </w:p>
    <w:p>
      <w:pPr>
        <w:ind w:left="440"/>
        <w:spacing w:after="0"/>
        <w:rPr>
          <w:sz w:val="20"/>
          <w:szCs w:val="20"/>
          <w:color w:val="auto"/>
        </w:rPr>
      </w:pPr>
      <w:r>
        <w:rPr>
          <w:rFonts w:ascii="Calibri" w:cs="Calibri" w:eastAsia="Calibri" w:hAnsi="Calibri"/>
          <w:sz w:val="16"/>
          <w:szCs w:val="16"/>
          <w:color w:val="auto"/>
        </w:rPr>
        <w:t>Atend the Annual Meetng</w:t>
      </w:r>
    </w:p>
    <w:p>
      <w:pPr>
        <w:ind w:left="440"/>
        <w:spacing w:after="0"/>
        <w:rPr>
          <w:sz w:val="20"/>
          <w:szCs w:val="20"/>
          <w:color w:val="auto"/>
        </w:rPr>
      </w:pPr>
      <w:r>
        <w:rPr>
          <w:rFonts w:ascii="Calibri" w:cs="Calibri" w:eastAsia="Calibri" w:hAnsi="Calibri"/>
          <w:sz w:val="16"/>
          <w:szCs w:val="16"/>
          <w:color w:val="auto"/>
        </w:rPr>
        <w:t>and vote electronically</w:t>
      </w:r>
    </w:p>
    <w:p>
      <w:pPr>
        <w:spacing w:after="0" w:line="229" w:lineRule="exact"/>
        <w:rPr>
          <w:sz w:val="20"/>
          <w:szCs w:val="20"/>
          <w:color w:val="auto"/>
        </w:rPr>
      </w:pPr>
    </w:p>
    <w:p>
      <w:pPr>
        <w:ind w:left="40" w:right="100"/>
        <w:spacing w:after="0" w:line="254" w:lineRule="auto"/>
        <w:rPr>
          <w:sz w:val="20"/>
          <w:szCs w:val="20"/>
          <w:color w:val="auto"/>
        </w:rPr>
      </w:pPr>
      <w:r>
        <w:rPr>
          <w:rFonts w:ascii="Calibri" w:cs="Calibri" w:eastAsia="Calibri" w:hAnsi="Calibri"/>
          <w:sz w:val="13"/>
          <w:szCs w:val="13"/>
          <w:color w:val="auto"/>
        </w:rPr>
        <w:t>If you are the benefcial owner of shares held in the name of a brokerage, bank, trust or other nominee as a custodian (also referred to as shares held in “street name”), your broker, bank, trustee or nominee will provide you with materials and instructons for votng your shares. See page 124 for additonal details.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0"/>
        <w:spacing w:after="0"/>
        <w:tabs>
          <w:tab w:leader="none" w:pos="2020" w:val="left"/>
          <w:tab w:leader="none" w:pos="2400" w:val="left"/>
        </w:tabs>
        <w:rPr>
          <w:sz w:val="20"/>
          <w:szCs w:val="20"/>
          <w:color w:val="auto"/>
        </w:rPr>
      </w:pPr>
      <w:r>
        <w:rPr>
          <w:rFonts w:ascii="Calibri" w:cs="Calibri" w:eastAsia="Calibri" w:hAnsi="Calibri"/>
          <w:sz w:val="13"/>
          <w:szCs w:val="13"/>
          <w:color w:val="auto"/>
        </w:rPr>
        <w:t>EXL 2022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7</w:t>
      </w:r>
    </w:p>
    <w:p>
      <w:pPr>
        <w:sectPr>
          <w:pgSz w:w="11900" w:h="16838" w:orient="portrait"/>
          <w:cols w:equalWidth="0" w:num="2">
            <w:col w:w="7420" w:space="340"/>
            <w:col w:w="3180"/>
          </w:cols>
          <w:pgMar w:left="320" w:top="445" w:right="6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2022 Proxy Statement summary</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Our business</w:t>
      </w:r>
    </w:p>
    <w:p>
      <w:pPr>
        <w:spacing w:after="0" w:line="1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We are a leading global data analytcs and digital operatons and solutons company that partners with clients to improve business outcomes and unlock growth. Bringing together deep domain expertse with robust data, powerful analytcs, cloud, artfcial intelligence (“AI”) and machine learning (“ML”), we create agile, scalable solutons and execute complex operatons for the world’s leading corporatons in industries including insurance, healthcare, banking and fnancial services, media, and retail, among others. Focused on driving faster decision-making and transforming operatng models, EXL was founded on the core values of innovaton, collaboraton, excellence, integrity and respect. Headquartered in New York, our team is over 39,000 strong, with more than 50 ofces spanning six contnents.</w:t>
      </w:r>
    </w:p>
    <w:p>
      <w:pPr>
        <w:spacing w:after="0" w:line="236"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FB4E0B"/>
        </w:rPr>
        <w:t>Company 3 year performance</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4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20" w:type="dxa"/>
            <w:vAlign w:val="bottom"/>
            <w:gridSpan w:val="3"/>
          </w:tcPr>
          <w:p>
            <w:pPr>
              <w:ind w:left="20"/>
              <w:spacing w:after="0"/>
              <w:rPr>
                <w:sz w:val="20"/>
                <w:szCs w:val="20"/>
                <w:color w:val="auto"/>
              </w:rPr>
            </w:pPr>
            <w:r>
              <w:rPr>
                <w:rFonts w:ascii="Calibri" w:cs="Calibri" w:eastAsia="Calibri" w:hAnsi="Calibri"/>
                <w:sz w:val="17"/>
                <w:szCs w:val="17"/>
                <w:b w:val="1"/>
                <w:bCs w:val="1"/>
                <w:color w:val="FB4E0B"/>
                <w:w w:val="98"/>
              </w:rPr>
              <w:t>Revenue (Year-over-year growth %)</w:t>
            </w: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17"/>
        </w:trPr>
        <w:tc>
          <w:tcPr>
            <w:tcW w:w="4260" w:type="dxa"/>
            <w:vAlign w:val="bottom"/>
          </w:tcPr>
          <w:p>
            <w:pPr>
              <w:ind w:left="20"/>
              <w:spacing w:after="0"/>
              <w:rPr>
                <w:sz w:val="20"/>
                <w:szCs w:val="20"/>
                <w:color w:val="auto"/>
              </w:rPr>
            </w:pPr>
            <w:r>
              <w:rPr>
                <w:rFonts w:ascii="Calibri" w:cs="Calibri" w:eastAsia="Calibri" w:hAnsi="Calibri"/>
                <w:sz w:val="14"/>
                <w:szCs w:val="14"/>
                <w:b w:val="1"/>
                <w:bCs w:val="1"/>
                <w:i w:val="1"/>
                <w:iCs w:val="1"/>
                <w:color w:val="auto"/>
              </w:rPr>
              <w:t>Revenue by segment informaton ($ in millions)</w:t>
            </w:r>
          </w:p>
        </w:tc>
        <w:tc>
          <w:tcPr>
            <w:tcW w:w="2000" w:type="dxa"/>
            <w:vAlign w:val="bottom"/>
            <w:gridSpan w:val="2"/>
          </w:tcPr>
          <w:p>
            <w:pPr>
              <w:jc w:val="right"/>
              <w:ind w:right="433"/>
              <w:spacing w:after="0"/>
              <w:rPr>
                <w:sz w:val="20"/>
                <w:szCs w:val="20"/>
                <w:color w:val="auto"/>
              </w:rPr>
            </w:pPr>
            <w:r>
              <w:rPr>
                <w:rFonts w:ascii="Calibri" w:cs="Calibri" w:eastAsia="Calibri" w:hAnsi="Calibri"/>
                <w:sz w:val="17"/>
                <w:szCs w:val="17"/>
                <w:b w:val="1"/>
                <w:bCs w:val="1"/>
                <w:color w:val="auto"/>
              </w:rPr>
              <w:t>2019 YOY%</w:t>
            </w:r>
          </w:p>
        </w:tc>
        <w:tc>
          <w:tcPr>
            <w:tcW w:w="2520" w:type="dxa"/>
            <w:vAlign w:val="bottom"/>
            <w:gridSpan w:val="3"/>
          </w:tcPr>
          <w:p>
            <w:pPr>
              <w:ind w:left="760"/>
              <w:spacing w:after="0"/>
              <w:rPr>
                <w:sz w:val="20"/>
                <w:szCs w:val="20"/>
                <w:color w:val="auto"/>
              </w:rPr>
            </w:pPr>
            <w:r>
              <w:rPr>
                <w:rFonts w:ascii="Calibri" w:cs="Calibri" w:eastAsia="Calibri" w:hAnsi="Calibri"/>
                <w:sz w:val="17"/>
                <w:szCs w:val="17"/>
                <w:b w:val="1"/>
                <w:bCs w:val="1"/>
                <w:color w:val="auto"/>
              </w:rPr>
              <w:t>2020 YOY%</w:t>
            </w:r>
          </w:p>
        </w:tc>
        <w:tc>
          <w:tcPr>
            <w:tcW w:w="1220" w:type="dxa"/>
            <w:vAlign w:val="bottom"/>
          </w:tcPr>
          <w:p>
            <w:pPr>
              <w:jc w:val="right"/>
              <w:spacing w:after="0"/>
              <w:rPr>
                <w:sz w:val="20"/>
                <w:szCs w:val="20"/>
                <w:color w:val="auto"/>
              </w:rPr>
            </w:pPr>
            <w:r>
              <w:rPr>
                <w:rFonts w:ascii="Calibri" w:cs="Calibri" w:eastAsia="Calibri" w:hAnsi="Calibri"/>
                <w:sz w:val="17"/>
                <w:szCs w:val="17"/>
                <w:b w:val="1"/>
                <w:bCs w:val="1"/>
                <w:color w:val="auto"/>
              </w:rPr>
              <w:t>2021 YOY%</w:t>
            </w:r>
          </w:p>
        </w:tc>
        <w:tc>
          <w:tcPr>
            <w:tcW w:w="620" w:type="dxa"/>
            <w:vAlign w:val="bottom"/>
          </w:tcPr>
          <w:p>
            <w:pPr>
              <w:spacing w:after="0"/>
              <w:rPr>
                <w:sz w:val="24"/>
                <w:szCs w:val="24"/>
                <w:color w:val="auto"/>
              </w:rPr>
            </w:pPr>
          </w:p>
        </w:tc>
      </w:tr>
      <w:tr>
        <w:trPr>
          <w:trHeight w:val="44"/>
        </w:trPr>
        <w:tc>
          <w:tcPr>
            <w:tcW w:w="4260" w:type="dxa"/>
            <w:vAlign w:val="bottom"/>
            <w:tcBorders>
              <w:bottom w:val="single" w:sz="8" w:color="BABABA"/>
            </w:tcBorders>
          </w:tcPr>
          <w:p>
            <w:pPr>
              <w:spacing w:after="0"/>
              <w:rPr>
                <w:sz w:val="3"/>
                <w:szCs w:val="3"/>
                <w:color w:val="auto"/>
              </w:rPr>
            </w:pPr>
          </w:p>
        </w:tc>
        <w:tc>
          <w:tcPr>
            <w:tcW w:w="1120" w:type="dxa"/>
            <w:vAlign w:val="bottom"/>
            <w:tcBorders>
              <w:bottom w:val="single" w:sz="8" w:color="BABABA"/>
            </w:tcBorders>
          </w:tcPr>
          <w:p>
            <w:pPr>
              <w:spacing w:after="0"/>
              <w:rPr>
                <w:sz w:val="3"/>
                <w:szCs w:val="3"/>
                <w:color w:val="auto"/>
              </w:rPr>
            </w:pPr>
          </w:p>
        </w:tc>
        <w:tc>
          <w:tcPr>
            <w:tcW w:w="880" w:type="dxa"/>
            <w:vAlign w:val="bottom"/>
            <w:tcBorders>
              <w:bottom w:val="single" w:sz="8" w:color="BABABA"/>
            </w:tcBorders>
          </w:tcPr>
          <w:p>
            <w:pPr>
              <w:spacing w:after="0"/>
              <w:rPr>
                <w:sz w:val="3"/>
                <w:szCs w:val="3"/>
                <w:color w:val="auto"/>
              </w:rPr>
            </w:pPr>
          </w:p>
        </w:tc>
        <w:tc>
          <w:tcPr>
            <w:tcW w:w="1180" w:type="dxa"/>
            <w:vAlign w:val="bottom"/>
            <w:tcBorders>
              <w:bottom w:val="single" w:sz="8" w:color="BABABA"/>
            </w:tcBorders>
          </w:tcPr>
          <w:p>
            <w:pPr>
              <w:spacing w:after="0"/>
              <w:rPr>
                <w:sz w:val="3"/>
                <w:szCs w:val="3"/>
                <w:color w:val="auto"/>
              </w:rPr>
            </w:pPr>
          </w:p>
        </w:tc>
        <w:tc>
          <w:tcPr>
            <w:tcW w:w="960" w:type="dxa"/>
            <w:vAlign w:val="bottom"/>
            <w:tcBorders>
              <w:bottom w:val="single" w:sz="8" w:color="BABABA"/>
            </w:tcBorders>
          </w:tcPr>
          <w:p>
            <w:pPr>
              <w:spacing w:after="0"/>
              <w:rPr>
                <w:sz w:val="3"/>
                <w:szCs w:val="3"/>
                <w:color w:val="auto"/>
              </w:rPr>
            </w:pPr>
          </w:p>
        </w:tc>
        <w:tc>
          <w:tcPr>
            <w:tcW w:w="380" w:type="dxa"/>
            <w:vAlign w:val="bottom"/>
            <w:tcBorders>
              <w:bottom w:val="single" w:sz="8" w:color="BABABA"/>
            </w:tcBorders>
          </w:tcPr>
          <w:p>
            <w:pPr>
              <w:spacing w:after="0"/>
              <w:rPr>
                <w:sz w:val="3"/>
                <w:szCs w:val="3"/>
                <w:color w:val="auto"/>
              </w:rPr>
            </w:pPr>
          </w:p>
        </w:tc>
        <w:tc>
          <w:tcPr>
            <w:tcW w:w="1220" w:type="dxa"/>
            <w:vAlign w:val="bottom"/>
            <w:tcBorders>
              <w:bottom w:val="single" w:sz="8" w:color="BABABA"/>
            </w:tcBorders>
          </w:tcPr>
          <w:p>
            <w:pPr>
              <w:spacing w:after="0"/>
              <w:rPr>
                <w:sz w:val="3"/>
                <w:szCs w:val="3"/>
                <w:color w:val="auto"/>
              </w:rPr>
            </w:pPr>
          </w:p>
        </w:tc>
        <w:tc>
          <w:tcPr>
            <w:tcW w:w="620" w:type="dxa"/>
            <w:vAlign w:val="bottom"/>
            <w:tcBorders>
              <w:bottom w:val="single" w:sz="8" w:color="BABABA"/>
            </w:tcBorders>
          </w:tcPr>
          <w:p>
            <w:pPr>
              <w:spacing w:after="0"/>
              <w:rPr>
                <w:sz w:val="3"/>
                <w:szCs w:val="3"/>
                <w:color w:val="auto"/>
              </w:rPr>
            </w:pPr>
          </w:p>
        </w:tc>
      </w:tr>
      <w:tr>
        <w:trPr>
          <w:trHeight w:val="199"/>
        </w:trPr>
        <w:tc>
          <w:tcPr>
            <w:tcW w:w="4260" w:type="dxa"/>
            <w:vAlign w:val="bottom"/>
            <w:tcBorders>
              <w:right w:val="single" w:sz="8" w:color="BABABA"/>
            </w:tcBorders>
          </w:tcPr>
          <w:p>
            <w:pPr>
              <w:ind w:left="40"/>
              <w:spacing w:after="0" w:line="199" w:lineRule="exact"/>
              <w:rPr>
                <w:sz w:val="20"/>
                <w:szCs w:val="20"/>
                <w:color w:val="auto"/>
              </w:rPr>
            </w:pPr>
            <w:r>
              <w:rPr>
                <w:rFonts w:ascii="Calibri" w:cs="Calibri" w:eastAsia="Calibri" w:hAnsi="Calibri"/>
                <w:sz w:val="17"/>
                <w:szCs w:val="17"/>
                <w:color w:val="auto"/>
              </w:rPr>
              <w:t>Insurance</w:t>
            </w:r>
          </w:p>
        </w:tc>
        <w:tc>
          <w:tcPr>
            <w:tcW w:w="1120" w:type="dxa"/>
            <w:vAlign w:val="bottom"/>
          </w:tcPr>
          <w:p>
            <w:pPr>
              <w:jc w:val="right"/>
              <w:ind w:right="153"/>
              <w:spacing w:after="0" w:line="199" w:lineRule="exact"/>
              <w:rPr>
                <w:sz w:val="20"/>
                <w:szCs w:val="20"/>
                <w:color w:val="auto"/>
              </w:rPr>
            </w:pPr>
            <w:r>
              <w:rPr>
                <w:rFonts w:ascii="Calibri" w:cs="Calibri" w:eastAsia="Calibri" w:hAnsi="Calibri"/>
                <w:sz w:val="17"/>
                <w:szCs w:val="17"/>
                <w:color w:val="auto"/>
              </w:rPr>
              <w:t>$346.4</w:t>
            </w:r>
          </w:p>
        </w:tc>
        <w:tc>
          <w:tcPr>
            <w:tcW w:w="880" w:type="dxa"/>
            <w:vAlign w:val="bottom"/>
            <w:tcBorders>
              <w:right w:val="single" w:sz="8" w:color="BABABA"/>
            </w:tcBorders>
          </w:tcPr>
          <w:p>
            <w:pPr>
              <w:jc w:val="right"/>
              <w:ind w:right="113"/>
              <w:spacing w:after="0" w:line="199" w:lineRule="exact"/>
              <w:rPr>
                <w:sz w:val="20"/>
                <w:szCs w:val="20"/>
                <w:color w:val="auto"/>
              </w:rPr>
            </w:pPr>
            <w:r>
              <w:rPr>
                <w:rFonts w:ascii="Calibri" w:cs="Calibri" w:eastAsia="Calibri" w:hAnsi="Calibri"/>
                <w:sz w:val="17"/>
                <w:szCs w:val="17"/>
                <w:color w:val="auto"/>
              </w:rPr>
              <w:t>11.3%</w:t>
            </w:r>
          </w:p>
        </w:tc>
        <w:tc>
          <w:tcPr>
            <w:tcW w:w="1180" w:type="dxa"/>
            <w:vAlign w:val="bottom"/>
          </w:tcPr>
          <w:p>
            <w:pPr>
              <w:jc w:val="right"/>
              <w:ind w:right="213"/>
              <w:spacing w:after="0" w:line="199" w:lineRule="exact"/>
              <w:rPr>
                <w:sz w:val="20"/>
                <w:szCs w:val="20"/>
                <w:color w:val="auto"/>
              </w:rPr>
            </w:pPr>
            <w:r>
              <w:rPr>
                <w:rFonts w:ascii="Calibri" w:cs="Calibri" w:eastAsia="Calibri" w:hAnsi="Calibri"/>
                <w:sz w:val="17"/>
                <w:szCs w:val="17"/>
                <w:color w:val="auto"/>
              </w:rPr>
              <w:t>$341.8</w:t>
            </w:r>
          </w:p>
        </w:tc>
        <w:tc>
          <w:tcPr>
            <w:tcW w:w="960" w:type="dxa"/>
            <w:vAlign w:val="bottom"/>
            <w:tcBorders>
              <w:right w:val="single" w:sz="8" w:color="BABABA"/>
            </w:tcBorders>
          </w:tcPr>
          <w:p>
            <w:pPr>
              <w:jc w:val="right"/>
              <w:ind w:right="113"/>
              <w:spacing w:after="0" w:line="199" w:lineRule="exact"/>
              <w:rPr>
                <w:sz w:val="20"/>
                <w:szCs w:val="20"/>
                <w:color w:val="auto"/>
              </w:rPr>
            </w:pPr>
            <w:r>
              <w:rPr>
                <w:rFonts w:ascii="Calibri" w:cs="Calibri" w:eastAsia="Calibri" w:hAnsi="Calibri"/>
                <w:sz w:val="17"/>
                <w:szCs w:val="17"/>
                <w:color w:val="auto"/>
              </w:rPr>
              <w:t>-1.3%</w:t>
            </w:r>
          </w:p>
        </w:tc>
        <w:tc>
          <w:tcPr>
            <w:tcW w:w="380" w:type="dxa"/>
            <w:vAlign w:val="bottom"/>
          </w:tcPr>
          <w:p>
            <w:pPr>
              <w:spacing w:after="0"/>
              <w:rPr>
                <w:sz w:val="17"/>
                <w:szCs w:val="17"/>
                <w:color w:val="auto"/>
              </w:rPr>
            </w:pPr>
          </w:p>
        </w:tc>
        <w:tc>
          <w:tcPr>
            <w:tcW w:w="1220" w:type="dxa"/>
            <w:vAlign w:val="bottom"/>
          </w:tcPr>
          <w:p>
            <w:pPr>
              <w:jc w:val="right"/>
              <w:ind w:right="493"/>
              <w:spacing w:after="0" w:line="199" w:lineRule="exact"/>
              <w:rPr>
                <w:sz w:val="20"/>
                <w:szCs w:val="20"/>
                <w:color w:val="auto"/>
              </w:rPr>
            </w:pPr>
            <w:r>
              <w:rPr>
                <w:rFonts w:ascii="Calibri" w:cs="Calibri" w:eastAsia="Calibri" w:hAnsi="Calibri"/>
                <w:sz w:val="17"/>
                <w:szCs w:val="17"/>
                <w:color w:val="auto"/>
              </w:rPr>
              <w:t>$382.0</w:t>
            </w:r>
          </w:p>
        </w:tc>
        <w:tc>
          <w:tcPr>
            <w:tcW w:w="620" w:type="dxa"/>
            <w:vAlign w:val="bottom"/>
          </w:tcPr>
          <w:p>
            <w:pPr>
              <w:jc w:val="right"/>
              <w:ind w:right="93"/>
              <w:spacing w:after="0" w:line="199" w:lineRule="exact"/>
              <w:rPr>
                <w:sz w:val="20"/>
                <w:szCs w:val="20"/>
                <w:color w:val="auto"/>
              </w:rPr>
            </w:pPr>
            <w:r>
              <w:rPr>
                <w:rFonts w:ascii="Calibri" w:cs="Calibri" w:eastAsia="Calibri" w:hAnsi="Calibri"/>
                <w:sz w:val="17"/>
                <w:szCs w:val="17"/>
                <w:color w:val="auto"/>
                <w:w w:val="99"/>
              </w:rPr>
              <w:t>11.8%</w:t>
            </w:r>
          </w:p>
        </w:tc>
      </w:tr>
      <w:tr>
        <w:trPr>
          <w:trHeight w:val="239"/>
        </w:trPr>
        <w:tc>
          <w:tcPr>
            <w:tcW w:w="4260" w:type="dxa"/>
            <w:vAlign w:val="bottom"/>
            <w:tcBorders>
              <w:right w:val="single" w:sz="8" w:color="BABABA"/>
            </w:tcBorders>
          </w:tcPr>
          <w:p>
            <w:pPr>
              <w:ind w:left="40"/>
              <w:spacing w:after="0"/>
              <w:rPr>
                <w:sz w:val="20"/>
                <w:szCs w:val="20"/>
                <w:color w:val="auto"/>
              </w:rPr>
            </w:pPr>
            <w:r>
              <w:rPr>
                <w:rFonts w:ascii="Calibri" w:cs="Calibri" w:eastAsia="Calibri" w:hAnsi="Calibri"/>
                <w:sz w:val="17"/>
                <w:szCs w:val="17"/>
                <w:color w:val="auto"/>
              </w:rPr>
              <w:t>Healthcare</w:t>
            </w:r>
          </w:p>
        </w:tc>
        <w:tc>
          <w:tcPr>
            <w:tcW w:w="1120" w:type="dxa"/>
            <w:vAlign w:val="bottom"/>
          </w:tcPr>
          <w:p>
            <w:pPr>
              <w:jc w:val="right"/>
              <w:ind w:right="153"/>
              <w:spacing w:after="0"/>
              <w:rPr>
                <w:sz w:val="20"/>
                <w:szCs w:val="20"/>
                <w:color w:val="auto"/>
              </w:rPr>
            </w:pPr>
            <w:r>
              <w:rPr>
                <w:rFonts w:ascii="Calibri" w:cs="Calibri" w:eastAsia="Calibri" w:hAnsi="Calibri"/>
                <w:sz w:val="17"/>
                <w:szCs w:val="17"/>
                <w:color w:val="auto"/>
              </w:rPr>
              <w:t>97.5</w:t>
            </w:r>
          </w:p>
        </w:tc>
        <w:tc>
          <w:tcPr>
            <w:tcW w:w="880" w:type="dxa"/>
            <w:vAlign w:val="bottom"/>
            <w:tcBorders>
              <w:right w:val="single" w:sz="8" w:color="BABABA"/>
            </w:tcBorders>
          </w:tcPr>
          <w:p>
            <w:pPr>
              <w:jc w:val="right"/>
              <w:ind w:right="113"/>
              <w:spacing w:after="0"/>
              <w:rPr>
                <w:sz w:val="20"/>
                <w:szCs w:val="20"/>
                <w:color w:val="auto"/>
              </w:rPr>
            </w:pPr>
            <w:r>
              <w:rPr>
                <w:rFonts w:ascii="Calibri" w:cs="Calibri" w:eastAsia="Calibri" w:hAnsi="Calibri"/>
                <w:sz w:val="17"/>
                <w:szCs w:val="17"/>
                <w:color w:val="auto"/>
              </w:rPr>
              <w:t>8.5%</w:t>
            </w:r>
          </w:p>
        </w:tc>
        <w:tc>
          <w:tcPr>
            <w:tcW w:w="1180" w:type="dxa"/>
            <w:vAlign w:val="bottom"/>
          </w:tcPr>
          <w:p>
            <w:pPr>
              <w:jc w:val="right"/>
              <w:ind w:right="213"/>
              <w:spacing w:after="0"/>
              <w:rPr>
                <w:sz w:val="20"/>
                <w:szCs w:val="20"/>
                <w:color w:val="auto"/>
              </w:rPr>
            </w:pPr>
            <w:r>
              <w:rPr>
                <w:rFonts w:ascii="Calibri" w:cs="Calibri" w:eastAsia="Calibri" w:hAnsi="Calibri"/>
                <w:sz w:val="17"/>
                <w:szCs w:val="17"/>
                <w:color w:val="auto"/>
              </w:rPr>
              <w:t>101.2</w:t>
            </w:r>
          </w:p>
        </w:tc>
        <w:tc>
          <w:tcPr>
            <w:tcW w:w="960" w:type="dxa"/>
            <w:vAlign w:val="bottom"/>
            <w:tcBorders>
              <w:right w:val="single" w:sz="8" w:color="BABABA"/>
            </w:tcBorders>
          </w:tcPr>
          <w:p>
            <w:pPr>
              <w:jc w:val="right"/>
              <w:ind w:right="113"/>
              <w:spacing w:after="0"/>
              <w:rPr>
                <w:sz w:val="20"/>
                <w:szCs w:val="20"/>
                <w:color w:val="auto"/>
              </w:rPr>
            </w:pPr>
            <w:r>
              <w:rPr>
                <w:rFonts w:ascii="Calibri" w:cs="Calibri" w:eastAsia="Calibri" w:hAnsi="Calibri"/>
                <w:sz w:val="17"/>
                <w:szCs w:val="17"/>
                <w:color w:val="auto"/>
              </w:rPr>
              <w:t>4.0%</w:t>
            </w:r>
          </w:p>
        </w:tc>
        <w:tc>
          <w:tcPr>
            <w:tcW w:w="380" w:type="dxa"/>
            <w:vAlign w:val="bottom"/>
          </w:tcPr>
          <w:p>
            <w:pPr>
              <w:spacing w:after="0"/>
              <w:rPr>
                <w:sz w:val="20"/>
                <w:szCs w:val="20"/>
                <w:color w:val="auto"/>
              </w:rPr>
            </w:pPr>
          </w:p>
        </w:tc>
        <w:tc>
          <w:tcPr>
            <w:tcW w:w="1220" w:type="dxa"/>
            <w:vAlign w:val="bottom"/>
          </w:tcPr>
          <w:p>
            <w:pPr>
              <w:jc w:val="right"/>
              <w:ind w:right="493"/>
              <w:spacing w:after="0"/>
              <w:rPr>
                <w:sz w:val="20"/>
                <w:szCs w:val="20"/>
                <w:color w:val="auto"/>
              </w:rPr>
            </w:pPr>
            <w:r>
              <w:rPr>
                <w:rFonts w:ascii="Calibri" w:cs="Calibri" w:eastAsia="Calibri" w:hAnsi="Calibri"/>
                <w:sz w:val="17"/>
                <w:szCs w:val="17"/>
                <w:color w:val="auto"/>
              </w:rPr>
              <w:t>112.4</w:t>
            </w:r>
          </w:p>
        </w:tc>
        <w:tc>
          <w:tcPr>
            <w:tcW w:w="620" w:type="dxa"/>
            <w:vAlign w:val="bottom"/>
          </w:tcPr>
          <w:p>
            <w:pPr>
              <w:jc w:val="right"/>
              <w:ind w:right="93"/>
              <w:spacing w:after="0"/>
              <w:rPr>
                <w:sz w:val="20"/>
                <w:szCs w:val="20"/>
                <w:color w:val="auto"/>
              </w:rPr>
            </w:pPr>
            <w:r>
              <w:rPr>
                <w:rFonts w:ascii="Calibri" w:cs="Calibri" w:eastAsia="Calibri" w:hAnsi="Calibri"/>
                <w:sz w:val="17"/>
                <w:szCs w:val="17"/>
                <w:color w:val="auto"/>
                <w:w w:val="99"/>
              </w:rPr>
              <w:t>10.9%</w:t>
            </w:r>
          </w:p>
        </w:tc>
      </w:tr>
      <w:tr>
        <w:trPr>
          <w:trHeight w:val="260"/>
        </w:trPr>
        <w:tc>
          <w:tcPr>
            <w:tcW w:w="4260" w:type="dxa"/>
            <w:vAlign w:val="bottom"/>
            <w:tcBorders>
              <w:right w:val="single" w:sz="8" w:color="BABABA"/>
            </w:tcBorders>
          </w:tcPr>
          <w:p>
            <w:pPr>
              <w:ind w:left="40"/>
              <w:spacing w:after="0"/>
              <w:rPr>
                <w:sz w:val="20"/>
                <w:szCs w:val="20"/>
                <w:color w:val="auto"/>
              </w:rPr>
            </w:pPr>
            <w:r>
              <w:rPr>
                <w:rFonts w:ascii="Calibri" w:cs="Calibri" w:eastAsia="Calibri" w:hAnsi="Calibri"/>
                <w:sz w:val="17"/>
                <w:szCs w:val="17"/>
                <w:color w:val="auto"/>
              </w:rPr>
              <w:t>Emerging Business</w:t>
            </w:r>
          </w:p>
        </w:tc>
        <w:tc>
          <w:tcPr>
            <w:tcW w:w="1120" w:type="dxa"/>
            <w:vAlign w:val="bottom"/>
          </w:tcPr>
          <w:p>
            <w:pPr>
              <w:jc w:val="right"/>
              <w:ind w:right="153"/>
              <w:spacing w:after="0"/>
              <w:rPr>
                <w:sz w:val="20"/>
                <w:szCs w:val="20"/>
                <w:color w:val="auto"/>
              </w:rPr>
            </w:pPr>
            <w:r>
              <w:rPr>
                <w:rFonts w:ascii="Calibri" w:cs="Calibri" w:eastAsia="Calibri" w:hAnsi="Calibri"/>
                <w:sz w:val="17"/>
                <w:szCs w:val="17"/>
                <w:color w:val="auto"/>
              </w:rPr>
              <w:t>190.1</w:t>
            </w:r>
          </w:p>
        </w:tc>
        <w:tc>
          <w:tcPr>
            <w:tcW w:w="880" w:type="dxa"/>
            <w:vAlign w:val="bottom"/>
            <w:tcBorders>
              <w:right w:val="single" w:sz="8" w:color="BABABA"/>
            </w:tcBorders>
          </w:tcPr>
          <w:p>
            <w:pPr>
              <w:jc w:val="right"/>
              <w:ind w:right="113"/>
              <w:spacing w:after="0"/>
              <w:rPr>
                <w:sz w:val="20"/>
                <w:szCs w:val="20"/>
                <w:color w:val="auto"/>
              </w:rPr>
            </w:pPr>
            <w:r>
              <w:rPr>
                <w:rFonts w:ascii="Calibri" w:cs="Calibri" w:eastAsia="Calibri" w:hAnsi="Calibri"/>
                <w:sz w:val="17"/>
                <w:szCs w:val="17"/>
                <w:color w:val="auto"/>
              </w:rPr>
              <w:t>-3.4%</w:t>
            </w:r>
          </w:p>
        </w:tc>
        <w:tc>
          <w:tcPr>
            <w:tcW w:w="1180" w:type="dxa"/>
            <w:vAlign w:val="bottom"/>
          </w:tcPr>
          <w:p>
            <w:pPr>
              <w:jc w:val="right"/>
              <w:ind w:right="213"/>
              <w:spacing w:after="0"/>
              <w:rPr>
                <w:sz w:val="20"/>
                <w:szCs w:val="20"/>
                <w:color w:val="auto"/>
              </w:rPr>
            </w:pPr>
            <w:r>
              <w:rPr>
                <w:rFonts w:ascii="Calibri" w:cs="Calibri" w:eastAsia="Calibri" w:hAnsi="Calibri"/>
                <w:sz w:val="17"/>
                <w:szCs w:val="17"/>
                <w:color w:val="auto"/>
              </w:rPr>
              <w:t>152.7</w:t>
            </w:r>
          </w:p>
        </w:tc>
        <w:tc>
          <w:tcPr>
            <w:tcW w:w="960" w:type="dxa"/>
            <w:vAlign w:val="bottom"/>
            <w:tcBorders>
              <w:right w:val="single" w:sz="8" w:color="BABABA"/>
            </w:tcBorders>
          </w:tcPr>
          <w:p>
            <w:pPr>
              <w:jc w:val="right"/>
              <w:ind w:right="113"/>
              <w:spacing w:after="0"/>
              <w:rPr>
                <w:sz w:val="20"/>
                <w:szCs w:val="20"/>
                <w:color w:val="auto"/>
              </w:rPr>
            </w:pPr>
            <w:r>
              <w:rPr>
                <w:rFonts w:ascii="Calibri" w:cs="Calibri" w:eastAsia="Calibri" w:hAnsi="Calibri"/>
                <w:sz w:val="17"/>
                <w:szCs w:val="17"/>
                <w:color w:val="auto"/>
              </w:rPr>
              <w:t>-19.7%</w:t>
            </w:r>
          </w:p>
        </w:tc>
        <w:tc>
          <w:tcPr>
            <w:tcW w:w="380" w:type="dxa"/>
            <w:vAlign w:val="bottom"/>
          </w:tcPr>
          <w:p>
            <w:pPr>
              <w:spacing w:after="0"/>
              <w:rPr>
                <w:sz w:val="22"/>
                <w:szCs w:val="22"/>
                <w:color w:val="auto"/>
              </w:rPr>
            </w:pPr>
          </w:p>
        </w:tc>
        <w:tc>
          <w:tcPr>
            <w:tcW w:w="1220" w:type="dxa"/>
            <w:vAlign w:val="bottom"/>
          </w:tcPr>
          <w:p>
            <w:pPr>
              <w:jc w:val="right"/>
              <w:ind w:right="493"/>
              <w:spacing w:after="0"/>
              <w:rPr>
                <w:sz w:val="20"/>
                <w:szCs w:val="20"/>
                <w:color w:val="auto"/>
              </w:rPr>
            </w:pPr>
            <w:r>
              <w:rPr>
                <w:rFonts w:ascii="Calibri" w:cs="Calibri" w:eastAsia="Calibri" w:hAnsi="Calibri"/>
                <w:sz w:val="17"/>
                <w:szCs w:val="17"/>
                <w:color w:val="auto"/>
              </w:rPr>
              <w:t>167.2</w:t>
            </w:r>
          </w:p>
        </w:tc>
        <w:tc>
          <w:tcPr>
            <w:tcW w:w="620" w:type="dxa"/>
            <w:vAlign w:val="bottom"/>
          </w:tcPr>
          <w:p>
            <w:pPr>
              <w:jc w:val="right"/>
              <w:ind w:right="93"/>
              <w:spacing w:after="0"/>
              <w:rPr>
                <w:sz w:val="20"/>
                <w:szCs w:val="20"/>
                <w:color w:val="auto"/>
              </w:rPr>
            </w:pPr>
            <w:r>
              <w:rPr>
                <w:rFonts w:ascii="Calibri" w:cs="Calibri" w:eastAsia="Calibri" w:hAnsi="Calibri"/>
                <w:sz w:val="17"/>
                <w:szCs w:val="17"/>
                <w:color w:val="auto"/>
              </w:rPr>
              <w:t>9.5%</w:t>
            </w:r>
          </w:p>
        </w:tc>
      </w:tr>
      <w:tr>
        <w:trPr>
          <w:trHeight w:val="260"/>
        </w:trPr>
        <w:tc>
          <w:tcPr>
            <w:tcW w:w="4260" w:type="dxa"/>
            <w:vAlign w:val="bottom"/>
            <w:tcBorders>
              <w:right w:val="single" w:sz="8" w:color="BABABA"/>
            </w:tcBorders>
          </w:tcPr>
          <w:p>
            <w:pPr>
              <w:ind w:left="40"/>
              <w:spacing w:after="0"/>
              <w:rPr>
                <w:sz w:val="20"/>
                <w:szCs w:val="20"/>
                <w:color w:val="auto"/>
              </w:rPr>
            </w:pPr>
            <w:r>
              <w:rPr>
                <w:rFonts w:ascii="Calibri" w:cs="Calibri" w:eastAsia="Calibri" w:hAnsi="Calibri"/>
                <w:sz w:val="17"/>
                <w:szCs w:val="17"/>
                <w:color w:val="auto"/>
              </w:rPr>
              <w:t>Analytcs</w:t>
            </w:r>
          </w:p>
        </w:tc>
        <w:tc>
          <w:tcPr>
            <w:tcW w:w="1120" w:type="dxa"/>
            <w:vAlign w:val="bottom"/>
          </w:tcPr>
          <w:p>
            <w:pPr>
              <w:jc w:val="right"/>
              <w:ind w:right="153"/>
              <w:spacing w:after="0"/>
              <w:rPr>
                <w:sz w:val="20"/>
                <w:szCs w:val="20"/>
                <w:color w:val="auto"/>
              </w:rPr>
            </w:pPr>
            <w:r>
              <w:rPr>
                <w:rFonts w:ascii="Calibri" w:cs="Calibri" w:eastAsia="Calibri" w:hAnsi="Calibri"/>
                <w:sz w:val="17"/>
                <w:szCs w:val="17"/>
                <w:color w:val="auto"/>
              </w:rPr>
              <w:t>357.3</w:t>
            </w:r>
          </w:p>
        </w:tc>
        <w:tc>
          <w:tcPr>
            <w:tcW w:w="880" w:type="dxa"/>
            <w:vAlign w:val="bottom"/>
            <w:tcBorders>
              <w:right w:val="single" w:sz="8" w:color="BABABA"/>
            </w:tcBorders>
          </w:tcPr>
          <w:p>
            <w:pPr>
              <w:jc w:val="right"/>
              <w:ind w:right="113"/>
              <w:spacing w:after="0"/>
              <w:rPr>
                <w:sz w:val="20"/>
                <w:szCs w:val="20"/>
                <w:color w:val="auto"/>
              </w:rPr>
            </w:pPr>
            <w:r>
              <w:rPr>
                <w:rFonts w:ascii="Calibri" w:cs="Calibri" w:eastAsia="Calibri" w:hAnsi="Calibri"/>
                <w:sz w:val="17"/>
                <w:szCs w:val="17"/>
                <w:color w:val="auto"/>
              </w:rPr>
              <w:t>25.3%</w:t>
            </w:r>
          </w:p>
        </w:tc>
        <w:tc>
          <w:tcPr>
            <w:tcW w:w="1180" w:type="dxa"/>
            <w:vAlign w:val="bottom"/>
          </w:tcPr>
          <w:p>
            <w:pPr>
              <w:jc w:val="right"/>
              <w:ind w:right="213"/>
              <w:spacing w:after="0"/>
              <w:rPr>
                <w:sz w:val="20"/>
                <w:szCs w:val="20"/>
                <w:color w:val="auto"/>
              </w:rPr>
            </w:pPr>
            <w:r>
              <w:rPr>
                <w:rFonts w:ascii="Calibri" w:cs="Calibri" w:eastAsia="Calibri" w:hAnsi="Calibri"/>
                <w:sz w:val="17"/>
                <w:szCs w:val="17"/>
                <w:color w:val="auto"/>
              </w:rPr>
              <w:t>362.7</w:t>
            </w:r>
          </w:p>
        </w:tc>
        <w:tc>
          <w:tcPr>
            <w:tcW w:w="960" w:type="dxa"/>
            <w:vAlign w:val="bottom"/>
            <w:tcBorders>
              <w:right w:val="single" w:sz="8" w:color="BABABA"/>
            </w:tcBorders>
          </w:tcPr>
          <w:p>
            <w:pPr>
              <w:jc w:val="right"/>
              <w:ind w:right="113"/>
              <w:spacing w:after="0"/>
              <w:rPr>
                <w:sz w:val="20"/>
                <w:szCs w:val="20"/>
                <w:color w:val="auto"/>
              </w:rPr>
            </w:pPr>
            <w:r>
              <w:rPr>
                <w:rFonts w:ascii="Calibri" w:cs="Calibri" w:eastAsia="Calibri" w:hAnsi="Calibri"/>
                <w:sz w:val="17"/>
                <w:szCs w:val="17"/>
                <w:color w:val="auto"/>
              </w:rPr>
              <w:t>1.5%</w:t>
            </w:r>
          </w:p>
        </w:tc>
        <w:tc>
          <w:tcPr>
            <w:tcW w:w="380" w:type="dxa"/>
            <w:vAlign w:val="bottom"/>
          </w:tcPr>
          <w:p>
            <w:pPr>
              <w:spacing w:after="0"/>
              <w:rPr>
                <w:sz w:val="22"/>
                <w:szCs w:val="22"/>
                <w:color w:val="auto"/>
              </w:rPr>
            </w:pPr>
          </w:p>
        </w:tc>
        <w:tc>
          <w:tcPr>
            <w:tcW w:w="1220" w:type="dxa"/>
            <w:vAlign w:val="bottom"/>
          </w:tcPr>
          <w:p>
            <w:pPr>
              <w:jc w:val="right"/>
              <w:ind w:right="493"/>
              <w:spacing w:after="0"/>
              <w:rPr>
                <w:sz w:val="20"/>
                <w:szCs w:val="20"/>
                <w:color w:val="auto"/>
              </w:rPr>
            </w:pPr>
            <w:r>
              <w:rPr>
                <w:rFonts w:ascii="Calibri" w:cs="Calibri" w:eastAsia="Calibri" w:hAnsi="Calibri"/>
                <w:sz w:val="17"/>
                <w:szCs w:val="17"/>
                <w:color w:val="auto"/>
              </w:rPr>
              <w:t>460.7</w:t>
            </w:r>
          </w:p>
        </w:tc>
        <w:tc>
          <w:tcPr>
            <w:tcW w:w="620" w:type="dxa"/>
            <w:vAlign w:val="bottom"/>
          </w:tcPr>
          <w:p>
            <w:pPr>
              <w:jc w:val="right"/>
              <w:ind w:right="93"/>
              <w:spacing w:after="0"/>
              <w:rPr>
                <w:sz w:val="20"/>
                <w:szCs w:val="20"/>
                <w:color w:val="auto"/>
              </w:rPr>
            </w:pPr>
            <w:r>
              <w:rPr>
                <w:rFonts w:ascii="Calibri" w:cs="Calibri" w:eastAsia="Calibri" w:hAnsi="Calibri"/>
                <w:sz w:val="17"/>
                <w:szCs w:val="17"/>
                <w:color w:val="auto"/>
                <w:w w:val="99"/>
              </w:rPr>
              <w:t>27.0%</w:t>
            </w:r>
          </w:p>
        </w:tc>
      </w:tr>
      <w:tr>
        <w:trPr>
          <w:trHeight w:val="75"/>
        </w:trPr>
        <w:tc>
          <w:tcPr>
            <w:tcW w:w="4260" w:type="dxa"/>
            <w:vAlign w:val="bottom"/>
            <w:tcBorders>
              <w:bottom w:val="single" w:sz="8" w:color="BABABA"/>
              <w:right w:val="single" w:sz="8" w:color="BABABA"/>
            </w:tcBorders>
          </w:tcPr>
          <w:p>
            <w:pPr>
              <w:spacing w:after="0"/>
              <w:rPr>
                <w:sz w:val="6"/>
                <w:szCs w:val="6"/>
                <w:color w:val="auto"/>
              </w:rPr>
            </w:pPr>
          </w:p>
        </w:tc>
        <w:tc>
          <w:tcPr>
            <w:tcW w:w="1120" w:type="dxa"/>
            <w:vAlign w:val="bottom"/>
            <w:tcBorders>
              <w:bottom w:val="single" w:sz="8" w:color="BABABA"/>
            </w:tcBorders>
          </w:tcPr>
          <w:p>
            <w:pPr>
              <w:spacing w:after="0"/>
              <w:rPr>
                <w:sz w:val="6"/>
                <w:szCs w:val="6"/>
                <w:color w:val="auto"/>
              </w:rPr>
            </w:pPr>
          </w:p>
        </w:tc>
        <w:tc>
          <w:tcPr>
            <w:tcW w:w="880" w:type="dxa"/>
            <w:vAlign w:val="bottom"/>
            <w:tcBorders>
              <w:bottom w:val="single" w:sz="8" w:color="BABABA"/>
              <w:right w:val="single" w:sz="8" w:color="BABABA"/>
            </w:tcBorders>
          </w:tcPr>
          <w:p>
            <w:pPr>
              <w:spacing w:after="0"/>
              <w:rPr>
                <w:sz w:val="6"/>
                <w:szCs w:val="6"/>
                <w:color w:val="auto"/>
              </w:rPr>
            </w:pPr>
          </w:p>
        </w:tc>
        <w:tc>
          <w:tcPr>
            <w:tcW w:w="1180" w:type="dxa"/>
            <w:vAlign w:val="bottom"/>
            <w:tcBorders>
              <w:bottom w:val="single" w:sz="8" w:color="BABABA"/>
            </w:tcBorders>
          </w:tcPr>
          <w:p>
            <w:pPr>
              <w:spacing w:after="0"/>
              <w:rPr>
                <w:sz w:val="6"/>
                <w:szCs w:val="6"/>
                <w:color w:val="auto"/>
              </w:rPr>
            </w:pPr>
          </w:p>
        </w:tc>
        <w:tc>
          <w:tcPr>
            <w:tcW w:w="960" w:type="dxa"/>
            <w:vAlign w:val="bottom"/>
            <w:tcBorders>
              <w:bottom w:val="single" w:sz="8" w:color="BABABA"/>
              <w:right w:val="single" w:sz="8" w:color="BABABA"/>
            </w:tcBorders>
          </w:tcPr>
          <w:p>
            <w:pPr>
              <w:spacing w:after="0"/>
              <w:rPr>
                <w:sz w:val="6"/>
                <w:szCs w:val="6"/>
                <w:color w:val="auto"/>
              </w:rPr>
            </w:pPr>
          </w:p>
        </w:tc>
        <w:tc>
          <w:tcPr>
            <w:tcW w:w="380" w:type="dxa"/>
            <w:vAlign w:val="bottom"/>
            <w:tcBorders>
              <w:bottom w:val="single" w:sz="8" w:color="BABABA"/>
            </w:tcBorders>
          </w:tcPr>
          <w:p>
            <w:pPr>
              <w:spacing w:after="0"/>
              <w:rPr>
                <w:sz w:val="6"/>
                <w:szCs w:val="6"/>
                <w:color w:val="auto"/>
              </w:rPr>
            </w:pPr>
          </w:p>
        </w:tc>
        <w:tc>
          <w:tcPr>
            <w:tcW w:w="1220" w:type="dxa"/>
            <w:vAlign w:val="bottom"/>
            <w:tcBorders>
              <w:bottom w:val="single" w:sz="8" w:color="BABABA"/>
            </w:tcBorders>
          </w:tcPr>
          <w:p>
            <w:pPr>
              <w:spacing w:after="0"/>
              <w:rPr>
                <w:sz w:val="6"/>
                <w:szCs w:val="6"/>
                <w:color w:val="auto"/>
              </w:rPr>
            </w:pPr>
          </w:p>
        </w:tc>
        <w:tc>
          <w:tcPr>
            <w:tcW w:w="620" w:type="dxa"/>
            <w:vAlign w:val="bottom"/>
            <w:tcBorders>
              <w:bottom w:val="single" w:sz="8" w:color="BABABA"/>
            </w:tcBorders>
          </w:tcPr>
          <w:p>
            <w:pPr>
              <w:spacing w:after="0"/>
              <w:rPr>
                <w:sz w:val="6"/>
                <w:szCs w:val="6"/>
                <w:color w:val="auto"/>
              </w:rPr>
            </w:pPr>
          </w:p>
        </w:tc>
      </w:tr>
      <w:tr>
        <w:trPr>
          <w:trHeight w:val="199"/>
        </w:trPr>
        <w:tc>
          <w:tcPr>
            <w:tcW w:w="4260" w:type="dxa"/>
            <w:vAlign w:val="bottom"/>
          </w:tcPr>
          <w:p>
            <w:pPr>
              <w:ind w:left="40"/>
              <w:spacing w:after="0" w:line="199" w:lineRule="exact"/>
              <w:rPr>
                <w:sz w:val="20"/>
                <w:szCs w:val="20"/>
                <w:color w:val="auto"/>
              </w:rPr>
            </w:pPr>
            <w:r>
              <w:rPr>
                <w:rFonts w:ascii="Calibri" w:cs="Calibri" w:eastAsia="Calibri" w:hAnsi="Calibri"/>
                <w:sz w:val="17"/>
                <w:szCs w:val="17"/>
                <w:b w:val="1"/>
                <w:bCs w:val="1"/>
                <w:color w:val="auto"/>
              </w:rPr>
              <w:t>Consolidated</w:t>
            </w:r>
          </w:p>
        </w:tc>
        <w:tc>
          <w:tcPr>
            <w:tcW w:w="1120" w:type="dxa"/>
            <w:vAlign w:val="bottom"/>
          </w:tcPr>
          <w:p>
            <w:pPr>
              <w:jc w:val="right"/>
              <w:ind w:right="153"/>
              <w:spacing w:after="0" w:line="199" w:lineRule="exact"/>
              <w:rPr>
                <w:sz w:val="20"/>
                <w:szCs w:val="20"/>
                <w:color w:val="auto"/>
              </w:rPr>
            </w:pPr>
            <w:r>
              <w:rPr>
                <w:rFonts w:ascii="Calibri" w:cs="Calibri" w:eastAsia="Calibri" w:hAnsi="Calibri"/>
                <w:sz w:val="17"/>
                <w:szCs w:val="17"/>
                <w:b w:val="1"/>
                <w:bCs w:val="1"/>
                <w:color w:val="auto"/>
              </w:rPr>
              <w:t>$991.3</w:t>
            </w:r>
          </w:p>
        </w:tc>
        <w:tc>
          <w:tcPr>
            <w:tcW w:w="880" w:type="dxa"/>
            <w:vAlign w:val="bottom"/>
          </w:tcPr>
          <w:p>
            <w:pPr>
              <w:jc w:val="right"/>
              <w:ind w:right="113"/>
              <w:spacing w:after="0" w:line="199" w:lineRule="exact"/>
              <w:rPr>
                <w:sz w:val="20"/>
                <w:szCs w:val="20"/>
                <w:color w:val="auto"/>
              </w:rPr>
            </w:pPr>
            <w:r>
              <w:rPr>
                <w:rFonts w:ascii="Calibri" w:cs="Calibri" w:eastAsia="Calibri" w:hAnsi="Calibri"/>
                <w:sz w:val="17"/>
                <w:szCs w:val="17"/>
                <w:b w:val="1"/>
                <w:bCs w:val="1"/>
                <w:color w:val="auto"/>
              </w:rPr>
              <w:t>12.3%</w:t>
            </w:r>
          </w:p>
        </w:tc>
        <w:tc>
          <w:tcPr>
            <w:tcW w:w="1180" w:type="dxa"/>
            <w:vAlign w:val="bottom"/>
          </w:tcPr>
          <w:p>
            <w:pPr>
              <w:jc w:val="right"/>
              <w:ind w:right="213"/>
              <w:spacing w:after="0" w:line="199" w:lineRule="exact"/>
              <w:rPr>
                <w:sz w:val="20"/>
                <w:szCs w:val="20"/>
                <w:color w:val="auto"/>
              </w:rPr>
            </w:pPr>
            <w:r>
              <w:rPr>
                <w:rFonts w:ascii="Calibri" w:cs="Calibri" w:eastAsia="Calibri" w:hAnsi="Calibri"/>
                <w:sz w:val="17"/>
                <w:szCs w:val="17"/>
                <w:b w:val="1"/>
                <w:bCs w:val="1"/>
                <w:color w:val="auto"/>
              </w:rPr>
              <w:t>$958.4</w:t>
            </w:r>
          </w:p>
        </w:tc>
        <w:tc>
          <w:tcPr>
            <w:tcW w:w="960" w:type="dxa"/>
            <w:vAlign w:val="bottom"/>
          </w:tcPr>
          <w:p>
            <w:pPr>
              <w:jc w:val="right"/>
              <w:ind w:right="113"/>
              <w:spacing w:after="0" w:line="199" w:lineRule="exact"/>
              <w:rPr>
                <w:sz w:val="20"/>
                <w:szCs w:val="20"/>
                <w:color w:val="auto"/>
              </w:rPr>
            </w:pPr>
            <w:r>
              <w:rPr>
                <w:rFonts w:ascii="Calibri" w:cs="Calibri" w:eastAsia="Calibri" w:hAnsi="Calibri"/>
                <w:sz w:val="17"/>
                <w:szCs w:val="17"/>
                <w:b w:val="1"/>
                <w:bCs w:val="1"/>
                <w:color w:val="auto"/>
              </w:rPr>
              <w:t>-3.3%</w:t>
            </w:r>
          </w:p>
        </w:tc>
        <w:tc>
          <w:tcPr>
            <w:tcW w:w="380" w:type="dxa"/>
            <w:vAlign w:val="bottom"/>
          </w:tcPr>
          <w:p>
            <w:pPr>
              <w:spacing w:after="0"/>
              <w:rPr>
                <w:sz w:val="17"/>
                <w:szCs w:val="17"/>
                <w:color w:val="auto"/>
              </w:rPr>
            </w:pPr>
          </w:p>
        </w:tc>
        <w:tc>
          <w:tcPr>
            <w:tcW w:w="1220" w:type="dxa"/>
            <w:vAlign w:val="bottom"/>
          </w:tcPr>
          <w:p>
            <w:pPr>
              <w:jc w:val="right"/>
              <w:ind w:right="493"/>
              <w:spacing w:after="0" w:line="199" w:lineRule="exact"/>
              <w:rPr>
                <w:sz w:val="20"/>
                <w:szCs w:val="20"/>
                <w:color w:val="auto"/>
              </w:rPr>
            </w:pPr>
            <w:r>
              <w:rPr>
                <w:rFonts w:ascii="Calibri" w:cs="Calibri" w:eastAsia="Calibri" w:hAnsi="Calibri"/>
                <w:sz w:val="17"/>
                <w:szCs w:val="17"/>
                <w:b w:val="1"/>
                <w:bCs w:val="1"/>
                <w:color w:val="auto"/>
              </w:rPr>
              <w:t>$1,112.3</w:t>
            </w:r>
          </w:p>
        </w:tc>
        <w:tc>
          <w:tcPr>
            <w:tcW w:w="620" w:type="dxa"/>
            <w:vAlign w:val="bottom"/>
          </w:tcPr>
          <w:p>
            <w:pPr>
              <w:jc w:val="right"/>
              <w:ind w:right="93"/>
              <w:spacing w:after="0" w:line="199" w:lineRule="exact"/>
              <w:rPr>
                <w:sz w:val="20"/>
                <w:szCs w:val="20"/>
                <w:color w:val="auto"/>
              </w:rPr>
            </w:pPr>
            <w:r>
              <w:rPr>
                <w:rFonts w:ascii="Calibri" w:cs="Calibri" w:eastAsia="Calibri" w:hAnsi="Calibri"/>
                <w:sz w:val="17"/>
                <w:szCs w:val="17"/>
                <w:b w:val="1"/>
                <w:bCs w:val="1"/>
                <w:color w:val="auto"/>
                <w:w w:val="98"/>
              </w:rPr>
              <w:t>17.1%</w:t>
            </w:r>
          </w:p>
        </w:tc>
      </w:tr>
    </w:tbl>
    <w:p>
      <w:pPr>
        <w:spacing w:after="0" w:line="342"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Income Statement highlights (fscal year 2021)</w:t>
      </w:r>
    </w:p>
    <w:p>
      <w:pPr>
        <w:spacing w:after="0" w:line="127" w:lineRule="exact"/>
        <w:rPr>
          <w:sz w:val="20"/>
          <w:szCs w:val="20"/>
          <w:color w:val="auto"/>
        </w:rPr>
      </w:pPr>
    </w:p>
    <w:p>
      <w:pPr>
        <w:ind w:left="1140" w:right="100" w:hanging="407"/>
        <w:spacing w:after="0" w:line="239" w:lineRule="auto"/>
        <w:tabs>
          <w:tab w:leader="none" w:pos="1140"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Our annual revenues increased 17.1% from $958.4 million in fscal year 2020 to $1.12 billion in fscal year 2021. Analytcs revenue increased 27.0% and digital operatons and solutons revenue increased 11.1%. Analytcs revenue represents 41% of total revenue up from 38% in 2020. Revenue growth was broad-based across our businesses with our Top 10 clients’ revenue growing by 22.0%.</w:t>
      </w:r>
    </w:p>
    <w:p>
      <w:pPr>
        <w:spacing w:after="0" w:line="4" w:lineRule="exact"/>
        <w:rPr>
          <w:rFonts w:ascii="Calibri" w:cs="Calibri" w:eastAsia="Calibri" w:hAnsi="Calibri"/>
          <w:sz w:val="17"/>
          <w:szCs w:val="17"/>
          <w:color w:val="auto"/>
        </w:rPr>
      </w:pPr>
    </w:p>
    <w:p>
      <w:pPr>
        <w:ind w:left="1140" w:right="20" w:hanging="407"/>
        <w:spacing w:after="0" w:line="239" w:lineRule="auto"/>
        <w:tabs>
          <w:tab w:leader="none" w:pos="1140"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Proftability improved with our operatng income margin increasing by 240 basis points from 11.5% in 2020 to 13.9% in 2021. We managed our expenses efectvely with increased utlizaton of our people and facilites partally ofset by higher sales and marketng expenses.</w:t>
      </w:r>
    </w:p>
    <w:p>
      <w:pPr>
        <w:spacing w:after="0" w:line="1" w:lineRule="exact"/>
        <w:rPr>
          <w:rFonts w:ascii="Calibri" w:cs="Calibri" w:eastAsia="Calibri" w:hAnsi="Calibri"/>
          <w:sz w:val="17"/>
          <w:szCs w:val="17"/>
          <w:color w:val="auto"/>
        </w:rPr>
      </w:pPr>
    </w:p>
    <w:p>
      <w:pPr>
        <w:ind w:left="1140" w:hanging="407"/>
        <w:spacing w:after="0"/>
        <w:tabs>
          <w:tab w:leader="none" w:pos="1140"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We improved our net income atributable to stockholders by 28.3% to $114.8 million.</w:t>
      </w:r>
    </w:p>
    <w:p>
      <w:pPr>
        <w:ind w:left="1140" w:hanging="407"/>
        <w:spacing w:after="0"/>
        <w:tabs>
          <w:tab w:leader="none" w:pos="1140"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Diluted EPS increased from $2.59 to $3.35, an increase of 29.3%.</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Balance Sheet highlights (as of December 31, 2021)</w:t>
      </w:r>
    </w:p>
    <w:p>
      <w:pPr>
        <w:spacing w:after="0" w:line="127" w:lineRule="exact"/>
        <w:rPr>
          <w:sz w:val="20"/>
          <w:szCs w:val="20"/>
          <w:color w:val="auto"/>
        </w:rPr>
      </w:pPr>
    </w:p>
    <w:p>
      <w:pPr>
        <w:ind w:left="1140" w:right="480" w:hanging="407"/>
        <w:spacing w:after="0" w:line="239" w:lineRule="auto"/>
        <w:tabs>
          <w:tab w:leader="none" w:pos="1140"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Our balance sheet remains strong. Our cash and short-term investments at December 31, 2021 was $314 million and our debt was $260 million, for a net cash positon of $54 million. We generated cash fow from operatons in 2021 of $184 million.</w:t>
      </w:r>
    </w:p>
    <w:p>
      <w:pPr>
        <w:spacing w:after="0" w:line="2" w:lineRule="exact"/>
        <w:rPr>
          <w:rFonts w:ascii="Calibri" w:cs="Calibri" w:eastAsia="Calibri" w:hAnsi="Calibri"/>
          <w:sz w:val="17"/>
          <w:szCs w:val="17"/>
          <w:color w:val="auto"/>
        </w:rPr>
      </w:pPr>
    </w:p>
    <w:p>
      <w:pPr>
        <w:ind w:left="1140" w:right="120" w:hanging="407"/>
        <w:spacing w:after="0" w:line="239" w:lineRule="auto"/>
        <w:tabs>
          <w:tab w:leader="none" w:pos="1140"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During the year, we setled our Senior Convertble Notes due 2024 and returned capital to stockholders by repurchasing $115.6 million of our shares in 2021, up from $77.8 million in 2020.</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Other highlights for 2021</w:t>
      </w:r>
    </w:p>
    <w:p>
      <w:pPr>
        <w:spacing w:after="0" w:line="127" w:lineRule="exact"/>
        <w:rPr>
          <w:sz w:val="20"/>
          <w:szCs w:val="20"/>
          <w:color w:val="auto"/>
        </w:rPr>
      </w:pPr>
    </w:p>
    <w:p>
      <w:pPr>
        <w:ind w:left="1140" w:right="220" w:hanging="407"/>
        <w:spacing w:after="0" w:line="239" w:lineRule="auto"/>
        <w:tabs>
          <w:tab w:leader="none" w:pos="114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We purchased Clairvoyant, a global data, AI and cloud services frm for $80 million and contnued to invest in our business for future growth with capital expenditures of $37 million.</w:t>
      </w:r>
    </w:p>
    <w:p>
      <w:pPr>
        <w:spacing w:after="0" w:line="1" w:lineRule="exact"/>
        <w:rPr>
          <w:rFonts w:ascii="Calibri" w:cs="Calibri" w:eastAsia="Calibri" w:hAnsi="Calibri"/>
          <w:sz w:val="17"/>
          <w:szCs w:val="17"/>
          <w:color w:val="auto"/>
        </w:rPr>
      </w:pPr>
    </w:p>
    <w:p>
      <w:pPr>
        <w:ind w:left="1140" w:hanging="407"/>
        <w:spacing w:after="0"/>
        <w:tabs>
          <w:tab w:leader="none" w:pos="1140" w:val="left"/>
        </w:tabs>
        <w:numPr>
          <w:ilvl w:val="0"/>
          <w:numId w:val="9"/>
        </w:numPr>
        <w:rPr>
          <w:rFonts w:ascii="Calibri" w:cs="Calibri" w:eastAsia="Calibri" w:hAnsi="Calibri"/>
          <w:sz w:val="17"/>
          <w:szCs w:val="17"/>
          <w:color w:val="auto"/>
        </w:rPr>
      </w:pPr>
      <w:r>
        <w:rPr>
          <w:rFonts w:ascii="Calibri" w:cs="Calibri" w:eastAsia="Calibri" w:hAnsi="Calibri"/>
          <w:sz w:val="17"/>
          <w:szCs w:val="17"/>
          <w:color w:val="auto"/>
        </w:rPr>
        <w:t>We added approximately 5,000 employees to our global work force, mainly in our delivery centers.</w:t>
      </w:r>
    </w:p>
    <w:p>
      <w:pPr>
        <w:spacing w:after="0" w:line="127" w:lineRule="exact"/>
        <w:rPr>
          <w:sz w:val="20"/>
          <w:szCs w:val="20"/>
          <w:color w:val="auto"/>
        </w:rPr>
      </w:pPr>
    </w:p>
    <w:p>
      <w:pPr>
        <w:ind w:left="960"/>
        <w:spacing w:after="0"/>
        <w:tabs>
          <w:tab w:leader="none" w:pos="1280" w:val="left"/>
          <w:tab w:leader="none" w:pos="1640" w:val="left"/>
        </w:tabs>
        <w:rPr>
          <w:sz w:val="20"/>
          <w:szCs w:val="20"/>
          <w:color w:val="auto"/>
        </w:rPr>
      </w:pPr>
      <w:r>
        <w:rPr>
          <w:rFonts w:ascii="Calibri" w:cs="Calibri" w:eastAsia="Calibri" w:hAnsi="Calibri"/>
          <w:sz w:val="17"/>
          <w:szCs w:val="17"/>
          <w:b w:val="1"/>
          <w:bCs w:val="1"/>
          <w:color w:val="auto"/>
        </w:rPr>
        <w:t>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2022 Proxy Statement summary</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Total stockholder return</w:t>
      </w:r>
    </w:p>
    <w:p>
      <w:pPr>
        <w:spacing w:after="0" w:line="115"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The graphs below compare our 1-year, 3-year and 5-year cumulatve total stockholder return (“TSR”) as of December 31, 2021 with the median TSR for companies comprising Nasdaq, S&amp;P 600 and our peer group.</w:t>
      </w:r>
    </w:p>
    <w:p>
      <w:pPr>
        <w:spacing w:after="0" w:line="236" w:lineRule="exact"/>
        <w:rPr>
          <w:sz w:val="20"/>
          <w:szCs w:val="20"/>
          <w:color w:val="auto"/>
        </w:rPr>
      </w:pPr>
    </w:p>
    <w:p>
      <w:pPr>
        <w:ind w:left="1800"/>
        <w:spacing w:after="0"/>
        <w:tabs>
          <w:tab w:leader="none" w:pos="5460" w:val="left"/>
          <w:tab w:leader="none" w:pos="8900" w:val="left"/>
        </w:tabs>
        <w:rPr>
          <w:sz w:val="20"/>
          <w:szCs w:val="20"/>
          <w:color w:val="auto"/>
        </w:rPr>
      </w:pPr>
      <w:r>
        <w:rPr>
          <w:rFonts w:ascii="Calibri" w:cs="Calibri" w:eastAsia="Calibri" w:hAnsi="Calibri"/>
          <w:sz w:val="17"/>
          <w:szCs w:val="17"/>
          <w:b w:val="1"/>
          <w:bCs w:val="1"/>
          <w:color w:val="auto"/>
        </w:rPr>
        <w:t>1-Year TSR</w:t>
      </w:r>
      <w:r>
        <w:rPr>
          <w:sz w:val="20"/>
          <w:szCs w:val="20"/>
          <w:color w:val="auto"/>
        </w:rPr>
        <w:tab/>
      </w:r>
      <w:r>
        <w:rPr>
          <w:rFonts w:ascii="Calibri" w:cs="Calibri" w:eastAsia="Calibri" w:hAnsi="Calibri"/>
          <w:sz w:val="17"/>
          <w:szCs w:val="17"/>
          <w:b w:val="1"/>
          <w:bCs w:val="1"/>
          <w:color w:val="auto"/>
        </w:rPr>
        <w:t>3-Year TSR</w:t>
      </w:r>
      <w:r>
        <w:rPr>
          <w:sz w:val="20"/>
          <w:szCs w:val="20"/>
          <w:color w:val="auto"/>
        </w:rPr>
        <w:tab/>
      </w:r>
      <w:r>
        <w:rPr>
          <w:rFonts w:ascii="Calibri" w:cs="Calibri" w:eastAsia="Calibri" w:hAnsi="Calibri"/>
          <w:sz w:val="16"/>
          <w:szCs w:val="16"/>
          <w:b w:val="1"/>
          <w:bCs w:val="1"/>
          <w:color w:val="auto"/>
        </w:rPr>
        <w:t>5-Year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163195</wp:posOffset>
            </wp:positionV>
            <wp:extent cx="6055360" cy="1238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55360" cy="123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Our purpose and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1332865</wp:posOffset>
            </wp:positionH>
            <wp:positionV relativeFrom="paragraph">
              <wp:posOffset>474345</wp:posOffset>
            </wp:positionV>
            <wp:extent cx="4477385" cy="34861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77385" cy="348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180"/>
        <w:spacing w:after="0"/>
        <w:tabs>
          <w:tab w:leader="none" w:pos="9780" w:val="left"/>
          <w:tab w:leader="none" w:pos="10160" w:val="left"/>
        </w:tabs>
        <w:rPr>
          <w:sz w:val="20"/>
          <w:szCs w:val="20"/>
          <w:color w:val="auto"/>
        </w:rPr>
      </w:pPr>
      <w:r>
        <w:rPr>
          <w:rFonts w:ascii="Calibri" w:cs="Calibri" w:eastAsia="Calibri" w:hAnsi="Calibri"/>
          <w:sz w:val="13"/>
          <w:szCs w:val="13"/>
          <w:color w:val="auto"/>
        </w:rPr>
        <w:t>EXL 2022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9</w:t>
      </w:r>
    </w:p>
    <w:p>
      <w:pPr>
        <w:sectPr>
          <w:pgSz w:w="11900" w:h="16838" w:orient="portrait"/>
          <w:cols w:equalWidth="0" w:num="1">
            <w:col w:w="10940"/>
          </w:cols>
          <w:pgMar w:left="320" w:top="44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2022 Proxy Statement summary</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-169545</wp:posOffset>
            </wp:positionV>
            <wp:extent cx="8255" cy="6575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6575425"/>
                    </a:xfrm>
                    <a:prstGeom prst="rect">
                      <a:avLst/>
                    </a:prstGeom>
                    <a:noFill/>
                  </pic:spPr>
                </pic:pic>
              </a:graphicData>
            </a:graphic>
          </wp:anchor>
        </w:drawing>
      </w:r>
    </w:p>
    <w:p>
      <w:pPr>
        <w:spacing w:after="0" w:line="120" w:lineRule="exact"/>
        <w:rPr>
          <w:sz w:val="20"/>
          <w:szCs w:val="20"/>
          <w:color w:val="auto"/>
        </w:rPr>
      </w:pPr>
    </w:p>
    <w:p>
      <w:pPr>
        <w:ind w:left="320" w:right="620"/>
        <w:spacing w:after="0" w:line="239" w:lineRule="auto"/>
        <w:rPr>
          <w:sz w:val="20"/>
          <w:szCs w:val="20"/>
          <w:color w:val="auto"/>
        </w:rPr>
      </w:pPr>
      <w:r>
        <w:rPr>
          <w:rFonts w:ascii="Calibri" w:cs="Calibri" w:eastAsia="Calibri" w:hAnsi="Calibri"/>
          <w:sz w:val="17"/>
          <w:szCs w:val="17"/>
          <w:color w:val="auto"/>
        </w:rPr>
        <w:t>Based on current board profle and practces (including our eight director nominees, and one of our directors who currently serves on our board, but will not be standing for reelecton)</w:t>
      </w:r>
    </w:p>
    <w:p>
      <w:pPr>
        <w:spacing w:after="0" w:line="37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of directors compositon</w:t>
      </w:r>
    </w:p>
    <w:p>
      <w:pPr>
        <w:spacing w:after="0" w:line="140"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Nine directors, all of whom are independent, except for our Vice Chairman and CEO</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tab/>
        <w:t> Independent board chairman</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Seasoned board of directors, with diverse experience, including in human capital</w:t>
      </w:r>
    </w:p>
    <w:p>
      <w:pPr>
        <w:spacing w:after="0" w:line="1" w:lineRule="exact"/>
        <w:rPr>
          <w:sz w:val="20"/>
          <w:szCs w:val="20"/>
          <w:color w:val="auto"/>
        </w:rPr>
      </w:pPr>
    </w:p>
    <w:p>
      <w:pPr>
        <w:ind w:left="940"/>
        <w:spacing w:after="0"/>
        <w:rPr>
          <w:sz w:val="20"/>
          <w:szCs w:val="20"/>
          <w:color w:val="auto"/>
        </w:rPr>
      </w:pPr>
      <w:r>
        <w:rPr>
          <w:rFonts w:ascii="Calibri" w:cs="Calibri" w:eastAsia="Calibri" w:hAnsi="Calibri"/>
          <w:sz w:val="17"/>
          <w:szCs w:val="17"/>
          <w:color w:val="auto"/>
        </w:rPr>
        <w:t>management, corporate sustainability, insurance, healthcare, utlites, consultng,</w:t>
      </w:r>
    </w:p>
    <w:p>
      <w:pPr>
        <w:spacing w:after="0" w:line="1" w:lineRule="exact"/>
        <w:rPr>
          <w:sz w:val="20"/>
          <w:szCs w:val="20"/>
          <w:color w:val="auto"/>
        </w:rPr>
      </w:pPr>
    </w:p>
    <w:p>
      <w:pPr>
        <w:ind w:left="940"/>
        <w:spacing w:after="0"/>
        <w:rPr>
          <w:sz w:val="20"/>
          <w:szCs w:val="20"/>
          <w:color w:val="auto"/>
        </w:rPr>
      </w:pPr>
      <w:r>
        <w:rPr>
          <w:rFonts w:ascii="Calibri" w:cs="Calibri" w:eastAsia="Calibri" w:hAnsi="Calibri"/>
          <w:sz w:val="17"/>
          <w:szCs w:val="17"/>
          <w:color w:val="auto"/>
        </w:rPr>
        <w:t>banking and fnancial services, fnance/accountng, global business and technology</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Diversity in age, ethnicity, gender and other important characteristcs</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tab/>
        <w:t> Declassifed board</w:t>
      </w:r>
    </w:p>
    <w:p>
      <w:pPr>
        <w:spacing w:after="0" w:line="3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accountability</w:t>
      </w:r>
    </w:p>
    <w:p>
      <w:pPr>
        <w:spacing w:after="0" w:line="140"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tab/>
        <w:t> Majority votng standard for uncontested electons</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tab/>
        <w:t> Annual board- and commitee-level evaluatons</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Regularly-held executve session of non-management directors</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Robust executve and director equity ownership guidelines</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tab/>
        <w:t> Independent board of directors evaluaton of CEO performance and compensaton</w:t>
      </w:r>
    </w:p>
    <w:p>
      <w:pPr>
        <w:spacing w:after="0" w:line="370"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Governance practces</w:t>
      </w:r>
    </w:p>
    <w:p>
      <w:pPr>
        <w:spacing w:after="0" w:line="140"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tab/>
        <w:t> Regular executve sessions</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tab/>
        <w:t> Standing board commitees composed solely of independent chairs and members</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Equity ownership guidelines</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tab/>
        <w:t> Independent compensaton consultant</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Board risk oversight and assessment</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tab/>
        <w:t> Board commitee oversight over sustainability eforts</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tab/>
        <w:t> Director training and educaton</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tab/>
        <w:t> Simultaneous service restrictons</w:t>
      </w:r>
    </w:p>
    <w:p>
      <w:pPr>
        <w:spacing w:after="0" w:line="1" w:lineRule="exact"/>
        <w:rPr>
          <w:sz w:val="20"/>
          <w:szCs w:val="20"/>
          <w:color w:val="auto"/>
        </w:rPr>
      </w:pPr>
    </w:p>
    <w:p>
      <w:pPr>
        <w:ind w:left="620"/>
        <w:spacing w:after="0"/>
        <w:tabs>
          <w:tab w:leader="none" w:pos="86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Actve stockholder engagement program addressing strategy, performance and</w:t>
      </w:r>
    </w:p>
    <w:p>
      <w:pPr>
        <w:spacing w:after="0" w:line="1" w:lineRule="exact"/>
        <w:rPr>
          <w:sz w:val="20"/>
          <w:szCs w:val="20"/>
          <w:color w:val="auto"/>
        </w:rPr>
      </w:pPr>
    </w:p>
    <w:p>
      <w:pPr>
        <w:ind w:left="940"/>
        <w:spacing w:after="0"/>
        <w:rPr>
          <w:sz w:val="20"/>
          <w:szCs w:val="20"/>
          <w:color w:val="auto"/>
        </w:rPr>
      </w:pPr>
      <w:r>
        <w:rPr>
          <w:rFonts w:ascii="Calibri" w:cs="Calibri" w:eastAsia="Calibri" w:hAnsi="Calibri"/>
          <w:sz w:val="17"/>
          <w:szCs w:val="17"/>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0"/>
        <w:spacing w:after="0"/>
        <w:rPr>
          <w:sz w:val="20"/>
          <w:szCs w:val="20"/>
          <w:color w:val="auto"/>
        </w:rPr>
      </w:pPr>
      <w:r>
        <w:rPr>
          <w:rFonts w:ascii="Calibri" w:cs="Calibri" w:eastAsia="Calibri" w:hAnsi="Calibri"/>
          <w:sz w:val="19"/>
          <w:szCs w:val="19"/>
          <w:b w:val="1"/>
          <w:bCs w:val="1"/>
          <w:color w:val="FB4E0B"/>
        </w:rPr>
        <w:t>Board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102870</wp:posOffset>
            </wp:positionV>
            <wp:extent cx="1073785" cy="1073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73785" cy="107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spacing w:after="0"/>
        <w:rPr>
          <w:sz w:val="20"/>
          <w:szCs w:val="20"/>
          <w:color w:val="auto"/>
        </w:rPr>
      </w:pPr>
      <w:r>
        <w:rPr>
          <w:rFonts w:ascii="Calibri" w:cs="Calibri" w:eastAsia="Calibri" w:hAnsi="Calibri"/>
          <w:sz w:val="19"/>
          <w:szCs w:val="19"/>
          <w:b w:val="1"/>
          <w:bCs w:val="1"/>
          <w:color w:val="FB4E0B"/>
        </w:rPr>
        <w:t>Gender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102870</wp:posOffset>
            </wp:positionV>
            <wp:extent cx="1057275" cy="1057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57275" cy="1057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B4E0B"/>
        </w:rPr>
        <w:t>Racial and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102870</wp:posOffset>
            </wp:positionV>
            <wp:extent cx="1057275" cy="1057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57275" cy="1057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0"/>
        <w:spacing w:after="0"/>
        <w:rPr>
          <w:sz w:val="20"/>
          <w:szCs w:val="20"/>
          <w:color w:val="auto"/>
        </w:rPr>
      </w:pPr>
      <w:r>
        <w:rPr>
          <w:rFonts w:ascii="Calibri" w:cs="Calibri" w:eastAsia="Calibri" w:hAnsi="Calibri"/>
          <w:sz w:val="19"/>
          <w:szCs w:val="19"/>
          <w:b w:val="1"/>
          <w:bCs w:val="1"/>
          <w:color w:val="FB4E0B"/>
        </w:rPr>
        <w:t>Age distributon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102870</wp:posOffset>
            </wp:positionV>
            <wp:extent cx="1065530" cy="1065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65530" cy="1065530"/>
                    </a:xfrm>
                    <a:prstGeom prst="rect">
                      <a:avLst/>
                    </a:prstGeom>
                    <a:noFill/>
                  </pic:spPr>
                </pic:pic>
              </a:graphicData>
            </a:graphic>
          </wp:anchor>
        </w:drawing>
        <w:drawing>
          <wp:anchor simplePos="0" relativeHeight="251657728" behindDoc="1" locked="0" layoutInCell="0" allowOverlap="1">
            <wp:simplePos x="0" y="0"/>
            <wp:positionH relativeFrom="column">
              <wp:posOffset>-372745</wp:posOffset>
            </wp:positionH>
            <wp:positionV relativeFrom="paragraph">
              <wp:posOffset>1333500</wp:posOffset>
            </wp:positionV>
            <wp:extent cx="2098040" cy="504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98040" cy="504190"/>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7300" w:space="720"/>
            <w:col w:w="2120"/>
          </w:cols>
          <w:pgMar w:left="320" w:top="445"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10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140"/>
          </w:cols>
          <w:pgMar w:left="320" w:top="445" w:right="1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2022 Proxy Statement summary</w:t>
      </w:r>
    </w:p>
    <w:p>
      <w:pPr>
        <w:sectPr>
          <w:pgSz w:w="11900" w:h="16838" w:orient="portrait"/>
          <w:cols w:equalWidth="0" w:num="1">
            <w:col w:w="10940"/>
          </w:cols>
          <w:pgMar w:left="320" w:top="445" w:right="639" w:bottom="1440" w:gutter="0" w:footer="0" w:header="0"/>
        </w:sectPr>
      </w:pPr>
    </w:p>
    <w:p>
      <w:pPr>
        <w:spacing w:after="0" w:line="131" w:lineRule="exact"/>
        <w:rPr>
          <w:sz w:val="20"/>
          <w:szCs w:val="20"/>
          <w:color w:val="auto"/>
        </w:rPr>
      </w:pPr>
    </w:p>
    <w:p>
      <w:pPr>
        <w:ind w:left="460"/>
        <w:spacing w:after="0"/>
        <w:rPr>
          <w:sz w:val="20"/>
          <w:szCs w:val="20"/>
          <w:color w:val="auto"/>
        </w:rPr>
      </w:pPr>
      <w:r>
        <w:rPr>
          <w:rFonts w:ascii="Calibri" w:cs="Calibri" w:eastAsia="Calibri" w:hAnsi="Calibri"/>
          <w:sz w:val="19"/>
          <w:szCs w:val="19"/>
          <w:b w:val="1"/>
          <w:bCs w:val="1"/>
          <w:color w:val="FB4E0B"/>
        </w:rPr>
        <w:t>Director qualifcatons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-127635</wp:posOffset>
            </wp:positionV>
            <wp:extent cx="8255" cy="2676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2676525"/>
                    </a:xfrm>
                    <a:prstGeom prst="rect">
                      <a:avLst/>
                    </a:prstGeom>
                    <a:noFill/>
                  </pic:spPr>
                </pic:pic>
              </a:graphicData>
            </a:graphic>
          </wp:anchor>
        </w:drawing>
      </w:r>
    </w:p>
    <w:p>
      <w:pPr>
        <w:spacing w:after="0" w:line="121" w:lineRule="exact"/>
        <w:rPr>
          <w:sz w:val="20"/>
          <w:szCs w:val="20"/>
          <w:color w:val="auto"/>
        </w:rPr>
      </w:pPr>
    </w:p>
    <w:p>
      <w:pPr>
        <w:ind w:left="460"/>
        <w:spacing w:after="0" w:line="239" w:lineRule="auto"/>
        <w:rPr>
          <w:sz w:val="20"/>
          <w:szCs w:val="20"/>
          <w:color w:val="auto"/>
        </w:rPr>
      </w:pPr>
      <w:r>
        <w:rPr>
          <w:rFonts w:ascii="Calibri" w:cs="Calibri" w:eastAsia="Calibri" w:hAnsi="Calibri"/>
          <w:sz w:val="17"/>
          <w:szCs w:val="17"/>
          <w:color w:val="auto"/>
        </w:rPr>
        <w:t>Our board of directors refects an efectve and diverse mix of skills, background and experience appropriate for our Company and industry. Our directors have the following atributes:</w:t>
      </w:r>
    </w:p>
    <w:p>
      <w:pPr>
        <w:spacing w:after="0" w:line="263" w:lineRule="exact"/>
        <w:rPr>
          <w:sz w:val="20"/>
          <w:szCs w:val="20"/>
          <w:color w:val="auto"/>
        </w:rPr>
      </w:pPr>
    </w:p>
    <w:p>
      <w:pPr>
        <w:ind w:left="760"/>
        <w:spacing w:after="0"/>
        <w:tabs>
          <w:tab w:leader="none" w:pos="1000" w:val="left"/>
        </w:tabs>
        <w:rPr>
          <w:sz w:val="20"/>
          <w:szCs w:val="20"/>
          <w:color w:val="auto"/>
        </w:rPr>
      </w:pPr>
      <w:r>
        <w:rPr>
          <w:rFonts w:ascii="Calibri" w:cs="Calibri" w:eastAsia="Calibri" w:hAnsi="Calibri"/>
          <w:sz w:val="17"/>
          <w:szCs w:val="17"/>
          <w:color w:val="auto"/>
        </w:rPr>
        <w:t>• </w:t>
        <w:tab/>
        <w:t> Executve leadership experience</w:t>
      </w:r>
    </w:p>
    <w:p>
      <w:pPr>
        <w:spacing w:after="0" w:line="1" w:lineRule="exact"/>
        <w:rPr>
          <w:sz w:val="20"/>
          <w:szCs w:val="20"/>
          <w:color w:val="auto"/>
        </w:rPr>
      </w:pPr>
    </w:p>
    <w:p>
      <w:pPr>
        <w:ind w:left="760"/>
        <w:spacing w:after="0"/>
        <w:tabs>
          <w:tab w:leader="none" w:pos="100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Board experience</w:t>
      </w:r>
    </w:p>
    <w:p>
      <w:pPr>
        <w:spacing w:after="0" w:line="1" w:lineRule="exact"/>
        <w:rPr>
          <w:sz w:val="20"/>
          <w:szCs w:val="20"/>
          <w:color w:val="auto"/>
        </w:rPr>
      </w:pPr>
    </w:p>
    <w:p>
      <w:pPr>
        <w:ind w:left="760"/>
        <w:spacing w:after="0"/>
        <w:tabs>
          <w:tab w:leader="none" w:pos="1000" w:val="left"/>
        </w:tabs>
        <w:rPr>
          <w:sz w:val="20"/>
          <w:szCs w:val="20"/>
          <w:color w:val="auto"/>
        </w:rPr>
      </w:pPr>
      <w:r>
        <w:rPr>
          <w:rFonts w:ascii="Calibri" w:cs="Calibri" w:eastAsia="Calibri" w:hAnsi="Calibri"/>
          <w:sz w:val="17"/>
          <w:szCs w:val="17"/>
          <w:color w:val="auto"/>
        </w:rPr>
        <w:t>• </w:t>
        <w:tab/>
        <w:t> Finance and accountng expertse</w:t>
      </w:r>
    </w:p>
    <w:p>
      <w:pPr>
        <w:spacing w:after="0" w:line="1" w:lineRule="exact"/>
        <w:rPr>
          <w:sz w:val="20"/>
          <w:szCs w:val="20"/>
          <w:color w:val="auto"/>
        </w:rPr>
      </w:pPr>
    </w:p>
    <w:p>
      <w:pPr>
        <w:ind w:left="760"/>
        <w:spacing w:after="0"/>
        <w:tabs>
          <w:tab w:leader="none" w:pos="1000" w:val="left"/>
        </w:tabs>
        <w:rPr>
          <w:sz w:val="20"/>
          <w:szCs w:val="20"/>
          <w:color w:val="auto"/>
        </w:rPr>
      </w:pPr>
      <w:r>
        <w:rPr>
          <w:rFonts w:ascii="Calibri" w:cs="Calibri" w:eastAsia="Calibri" w:hAnsi="Calibri"/>
          <w:sz w:val="17"/>
          <w:szCs w:val="17"/>
          <w:color w:val="auto"/>
        </w:rPr>
        <w:t>• </w:t>
        <w:tab/>
        <w:t> Client and industry expertse</w:t>
      </w:r>
    </w:p>
    <w:p>
      <w:pPr>
        <w:spacing w:after="0" w:line="1" w:lineRule="exact"/>
        <w:rPr>
          <w:sz w:val="20"/>
          <w:szCs w:val="20"/>
          <w:color w:val="auto"/>
        </w:rPr>
      </w:pPr>
    </w:p>
    <w:p>
      <w:pPr>
        <w:ind w:left="760"/>
        <w:spacing w:after="0"/>
        <w:tabs>
          <w:tab w:leader="none" w:pos="1000" w:val="left"/>
        </w:tabs>
        <w:rPr>
          <w:sz w:val="20"/>
          <w:szCs w:val="20"/>
          <w:color w:val="auto"/>
        </w:rPr>
      </w:pPr>
      <w:r>
        <w:rPr>
          <w:rFonts w:ascii="Calibri" w:cs="Calibri" w:eastAsia="Calibri" w:hAnsi="Calibri"/>
          <w:sz w:val="17"/>
          <w:szCs w:val="17"/>
          <w:color w:val="auto"/>
        </w:rPr>
        <w:t>• </w:t>
        <w:tab/>
        <w:t> Global experience</w:t>
      </w:r>
    </w:p>
    <w:p>
      <w:pPr>
        <w:spacing w:after="0" w:line="1" w:lineRule="exact"/>
        <w:rPr>
          <w:sz w:val="20"/>
          <w:szCs w:val="20"/>
          <w:color w:val="auto"/>
        </w:rPr>
      </w:pPr>
    </w:p>
    <w:p>
      <w:pPr>
        <w:ind w:left="760"/>
        <w:spacing w:after="0"/>
        <w:tabs>
          <w:tab w:leader="none" w:pos="1000" w:val="left"/>
        </w:tabs>
        <w:rPr>
          <w:sz w:val="20"/>
          <w:szCs w:val="20"/>
          <w:color w:val="auto"/>
        </w:rPr>
      </w:pPr>
      <w:r>
        <w:rPr>
          <w:rFonts w:ascii="Calibri" w:cs="Calibri" w:eastAsia="Calibri" w:hAnsi="Calibri"/>
          <w:sz w:val="17"/>
          <w:szCs w:val="17"/>
          <w:color w:val="auto"/>
        </w:rPr>
        <w:t>• </w:t>
        <w:tab/>
        <w:t> Risk oversight/management expertse</w:t>
      </w:r>
    </w:p>
    <w:p>
      <w:pPr>
        <w:spacing w:after="0" w:line="1" w:lineRule="exact"/>
        <w:rPr>
          <w:sz w:val="20"/>
          <w:szCs w:val="20"/>
          <w:color w:val="auto"/>
        </w:rPr>
      </w:pPr>
    </w:p>
    <w:p>
      <w:pPr>
        <w:ind w:left="760"/>
        <w:spacing w:after="0"/>
        <w:tabs>
          <w:tab w:leader="none" w:pos="1000" w:val="left"/>
        </w:tabs>
        <w:rPr>
          <w:sz w:val="20"/>
          <w:szCs w:val="20"/>
          <w:color w:val="auto"/>
        </w:rPr>
      </w:pPr>
      <w:r>
        <w:rPr>
          <w:rFonts w:ascii="Calibri" w:cs="Calibri" w:eastAsia="Calibri" w:hAnsi="Calibri"/>
          <w:sz w:val="17"/>
          <w:szCs w:val="17"/>
          <w:color w:val="auto"/>
        </w:rPr>
        <w:t>• </w:t>
        <w:tab/>
        <w:t> Human capital management expertse</w:t>
      </w:r>
    </w:p>
    <w:p>
      <w:pPr>
        <w:spacing w:after="0" w:line="1" w:lineRule="exact"/>
        <w:rPr>
          <w:sz w:val="20"/>
          <w:szCs w:val="20"/>
          <w:color w:val="auto"/>
        </w:rPr>
      </w:pPr>
    </w:p>
    <w:p>
      <w:pPr>
        <w:ind w:left="760"/>
        <w:spacing w:after="0"/>
        <w:tabs>
          <w:tab w:leader="none" w:pos="100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Diverse backgrounds</w:t>
      </w:r>
    </w:p>
    <w:p>
      <w:pPr>
        <w:spacing w:after="0" w:line="1" w:lineRule="exact"/>
        <w:rPr>
          <w:sz w:val="20"/>
          <w:szCs w:val="20"/>
          <w:color w:val="auto"/>
        </w:rPr>
      </w:pPr>
    </w:p>
    <w:p>
      <w:pPr>
        <w:ind w:left="760"/>
        <w:spacing w:after="0"/>
        <w:tabs>
          <w:tab w:leader="none" w:pos="1000" w:val="left"/>
        </w:tabs>
        <w:rPr>
          <w:sz w:val="20"/>
          <w:szCs w:val="20"/>
          <w:color w:val="auto"/>
        </w:rPr>
      </w:pPr>
      <w:r>
        <w:rPr>
          <w:rFonts w:ascii="Calibri" w:cs="Calibri" w:eastAsia="Calibri" w:hAnsi="Calibri"/>
          <w:sz w:val="17"/>
          <w:szCs w:val="17"/>
          <w:color w:val="auto"/>
        </w:rPr>
        <w:t>• </w:t>
        <w:tab/>
        <w:t> Experience in environmental, social and governance maters</w:t>
      </w:r>
    </w:p>
    <w:p>
      <w:pPr>
        <w:spacing w:after="0" w:line="1" w:lineRule="exact"/>
        <w:rPr>
          <w:sz w:val="20"/>
          <w:szCs w:val="20"/>
          <w:color w:val="auto"/>
        </w:rPr>
      </w:pPr>
    </w:p>
    <w:p>
      <w:pPr>
        <w:ind w:left="760"/>
        <w:spacing w:after="0"/>
        <w:tabs>
          <w:tab w:leader="none" w:pos="100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Strategic insight</w:t>
      </w:r>
    </w:p>
    <w:p>
      <w:pPr>
        <w:spacing w:after="0" w:line="1" w:lineRule="exact"/>
        <w:rPr>
          <w:sz w:val="20"/>
          <w:szCs w:val="20"/>
          <w:color w:val="auto"/>
        </w:rPr>
      </w:pPr>
    </w:p>
    <w:p>
      <w:pPr>
        <w:ind w:left="760"/>
        <w:spacing w:after="0"/>
        <w:tabs>
          <w:tab w:leader="none" w:pos="100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Commitment to accountability, excellence and contnuous improvement</w:t>
      </w:r>
    </w:p>
    <w:p>
      <w:pPr>
        <w:spacing w:after="0" w:line="1" w:lineRule="exact"/>
        <w:rPr>
          <w:sz w:val="20"/>
          <w:szCs w:val="20"/>
          <w:color w:val="auto"/>
        </w:rPr>
      </w:pPr>
    </w:p>
    <w:p>
      <w:pPr>
        <w:ind w:left="760"/>
        <w:spacing w:after="0"/>
        <w:tabs>
          <w:tab w:leader="none" w:pos="1000" w:val="left"/>
        </w:tabs>
        <w:rPr>
          <w:sz w:val="20"/>
          <w:szCs w:val="20"/>
          <w:color w:val="auto"/>
        </w:rPr>
      </w:pPr>
      <w:r>
        <w:rPr>
          <w:rFonts w:ascii="Calibri" w:cs="Calibri" w:eastAsia="Calibri" w:hAnsi="Calibri"/>
          <w:sz w:val="17"/>
          <w:szCs w:val="17"/>
          <w:color w:val="auto"/>
        </w:rPr>
        <w:t>• </w:t>
      </w:r>
      <w:r>
        <w:rPr>
          <w:sz w:val="20"/>
          <w:szCs w:val="20"/>
          <w:color w:val="auto"/>
        </w:rPr>
        <w:tab/>
      </w:r>
      <w:r>
        <w:rPr>
          <w:rFonts w:ascii="Calibri" w:cs="Calibri" w:eastAsia="Calibri" w:hAnsi="Calibri"/>
          <w:sz w:val="16"/>
          <w:szCs w:val="16"/>
          <w:color w:val="auto"/>
        </w:rPr>
        <w:t> Commitment to driving our growth and success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diversity matrix</w:t>
      </w:r>
    </w:p>
    <w:p>
      <w:pPr>
        <w:spacing w:after="0" w:line="309"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auto"/>
        </w:rPr>
        <w:t>Total number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410845</wp:posOffset>
            </wp:positionV>
            <wp:extent cx="6740525"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40525" cy="22288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55880</wp:posOffset>
            </wp:positionV>
            <wp:extent cx="49726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72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1100"/>
        <w:spacing w:after="0"/>
        <w:rPr>
          <w:sz w:val="20"/>
          <w:szCs w:val="20"/>
          <w:color w:val="auto"/>
        </w:rPr>
      </w:pPr>
      <w:r>
        <w:rPr>
          <w:rFonts w:ascii="Calibri" w:cs="Calibri" w:eastAsia="Calibri" w:hAnsi="Calibri"/>
          <w:sz w:val="19"/>
          <w:szCs w:val="19"/>
          <w:b w:val="1"/>
          <w:bCs w:val="1"/>
          <w:color w:val="FB4E0B"/>
        </w:rPr>
        <w:t>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185420</wp:posOffset>
            </wp:positionV>
            <wp:extent cx="1462405" cy="313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2405" cy="31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180"/>
        <w:spacing w:after="0"/>
        <w:rPr>
          <w:sz w:val="20"/>
          <w:szCs w:val="20"/>
          <w:color w:val="auto"/>
        </w:rPr>
      </w:pPr>
      <w:r>
        <w:rPr>
          <w:rFonts w:ascii="Calibri" w:cs="Calibri" w:eastAsia="Calibri" w:hAnsi="Calibri"/>
          <w:sz w:val="19"/>
          <w:szCs w:val="19"/>
          <w:b w:val="1"/>
          <w:bCs w:val="1"/>
          <w:color w:val="FB4E0B"/>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2412365" cy="1346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12365" cy="134620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shd w:val="clear" w:color="auto" w:fill="191919"/>
          </w:tcPr>
          <w:p>
            <w:pPr>
              <w:jc w:val="center"/>
              <w:ind w:left="11"/>
              <w:spacing w:after="0"/>
              <w:rPr>
                <w:sz w:val="20"/>
                <w:szCs w:val="20"/>
                <w:color w:val="auto"/>
              </w:rPr>
            </w:pPr>
            <w:r>
              <w:rPr>
                <w:rFonts w:ascii="Calibri" w:cs="Calibri" w:eastAsia="Calibri" w:hAnsi="Calibri"/>
                <w:sz w:val="14"/>
                <w:szCs w:val="14"/>
                <w:b w:val="1"/>
                <w:bCs w:val="1"/>
                <w:color w:val="FFFFFF"/>
              </w:rPr>
              <w:t>Additons</w:t>
            </w:r>
          </w:p>
        </w:tc>
        <w:tc>
          <w:tcPr>
            <w:tcW w:w="1900" w:type="dxa"/>
            <w:vAlign w:val="bottom"/>
            <w:shd w:val="clear" w:color="auto" w:fill="FB4E0B"/>
          </w:tcPr>
          <w:p>
            <w:pPr>
              <w:jc w:val="center"/>
              <w:ind w:left="11"/>
              <w:spacing w:after="0"/>
              <w:rPr>
                <w:sz w:val="20"/>
                <w:szCs w:val="20"/>
                <w:color w:val="auto"/>
              </w:rPr>
            </w:pPr>
            <w:r>
              <w:rPr>
                <w:rFonts w:ascii="Calibri" w:cs="Calibri" w:eastAsia="Calibri" w:hAnsi="Calibri"/>
                <w:sz w:val="14"/>
                <w:szCs w:val="14"/>
                <w:b w:val="1"/>
                <w:bCs w:val="1"/>
                <w:color w:val="FFFFFF"/>
                <w:w w:val="95"/>
              </w:rPr>
              <w:t>Exits</w:t>
            </w:r>
          </w:p>
        </w:tc>
      </w:tr>
      <w:tr>
        <w:trPr>
          <w:trHeight w:val="174"/>
        </w:trPr>
        <w:tc>
          <w:tcPr>
            <w:tcW w:w="1900" w:type="dxa"/>
            <w:vAlign w:val="bottom"/>
            <w:shd w:val="clear" w:color="auto" w:fill="191919"/>
          </w:tcPr>
          <w:p>
            <w:pPr>
              <w:spacing w:after="0"/>
              <w:rPr>
                <w:sz w:val="15"/>
                <w:szCs w:val="15"/>
                <w:color w:val="auto"/>
              </w:rPr>
            </w:pPr>
          </w:p>
        </w:tc>
        <w:tc>
          <w:tcPr>
            <w:tcW w:w="1900" w:type="dxa"/>
            <w:vAlign w:val="bottom"/>
            <w:shd w:val="clear" w:color="auto" w:fill="FB4E0B"/>
          </w:tcPr>
          <w:p>
            <w:pPr>
              <w:spacing w:after="0"/>
              <w:rPr>
                <w:sz w:val="15"/>
                <w:szCs w:val="15"/>
                <w:color w:val="auto"/>
              </w:rPr>
            </w:pPr>
          </w:p>
        </w:tc>
      </w:tr>
      <w:tr>
        <w:trPr>
          <w:trHeight w:val="385"/>
        </w:trPr>
        <w:tc>
          <w:tcPr>
            <w:tcW w:w="1900" w:type="dxa"/>
            <w:vAlign w:val="bottom"/>
            <w:shd w:val="clear" w:color="auto" w:fill="B2B2B2"/>
          </w:tcPr>
          <w:p>
            <w:pPr>
              <w:jc w:val="center"/>
              <w:spacing w:after="0"/>
              <w:rPr>
                <w:sz w:val="20"/>
                <w:szCs w:val="20"/>
                <w:color w:val="auto"/>
              </w:rPr>
            </w:pPr>
            <w:r>
              <w:rPr>
                <w:rFonts w:ascii="Calibri" w:cs="Calibri" w:eastAsia="Calibri" w:hAnsi="Calibri"/>
                <w:sz w:val="14"/>
                <w:szCs w:val="14"/>
                <w:b w:val="1"/>
                <w:bCs w:val="1"/>
                <w:color w:val="auto"/>
                <w:w w:val="98"/>
              </w:rPr>
              <w:t>2021</w:t>
            </w:r>
          </w:p>
        </w:tc>
        <w:tc>
          <w:tcPr>
            <w:tcW w:w="1900" w:type="dxa"/>
            <w:vAlign w:val="bottom"/>
            <w:shd w:val="clear" w:color="auto" w:fill="FEDBCE"/>
          </w:tcPr>
          <w:p>
            <w:pPr>
              <w:jc w:val="center"/>
              <w:ind w:left="31"/>
              <w:spacing w:after="0"/>
              <w:rPr>
                <w:sz w:val="20"/>
                <w:szCs w:val="20"/>
                <w:color w:val="auto"/>
              </w:rPr>
            </w:pPr>
            <w:r>
              <w:rPr>
                <w:rFonts w:ascii="Calibri" w:cs="Calibri" w:eastAsia="Calibri" w:hAnsi="Calibri"/>
                <w:sz w:val="14"/>
                <w:szCs w:val="14"/>
                <w:b w:val="1"/>
                <w:bCs w:val="1"/>
                <w:color w:val="FB4E0B"/>
                <w:w w:val="98"/>
              </w:rPr>
              <w:t>2021</w:t>
            </w:r>
          </w:p>
        </w:tc>
      </w:tr>
      <w:tr>
        <w:trPr>
          <w:trHeight w:val="299"/>
        </w:trPr>
        <w:tc>
          <w:tcPr>
            <w:tcW w:w="1900" w:type="dxa"/>
            <w:vAlign w:val="bottom"/>
            <w:shd w:val="clear" w:color="auto" w:fill="B2B2B2"/>
          </w:tcPr>
          <w:p>
            <w:pPr>
              <w:jc w:val="center"/>
              <w:ind w:left="11"/>
              <w:spacing w:after="0"/>
              <w:rPr>
                <w:sz w:val="20"/>
                <w:szCs w:val="20"/>
                <w:color w:val="auto"/>
              </w:rPr>
            </w:pPr>
            <w:r>
              <w:rPr>
                <w:rFonts w:ascii="Calibri" w:cs="Calibri" w:eastAsia="Calibri" w:hAnsi="Calibri"/>
                <w:sz w:val="14"/>
                <w:szCs w:val="14"/>
                <w:b w:val="1"/>
                <w:bCs w:val="1"/>
                <w:color w:val="auto"/>
                <w:w w:val="97"/>
              </w:rPr>
              <w:t>Kristy Pipes</w:t>
            </w:r>
          </w:p>
        </w:tc>
        <w:tc>
          <w:tcPr>
            <w:tcW w:w="1900" w:type="dxa"/>
            <w:vAlign w:val="bottom"/>
            <w:shd w:val="clear" w:color="auto" w:fill="FEDBCE"/>
          </w:tcPr>
          <w:p>
            <w:pPr>
              <w:jc w:val="center"/>
              <w:ind w:left="11"/>
              <w:spacing w:after="0"/>
              <w:rPr>
                <w:sz w:val="20"/>
                <w:szCs w:val="20"/>
                <w:color w:val="auto"/>
              </w:rPr>
            </w:pPr>
            <w:r>
              <w:rPr>
                <w:rFonts w:ascii="Calibri" w:cs="Calibri" w:eastAsia="Calibri" w:hAnsi="Calibri"/>
                <w:sz w:val="14"/>
                <w:szCs w:val="14"/>
                <w:b w:val="1"/>
                <w:bCs w:val="1"/>
                <w:color w:val="auto"/>
                <w:w w:val="97"/>
              </w:rPr>
              <w:t>David Kelso</w:t>
            </w:r>
          </w:p>
        </w:tc>
      </w:tr>
      <w:tr>
        <w:trPr>
          <w:trHeight w:val="169"/>
        </w:trPr>
        <w:tc>
          <w:tcPr>
            <w:tcW w:w="1900" w:type="dxa"/>
            <w:vAlign w:val="bottom"/>
            <w:shd w:val="clear" w:color="auto" w:fill="B2B2B2"/>
          </w:tcPr>
          <w:p>
            <w:pPr>
              <w:spacing w:after="0"/>
              <w:rPr>
                <w:sz w:val="14"/>
                <w:szCs w:val="14"/>
                <w:color w:val="auto"/>
              </w:rPr>
            </w:pPr>
          </w:p>
        </w:tc>
        <w:tc>
          <w:tcPr>
            <w:tcW w:w="1900" w:type="dxa"/>
            <w:vAlign w:val="bottom"/>
            <w:shd w:val="clear" w:color="auto" w:fill="FEDBCE"/>
          </w:tcPr>
          <w:p>
            <w:pPr>
              <w:jc w:val="center"/>
              <w:ind w:left="31"/>
              <w:spacing w:after="0" w:line="169" w:lineRule="exact"/>
              <w:rPr>
                <w:sz w:val="20"/>
                <w:szCs w:val="20"/>
                <w:color w:val="auto"/>
              </w:rPr>
            </w:pPr>
            <w:r>
              <w:rPr>
                <w:rFonts w:ascii="Calibri" w:cs="Calibri" w:eastAsia="Calibri" w:hAnsi="Calibri"/>
                <w:sz w:val="14"/>
                <w:szCs w:val="14"/>
                <w:b w:val="1"/>
                <w:bCs w:val="1"/>
                <w:color w:val="auto"/>
                <w:w w:val="97"/>
              </w:rPr>
              <w:t>Deborah Kerr</w:t>
            </w:r>
          </w:p>
        </w:tc>
      </w:tr>
      <w:tr>
        <w:trPr>
          <w:trHeight w:val="416"/>
        </w:trPr>
        <w:tc>
          <w:tcPr>
            <w:tcW w:w="1900" w:type="dxa"/>
            <w:vAlign w:val="bottom"/>
            <w:shd w:val="clear" w:color="auto" w:fill="B2B2B2"/>
          </w:tcPr>
          <w:p>
            <w:pPr>
              <w:spacing w:after="0"/>
              <w:rPr>
                <w:sz w:val="24"/>
                <w:szCs w:val="24"/>
                <w:color w:val="auto"/>
              </w:rPr>
            </w:pPr>
          </w:p>
        </w:tc>
        <w:tc>
          <w:tcPr>
            <w:tcW w:w="1900" w:type="dxa"/>
            <w:vAlign w:val="bottom"/>
            <w:shd w:val="clear" w:color="auto" w:fill="FEDBCE"/>
          </w:tcPr>
          <w:p>
            <w:pPr>
              <w:jc w:val="center"/>
              <w:ind w:left="31"/>
              <w:spacing w:after="0"/>
              <w:rPr>
                <w:sz w:val="20"/>
                <w:szCs w:val="20"/>
                <w:color w:val="auto"/>
              </w:rPr>
            </w:pPr>
            <w:r>
              <w:rPr>
                <w:rFonts w:ascii="Calibri" w:cs="Calibri" w:eastAsia="Calibri" w:hAnsi="Calibri"/>
                <w:sz w:val="14"/>
                <w:szCs w:val="14"/>
                <w:b w:val="1"/>
                <w:bCs w:val="1"/>
                <w:color w:val="FB4E0B"/>
                <w:w w:val="98"/>
              </w:rPr>
              <w:t>2022</w:t>
            </w:r>
          </w:p>
        </w:tc>
      </w:tr>
      <w:tr>
        <w:trPr>
          <w:trHeight w:val="169"/>
        </w:trPr>
        <w:tc>
          <w:tcPr>
            <w:tcW w:w="1900" w:type="dxa"/>
            <w:vAlign w:val="bottom"/>
            <w:shd w:val="clear" w:color="auto" w:fill="B2B2B2"/>
          </w:tcPr>
          <w:p>
            <w:pPr>
              <w:spacing w:after="0"/>
              <w:rPr>
                <w:sz w:val="14"/>
                <w:szCs w:val="14"/>
                <w:color w:val="auto"/>
              </w:rPr>
            </w:pPr>
          </w:p>
        </w:tc>
        <w:tc>
          <w:tcPr>
            <w:tcW w:w="1900" w:type="dxa"/>
            <w:vAlign w:val="bottom"/>
            <w:shd w:val="clear" w:color="auto" w:fill="FEDBCE"/>
          </w:tcPr>
          <w:p>
            <w:pPr>
              <w:jc w:val="center"/>
              <w:ind w:left="11"/>
              <w:spacing w:after="0" w:line="169" w:lineRule="exact"/>
              <w:rPr>
                <w:sz w:val="20"/>
                <w:szCs w:val="20"/>
                <w:color w:val="auto"/>
              </w:rPr>
            </w:pPr>
            <w:r>
              <w:rPr>
                <w:rFonts w:ascii="Calibri" w:cs="Calibri" w:eastAsia="Calibri" w:hAnsi="Calibri"/>
                <w:sz w:val="14"/>
                <w:szCs w:val="14"/>
                <w:b w:val="1"/>
                <w:bCs w:val="1"/>
                <w:color w:val="auto"/>
                <w:w w:val="99"/>
              </w:rPr>
              <w:t>Garen Staglin</w:t>
            </w:r>
          </w:p>
        </w:tc>
      </w:tr>
      <w:tr>
        <w:trPr>
          <w:trHeight w:val="291"/>
        </w:trPr>
        <w:tc>
          <w:tcPr>
            <w:tcW w:w="1900" w:type="dxa"/>
            <w:vAlign w:val="bottom"/>
            <w:shd w:val="clear" w:color="auto" w:fill="B2B2B2"/>
          </w:tcPr>
          <w:p>
            <w:pPr>
              <w:spacing w:after="0"/>
              <w:rPr>
                <w:sz w:val="24"/>
                <w:szCs w:val="24"/>
                <w:color w:val="auto"/>
              </w:rPr>
            </w:pPr>
          </w:p>
        </w:tc>
        <w:tc>
          <w:tcPr>
            <w:tcW w:w="1900" w:type="dxa"/>
            <w:vAlign w:val="bottom"/>
            <w:shd w:val="clear" w:color="auto" w:fill="FEDBCE"/>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80"/>
        <w:spacing w:after="0"/>
        <w:rPr>
          <w:sz w:val="20"/>
          <w:szCs w:val="20"/>
          <w:color w:val="auto"/>
        </w:rPr>
      </w:pPr>
      <w:r>
        <w:rPr>
          <w:rFonts w:ascii="Calibri" w:cs="Calibri" w:eastAsia="Calibri" w:hAnsi="Calibri"/>
          <w:sz w:val="14"/>
          <w:szCs w:val="14"/>
          <w:b w:val="1"/>
          <w:bCs w:val="1"/>
          <w:color w:val="auto"/>
        </w:rPr>
        <w:t>9</w:t>
      </w:r>
    </w:p>
    <w:p>
      <w:pPr>
        <w:spacing w:after="0" w:line="126" w:lineRule="exact"/>
        <w:rPr>
          <w:sz w:val="20"/>
          <w:szCs w:val="20"/>
          <w:color w:val="auto"/>
        </w:rPr>
      </w:pPr>
    </w:p>
    <w:p>
      <w:pPr>
        <w:ind w:left="2700"/>
        <w:spacing w:after="0"/>
        <w:rPr>
          <w:sz w:val="20"/>
          <w:szCs w:val="20"/>
          <w:color w:val="auto"/>
        </w:rPr>
      </w:pPr>
      <w:r>
        <w:rPr>
          <w:rFonts w:ascii="Calibri" w:cs="Calibri" w:eastAsia="Calibri" w:hAnsi="Calibri"/>
          <w:sz w:val="17"/>
          <w:szCs w:val="17"/>
          <w:b w:val="1"/>
          <w:bCs w:val="1"/>
          <w:color w:val="FB4E0B"/>
        </w:rPr>
        <w:t>Did not</w:t>
      </w:r>
    </w:p>
    <w:p>
      <w:pPr>
        <w:spacing w:after="0" w:line="1" w:lineRule="exact"/>
        <w:rPr>
          <w:sz w:val="20"/>
          <w:szCs w:val="20"/>
          <w:color w:val="auto"/>
        </w:rPr>
      </w:pPr>
    </w:p>
    <w:p>
      <w:pPr>
        <w:ind w:left="440"/>
        <w:spacing w:after="0"/>
        <w:tabs>
          <w:tab w:leader="none" w:pos="1720" w:val="left"/>
          <w:tab w:leader="none" w:pos="2680" w:val="left"/>
        </w:tabs>
        <w:rPr>
          <w:sz w:val="20"/>
          <w:szCs w:val="20"/>
          <w:color w:val="auto"/>
        </w:rPr>
      </w:pPr>
      <w:r>
        <w:rPr>
          <w:rFonts w:ascii="Calibri" w:cs="Calibri" w:eastAsia="Calibri" w:hAnsi="Calibri"/>
          <w:sz w:val="17"/>
          <w:szCs w:val="17"/>
          <w:b w:val="1"/>
          <w:bCs w:val="1"/>
          <w:color w:val="FB4E0B"/>
        </w:rPr>
        <w:t>Female  Male</w:t>
      </w:r>
      <w:r>
        <w:rPr>
          <w:sz w:val="20"/>
          <w:szCs w:val="20"/>
          <w:color w:val="auto"/>
        </w:rPr>
        <w:tab/>
      </w:r>
      <w:r>
        <w:rPr>
          <w:rFonts w:ascii="Calibri" w:cs="Calibri" w:eastAsia="Calibri" w:hAnsi="Calibri"/>
          <w:sz w:val="17"/>
          <w:szCs w:val="17"/>
          <w:b w:val="1"/>
          <w:bCs w:val="1"/>
          <w:color w:val="FB4E0B"/>
        </w:rPr>
        <w:t>Non-binary</w:t>
      </w:r>
      <w:r>
        <w:rPr>
          <w:sz w:val="20"/>
          <w:szCs w:val="20"/>
          <w:color w:val="auto"/>
        </w:rPr>
        <w:tab/>
      </w:r>
      <w:r>
        <w:rPr>
          <w:rFonts w:ascii="Calibri" w:cs="Calibri" w:eastAsia="Calibri" w:hAnsi="Calibri"/>
          <w:sz w:val="16"/>
          <w:szCs w:val="16"/>
          <w:b w:val="1"/>
          <w:bCs w:val="1"/>
          <w:color w:val="FB4E0B"/>
        </w:rPr>
        <w:t>disclose gender</w:t>
      </w:r>
    </w:p>
    <w:p>
      <w:pPr>
        <w:spacing w:after="0" w:line="157" w:lineRule="exact"/>
        <w:rPr>
          <w:sz w:val="20"/>
          <w:szCs w:val="20"/>
          <w:color w:val="auto"/>
        </w:rPr>
      </w:pPr>
    </w:p>
    <w:p>
      <w:pPr>
        <w:sectPr>
          <w:pgSz w:w="11900" w:h="16838" w:orient="portrait"/>
          <w:cols w:equalWidth="0" w:num="2">
            <w:col w:w="6420" w:space="720"/>
            <w:col w:w="3800"/>
          </w:cols>
          <w:pgMar w:left="320" w:top="445" w:right="639" w:bottom="1440" w:gutter="0" w:footer="0" w:header="0"/>
          <w:type w:val="continuous"/>
        </w:sectPr>
      </w:pPr>
    </w:p>
    <w:p>
      <w:pPr>
        <w:ind w:left="360"/>
        <w:spacing w:after="0"/>
        <w:rPr>
          <w:sz w:val="20"/>
          <w:szCs w:val="20"/>
          <w:color w:val="auto"/>
        </w:rPr>
      </w:pPr>
      <w:r>
        <w:rPr>
          <w:rFonts w:ascii="Calibri" w:cs="Calibri" w:eastAsia="Calibri" w:hAnsi="Calibri"/>
          <w:sz w:val="17"/>
          <w:szCs w:val="17"/>
          <w:b w:val="1"/>
          <w:bCs w:val="1"/>
          <w:color w:val="auto"/>
        </w:rPr>
        <w:t>Part I: Gender identty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55880</wp:posOffset>
            </wp:positionV>
            <wp:extent cx="6740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11"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7200" w:type="dxa"/>
            <w:vAlign w:val="bottom"/>
          </w:tcPr>
          <w:p>
            <w:pPr>
              <w:ind w:left="40"/>
              <w:spacing w:after="0"/>
              <w:rPr>
                <w:sz w:val="20"/>
                <w:szCs w:val="20"/>
                <w:color w:val="auto"/>
              </w:rPr>
            </w:pPr>
            <w:r>
              <w:rPr>
                <w:rFonts w:ascii="Calibri" w:cs="Calibri" w:eastAsia="Calibri" w:hAnsi="Calibri"/>
                <w:sz w:val="17"/>
                <w:szCs w:val="17"/>
                <w:color w:val="auto"/>
              </w:rPr>
              <w:t>Directors</w:t>
            </w:r>
          </w:p>
        </w:tc>
        <w:tc>
          <w:tcPr>
            <w:tcW w:w="500" w:type="dxa"/>
            <w:vAlign w:val="bottom"/>
          </w:tcPr>
          <w:p>
            <w:pPr>
              <w:jc w:val="center"/>
              <w:ind w:left="108"/>
              <w:spacing w:after="0"/>
              <w:rPr>
                <w:sz w:val="20"/>
                <w:szCs w:val="20"/>
                <w:color w:val="auto"/>
              </w:rPr>
            </w:pPr>
            <w:r>
              <w:rPr>
                <w:rFonts w:ascii="Calibri" w:cs="Calibri" w:eastAsia="Calibri" w:hAnsi="Calibri"/>
                <w:sz w:val="17"/>
                <w:szCs w:val="17"/>
                <w:color w:val="auto"/>
                <w:w w:val="92"/>
              </w:rPr>
              <w:t>3</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6</w:t>
            </w:r>
          </w:p>
        </w:tc>
        <w:tc>
          <w:tcPr>
            <w:tcW w:w="1100" w:type="dxa"/>
            <w:vAlign w:val="bottom"/>
          </w:tcPr>
          <w:p>
            <w:pPr>
              <w:ind w:left="340"/>
              <w:spacing w:after="0"/>
              <w:rPr>
                <w:sz w:val="20"/>
                <w:szCs w:val="20"/>
                <w:color w:val="auto"/>
              </w:rPr>
            </w:pPr>
            <w:r>
              <w:rPr>
                <w:rFonts w:ascii="Calibri" w:cs="Calibri" w:eastAsia="Calibri" w:hAnsi="Calibri"/>
                <w:sz w:val="14"/>
                <w:szCs w:val="14"/>
                <w:color w:val="auto"/>
              </w:rPr>
              <w:t>—</w:t>
            </w:r>
          </w:p>
        </w:tc>
        <w:tc>
          <w:tcPr>
            <w:tcW w:w="960" w:type="dxa"/>
            <w:vAlign w:val="bottom"/>
          </w:tcPr>
          <w:p>
            <w:pPr>
              <w:ind w:left="340"/>
              <w:spacing w:after="0"/>
              <w:rPr>
                <w:sz w:val="20"/>
                <w:szCs w:val="20"/>
                <w:color w:val="auto"/>
              </w:rPr>
            </w:pPr>
            <w:r>
              <w:rPr>
                <w:rFonts w:ascii="Calibri" w:cs="Calibri" w:eastAsia="Calibri" w:hAnsi="Calibri"/>
                <w:sz w:val="14"/>
                <w:szCs w:val="14"/>
                <w:color w:val="auto"/>
              </w:rPr>
              <w:t>—</w:t>
            </w:r>
          </w:p>
        </w:tc>
      </w:tr>
      <w:tr>
        <w:trPr>
          <w:trHeight w:val="83"/>
        </w:trPr>
        <w:tc>
          <w:tcPr>
            <w:tcW w:w="7200" w:type="dxa"/>
            <w:vAlign w:val="bottom"/>
            <w:tcBorders>
              <w:bottom w:val="single" w:sz="8" w:color="B2B2B2"/>
            </w:tcBorders>
          </w:tcPr>
          <w:p>
            <w:pPr>
              <w:spacing w:after="0"/>
              <w:rPr>
                <w:sz w:val="7"/>
                <w:szCs w:val="7"/>
                <w:color w:val="auto"/>
              </w:rPr>
            </w:pPr>
          </w:p>
        </w:tc>
        <w:tc>
          <w:tcPr>
            <w:tcW w:w="500" w:type="dxa"/>
            <w:vAlign w:val="bottom"/>
            <w:tcBorders>
              <w:bottom w:val="single" w:sz="8" w:color="B2B2B2"/>
            </w:tcBorders>
          </w:tcPr>
          <w:p>
            <w:pPr>
              <w:spacing w:after="0"/>
              <w:rPr>
                <w:sz w:val="7"/>
                <w:szCs w:val="7"/>
                <w:color w:val="auto"/>
              </w:rPr>
            </w:pPr>
          </w:p>
        </w:tc>
        <w:tc>
          <w:tcPr>
            <w:tcW w:w="860" w:type="dxa"/>
            <w:vAlign w:val="bottom"/>
            <w:tcBorders>
              <w:bottom w:val="single" w:sz="8" w:color="B2B2B2"/>
            </w:tcBorders>
          </w:tcPr>
          <w:p>
            <w:pPr>
              <w:spacing w:after="0"/>
              <w:rPr>
                <w:sz w:val="7"/>
                <w:szCs w:val="7"/>
                <w:color w:val="auto"/>
              </w:rPr>
            </w:pPr>
          </w:p>
        </w:tc>
        <w:tc>
          <w:tcPr>
            <w:tcW w:w="1100" w:type="dxa"/>
            <w:vAlign w:val="bottom"/>
            <w:tcBorders>
              <w:bottom w:val="single" w:sz="8" w:color="B2B2B2"/>
            </w:tcBorders>
          </w:tcPr>
          <w:p>
            <w:pPr>
              <w:spacing w:after="0"/>
              <w:rPr>
                <w:sz w:val="7"/>
                <w:szCs w:val="7"/>
                <w:color w:val="auto"/>
              </w:rPr>
            </w:pPr>
          </w:p>
        </w:tc>
        <w:tc>
          <w:tcPr>
            <w:tcW w:w="960" w:type="dxa"/>
            <w:vAlign w:val="bottom"/>
            <w:tcBorders>
              <w:bottom w:val="single" w:sz="8" w:color="B2B2B2"/>
            </w:tcBorders>
          </w:tcPr>
          <w:p>
            <w:pPr>
              <w:spacing w:after="0"/>
              <w:rPr>
                <w:sz w:val="7"/>
                <w:szCs w:val="7"/>
                <w:color w:val="auto"/>
              </w:rPr>
            </w:pPr>
          </w:p>
        </w:tc>
      </w:tr>
      <w:tr>
        <w:trPr>
          <w:trHeight w:val="230"/>
        </w:trPr>
        <w:tc>
          <w:tcPr>
            <w:tcW w:w="7200" w:type="dxa"/>
            <w:vAlign w:val="bottom"/>
            <w:shd w:val="clear" w:color="auto" w:fill="D8D8D8"/>
          </w:tcPr>
          <w:p>
            <w:pPr>
              <w:ind w:left="40"/>
              <w:spacing w:after="0"/>
              <w:rPr>
                <w:sz w:val="20"/>
                <w:szCs w:val="20"/>
                <w:color w:val="auto"/>
              </w:rPr>
            </w:pPr>
            <w:r>
              <w:rPr>
                <w:rFonts w:ascii="Calibri" w:cs="Calibri" w:eastAsia="Calibri" w:hAnsi="Calibri"/>
                <w:sz w:val="17"/>
                <w:szCs w:val="17"/>
                <w:b w:val="1"/>
                <w:bCs w:val="1"/>
                <w:color w:val="auto"/>
              </w:rPr>
              <w:t>Part II: Demographic background</w:t>
            </w:r>
          </w:p>
        </w:tc>
        <w:tc>
          <w:tcPr>
            <w:tcW w:w="500" w:type="dxa"/>
            <w:vAlign w:val="bottom"/>
            <w:shd w:val="clear" w:color="auto" w:fill="D8D8D8"/>
          </w:tcPr>
          <w:p>
            <w:pPr>
              <w:spacing w:after="0"/>
              <w:rPr>
                <w:sz w:val="20"/>
                <w:szCs w:val="20"/>
                <w:color w:val="auto"/>
              </w:rPr>
            </w:pPr>
          </w:p>
        </w:tc>
        <w:tc>
          <w:tcPr>
            <w:tcW w:w="86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960" w:type="dxa"/>
            <w:vAlign w:val="bottom"/>
            <w:shd w:val="clear" w:color="auto" w:fill="D8D8D8"/>
          </w:tcPr>
          <w:p>
            <w:pPr>
              <w:spacing w:after="0"/>
              <w:rPr>
                <w:sz w:val="20"/>
                <w:szCs w:val="20"/>
                <w:color w:val="auto"/>
              </w:rPr>
            </w:pPr>
          </w:p>
        </w:tc>
      </w:tr>
      <w:tr>
        <w:trPr>
          <w:trHeight w:val="88"/>
        </w:trPr>
        <w:tc>
          <w:tcPr>
            <w:tcW w:w="7200" w:type="dxa"/>
            <w:vAlign w:val="bottom"/>
            <w:tcBorders>
              <w:bottom w:val="single" w:sz="8" w:color="B2B2B2"/>
            </w:tcBorders>
            <w:shd w:val="clear" w:color="auto" w:fill="D8D8D8"/>
          </w:tcPr>
          <w:p>
            <w:pPr>
              <w:spacing w:after="0"/>
              <w:rPr>
                <w:sz w:val="7"/>
                <w:szCs w:val="7"/>
                <w:color w:val="auto"/>
              </w:rPr>
            </w:pPr>
          </w:p>
        </w:tc>
        <w:tc>
          <w:tcPr>
            <w:tcW w:w="500" w:type="dxa"/>
            <w:vAlign w:val="bottom"/>
            <w:tcBorders>
              <w:bottom w:val="single" w:sz="8" w:color="B2B2B2"/>
            </w:tcBorders>
            <w:shd w:val="clear" w:color="auto" w:fill="D8D8D8"/>
          </w:tcPr>
          <w:p>
            <w:pPr>
              <w:spacing w:after="0"/>
              <w:rPr>
                <w:sz w:val="7"/>
                <w:szCs w:val="7"/>
                <w:color w:val="auto"/>
              </w:rPr>
            </w:pPr>
          </w:p>
        </w:tc>
        <w:tc>
          <w:tcPr>
            <w:tcW w:w="860" w:type="dxa"/>
            <w:vAlign w:val="bottom"/>
            <w:tcBorders>
              <w:bottom w:val="single" w:sz="8" w:color="B2B2B2"/>
            </w:tcBorders>
            <w:shd w:val="clear" w:color="auto" w:fill="D8D8D8"/>
          </w:tcPr>
          <w:p>
            <w:pPr>
              <w:spacing w:after="0"/>
              <w:rPr>
                <w:sz w:val="7"/>
                <w:szCs w:val="7"/>
                <w:color w:val="auto"/>
              </w:rPr>
            </w:pPr>
          </w:p>
        </w:tc>
        <w:tc>
          <w:tcPr>
            <w:tcW w:w="1100" w:type="dxa"/>
            <w:vAlign w:val="bottom"/>
            <w:tcBorders>
              <w:bottom w:val="single" w:sz="8" w:color="B2B2B2"/>
            </w:tcBorders>
            <w:shd w:val="clear" w:color="auto" w:fill="D8D8D8"/>
          </w:tcPr>
          <w:p>
            <w:pPr>
              <w:spacing w:after="0"/>
              <w:rPr>
                <w:sz w:val="7"/>
                <w:szCs w:val="7"/>
                <w:color w:val="auto"/>
              </w:rPr>
            </w:pPr>
          </w:p>
        </w:tc>
        <w:tc>
          <w:tcPr>
            <w:tcW w:w="960" w:type="dxa"/>
            <w:vAlign w:val="bottom"/>
            <w:tcBorders>
              <w:bottom w:val="single" w:sz="8" w:color="B2B2B2"/>
            </w:tcBorders>
            <w:shd w:val="clear" w:color="auto" w:fill="D8D8D8"/>
          </w:tcPr>
          <w:p>
            <w:pPr>
              <w:spacing w:after="0"/>
              <w:rPr>
                <w:sz w:val="7"/>
                <w:szCs w:val="7"/>
                <w:color w:val="auto"/>
              </w:rPr>
            </w:pPr>
          </w:p>
        </w:tc>
      </w:tr>
      <w:tr>
        <w:trPr>
          <w:trHeight w:val="235"/>
        </w:trPr>
        <w:tc>
          <w:tcPr>
            <w:tcW w:w="7200" w:type="dxa"/>
            <w:vAlign w:val="bottom"/>
          </w:tcPr>
          <w:p>
            <w:pPr>
              <w:ind w:left="40"/>
              <w:spacing w:after="0"/>
              <w:rPr>
                <w:sz w:val="20"/>
                <w:szCs w:val="20"/>
                <w:color w:val="auto"/>
              </w:rPr>
            </w:pPr>
            <w:r>
              <w:rPr>
                <w:rFonts w:ascii="Calibri" w:cs="Calibri" w:eastAsia="Calibri" w:hAnsi="Calibri"/>
                <w:sz w:val="17"/>
                <w:szCs w:val="17"/>
                <w:color w:val="auto"/>
              </w:rPr>
              <w:t>African American or Black</w:t>
            </w:r>
          </w:p>
        </w:tc>
        <w:tc>
          <w:tcPr>
            <w:tcW w:w="500" w:type="dxa"/>
            <w:vAlign w:val="bottom"/>
          </w:tcPr>
          <w:p>
            <w:pPr>
              <w:jc w:val="center"/>
              <w:ind w:left="108"/>
              <w:spacing w:after="0"/>
              <w:rPr>
                <w:sz w:val="20"/>
                <w:szCs w:val="20"/>
                <w:color w:val="auto"/>
              </w:rPr>
            </w:pPr>
            <w:r>
              <w:rPr>
                <w:rFonts w:ascii="Calibri" w:cs="Calibri" w:eastAsia="Calibri" w:hAnsi="Calibri"/>
                <w:sz w:val="14"/>
                <w:szCs w:val="14"/>
                <w:color w:val="auto"/>
                <w:w w:val="94"/>
              </w:rPr>
              <w:t>—</w:t>
            </w:r>
          </w:p>
        </w:tc>
        <w:tc>
          <w:tcPr>
            <w:tcW w:w="86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100" w:type="dxa"/>
            <w:vAlign w:val="bottom"/>
          </w:tcPr>
          <w:p>
            <w:pPr>
              <w:ind w:left="340"/>
              <w:spacing w:after="0"/>
              <w:rPr>
                <w:sz w:val="20"/>
                <w:szCs w:val="20"/>
                <w:color w:val="auto"/>
              </w:rPr>
            </w:pPr>
            <w:r>
              <w:rPr>
                <w:rFonts w:ascii="Calibri" w:cs="Calibri" w:eastAsia="Calibri" w:hAnsi="Calibri"/>
                <w:sz w:val="14"/>
                <w:szCs w:val="14"/>
                <w:color w:val="auto"/>
              </w:rPr>
              <w:t>—</w:t>
            </w:r>
          </w:p>
        </w:tc>
        <w:tc>
          <w:tcPr>
            <w:tcW w:w="960" w:type="dxa"/>
            <w:vAlign w:val="bottom"/>
          </w:tcPr>
          <w:p>
            <w:pPr>
              <w:ind w:left="340"/>
              <w:spacing w:after="0"/>
              <w:rPr>
                <w:sz w:val="20"/>
                <w:szCs w:val="20"/>
                <w:color w:val="auto"/>
              </w:rPr>
            </w:pPr>
            <w:r>
              <w:rPr>
                <w:rFonts w:ascii="Calibri" w:cs="Calibri" w:eastAsia="Calibri" w:hAnsi="Calibri"/>
                <w:sz w:val="14"/>
                <w:szCs w:val="14"/>
                <w:color w:val="auto"/>
              </w:rPr>
              <w:t>—</w:t>
            </w:r>
          </w:p>
        </w:tc>
      </w:tr>
      <w:tr>
        <w:trPr>
          <w:trHeight w:val="83"/>
        </w:trPr>
        <w:tc>
          <w:tcPr>
            <w:tcW w:w="7200" w:type="dxa"/>
            <w:vAlign w:val="bottom"/>
            <w:tcBorders>
              <w:bottom w:val="single" w:sz="8" w:color="B2B2B2"/>
            </w:tcBorders>
          </w:tcPr>
          <w:p>
            <w:pPr>
              <w:spacing w:after="0"/>
              <w:rPr>
                <w:sz w:val="7"/>
                <w:szCs w:val="7"/>
                <w:color w:val="auto"/>
              </w:rPr>
            </w:pPr>
          </w:p>
        </w:tc>
        <w:tc>
          <w:tcPr>
            <w:tcW w:w="500" w:type="dxa"/>
            <w:vAlign w:val="bottom"/>
            <w:tcBorders>
              <w:bottom w:val="single" w:sz="8" w:color="B2B2B2"/>
            </w:tcBorders>
          </w:tcPr>
          <w:p>
            <w:pPr>
              <w:spacing w:after="0"/>
              <w:rPr>
                <w:sz w:val="7"/>
                <w:szCs w:val="7"/>
                <w:color w:val="auto"/>
              </w:rPr>
            </w:pPr>
          </w:p>
        </w:tc>
        <w:tc>
          <w:tcPr>
            <w:tcW w:w="860" w:type="dxa"/>
            <w:vAlign w:val="bottom"/>
            <w:tcBorders>
              <w:bottom w:val="single" w:sz="8" w:color="B2B2B2"/>
            </w:tcBorders>
          </w:tcPr>
          <w:p>
            <w:pPr>
              <w:spacing w:after="0"/>
              <w:rPr>
                <w:sz w:val="7"/>
                <w:szCs w:val="7"/>
                <w:color w:val="auto"/>
              </w:rPr>
            </w:pPr>
          </w:p>
        </w:tc>
        <w:tc>
          <w:tcPr>
            <w:tcW w:w="1100" w:type="dxa"/>
            <w:vAlign w:val="bottom"/>
            <w:tcBorders>
              <w:bottom w:val="single" w:sz="8" w:color="B2B2B2"/>
            </w:tcBorders>
          </w:tcPr>
          <w:p>
            <w:pPr>
              <w:spacing w:after="0"/>
              <w:rPr>
                <w:sz w:val="7"/>
                <w:szCs w:val="7"/>
                <w:color w:val="auto"/>
              </w:rPr>
            </w:pPr>
          </w:p>
        </w:tc>
        <w:tc>
          <w:tcPr>
            <w:tcW w:w="960" w:type="dxa"/>
            <w:vAlign w:val="bottom"/>
            <w:tcBorders>
              <w:bottom w:val="single" w:sz="8" w:color="B2B2B2"/>
            </w:tcBorders>
          </w:tcPr>
          <w:p>
            <w:pPr>
              <w:spacing w:after="0"/>
              <w:rPr>
                <w:sz w:val="7"/>
                <w:szCs w:val="7"/>
                <w:color w:val="auto"/>
              </w:rPr>
            </w:pPr>
          </w:p>
        </w:tc>
      </w:tr>
      <w:tr>
        <w:trPr>
          <w:trHeight w:val="235"/>
        </w:trPr>
        <w:tc>
          <w:tcPr>
            <w:tcW w:w="7200" w:type="dxa"/>
            <w:vAlign w:val="bottom"/>
          </w:tcPr>
          <w:p>
            <w:pPr>
              <w:ind w:left="40"/>
              <w:spacing w:after="0"/>
              <w:rPr>
                <w:sz w:val="20"/>
                <w:szCs w:val="20"/>
                <w:color w:val="auto"/>
              </w:rPr>
            </w:pPr>
            <w:r>
              <w:rPr>
                <w:rFonts w:ascii="Calibri" w:cs="Calibri" w:eastAsia="Calibri" w:hAnsi="Calibri"/>
                <w:sz w:val="17"/>
                <w:szCs w:val="17"/>
                <w:color w:val="auto"/>
              </w:rPr>
              <w:t>Alaskan Natve or Natve American</w:t>
            </w:r>
          </w:p>
        </w:tc>
        <w:tc>
          <w:tcPr>
            <w:tcW w:w="500" w:type="dxa"/>
            <w:vAlign w:val="bottom"/>
          </w:tcPr>
          <w:p>
            <w:pPr>
              <w:jc w:val="center"/>
              <w:ind w:left="108"/>
              <w:spacing w:after="0"/>
              <w:rPr>
                <w:sz w:val="20"/>
                <w:szCs w:val="20"/>
                <w:color w:val="auto"/>
              </w:rPr>
            </w:pPr>
            <w:r>
              <w:rPr>
                <w:rFonts w:ascii="Calibri" w:cs="Calibri" w:eastAsia="Calibri" w:hAnsi="Calibri"/>
                <w:sz w:val="14"/>
                <w:szCs w:val="14"/>
                <w:color w:val="auto"/>
                <w:w w:val="94"/>
              </w:rPr>
              <w:t>—</w:t>
            </w:r>
          </w:p>
        </w:tc>
        <w:tc>
          <w:tcPr>
            <w:tcW w:w="86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100" w:type="dxa"/>
            <w:vAlign w:val="bottom"/>
          </w:tcPr>
          <w:p>
            <w:pPr>
              <w:ind w:left="340"/>
              <w:spacing w:after="0"/>
              <w:rPr>
                <w:sz w:val="20"/>
                <w:szCs w:val="20"/>
                <w:color w:val="auto"/>
              </w:rPr>
            </w:pPr>
            <w:r>
              <w:rPr>
                <w:rFonts w:ascii="Calibri" w:cs="Calibri" w:eastAsia="Calibri" w:hAnsi="Calibri"/>
                <w:sz w:val="14"/>
                <w:szCs w:val="14"/>
                <w:color w:val="auto"/>
              </w:rPr>
              <w:t>—</w:t>
            </w:r>
          </w:p>
        </w:tc>
        <w:tc>
          <w:tcPr>
            <w:tcW w:w="960" w:type="dxa"/>
            <w:vAlign w:val="bottom"/>
          </w:tcPr>
          <w:p>
            <w:pPr>
              <w:ind w:left="340"/>
              <w:spacing w:after="0"/>
              <w:rPr>
                <w:sz w:val="20"/>
                <w:szCs w:val="20"/>
                <w:color w:val="auto"/>
              </w:rPr>
            </w:pPr>
            <w:r>
              <w:rPr>
                <w:rFonts w:ascii="Calibri" w:cs="Calibri" w:eastAsia="Calibri" w:hAnsi="Calibri"/>
                <w:sz w:val="14"/>
                <w:szCs w:val="14"/>
                <w:color w:val="auto"/>
              </w:rPr>
              <w:t>—</w:t>
            </w:r>
          </w:p>
        </w:tc>
      </w:tr>
      <w:tr>
        <w:trPr>
          <w:trHeight w:val="83"/>
        </w:trPr>
        <w:tc>
          <w:tcPr>
            <w:tcW w:w="7200" w:type="dxa"/>
            <w:vAlign w:val="bottom"/>
            <w:tcBorders>
              <w:bottom w:val="single" w:sz="8" w:color="B2B2B2"/>
            </w:tcBorders>
          </w:tcPr>
          <w:p>
            <w:pPr>
              <w:spacing w:after="0"/>
              <w:rPr>
                <w:sz w:val="7"/>
                <w:szCs w:val="7"/>
                <w:color w:val="auto"/>
              </w:rPr>
            </w:pPr>
          </w:p>
        </w:tc>
        <w:tc>
          <w:tcPr>
            <w:tcW w:w="500" w:type="dxa"/>
            <w:vAlign w:val="bottom"/>
            <w:tcBorders>
              <w:bottom w:val="single" w:sz="8" w:color="B2B2B2"/>
            </w:tcBorders>
          </w:tcPr>
          <w:p>
            <w:pPr>
              <w:spacing w:after="0"/>
              <w:rPr>
                <w:sz w:val="7"/>
                <w:szCs w:val="7"/>
                <w:color w:val="auto"/>
              </w:rPr>
            </w:pPr>
          </w:p>
        </w:tc>
        <w:tc>
          <w:tcPr>
            <w:tcW w:w="860" w:type="dxa"/>
            <w:vAlign w:val="bottom"/>
            <w:tcBorders>
              <w:bottom w:val="single" w:sz="8" w:color="B2B2B2"/>
            </w:tcBorders>
          </w:tcPr>
          <w:p>
            <w:pPr>
              <w:spacing w:after="0"/>
              <w:rPr>
                <w:sz w:val="7"/>
                <w:szCs w:val="7"/>
                <w:color w:val="auto"/>
              </w:rPr>
            </w:pPr>
          </w:p>
        </w:tc>
        <w:tc>
          <w:tcPr>
            <w:tcW w:w="1100" w:type="dxa"/>
            <w:vAlign w:val="bottom"/>
            <w:tcBorders>
              <w:bottom w:val="single" w:sz="8" w:color="B2B2B2"/>
            </w:tcBorders>
          </w:tcPr>
          <w:p>
            <w:pPr>
              <w:spacing w:after="0"/>
              <w:rPr>
                <w:sz w:val="7"/>
                <w:szCs w:val="7"/>
                <w:color w:val="auto"/>
              </w:rPr>
            </w:pPr>
          </w:p>
        </w:tc>
        <w:tc>
          <w:tcPr>
            <w:tcW w:w="960" w:type="dxa"/>
            <w:vAlign w:val="bottom"/>
            <w:tcBorders>
              <w:bottom w:val="single" w:sz="8" w:color="B2B2B2"/>
            </w:tcBorders>
          </w:tcPr>
          <w:p>
            <w:pPr>
              <w:spacing w:after="0"/>
              <w:rPr>
                <w:sz w:val="7"/>
                <w:szCs w:val="7"/>
                <w:color w:val="auto"/>
              </w:rPr>
            </w:pPr>
          </w:p>
        </w:tc>
      </w:tr>
      <w:tr>
        <w:trPr>
          <w:trHeight w:val="235"/>
        </w:trPr>
        <w:tc>
          <w:tcPr>
            <w:tcW w:w="7200" w:type="dxa"/>
            <w:vAlign w:val="bottom"/>
          </w:tcPr>
          <w:p>
            <w:pPr>
              <w:ind w:left="40"/>
              <w:spacing w:after="0"/>
              <w:rPr>
                <w:sz w:val="20"/>
                <w:szCs w:val="20"/>
                <w:color w:val="auto"/>
              </w:rPr>
            </w:pPr>
            <w:r>
              <w:rPr>
                <w:rFonts w:ascii="Calibri" w:cs="Calibri" w:eastAsia="Calibri" w:hAnsi="Calibri"/>
                <w:sz w:val="17"/>
                <w:szCs w:val="17"/>
                <w:color w:val="auto"/>
              </w:rPr>
              <w:t>Asian</w:t>
            </w:r>
          </w:p>
        </w:tc>
        <w:tc>
          <w:tcPr>
            <w:tcW w:w="500" w:type="dxa"/>
            <w:vAlign w:val="bottom"/>
          </w:tcPr>
          <w:p>
            <w:pPr>
              <w:jc w:val="center"/>
              <w:ind w:left="108"/>
              <w:spacing w:after="0"/>
              <w:rPr>
                <w:sz w:val="20"/>
                <w:szCs w:val="20"/>
                <w:color w:val="auto"/>
              </w:rPr>
            </w:pPr>
            <w:r>
              <w:rPr>
                <w:rFonts w:ascii="Calibri" w:cs="Calibri" w:eastAsia="Calibri" w:hAnsi="Calibri"/>
                <w:sz w:val="14"/>
                <w:szCs w:val="14"/>
                <w:color w:val="auto"/>
                <w:w w:val="94"/>
              </w:rPr>
              <w:t>—</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4</w:t>
            </w:r>
          </w:p>
        </w:tc>
        <w:tc>
          <w:tcPr>
            <w:tcW w:w="1100" w:type="dxa"/>
            <w:vAlign w:val="bottom"/>
          </w:tcPr>
          <w:p>
            <w:pPr>
              <w:ind w:left="340"/>
              <w:spacing w:after="0"/>
              <w:rPr>
                <w:sz w:val="20"/>
                <w:szCs w:val="20"/>
                <w:color w:val="auto"/>
              </w:rPr>
            </w:pPr>
            <w:r>
              <w:rPr>
                <w:rFonts w:ascii="Calibri" w:cs="Calibri" w:eastAsia="Calibri" w:hAnsi="Calibri"/>
                <w:sz w:val="14"/>
                <w:szCs w:val="14"/>
                <w:color w:val="auto"/>
              </w:rPr>
              <w:t>—</w:t>
            </w:r>
          </w:p>
        </w:tc>
        <w:tc>
          <w:tcPr>
            <w:tcW w:w="960" w:type="dxa"/>
            <w:vAlign w:val="bottom"/>
          </w:tcPr>
          <w:p>
            <w:pPr>
              <w:ind w:left="340"/>
              <w:spacing w:after="0"/>
              <w:rPr>
                <w:sz w:val="20"/>
                <w:szCs w:val="20"/>
                <w:color w:val="auto"/>
              </w:rPr>
            </w:pPr>
            <w:r>
              <w:rPr>
                <w:rFonts w:ascii="Calibri" w:cs="Calibri" w:eastAsia="Calibri" w:hAnsi="Calibri"/>
                <w:sz w:val="14"/>
                <w:szCs w:val="14"/>
                <w:color w:val="auto"/>
              </w:rPr>
              <w:t>—</w:t>
            </w:r>
          </w:p>
        </w:tc>
      </w:tr>
      <w:tr>
        <w:trPr>
          <w:trHeight w:val="83"/>
        </w:trPr>
        <w:tc>
          <w:tcPr>
            <w:tcW w:w="7200" w:type="dxa"/>
            <w:vAlign w:val="bottom"/>
            <w:tcBorders>
              <w:bottom w:val="single" w:sz="8" w:color="B2B2B2"/>
            </w:tcBorders>
          </w:tcPr>
          <w:p>
            <w:pPr>
              <w:spacing w:after="0"/>
              <w:rPr>
                <w:sz w:val="7"/>
                <w:szCs w:val="7"/>
                <w:color w:val="auto"/>
              </w:rPr>
            </w:pPr>
          </w:p>
        </w:tc>
        <w:tc>
          <w:tcPr>
            <w:tcW w:w="500" w:type="dxa"/>
            <w:vAlign w:val="bottom"/>
            <w:tcBorders>
              <w:bottom w:val="single" w:sz="8" w:color="B2B2B2"/>
            </w:tcBorders>
          </w:tcPr>
          <w:p>
            <w:pPr>
              <w:spacing w:after="0"/>
              <w:rPr>
                <w:sz w:val="7"/>
                <w:szCs w:val="7"/>
                <w:color w:val="auto"/>
              </w:rPr>
            </w:pPr>
          </w:p>
        </w:tc>
        <w:tc>
          <w:tcPr>
            <w:tcW w:w="860" w:type="dxa"/>
            <w:vAlign w:val="bottom"/>
            <w:tcBorders>
              <w:bottom w:val="single" w:sz="8" w:color="B2B2B2"/>
            </w:tcBorders>
          </w:tcPr>
          <w:p>
            <w:pPr>
              <w:spacing w:after="0"/>
              <w:rPr>
                <w:sz w:val="7"/>
                <w:szCs w:val="7"/>
                <w:color w:val="auto"/>
              </w:rPr>
            </w:pPr>
          </w:p>
        </w:tc>
        <w:tc>
          <w:tcPr>
            <w:tcW w:w="1100" w:type="dxa"/>
            <w:vAlign w:val="bottom"/>
            <w:tcBorders>
              <w:bottom w:val="single" w:sz="8" w:color="B2B2B2"/>
            </w:tcBorders>
          </w:tcPr>
          <w:p>
            <w:pPr>
              <w:spacing w:after="0"/>
              <w:rPr>
                <w:sz w:val="7"/>
                <w:szCs w:val="7"/>
                <w:color w:val="auto"/>
              </w:rPr>
            </w:pPr>
          </w:p>
        </w:tc>
        <w:tc>
          <w:tcPr>
            <w:tcW w:w="960" w:type="dxa"/>
            <w:vAlign w:val="bottom"/>
            <w:tcBorders>
              <w:bottom w:val="single" w:sz="8" w:color="B2B2B2"/>
            </w:tcBorders>
          </w:tcPr>
          <w:p>
            <w:pPr>
              <w:spacing w:after="0"/>
              <w:rPr>
                <w:sz w:val="7"/>
                <w:szCs w:val="7"/>
                <w:color w:val="auto"/>
              </w:rPr>
            </w:pPr>
          </w:p>
        </w:tc>
      </w:tr>
      <w:tr>
        <w:trPr>
          <w:trHeight w:val="235"/>
        </w:trPr>
        <w:tc>
          <w:tcPr>
            <w:tcW w:w="7200" w:type="dxa"/>
            <w:vAlign w:val="bottom"/>
          </w:tcPr>
          <w:p>
            <w:pPr>
              <w:ind w:left="40"/>
              <w:spacing w:after="0"/>
              <w:rPr>
                <w:sz w:val="20"/>
                <w:szCs w:val="20"/>
                <w:color w:val="auto"/>
              </w:rPr>
            </w:pPr>
            <w:r>
              <w:rPr>
                <w:rFonts w:ascii="Calibri" w:cs="Calibri" w:eastAsia="Calibri" w:hAnsi="Calibri"/>
                <w:sz w:val="17"/>
                <w:szCs w:val="17"/>
                <w:color w:val="auto"/>
              </w:rPr>
              <w:t>Hispanic or Latnx</w:t>
            </w:r>
          </w:p>
        </w:tc>
        <w:tc>
          <w:tcPr>
            <w:tcW w:w="500" w:type="dxa"/>
            <w:vAlign w:val="bottom"/>
          </w:tcPr>
          <w:p>
            <w:pPr>
              <w:jc w:val="center"/>
              <w:ind w:left="108"/>
              <w:spacing w:after="0"/>
              <w:rPr>
                <w:sz w:val="20"/>
                <w:szCs w:val="20"/>
                <w:color w:val="auto"/>
              </w:rPr>
            </w:pPr>
            <w:r>
              <w:rPr>
                <w:rFonts w:ascii="Calibri" w:cs="Calibri" w:eastAsia="Calibri" w:hAnsi="Calibri"/>
                <w:sz w:val="14"/>
                <w:szCs w:val="14"/>
                <w:color w:val="auto"/>
                <w:w w:val="94"/>
              </w:rPr>
              <w:t>—</w:t>
            </w:r>
          </w:p>
        </w:tc>
        <w:tc>
          <w:tcPr>
            <w:tcW w:w="86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100" w:type="dxa"/>
            <w:vAlign w:val="bottom"/>
          </w:tcPr>
          <w:p>
            <w:pPr>
              <w:ind w:left="340"/>
              <w:spacing w:after="0"/>
              <w:rPr>
                <w:sz w:val="20"/>
                <w:szCs w:val="20"/>
                <w:color w:val="auto"/>
              </w:rPr>
            </w:pPr>
            <w:r>
              <w:rPr>
                <w:rFonts w:ascii="Calibri" w:cs="Calibri" w:eastAsia="Calibri" w:hAnsi="Calibri"/>
                <w:sz w:val="14"/>
                <w:szCs w:val="14"/>
                <w:color w:val="auto"/>
              </w:rPr>
              <w:t>—</w:t>
            </w:r>
          </w:p>
        </w:tc>
        <w:tc>
          <w:tcPr>
            <w:tcW w:w="960" w:type="dxa"/>
            <w:vAlign w:val="bottom"/>
          </w:tcPr>
          <w:p>
            <w:pPr>
              <w:ind w:left="340"/>
              <w:spacing w:after="0"/>
              <w:rPr>
                <w:sz w:val="20"/>
                <w:szCs w:val="20"/>
                <w:color w:val="auto"/>
              </w:rPr>
            </w:pPr>
            <w:r>
              <w:rPr>
                <w:rFonts w:ascii="Calibri" w:cs="Calibri" w:eastAsia="Calibri" w:hAnsi="Calibri"/>
                <w:sz w:val="14"/>
                <w:szCs w:val="14"/>
                <w:color w:val="auto"/>
              </w:rPr>
              <w:t>—</w:t>
            </w:r>
          </w:p>
        </w:tc>
      </w:tr>
      <w:tr>
        <w:trPr>
          <w:trHeight w:val="83"/>
        </w:trPr>
        <w:tc>
          <w:tcPr>
            <w:tcW w:w="7200" w:type="dxa"/>
            <w:vAlign w:val="bottom"/>
            <w:tcBorders>
              <w:bottom w:val="single" w:sz="8" w:color="B2B2B2"/>
            </w:tcBorders>
          </w:tcPr>
          <w:p>
            <w:pPr>
              <w:spacing w:after="0"/>
              <w:rPr>
                <w:sz w:val="7"/>
                <w:szCs w:val="7"/>
                <w:color w:val="auto"/>
              </w:rPr>
            </w:pPr>
          </w:p>
        </w:tc>
        <w:tc>
          <w:tcPr>
            <w:tcW w:w="500" w:type="dxa"/>
            <w:vAlign w:val="bottom"/>
            <w:tcBorders>
              <w:bottom w:val="single" w:sz="8" w:color="B2B2B2"/>
            </w:tcBorders>
          </w:tcPr>
          <w:p>
            <w:pPr>
              <w:spacing w:after="0"/>
              <w:rPr>
                <w:sz w:val="7"/>
                <w:szCs w:val="7"/>
                <w:color w:val="auto"/>
              </w:rPr>
            </w:pPr>
          </w:p>
        </w:tc>
        <w:tc>
          <w:tcPr>
            <w:tcW w:w="860" w:type="dxa"/>
            <w:vAlign w:val="bottom"/>
            <w:tcBorders>
              <w:bottom w:val="single" w:sz="8" w:color="B2B2B2"/>
            </w:tcBorders>
          </w:tcPr>
          <w:p>
            <w:pPr>
              <w:spacing w:after="0"/>
              <w:rPr>
                <w:sz w:val="7"/>
                <w:szCs w:val="7"/>
                <w:color w:val="auto"/>
              </w:rPr>
            </w:pPr>
          </w:p>
        </w:tc>
        <w:tc>
          <w:tcPr>
            <w:tcW w:w="1100" w:type="dxa"/>
            <w:vAlign w:val="bottom"/>
            <w:tcBorders>
              <w:bottom w:val="single" w:sz="8" w:color="B2B2B2"/>
            </w:tcBorders>
          </w:tcPr>
          <w:p>
            <w:pPr>
              <w:spacing w:after="0"/>
              <w:rPr>
                <w:sz w:val="7"/>
                <w:szCs w:val="7"/>
                <w:color w:val="auto"/>
              </w:rPr>
            </w:pPr>
          </w:p>
        </w:tc>
        <w:tc>
          <w:tcPr>
            <w:tcW w:w="960" w:type="dxa"/>
            <w:vAlign w:val="bottom"/>
            <w:tcBorders>
              <w:bottom w:val="single" w:sz="8" w:color="B2B2B2"/>
            </w:tcBorders>
          </w:tcPr>
          <w:p>
            <w:pPr>
              <w:spacing w:after="0"/>
              <w:rPr>
                <w:sz w:val="7"/>
                <w:szCs w:val="7"/>
                <w:color w:val="auto"/>
              </w:rPr>
            </w:pPr>
          </w:p>
        </w:tc>
      </w:tr>
      <w:tr>
        <w:trPr>
          <w:trHeight w:val="235"/>
        </w:trPr>
        <w:tc>
          <w:tcPr>
            <w:tcW w:w="7200" w:type="dxa"/>
            <w:vAlign w:val="bottom"/>
          </w:tcPr>
          <w:p>
            <w:pPr>
              <w:ind w:left="40"/>
              <w:spacing w:after="0"/>
              <w:rPr>
                <w:sz w:val="20"/>
                <w:szCs w:val="20"/>
                <w:color w:val="auto"/>
              </w:rPr>
            </w:pPr>
            <w:r>
              <w:rPr>
                <w:rFonts w:ascii="Calibri" w:cs="Calibri" w:eastAsia="Calibri" w:hAnsi="Calibri"/>
                <w:sz w:val="17"/>
                <w:szCs w:val="17"/>
                <w:color w:val="auto"/>
              </w:rPr>
              <w:t>Natve Hawaiian or Pacifc Islander</w:t>
            </w:r>
          </w:p>
        </w:tc>
        <w:tc>
          <w:tcPr>
            <w:tcW w:w="500" w:type="dxa"/>
            <w:vAlign w:val="bottom"/>
          </w:tcPr>
          <w:p>
            <w:pPr>
              <w:jc w:val="center"/>
              <w:ind w:left="108"/>
              <w:spacing w:after="0"/>
              <w:rPr>
                <w:sz w:val="20"/>
                <w:szCs w:val="20"/>
                <w:color w:val="auto"/>
              </w:rPr>
            </w:pPr>
            <w:r>
              <w:rPr>
                <w:rFonts w:ascii="Calibri" w:cs="Calibri" w:eastAsia="Calibri" w:hAnsi="Calibri"/>
                <w:sz w:val="14"/>
                <w:szCs w:val="14"/>
                <w:color w:val="auto"/>
                <w:w w:val="94"/>
              </w:rPr>
              <w:t>—</w:t>
            </w:r>
          </w:p>
        </w:tc>
        <w:tc>
          <w:tcPr>
            <w:tcW w:w="86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100" w:type="dxa"/>
            <w:vAlign w:val="bottom"/>
          </w:tcPr>
          <w:p>
            <w:pPr>
              <w:ind w:left="340"/>
              <w:spacing w:after="0"/>
              <w:rPr>
                <w:sz w:val="20"/>
                <w:szCs w:val="20"/>
                <w:color w:val="auto"/>
              </w:rPr>
            </w:pPr>
            <w:r>
              <w:rPr>
                <w:rFonts w:ascii="Calibri" w:cs="Calibri" w:eastAsia="Calibri" w:hAnsi="Calibri"/>
                <w:sz w:val="14"/>
                <w:szCs w:val="14"/>
                <w:color w:val="auto"/>
              </w:rPr>
              <w:t>—</w:t>
            </w:r>
          </w:p>
        </w:tc>
        <w:tc>
          <w:tcPr>
            <w:tcW w:w="960" w:type="dxa"/>
            <w:vAlign w:val="bottom"/>
          </w:tcPr>
          <w:p>
            <w:pPr>
              <w:ind w:left="340"/>
              <w:spacing w:after="0"/>
              <w:rPr>
                <w:sz w:val="20"/>
                <w:szCs w:val="20"/>
                <w:color w:val="auto"/>
              </w:rPr>
            </w:pPr>
            <w:r>
              <w:rPr>
                <w:rFonts w:ascii="Calibri" w:cs="Calibri" w:eastAsia="Calibri" w:hAnsi="Calibri"/>
                <w:sz w:val="14"/>
                <w:szCs w:val="14"/>
                <w:color w:val="auto"/>
              </w:rPr>
              <w:t>—</w:t>
            </w:r>
          </w:p>
        </w:tc>
      </w:tr>
      <w:tr>
        <w:trPr>
          <w:trHeight w:val="83"/>
        </w:trPr>
        <w:tc>
          <w:tcPr>
            <w:tcW w:w="7200" w:type="dxa"/>
            <w:vAlign w:val="bottom"/>
            <w:tcBorders>
              <w:bottom w:val="single" w:sz="8" w:color="B2B2B2"/>
            </w:tcBorders>
          </w:tcPr>
          <w:p>
            <w:pPr>
              <w:spacing w:after="0"/>
              <w:rPr>
                <w:sz w:val="7"/>
                <w:szCs w:val="7"/>
                <w:color w:val="auto"/>
              </w:rPr>
            </w:pPr>
          </w:p>
        </w:tc>
        <w:tc>
          <w:tcPr>
            <w:tcW w:w="500" w:type="dxa"/>
            <w:vAlign w:val="bottom"/>
            <w:tcBorders>
              <w:bottom w:val="single" w:sz="8" w:color="B2B2B2"/>
            </w:tcBorders>
          </w:tcPr>
          <w:p>
            <w:pPr>
              <w:spacing w:after="0"/>
              <w:rPr>
                <w:sz w:val="7"/>
                <w:szCs w:val="7"/>
                <w:color w:val="auto"/>
              </w:rPr>
            </w:pPr>
          </w:p>
        </w:tc>
        <w:tc>
          <w:tcPr>
            <w:tcW w:w="860" w:type="dxa"/>
            <w:vAlign w:val="bottom"/>
            <w:tcBorders>
              <w:bottom w:val="single" w:sz="8" w:color="B2B2B2"/>
            </w:tcBorders>
          </w:tcPr>
          <w:p>
            <w:pPr>
              <w:spacing w:after="0"/>
              <w:rPr>
                <w:sz w:val="7"/>
                <w:szCs w:val="7"/>
                <w:color w:val="auto"/>
              </w:rPr>
            </w:pPr>
          </w:p>
        </w:tc>
        <w:tc>
          <w:tcPr>
            <w:tcW w:w="1100" w:type="dxa"/>
            <w:vAlign w:val="bottom"/>
            <w:tcBorders>
              <w:bottom w:val="single" w:sz="8" w:color="B2B2B2"/>
            </w:tcBorders>
          </w:tcPr>
          <w:p>
            <w:pPr>
              <w:spacing w:after="0"/>
              <w:rPr>
                <w:sz w:val="7"/>
                <w:szCs w:val="7"/>
                <w:color w:val="auto"/>
              </w:rPr>
            </w:pPr>
          </w:p>
        </w:tc>
        <w:tc>
          <w:tcPr>
            <w:tcW w:w="960" w:type="dxa"/>
            <w:vAlign w:val="bottom"/>
            <w:tcBorders>
              <w:bottom w:val="single" w:sz="8" w:color="B2B2B2"/>
            </w:tcBorders>
          </w:tcPr>
          <w:p>
            <w:pPr>
              <w:spacing w:after="0"/>
              <w:rPr>
                <w:sz w:val="7"/>
                <w:szCs w:val="7"/>
                <w:color w:val="auto"/>
              </w:rPr>
            </w:pPr>
          </w:p>
        </w:tc>
      </w:tr>
      <w:tr>
        <w:trPr>
          <w:trHeight w:val="235"/>
        </w:trPr>
        <w:tc>
          <w:tcPr>
            <w:tcW w:w="7200" w:type="dxa"/>
            <w:vAlign w:val="bottom"/>
          </w:tcPr>
          <w:p>
            <w:pPr>
              <w:ind w:left="40"/>
              <w:spacing w:after="0"/>
              <w:rPr>
                <w:sz w:val="20"/>
                <w:szCs w:val="20"/>
                <w:color w:val="auto"/>
              </w:rPr>
            </w:pPr>
            <w:r>
              <w:rPr>
                <w:rFonts w:ascii="Calibri" w:cs="Calibri" w:eastAsia="Calibri" w:hAnsi="Calibri"/>
                <w:sz w:val="17"/>
                <w:szCs w:val="17"/>
                <w:color w:val="auto"/>
              </w:rPr>
              <w:t>White (other than Middle Eastern)</w:t>
            </w:r>
          </w:p>
        </w:tc>
        <w:tc>
          <w:tcPr>
            <w:tcW w:w="500" w:type="dxa"/>
            <w:vAlign w:val="bottom"/>
          </w:tcPr>
          <w:p>
            <w:pPr>
              <w:jc w:val="center"/>
              <w:ind w:left="108"/>
              <w:spacing w:after="0"/>
              <w:rPr>
                <w:sz w:val="20"/>
                <w:szCs w:val="20"/>
                <w:color w:val="auto"/>
              </w:rPr>
            </w:pPr>
            <w:r>
              <w:rPr>
                <w:rFonts w:ascii="Calibri" w:cs="Calibri" w:eastAsia="Calibri" w:hAnsi="Calibri"/>
                <w:sz w:val="17"/>
                <w:szCs w:val="17"/>
                <w:color w:val="auto"/>
                <w:w w:val="92"/>
              </w:rPr>
              <w:t>3</w:t>
            </w:r>
          </w:p>
        </w:tc>
        <w:tc>
          <w:tcPr>
            <w:tcW w:w="860" w:type="dxa"/>
            <w:vAlign w:val="bottom"/>
          </w:tcPr>
          <w:p>
            <w:pPr>
              <w:jc w:val="center"/>
              <w:spacing w:after="0"/>
              <w:rPr>
                <w:sz w:val="20"/>
                <w:szCs w:val="20"/>
                <w:color w:val="auto"/>
              </w:rPr>
            </w:pPr>
            <w:r>
              <w:rPr>
                <w:rFonts w:ascii="Calibri" w:cs="Calibri" w:eastAsia="Calibri" w:hAnsi="Calibri"/>
                <w:sz w:val="17"/>
                <w:szCs w:val="17"/>
                <w:color w:val="auto"/>
              </w:rPr>
              <w:t>2</w:t>
            </w:r>
          </w:p>
        </w:tc>
        <w:tc>
          <w:tcPr>
            <w:tcW w:w="1100" w:type="dxa"/>
            <w:vAlign w:val="bottom"/>
          </w:tcPr>
          <w:p>
            <w:pPr>
              <w:ind w:left="340"/>
              <w:spacing w:after="0"/>
              <w:rPr>
                <w:sz w:val="20"/>
                <w:szCs w:val="20"/>
                <w:color w:val="auto"/>
              </w:rPr>
            </w:pPr>
            <w:r>
              <w:rPr>
                <w:rFonts w:ascii="Calibri" w:cs="Calibri" w:eastAsia="Calibri" w:hAnsi="Calibri"/>
                <w:sz w:val="14"/>
                <w:szCs w:val="14"/>
                <w:color w:val="auto"/>
              </w:rPr>
              <w:t>—</w:t>
            </w:r>
          </w:p>
        </w:tc>
        <w:tc>
          <w:tcPr>
            <w:tcW w:w="960" w:type="dxa"/>
            <w:vAlign w:val="bottom"/>
          </w:tcPr>
          <w:p>
            <w:pPr>
              <w:ind w:left="340"/>
              <w:spacing w:after="0"/>
              <w:rPr>
                <w:sz w:val="20"/>
                <w:szCs w:val="20"/>
                <w:color w:val="auto"/>
              </w:rPr>
            </w:pPr>
            <w:r>
              <w:rPr>
                <w:rFonts w:ascii="Calibri" w:cs="Calibri" w:eastAsia="Calibri" w:hAnsi="Calibri"/>
                <w:sz w:val="14"/>
                <w:szCs w:val="14"/>
                <w:color w:val="auto"/>
              </w:rPr>
              <w:t>—</w:t>
            </w:r>
          </w:p>
        </w:tc>
      </w:tr>
      <w:tr>
        <w:trPr>
          <w:trHeight w:val="83"/>
        </w:trPr>
        <w:tc>
          <w:tcPr>
            <w:tcW w:w="7200" w:type="dxa"/>
            <w:vAlign w:val="bottom"/>
            <w:tcBorders>
              <w:bottom w:val="single" w:sz="8" w:color="B2B2B2"/>
            </w:tcBorders>
          </w:tcPr>
          <w:p>
            <w:pPr>
              <w:spacing w:after="0"/>
              <w:rPr>
                <w:sz w:val="7"/>
                <w:szCs w:val="7"/>
                <w:color w:val="auto"/>
              </w:rPr>
            </w:pPr>
          </w:p>
        </w:tc>
        <w:tc>
          <w:tcPr>
            <w:tcW w:w="500" w:type="dxa"/>
            <w:vAlign w:val="bottom"/>
            <w:tcBorders>
              <w:bottom w:val="single" w:sz="8" w:color="B2B2B2"/>
            </w:tcBorders>
          </w:tcPr>
          <w:p>
            <w:pPr>
              <w:spacing w:after="0"/>
              <w:rPr>
                <w:sz w:val="7"/>
                <w:szCs w:val="7"/>
                <w:color w:val="auto"/>
              </w:rPr>
            </w:pPr>
          </w:p>
        </w:tc>
        <w:tc>
          <w:tcPr>
            <w:tcW w:w="860" w:type="dxa"/>
            <w:vAlign w:val="bottom"/>
            <w:tcBorders>
              <w:bottom w:val="single" w:sz="8" w:color="B2B2B2"/>
            </w:tcBorders>
          </w:tcPr>
          <w:p>
            <w:pPr>
              <w:spacing w:after="0"/>
              <w:rPr>
                <w:sz w:val="7"/>
                <w:szCs w:val="7"/>
                <w:color w:val="auto"/>
              </w:rPr>
            </w:pPr>
          </w:p>
        </w:tc>
        <w:tc>
          <w:tcPr>
            <w:tcW w:w="1100" w:type="dxa"/>
            <w:vAlign w:val="bottom"/>
            <w:tcBorders>
              <w:bottom w:val="single" w:sz="8" w:color="B2B2B2"/>
            </w:tcBorders>
          </w:tcPr>
          <w:p>
            <w:pPr>
              <w:spacing w:after="0"/>
              <w:rPr>
                <w:sz w:val="7"/>
                <w:szCs w:val="7"/>
                <w:color w:val="auto"/>
              </w:rPr>
            </w:pPr>
          </w:p>
        </w:tc>
        <w:tc>
          <w:tcPr>
            <w:tcW w:w="960" w:type="dxa"/>
            <w:vAlign w:val="bottom"/>
            <w:tcBorders>
              <w:bottom w:val="single" w:sz="8" w:color="B2B2B2"/>
            </w:tcBorders>
          </w:tcPr>
          <w:p>
            <w:pPr>
              <w:spacing w:after="0"/>
              <w:rPr>
                <w:sz w:val="7"/>
                <w:szCs w:val="7"/>
                <w:color w:val="auto"/>
              </w:rPr>
            </w:pPr>
          </w:p>
        </w:tc>
      </w:tr>
      <w:tr>
        <w:trPr>
          <w:trHeight w:val="235"/>
        </w:trPr>
        <w:tc>
          <w:tcPr>
            <w:tcW w:w="7200" w:type="dxa"/>
            <w:vAlign w:val="bottom"/>
          </w:tcPr>
          <w:p>
            <w:pPr>
              <w:ind w:left="40"/>
              <w:spacing w:after="0"/>
              <w:rPr>
                <w:sz w:val="20"/>
                <w:szCs w:val="20"/>
                <w:color w:val="auto"/>
              </w:rPr>
            </w:pPr>
            <w:r>
              <w:rPr>
                <w:rFonts w:ascii="Calibri" w:cs="Calibri" w:eastAsia="Calibri" w:hAnsi="Calibri"/>
                <w:sz w:val="17"/>
                <w:szCs w:val="17"/>
                <w:color w:val="auto"/>
              </w:rPr>
              <w:t>Middle Eastern</w:t>
            </w:r>
          </w:p>
        </w:tc>
        <w:tc>
          <w:tcPr>
            <w:tcW w:w="500" w:type="dxa"/>
            <w:vAlign w:val="bottom"/>
          </w:tcPr>
          <w:p>
            <w:pPr>
              <w:jc w:val="center"/>
              <w:ind w:left="108"/>
              <w:spacing w:after="0"/>
              <w:rPr>
                <w:sz w:val="20"/>
                <w:szCs w:val="20"/>
                <w:color w:val="auto"/>
              </w:rPr>
            </w:pPr>
            <w:r>
              <w:rPr>
                <w:rFonts w:ascii="Calibri" w:cs="Calibri" w:eastAsia="Calibri" w:hAnsi="Calibri"/>
                <w:sz w:val="14"/>
                <w:szCs w:val="14"/>
                <w:color w:val="auto"/>
                <w:w w:val="94"/>
              </w:rPr>
              <w:t>—</w:t>
            </w:r>
          </w:p>
        </w:tc>
        <w:tc>
          <w:tcPr>
            <w:tcW w:w="86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100" w:type="dxa"/>
            <w:vAlign w:val="bottom"/>
          </w:tcPr>
          <w:p>
            <w:pPr>
              <w:ind w:left="340"/>
              <w:spacing w:after="0"/>
              <w:rPr>
                <w:sz w:val="20"/>
                <w:szCs w:val="20"/>
                <w:color w:val="auto"/>
              </w:rPr>
            </w:pPr>
            <w:r>
              <w:rPr>
                <w:rFonts w:ascii="Calibri" w:cs="Calibri" w:eastAsia="Calibri" w:hAnsi="Calibri"/>
                <w:sz w:val="14"/>
                <w:szCs w:val="14"/>
                <w:color w:val="auto"/>
              </w:rPr>
              <w:t>—</w:t>
            </w:r>
          </w:p>
        </w:tc>
        <w:tc>
          <w:tcPr>
            <w:tcW w:w="960" w:type="dxa"/>
            <w:vAlign w:val="bottom"/>
          </w:tcPr>
          <w:p>
            <w:pPr>
              <w:ind w:left="340"/>
              <w:spacing w:after="0"/>
              <w:rPr>
                <w:sz w:val="20"/>
                <w:szCs w:val="20"/>
                <w:color w:val="auto"/>
              </w:rPr>
            </w:pPr>
            <w:r>
              <w:rPr>
                <w:rFonts w:ascii="Calibri" w:cs="Calibri" w:eastAsia="Calibri" w:hAnsi="Calibri"/>
                <w:sz w:val="14"/>
                <w:szCs w:val="14"/>
                <w:color w:val="auto"/>
              </w:rPr>
              <w:t>—</w:t>
            </w:r>
          </w:p>
        </w:tc>
      </w:tr>
      <w:tr>
        <w:trPr>
          <w:trHeight w:val="83"/>
        </w:trPr>
        <w:tc>
          <w:tcPr>
            <w:tcW w:w="7200" w:type="dxa"/>
            <w:vAlign w:val="bottom"/>
            <w:tcBorders>
              <w:bottom w:val="single" w:sz="8" w:color="B2B2B2"/>
            </w:tcBorders>
          </w:tcPr>
          <w:p>
            <w:pPr>
              <w:spacing w:after="0"/>
              <w:rPr>
                <w:sz w:val="7"/>
                <w:szCs w:val="7"/>
                <w:color w:val="auto"/>
              </w:rPr>
            </w:pPr>
          </w:p>
        </w:tc>
        <w:tc>
          <w:tcPr>
            <w:tcW w:w="500" w:type="dxa"/>
            <w:vAlign w:val="bottom"/>
            <w:tcBorders>
              <w:bottom w:val="single" w:sz="8" w:color="B2B2B2"/>
            </w:tcBorders>
          </w:tcPr>
          <w:p>
            <w:pPr>
              <w:spacing w:after="0"/>
              <w:rPr>
                <w:sz w:val="7"/>
                <w:szCs w:val="7"/>
                <w:color w:val="auto"/>
              </w:rPr>
            </w:pPr>
          </w:p>
        </w:tc>
        <w:tc>
          <w:tcPr>
            <w:tcW w:w="860" w:type="dxa"/>
            <w:vAlign w:val="bottom"/>
            <w:tcBorders>
              <w:bottom w:val="single" w:sz="8" w:color="B2B2B2"/>
            </w:tcBorders>
          </w:tcPr>
          <w:p>
            <w:pPr>
              <w:spacing w:after="0"/>
              <w:rPr>
                <w:sz w:val="7"/>
                <w:szCs w:val="7"/>
                <w:color w:val="auto"/>
              </w:rPr>
            </w:pPr>
          </w:p>
        </w:tc>
        <w:tc>
          <w:tcPr>
            <w:tcW w:w="1100" w:type="dxa"/>
            <w:vAlign w:val="bottom"/>
            <w:tcBorders>
              <w:bottom w:val="single" w:sz="8" w:color="B2B2B2"/>
            </w:tcBorders>
          </w:tcPr>
          <w:p>
            <w:pPr>
              <w:spacing w:after="0"/>
              <w:rPr>
                <w:sz w:val="7"/>
                <w:szCs w:val="7"/>
                <w:color w:val="auto"/>
              </w:rPr>
            </w:pPr>
          </w:p>
        </w:tc>
        <w:tc>
          <w:tcPr>
            <w:tcW w:w="960" w:type="dxa"/>
            <w:vAlign w:val="bottom"/>
            <w:tcBorders>
              <w:bottom w:val="single" w:sz="8" w:color="B2B2B2"/>
            </w:tcBorders>
          </w:tcPr>
          <w:p>
            <w:pPr>
              <w:spacing w:after="0"/>
              <w:rPr>
                <w:sz w:val="7"/>
                <w:szCs w:val="7"/>
                <w:color w:val="auto"/>
              </w:rPr>
            </w:pPr>
          </w:p>
        </w:tc>
      </w:tr>
      <w:tr>
        <w:trPr>
          <w:trHeight w:val="235"/>
        </w:trPr>
        <w:tc>
          <w:tcPr>
            <w:tcW w:w="7200" w:type="dxa"/>
            <w:vAlign w:val="bottom"/>
          </w:tcPr>
          <w:p>
            <w:pPr>
              <w:ind w:left="40"/>
              <w:spacing w:after="0"/>
              <w:rPr>
                <w:sz w:val="20"/>
                <w:szCs w:val="20"/>
                <w:color w:val="auto"/>
              </w:rPr>
            </w:pPr>
            <w:r>
              <w:rPr>
                <w:rFonts w:ascii="Calibri" w:cs="Calibri" w:eastAsia="Calibri" w:hAnsi="Calibri"/>
                <w:sz w:val="17"/>
                <w:szCs w:val="17"/>
                <w:color w:val="auto"/>
              </w:rPr>
              <w:t>Two or more races or ethnicites</w:t>
            </w:r>
          </w:p>
        </w:tc>
        <w:tc>
          <w:tcPr>
            <w:tcW w:w="500" w:type="dxa"/>
            <w:vAlign w:val="bottom"/>
          </w:tcPr>
          <w:p>
            <w:pPr>
              <w:jc w:val="center"/>
              <w:ind w:left="108"/>
              <w:spacing w:after="0"/>
              <w:rPr>
                <w:sz w:val="20"/>
                <w:szCs w:val="20"/>
                <w:color w:val="auto"/>
              </w:rPr>
            </w:pPr>
            <w:r>
              <w:rPr>
                <w:rFonts w:ascii="Calibri" w:cs="Calibri" w:eastAsia="Calibri" w:hAnsi="Calibri"/>
                <w:sz w:val="14"/>
                <w:szCs w:val="14"/>
                <w:color w:val="auto"/>
                <w:w w:val="94"/>
              </w:rPr>
              <w:t>—</w:t>
            </w:r>
          </w:p>
        </w:tc>
        <w:tc>
          <w:tcPr>
            <w:tcW w:w="86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100" w:type="dxa"/>
            <w:vAlign w:val="bottom"/>
          </w:tcPr>
          <w:p>
            <w:pPr>
              <w:ind w:left="340"/>
              <w:spacing w:after="0"/>
              <w:rPr>
                <w:sz w:val="20"/>
                <w:szCs w:val="20"/>
                <w:color w:val="auto"/>
              </w:rPr>
            </w:pPr>
            <w:r>
              <w:rPr>
                <w:rFonts w:ascii="Calibri" w:cs="Calibri" w:eastAsia="Calibri" w:hAnsi="Calibri"/>
                <w:sz w:val="14"/>
                <w:szCs w:val="14"/>
                <w:color w:val="auto"/>
              </w:rPr>
              <w:t>—</w:t>
            </w:r>
          </w:p>
        </w:tc>
        <w:tc>
          <w:tcPr>
            <w:tcW w:w="960" w:type="dxa"/>
            <w:vAlign w:val="bottom"/>
          </w:tcPr>
          <w:p>
            <w:pPr>
              <w:ind w:left="340"/>
              <w:spacing w:after="0"/>
              <w:rPr>
                <w:sz w:val="20"/>
                <w:szCs w:val="20"/>
                <w:color w:val="auto"/>
              </w:rPr>
            </w:pPr>
            <w:r>
              <w:rPr>
                <w:rFonts w:ascii="Calibri" w:cs="Calibri" w:eastAsia="Calibri" w:hAnsi="Calibri"/>
                <w:sz w:val="14"/>
                <w:szCs w:val="14"/>
                <w:color w:val="auto"/>
              </w:rPr>
              <w:t>—</w:t>
            </w:r>
          </w:p>
        </w:tc>
      </w:tr>
      <w:tr>
        <w:trPr>
          <w:trHeight w:val="83"/>
        </w:trPr>
        <w:tc>
          <w:tcPr>
            <w:tcW w:w="7200" w:type="dxa"/>
            <w:vAlign w:val="bottom"/>
            <w:tcBorders>
              <w:bottom w:val="single" w:sz="8" w:color="B2B2B2"/>
            </w:tcBorders>
          </w:tcPr>
          <w:p>
            <w:pPr>
              <w:spacing w:after="0"/>
              <w:rPr>
                <w:sz w:val="7"/>
                <w:szCs w:val="7"/>
                <w:color w:val="auto"/>
              </w:rPr>
            </w:pPr>
          </w:p>
        </w:tc>
        <w:tc>
          <w:tcPr>
            <w:tcW w:w="500" w:type="dxa"/>
            <w:vAlign w:val="bottom"/>
            <w:tcBorders>
              <w:bottom w:val="single" w:sz="8" w:color="B2B2B2"/>
            </w:tcBorders>
          </w:tcPr>
          <w:p>
            <w:pPr>
              <w:spacing w:after="0"/>
              <w:rPr>
                <w:sz w:val="7"/>
                <w:szCs w:val="7"/>
                <w:color w:val="auto"/>
              </w:rPr>
            </w:pPr>
          </w:p>
        </w:tc>
        <w:tc>
          <w:tcPr>
            <w:tcW w:w="860" w:type="dxa"/>
            <w:vAlign w:val="bottom"/>
            <w:tcBorders>
              <w:bottom w:val="single" w:sz="8" w:color="B2B2B2"/>
            </w:tcBorders>
          </w:tcPr>
          <w:p>
            <w:pPr>
              <w:spacing w:after="0"/>
              <w:rPr>
                <w:sz w:val="7"/>
                <w:szCs w:val="7"/>
                <w:color w:val="auto"/>
              </w:rPr>
            </w:pPr>
          </w:p>
        </w:tc>
        <w:tc>
          <w:tcPr>
            <w:tcW w:w="1100" w:type="dxa"/>
            <w:vAlign w:val="bottom"/>
            <w:tcBorders>
              <w:bottom w:val="single" w:sz="8" w:color="B2B2B2"/>
            </w:tcBorders>
          </w:tcPr>
          <w:p>
            <w:pPr>
              <w:spacing w:after="0"/>
              <w:rPr>
                <w:sz w:val="7"/>
                <w:szCs w:val="7"/>
                <w:color w:val="auto"/>
              </w:rPr>
            </w:pPr>
          </w:p>
        </w:tc>
        <w:tc>
          <w:tcPr>
            <w:tcW w:w="960" w:type="dxa"/>
            <w:vAlign w:val="bottom"/>
            <w:tcBorders>
              <w:bottom w:val="single" w:sz="8" w:color="B2B2B2"/>
            </w:tcBorders>
          </w:tcPr>
          <w:p>
            <w:pPr>
              <w:spacing w:after="0"/>
              <w:rPr>
                <w:sz w:val="7"/>
                <w:szCs w:val="7"/>
                <w:color w:val="auto"/>
              </w:rPr>
            </w:pPr>
          </w:p>
        </w:tc>
      </w:tr>
      <w:tr>
        <w:trPr>
          <w:trHeight w:val="235"/>
        </w:trPr>
        <w:tc>
          <w:tcPr>
            <w:tcW w:w="7200" w:type="dxa"/>
            <w:vAlign w:val="bottom"/>
          </w:tcPr>
          <w:p>
            <w:pPr>
              <w:ind w:left="40"/>
              <w:spacing w:after="0"/>
              <w:rPr>
                <w:sz w:val="20"/>
                <w:szCs w:val="20"/>
                <w:color w:val="auto"/>
              </w:rPr>
            </w:pPr>
            <w:r>
              <w:rPr>
                <w:rFonts w:ascii="Calibri" w:cs="Calibri" w:eastAsia="Calibri" w:hAnsi="Calibri"/>
                <w:sz w:val="17"/>
                <w:szCs w:val="17"/>
                <w:color w:val="auto"/>
              </w:rPr>
              <w:t>LGBTQ+</w:t>
            </w:r>
          </w:p>
        </w:tc>
        <w:tc>
          <w:tcPr>
            <w:tcW w:w="500" w:type="dxa"/>
            <w:vAlign w:val="bottom"/>
          </w:tcPr>
          <w:p>
            <w:pPr>
              <w:jc w:val="center"/>
              <w:ind w:left="108"/>
              <w:spacing w:after="0"/>
              <w:rPr>
                <w:sz w:val="20"/>
                <w:szCs w:val="20"/>
                <w:color w:val="auto"/>
              </w:rPr>
            </w:pPr>
            <w:r>
              <w:rPr>
                <w:rFonts w:ascii="Calibri" w:cs="Calibri" w:eastAsia="Calibri" w:hAnsi="Calibri"/>
                <w:sz w:val="14"/>
                <w:szCs w:val="14"/>
                <w:color w:val="auto"/>
                <w:w w:val="94"/>
              </w:rPr>
              <w:t>—</w:t>
            </w:r>
          </w:p>
        </w:tc>
        <w:tc>
          <w:tcPr>
            <w:tcW w:w="86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100" w:type="dxa"/>
            <w:vAlign w:val="bottom"/>
          </w:tcPr>
          <w:p>
            <w:pPr>
              <w:ind w:left="340"/>
              <w:spacing w:after="0"/>
              <w:rPr>
                <w:sz w:val="20"/>
                <w:szCs w:val="20"/>
                <w:color w:val="auto"/>
              </w:rPr>
            </w:pPr>
            <w:r>
              <w:rPr>
                <w:rFonts w:ascii="Calibri" w:cs="Calibri" w:eastAsia="Calibri" w:hAnsi="Calibri"/>
                <w:sz w:val="14"/>
                <w:szCs w:val="14"/>
                <w:color w:val="auto"/>
              </w:rPr>
              <w:t>—</w:t>
            </w:r>
          </w:p>
        </w:tc>
        <w:tc>
          <w:tcPr>
            <w:tcW w:w="960" w:type="dxa"/>
            <w:vAlign w:val="bottom"/>
          </w:tcPr>
          <w:p>
            <w:pPr>
              <w:ind w:left="340"/>
              <w:spacing w:after="0"/>
              <w:rPr>
                <w:sz w:val="20"/>
                <w:szCs w:val="20"/>
                <w:color w:val="auto"/>
              </w:rPr>
            </w:pPr>
            <w:r>
              <w:rPr>
                <w:rFonts w:ascii="Calibri" w:cs="Calibri" w:eastAsia="Calibri" w:hAnsi="Calibri"/>
                <w:sz w:val="14"/>
                <w:szCs w:val="14"/>
                <w:color w:val="auto"/>
              </w:rPr>
              <w:t>—</w:t>
            </w:r>
          </w:p>
        </w:tc>
      </w:tr>
      <w:tr>
        <w:trPr>
          <w:trHeight w:val="83"/>
        </w:trPr>
        <w:tc>
          <w:tcPr>
            <w:tcW w:w="7200" w:type="dxa"/>
            <w:vAlign w:val="bottom"/>
            <w:tcBorders>
              <w:bottom w:val="single" w:sz="8" w:color="B2B2B2"/>
            </w:tcBorders>
          </w:tcPr>
          <w:p>
            <w:pPr>
              <w:spacing w:after="0"/>
              <w:rPr>
                <w:sz w:val="7"/>
                <w:szCs w:val="7"/>
                <w:color w:val="auto"/>
              </w:rPr>
            </w:pPr>
          </w:p>
        </w:tc>
        <w:tc>
          <w:tcPr>
            <w:tcW w:w="500" w:type="dxa"/>
            <w:vAlign w:val="bottom"/>
            <w:tcBorders>
              <w:bottom w:val="single" w:sz="8" w:color="B2B2B2"/>
            </w:tcBorders>
          </w:tcPr>
          <w:p>
            <w:pPr>
              <w:spacing w:after="0"/>
              <w:rPr>
                <w:sz w:val="7"/>
                <w:szCs w:val="7"/>
                <w:color w:val="auto"/>
              </w:rPr>
            </w:pPr>
          </w:p>
        </w:tc>
        <w:tc>
          <w:tcPr>
            <w:tcW w:w="860" w:type="dxa"/>
            <w:vAlign w:val="bottom"/>
            <w:tcBorders>
              <w:bottom w:val="single" w:sz="8" w:color="B2B2B2"/>
            </w:tcBorders>
          </w:tcPr>
          <w:p>
            <w:pPr>
              <w:spacing w:after="0"/>
              <w:rPr>
                <w:sz w:val="7"/>
                <w:szCs w:val="7"/>
                <w:color w:val="auto"/>
              </w:rPr>
            </w:pPr>
          </w:p>
        </w:tc>
        <w:tc>
          <w:tcPr>
            <w:tcW w:w="1100" w:type="dxa"/>
            <w:vAlign w:val="bottom"/>
            <w:tcBorders>
              <w:bottom w:val="single" w:sz="8" w:color="B2B2B2"/>
            </w:tcBorders>
          </w:tcPr>
          <w:p>
            <w:pPr>
              <w:spacing w:after="0"/>
              <w:rPr>
                <w:sz w:val="7"/>
                <w:szCs w:val="7"/>
                <w:color w:val="auto"/>
              </w:rPr>
            </w:pPr>
          </w:p>
        </w:tc>
        <w:tc>
          <w:tcPr>
            <w:tcW w:w="960" w:type="dxa"/>
            <w:vAlign w:val="bottom"/>
            <w:tcBorders>
              <w:bottom w:val="single" w:sz="8" w:color="B2B2B2"/>
            </w:tcBorders>
          </w:tcPr>
          <w:p>
            <w:pPr>
              <w:spacing w:after="0"/>
              <w:rPr>
                <w:sz w:val="7"/>
                <w:szCs w:val="7"/>
                <w:color w:val="auto"/>
              </w:rPr>
            </w:pPr>
          </w:p>
        </w:tc>
      </w:tr>
      <w:tr>
        <w:trPr>
          <w:trHeight w:val="235"/>
        </w:trPr>
        <w:tc>
          <w:tcPr>
            <w:tcW w:w="7200" w:type="dxa"/>
            <w:vAlign w:val="bottom"/>
          </w:tcPr>
          <w:p>
            <w:pPr>
              <w:ind w:left="40"/>
              <w:spacing w:after="0"/>
              <w:rPr>
                <w:sz w:val="20"/>
                <w:szCs w:val="20"/>
                <w:color w:val="auto"/>
              </w:rPr>
            </w:pPr>
            <w:r>
              <w:rPr>
                <w:rFonts w:ascii="Calibri" w:cs="Calibri" w:eastAsia="Calibri" w:hAnsi="Calibri"/>
                <w:sz w:val="17"/>
                <w:szCs w:val="17"/>
                <w:color w:val="auto"/>
              </w:rPr>
              <w:t>Did not disclose demographic background</w:t>
            </w:r>
          </w:p>
        </w:tc>
        <w:tc>
          <w:tcPr>
            <w:tcW w:w="500" w:type="dxa"/>
            <w:vAlign w:val="bottom"/>
          </w:tcPr>
          <w:p>
            <w:pPr>
              <w:jc w:val="center"/>
              <w:ind w:left="108"/>
              <w:spacing w:after="0"/>
              <w:rPr>
                <w:sz w:val="20"/>
                <w:szCs w:val="20"/>
                <w:color w:val="auto"/>
              </w:rPr>
            </w:pPr>
            <w:r>
              <w:rPr>
                <w:rFonts w:ascii="Calibri" w:cs="Calibri" w:eastAsia="Calibri" w:hAnsi="Calibri"/>
                <w:sz w:val="14"/>
                <w:szCs w:val="14"/>
                <w:color w:val="auto"/>
                <w:w w:val="94"/>
              </w:rPr>
              <w:t>—</w:t>
            </w:r>
          </w:p>
        </w:tc>
        <w:tc>
          <w:tcPr>
            <w:tcW w:w="860" w:type="dxa"/>
            <w:vAlign w:val="bottom"/>
          </w:tcPr>
          <w:p>
            <w:pPr>
              <w:jc w:val="center"/>
              <w:spacing w:after="0"/>
              <w:rPr>
                <w:sz w:val="20"/>
                <w:szCs w:val="20"/>
                <w:color w:val="auto"/>
              </w:rPr>
            </w:pPr>
            <w:r>
              <w:rPr>
                <w:rFonts w:ascii="Calibri" w:cs="Calibri" w:eastAsia="Calibri" w:hAnsi="Calibri"/>
                <w:sz w:val="14"/>
                <w:szCs w:val="14"/>
                <w:color w:val="auto"/>
                <w:w w:val="94"/>
              </w:rPr>
              <w:t>—</w:t>
            </w:r>
          </w:p>
        </w:tc>
        <w:tc>
          <w:tcPr>
            <w:tcW w:w="1100" w:type="dxa"/>
            <w:vAlign w:val="bottom"/>
          </w:tcPr>
          <w:p>
            <w:pPr>
              <w:ind w:left="340"/>
              <w:spacing w:after="0"/>
              <w:rPr>
                <w:sz w:val="20"/>
                <w:szCs w:val="20"/>
                <w:color w:val="auto"/>
              </w:rPr>
            </w:pPr>
            <w:r>
              <w:rPr>
                <w:rFonts w:ascii="Calibri" w:cs="Calibri" w:eastAsia="Calibri" w:hAnsi="Calibri"/>
                <w:sz w:val="14"/>
                <w:szCs w:val="14"/>
                <w:color w:val="auto"/>
              </w:rPr>
              <w:t>—</w:t>
            </w:r>
          </w:p>
        </w:tc>
        <w:tc>
          <w:tcPr>
            <w:tcW w:w="960" w:type="dxa"/>
            <w:vAlign w:val="bottom"/>
          </w:tcPr>
          <w:p>
            <w:pPr>
              <w:ind w:left="340"/>
              <w:spacing w:after="0"/>
              <w:rPr>
                <w:sz w:val="20"/>
                <w:szCs w:val="20"/>
                <w:color w:val="auto"/>
              </w:rPr>
            </w:pPr>
            <w:r>
              <w:rPr>
                <w:rFonts w:ascii="Calibri" w:cs="Calibri" w:eastAsia="Calibri" w:hAnsi="Calibri"/>
                <w:sz w:val="14"/>
                <w:szCs w:val="14"/>
                <w:color w:val="auto"/>
              </w:rPr>
              <w:t>—</w:t>
            </w:r>
          </w:p>
        </w:tc>
      </w:tr>
      <w:tr>
        <w:trPr>
          <w:trHeight w:val="102"/>
        </w:trPr>
        <w:tc>
          <w:tcPr>
            <w:tcW w:w="7200" w:type="dxa"/>
            <w:vAlign w:val="bottom"/>
            <w:tcBorders>
              <w:bottom w:val="single" w:sz="8" w:color="FB4E0B"/>
            </w:tcBorders>
          </w:tcPr>
          <w:p>
            <w:pPr>
              <w:spacing w:after="0"/>
              <w:rPr>
                <w:sz w:val="8"/>
                <w:szCs w:val="8"/>
                <w:color w:val="auto"/>
              </w:rPr>
            </w:pPr>
          </w:p>
        </w:tc>
        <w:tc>
          <w:tcPr>
            <w:tcW w:w="500" w:type="dxa"/>
            <w:vAlign w:val="bottom"/>
            <w:tcBorders>
              <w:bottom w:val="single" w:sz="8" w:color="FB4E0B"/>
            </w:tcBorders>
          </w:tcPr>
          <w:p>
            <w:pPr>
              <w:spacing w:after="0"/>
              <w:rPr>
                <w:sz w:val="8"/>
                <w:szCs w:val="8"/>
                <w:color w:val="auto"/>
              </w:rPr>
            </w:pPr>
          </w:p>
        </w:tc>
        <w:tc>
          <w:tcPr>
            <w:tcW w:w="1960" w:type="dxa"/>
            <w:vAlign w:val="bottom"/>
            <w:tcBorders>
              <w:bottom w:val="single" w:sz="8" w:color="FB4E0B"/>
            </w:tcBorders>
            <w:gridSpan w:val="2"/>
          </w:tcPr>
          <w:p>
            <w:pPr>
              <w:spacing w:after="0"/>
              <w:rPr>
                <w:sz w:val="8"/>
                <w:szCs w:val="8"/>
                <w:color w:val="auto"/>
              </w:rPr>
            </w:pPr>
          </w:p>
        </w:tc>
        <w:tc>
          <w:tcPr>
            <w:tcW w:w="960" w:type="dxa"/>
            <w:vAlign w:val="bottom"/>
            <w:tcBorders>
              <w:bottom w:val="single" w:sz="8" w:color="FB4E0B"/>
            </w:tcBorders>
          </w:tcPr>
          <w:p>
            <w:pPr>
              <w:spacing w:after="0"/>
              <w:rPr>
                <w:sz w:val="8"/>
                <w:szCs w:val="8"/>
                <w:color w:val="auto"/>
              </w:rPr>
            </w:pPr>
          </w:p>
        </w:tc>
      </w:tr>
      <w:tr>
        <w:trPr>
          <w:trHeight w:val="445"/>
        </w:trPr>
        <w:tc>
          <w:tcPr>
            <w:tcW w:w="7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960" w:type="dxa"/>
            <w:vAlign w:val="bottom"/>
          </w:tcPr>
          <w:p>
            <w:pPr>
              <w:ind w:left="120"/>
              <w:spacing w:after="0"/>
              <w:rPr>
                <w:sz w:val="20"/>
                <w:szCs w:val="20"/>
                <w:color w:val="auto"/>
              </w:rPr>
            </w:pPr>
            <w:r>
              <w:rPr>
                <w:rFonts w:ascii="Calibri" w:cs="Calibri" w:eastAsia="Calibri" w:hAnsi="Calibri"/>
                <w:sz w:val="17"/>
                <w:szCs w:val="17"/>
                <w:b w:val="1"/>
                <w:bCs w:val="1"/>
                <w:color w:val="auto"/>
              </w:rPr>
              <w:t>11</w:t>
            </w:r>
          </w:p>
        </w:tc>
      </w:tr>
    </w:tbl>
    <w:p>
      <w:pPr>
        <w:sectPr>
          <w:pgSz w:w="11900" w:h="16838" w:orient="portrait"/>
          <w:cols w:equalWidth="0" w:num="1">
            <w:col w:w="10940"/>
          </w:cols>
          <w:pgMar w:left="320" w:top="445" w:right="6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2022 Proxy Statement summary</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102870</wp:posOffset>
            </wp:positionV>
            <wp:extent cx="231140" cy="2311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94615</wp:posOffset>
            </wp:positionV>
            <wp:extent cx="247650" cy="2311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7650" cy="23114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127635</wp:posOffset>
            </wp:positionV>
            <wp:extent cx="132080" cy="206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2080" cy="206375"/>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168910</wp:posOffset>
            </wp:positionV>
            <wp:extent cx="255905" cy="165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5905" cy="16510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119380</wp:posOffset>
            </wp:positionV>
            <wp:extent cx="214630"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3884930</wp:posOffset>
            </wp:positionH>
            <wp:positionV relativeFrom="paragraph">
              <wp:posOffset>119380</wp:posOffset>
            </wp:positionV>
            <wp:extent cx="239395"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9395" cy="214630"/>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94615</wp:posOffset>
            </wp:positionV>
            <wp:extent cx="239395" cy="239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102870</wp:posOffset>
            </wp:positionV>
            <wp:extent cx="231140" cy="2311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5314315</wp:posOffset>
            </wp:positionH>
            <wp:positionV relativeFrom="paragraph">
              <wp:posOffset>119380</wp:posOffset>
            </wp:positionV>
            <wp:extent cx="231140"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1140" cy="21463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119380</wp:posOffset>
            </wp:positionV>
            <wp:extent cx="206375"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6375" cy="214630"/>
                    </a:xfrm>
                    <a:prstGeom prst="rect">
                      <a:avLst/>
                    </a:prstGeom>
                    <a:noFill/>
                  </pic:spPr>
                </pic:pic>
              </a:graphicData>
            </a:graphic>
          </wp:anchor>
        </w:drawing>
        <w:drawing>
          <wp:anchor simplePos="0" relativeHeight="251657728" behindDoc="1" locked="0" layoutInCell="0" allowOverlap="1">
            <wp:simplePos x="0" y="0"/>
            <wp:positionH relativeFrom="column">
              <wp:posOffset>6223000</wp:posOffset>
            </wp:positionH>
            <wp:positionV relativeFrom="paragraph">
              <wp:posOffset>135890</wp:posOffset>
            </wp:positionV>
            <wp:extent cx="231140" cy="198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140" cy="198120"/>
                    </a:xfrm>
                    <a:prstGeom prst="rect">
                      <a:avLst/>
                    </a:prstGeom>
                    <a:noFill/>
                  </pic:spPr>
                </pic:pic>
              </a:graphicData>
            </a:graphic>
          </wp:anchor>
        </w:drawing>
        <w:drawing>
          <wp:anchor simplePos="0" relativeHeight="251657728" behindDoc="1" locked="0" layoutInCell="0" allowOverlap="1">
            <wp:simplePos x="0" y="0"/>
            <wp:positionH relativeFrom="column">
              <wp:posOffset>6627495</wp:posOffset>
            </wp:positionH>
            <wp:positionV relativeFrom="paragraph">
              <wp:posOffset>127635</wp:posOffset>
            </wp:positionV>
            <wp:extent cx="231140" cy="2063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320" w:type="dxa"/>
        <w:tblCellMar>
          <w:top w:w="0" w:type="dxa"/>
          <w:left w:w="0" w:type="dxa"/>
          <w:bottom w:w="0" w:type="dxa"/>
          <w:right w:w="0" w:type="dxa"/>
        </w:tblCellMar>
      </w:tblPr>
      <w:tr>
        <w:trPr>
          <w:trHeight w:val="134"/>
        </w:trPr>
        <w:tc>
          <w:tcPr>
            <w:tcW w:w="1300" w:type="dxa"/>
            <w:vAlign w:val="bottom"/>
          </w:tcPr>
          <w:p>
            <w:pPr>
              <w:spacing w:after="0"/>
              <w:rPr>
                <w:sz w:val="11"/>
                <w:szCs w:val="11"/>
                <w:color w:val="auto"/>
              </w:rPr>
            </w:pPr>
          </w:p>
        </w:tc>
        <w:tc>
          <w:tcPr>
            <w:tcW w:w="1360" w:type="dxa"/>
            <w:vAlign w:val="bottom"/>
          </w:tcPr>
          <w:p>
            <w:pPr>
              <w:jc w:val="center"/>
              <w:ind w:left="614"/>
              <w:spacing w:after="0"/>
              <w:rPr>
                <w:sz w:val="20"/>
                <w:szCs w:val="20"/>
                <w:color w:val="auto"/>
              </w:rPr>
            </w:pPr>
            <w:r>
              <w:rPr>
                <w:rFonts w:ascii="Calibri" w:cs="Calibri" w:eastAsia="Calibri" w:hAnsi="Calibri"/>
                <w:sz w:val="11"/>
                <w:szCs w:val="11"/>
                <w:b w:val="1"/>
                <w:bCs w:val="1"/>
                <w:color w:val="auto"/>
              </w:rPr>
              <w:t>Finance</w:t>
            </w:r>
          </w:p>
        </w:tc>
        <w:tc>
          <w:tcPr>
            <w:tcW w:w="6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Calibri" w:cs="Calibri" w:eastAsia="Calibri" w:hAnsi="Calibri"/>
                <w:sz w:val="11"/>
                <w:szCs w:val="11"/>
                <w:b w:val="1"/>
                <w:bCs w:val="1"/>
                <w:color w:val="auto"/>
              </w:rPr>
              <w:t>Public</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Calibri" w:cs="Calibri" w:eastAsia="Calibri" w:hAnsi="Calibri"/>
                <w:sz w:val="11"/>
                <w:szCs w:val="11"/>
                <w:b w:val="1"/>
                <w:bCs w:val="1"/>
                <w:color w:val="auto"/>
              </w:rPr>
              <w:t>Digital</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Calibri" w:cs="Calibri" w:eastAsia="Calibri" w:hAnsi="Calibri"/>
                <w:sz w:val="11"/>
                <w:szCs w:val="11"/>
                <w:b w:val="1"/>
                <w:bCs w:val="1"/>
                <w:color w:val="auto"/>
              </w:rPr>
              <w:t>Risk</w:t>
            </w:r>
          </w:p>
        </w:tc>
        <w:tc>
          <w:tcPr>
            <w:tcW w:w="800" w:type="dxa"/>
            <w:vAlign w:val="bottom"/>
          </w:tcPr>
          <w:p>
            <w:pPr>
              <w:jc w:val="center"/>
              <w:spacing w:after="0"/>
              <w:rPr>
                <w:sz w:val="20"/>
                <w:szCs w:val="20"/>
                <w:color w:val="auto"/>
              </w:rPr>
            </w:pPr>
            <w:r>
              <w:rPr>
                <w:rFonts w:ascii="Calibri" w:cs="Calibri" w:eastAsia="Calibri" w:hAnsi="Calibri"/>
                <w:sz w:val="11"/>
                <w:szCs w:val="11"/>
                <w:b w:val="1"/>
                <w:bCs w:val="1"/>
                <w:color w:val="auto"/>
              </w:rPr>
              <w:t>Informaton</w:t>
            </w:r>
          </w:p>
        </w:tc>
        <w:tc>
          <w:tcPr>
            <w:tcW w:w="440" w:type="dxa"/>
            <w:vAlign w:val="bottom"/>
          </w:tcPr>
          <w:p>
            <w:pPr>
              <w:spacing w:after="0"/>
              <w:rPr>
                <w:sz w:val="11"/>
                <w:szCs w:val="11"/>
                <w:color w:val="auto"/>
              </w:rPr>
            </w:pPr>
          </w:p>
        </w:tc>
        <w:tc>
          <w:tcPr>
            <w:tcW w:w="740" w:type="dxa"/>
            <w:vAlign w:val="bottom"/>
          </w:tcPr>
          <w:p>
            <w:pPr>
              <w:jc w:val="center"/>
              <w:ind w:left="36"/>
              <w:spacing w:after="0"/>
              <w:rPr>
                <w:sz w:val="20"/>
                <w:szCs w:val="20"/>
                <w:color w:val="auto"/>
              </w:rPr>
            </w:pPr>
            <w:r>
              <w:rPr>
                <w:rFonts w:ascii="Calibri" w:cs="Calibri" w:eastAsia="Calibri" w:hAnsi="Calibri"/>
                <w:sz w:val="11"/>
                <w:szCs w:val="11"/>
                <w:b w:val="1"/>
                <w:bCs w:val="1"/>
                <w:color w:val="auto"/>
              </w:rPr>
              <w:t>Mergers</w:t>
            </w:r>
          </w:p>
        </w:tc>
      </w:tr>
      <w:tr>
        <w:trPr>
          <w:trHeight w:val="130"/>
        </w:trPr>
        <w:tc>
          <w:tcPr>
            <w:tcW w:w="1300" w:type="dxa"/>
            <w:vAlign w:val="bottom"/>
          </w:tcPr>
          <w:p>
            <w:pPr>
              <w:spacing w:after="0"/>
              <w:rPr>
                <w:sz w:val="11"/>
                <w:szCs w:val="11"/>
                <w:color w:val="auto"/>
              </w:rPr>
            </w:pPr>
          </w:p>
        </w:tc>
        <w:tc>
          <w:tcPr>
            <w:tcW w:w="1360" w:type="dxa"/>
            <w:vAlign w:val="bottom"/>
          </w:tcPr>
          <w:p>
            <w:pPr>
              <w:jc w:val="center"/>
              <w:ind w:left="594"/>
              <w:spacing w:after="0" w:line="130" w:lineRule="exact"/>
              <w:rPr>
                <w:sz w:val="20"/>
                <w:szCs w:val="20"/>
                <w:color w:val="auto"/>
              </w:rPr>
            </w:pPr>
            <w:r>
              <w:rPr>
                <w:rFonts w:ascii="Calibri" w:cs="Calibri" w:eastAsia="Calibri" w:hAnsi="Calibri"/>
                <w:sz w:val="11"/>
                <w:szCs w:val="11"/>
                <w:b w:val="1"/>
                <w:bCs w:val="1"/>
                <w:color w:val="auto"/>
              </w:rPr>
              <w:t>and</w:t>
            </w:r>
          </w:p>
        </w:tc>
        <w:tc>
          <w:tcPr>
            <w:tcW w:w="68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Executve</w:t>
            </w: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company</w:t>
            </w:r>
          </w:p>
        </w:tc>
        <w:tc>
          <w:tcPr>
            <w:tcW w:w="640" w:type="dxa"/>
            <w:vAlign w:val="bottom"/>
          </w:tcPr>
          <w:p>
            <w:pPr>
              <w:spacing w:after="0"/>
              <w:rPr>
                <w:sz w:val="11"/>
                <w:szCs w:val="11"/>
                <w:color w:val="auto"/>
              </w:rPr>
            </w:pPr>
          </w:p>
        </w:tc>
        <w:tc>
          <w:tcPr>
            <w:tcW w:w="86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w w:val="99"/>
              </w:rPr>
              <w:t>Human capital</w:t>
            </w:r>
          </w:p>
        </w:tc>
        <w:tc>
          <w:tcPr>
            <w:tcW w:w="8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operatons</w:t>
            </w:r>
          </w:p>
        </w:tc>
        <w:tc>
          <w:tcPr>
            <w:tcW w:w="680" w:type="dxa"/>
            <w:vAlign w:val="bottom"/>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Global</w:t>
            </w:r>
          </w:p>
        </w:tc>
        <w:tc>
          <w:tcPr>
            <w:tcW w:w="84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oversight and</w:t>
            </w:r>
          </w:p>
        </w:tc>
        <w:tc>
          <w:tcPr>
            <w:tcW w:w="800" w:type="dxa"/>
            <w:vAlign w:val="bottom"/>
          </w:tcPr>
          <w:p>
            <w:pPr>
              <w:jc w:val="center"/>
              <w:spacing w:after="0" w:line="130" w:lineRule="exact"/>
              <w:rPr>
                <w:sz w:val="20"/>
                <w:szCs w:val="20"/>
                <w:color w:val="auto"/>
              </w:rPr>
            </w:pPr>
            <w:r>
              <w:rPr>
                <w:rFonts w:ascii="Calibri" w:cs="Calibri" w:eastAsia="Calibri" w:hAnsi="Calibri"/>
                <w:sz w:val="11"/>
                <w:szCs w:val="11"/>
                <w:b w:val="1"/>
                <w:bCs w:val="1"/>
                <w:color w:val="auto"/>
              </w:rPr>
              <w:t>and cyber</w:t>
            </w:r>
          </w:p>
        </w:tc>
        <w:tc>
          <w:tcPr>
            <w:tcW w:w="440" w:type="dxa"/>
            <w:vAlign w:val="bottom"/>
          </w:tcPr>
          <w:p>
            <w:pPr>
              <w:spacing w:after="0"/>
              <w:rPr>
                <w:sz w:val="11"/>
                <w:szCs w:val="11"/>
                <w:color w:val="auto"/>
              </w:rPr>
            </w:pPr>
          </w:p>
        </w:tc>
        <w:tc>
          <w:tcPr>
            <w:tcW w:w="740" w:type="dxa"/>
            <w:vAlign w:val="bottom"/>
          </w:tcPr>
          <w:p>
            <w:pPr>
              <w:jc w:val="center"/>
              <w:ind w:left="36"/>
              <w:spacing w:after="0" w:line="130" w:lineRule="exact"/>
              <w:rPr>
                <w:sz w:val="20"/>
                <w:szCs w:val="20"/>
                <w:color w:val="auto"/>
              </w:rPr>
            </w:pPr>
            <w:r>
              <w:rPr>
                <w:rFonts w:ascii="Calibri" w:cs="Calibri" w:eastAsia="Calibri" w:hAnsi="Calibri"/>
                <w:sz w:val="11"/>
                <w:szCs w:val="11"/>
                <w:b w:val="1"/>
                <w:bCs w:val="1"/>
                <w:color w:val="auto"/>
                <w:w w:val="92"/>
              </w:rPr>
              <w:t>and</w:t>
            </w:r>
          </w:p>
        </w:tc>
      </w:tr>
      <w:tr>
        <w:trPr>
          <w:trHeight w:val="148"/>
        </w:trPr>
        <w:tc>
          <w:tcPr>
            <w:tcW w:w="1300" w:type="dxa"/>
            <w:vAlign w:val="bottom"/>
          </w:tcPr>
          <w:p>
            <w:pPr>
              <w:spacing w:after="0"/>
              <w:rPr>
                <w:sz w:val="12"/>
                <w:szCs w:val="12"/>
                <w:color w:val="auto"/>
              </w:rPr>
            </w:pPr>
          </w:p>
        </w:tc>
        <w:tc>
          <w:tcPr>
            <w:tcW w:w="1360" w:type="dxa"/>
            <w:vAlign w:val="bottom"/>
          </w:tcPr>
          <w:p>
            <w:pPr>
              <w:jc w:val="center"/>
              <w:ind w:left="594"/>
              <w:spacing w:after="0"/>
              <w:rPr>
                <w:sz w:val="20"/>
                <w:szCs w:val="20"/>
                <w:color w:val="auto"/>
              </w:rPr>
            </w:pPr>
            <w:r>
              <w:rPr>
                <w:rFonts w:ascii="Calibri" w:cs="Calibri" w:eastAsia="Calibri" w:hAnsi="Calibri"/>
                <w:sz w:val="11"/>
                <w:szCs w:val="11"/>
                <w:b w:val="1"/>
                <w:bCs w:val="1"/>
                <w:color w:val="auto"/>
              </w:rPr>
              <w:t>accountng</w:t>
            </w:r>
          </w:p>
        </w:tc>
        <w:tc>
          <w:tcPr>
            <w:tcW w:w="680" w:type="dxa"/>
            <w:vAlign w:val="bottom"/>
          </w:tcPr>
          <w:p>
            <w:pPr>
              <w:jc w:val="center"/>
              <w:spacing w:after="0"/>
              <w:rPr>
                <w:sz w:val="20"/>
                <w:szCs w:val="20"/>
                <w:color w:val="auto"/>
              </w:rPr>
            </w:pPr>
            <w:r>
              <w:rPr>
                <w:rFonts w:ascii="Calibri" w:cs="Calibri" w:eastAsia="Calibri" w:hAnsi="Calibri"/>
                <w:sz w:val="11"/>
                <w:szCs w:val="11"/>
                <w:b w:val="1"/>
                <w:bCs w:val="1"/>
                <w:color w:val="auto"/>
              </w:rPr>
              <w:t>leadership</w:t>
            </w:r>
          </w:p>
        </w:tc>
        <w:tc>
          <w:tcPr>
            <w:tcW w:w="720" w:type="dxa"/>
            <w:vAlign w:val="bottom"/>
          </w:tcPr>
          <w:p>
            <w:pPr>
              <w:jc w:val="center"/>
              <w:spacing w:after="0"/>
              <w:rPr>
                <w:sz w:val="20"/>
                <w:szCs w:val="20"/>
                <w:color w:val="auto"/>
              </w:rPr>
            </w:pPr>
            <w:r>
              <w:rPr>
                <w:rFonts w:ascii="Calibri" w:cs="Calibri" w:eastAsia="Calibri" w:hAnsi="Calibri"/>
                <w:sz w:val="11"/>
                <w:szCs w:val="11"/>
                <w:b w:val="1"/>
                <w:bCs w:val="1"/>
                <w:color w:val="auto"/>
              </w:rPr>
              <w:t>governance</w:t>
            </w:r>
          </w:p>
        </w:tc>
        <w:tc>
          <w:tcPr>
            <w:tcW w:w="640" w:type="dxa"/>
            <w:vAlign w:val="bottom"/>
          </w:tcPr>
          <w:p>
            <w:pPr>
              <w:jc w:val="center"/>
              <w:spacing w:after="0"/>
              <w:rPr>
                <w:sz w:val="20"/>
                <w:szCs w:val="20"/>
                <w:color w:val="auto"/>
              </w:rPr>
            </w:pPr>
            <w:r>
              <w:rPr>
                <w:rFonts w:ascii="Calibri" w:cs="Calibri" w:eastAsia="Calibri" w:hAnsi="Calibri"/>
                <w:sz w:val="11"/>
                <w:szCs w:val="11"/>
                <w:b w:val="1"/>
                <w:bCs w:val="1"/>
                <w:color w:val="auto"/>
              </w:rPr>
              <w:t>Analytcs</w:t>
            </w:r>
          </w:p>
        </w:tc>
        <w:tc>
          <w:tcPr>
            <w:tcW w:w="860" w:type="dxa"/>
            <w:vAlign w:val="bottom"/>
          </w:tcPr>
          <w:p>
            <w:pPr>
              <w:jc w:val="center"/>
              <w:spacing w:after="0"/>
              <w:rPr>
                <w:sz w:val="20"/>
                <w:szCs w:val="20"/>
                <w:color w:val="auto"/>
              </w:rPr>
            </w:pPr>
            <w:r>
              <w:rPr>
                <w:rFonts w:ascii="Calibri" w:cs="Calibri" w:eastAsia="Calibri" w:hAnsi="Calibri"/>
                <w:sz w:val="11"/>
                <w:szCs w:val="11"/>
                <w:b w:val="1"/>
                <w:bCs w:val="1"/>
                <w:color w:val="auto"/>
              </w:rPr>
              <w:t>management</w:t>
            </w:r>
          </w:p>
        </w:tc>
        <w:tc>
          <w:tcPr>
            <w:tcW w:w="840" w:type="dxa"/>
            <w:vAlign w:val="bottom"/>
          </w:tcPr>
          <w:p>
            <w:pPr>
              <w:jc w:val="center"/>
              <w:spacing w:after="0"/>
              <w:rPr>
                <w:sz w:val="20"/>
                <w:szCs w:val="20"/>
                <w:color w:val="auto"/>
              </w:rPr>
            </w:pPr>
            <w:r>
              <w:rPr>
                <w:rFonts w:ascii="Calibri" w:cs="Calibri" w:eastAsia="Calibri" w:hAnsi="Calibri"/>
                <w:sz w:val="11"/>
                <w:szCs w:val="11"/>
                <w:b w:val="1"/>
                <w:bCs w:val="1"/>
                <w:color w:val="auto"/>
              </w:rPr>
              <w:t>and solutons</w:t>
            </w:r>
          </w:p>
        </w:tc>
        <w:tc>
          <w:tcPr>
            <w:tcW w:w="680" w:type="dxa"/>
            <w:vAlign w:val="bottom"/>
          </w:tcPr>
          <w:p>
            <w:pPr>
              <w:jc w:val="center"/>
              <w:spacing w:after="0"/>
              <w:rPr>
                <w:sz w:val="20"/>
                <w:szCs w:val="20"/>
                <w:color w:val="auto"/>
              </w:rPr>
            </w:pPr>
            <w:r>
              <w:rPr>
                <w:rFonts w:ascii="Calibri" w:cs="Calibri" w:eastAsia="Calibri" w:hAnsi="Calibri"/>
                <w:sz w:val="11"/>
                <w:szCs w:val="11"/>
                <w:b w:val="1"/>
                <w:bCs w:val="1"/>
                <w:color w:val="auto"/>
              </w:rPr>
              <w:t>Marketng</w:t>
            </w:r>
          </w:p>
        </w:tc>
        <w:tc>
          <w:tcPr>
            <w:tcW w:w="720" w:type="dxa"/>
            <w:vAlign w:val="bottom"/>
          </w:tcPr>
          <w:p>
            <w:pPr>
              <w:jc w:val="center"/>
              <w:spacing w:after="0"/>
              <w:rPr>
                <w:sz w:val="20"/>
                <w:szCs w:val="20"/>
                <w:color w:val="auto"/>
              </w:rPr>
            </w:pPr>
            <w:r>
              <w:rPr>
                <w:rFonts w:ascii="Calibri" w:cs="Calibri" w:eastAsia="Calibri" w:hAnsi="Calibri"/>
                <w:sz w:val="11"/>
                <w:szCs w:val="11"/>
                <w:b w:val="1"/>
                <w:bCs w:val="1"/>
                <w:color w:val="auto"/>
              </w:rPr>
              <w:t>experience</w:t>
            </w:r>
          </w:p>
        </w:tc>
        <w:tc>
          <w:tcPr>
            <w:tcW w:w="840" w:type="dxa"/>
            <w:vAlign w:val="bottom"/>
          </w:tcPr>
          <w:p>
            <w:pPr>
              <w:jc w:val="center"/>
              <w:spacing w:after="0"/>
              <w:rPr>
                <w:sz w:val="20"/>
                <w:szCs w:val="20"/>
                <w:color w:val="auto"/>
              </w:rPr>
            </w:pPr>
            <w:r>
              <w:rPr>
                <w:rFonts w:ascii="Calibri" w:cs="Calibri" w:eastAsia="Calibri" w:hAnsi="Calibri"/>
                <w:sz w:val="11"/>
                <w:szCs w:val="11"/>
                <w:b w:val="1"/>
                <w:bCs w:val="1"/>
                <w:color w:val="auto"/>
              </w:rPr>
              <w:t>management</w:t>
            </w:r>
          </w:p>
        </w:tc>
        <w:tc>
          <w:tcPr>
            <w:tcW w:w="800" w:type="dxa"/>
            <w:vAlign w:val="bottom"/>
          </w:tcPr>
          <w:p>
            <w:pPr>
              <w:jc w:val="center"/>
              <w:spacing w:after="0"/>
              <w:rPr>
                <w:sz w:val="20"/>
                <w:szCs w:val="20"/>
                <w:color w:val="auto"/>
              </w:rPr>
            </w:pPr>
            <w:r>
              <w:rPr>
                <w:rFonts w:ascii="Calibri" w:cs="Calibri" w:eastAsia="Calibri" w:hAnsi="Calibri"/>
                <w:sz w:val="11"/>
                <w:szCs w:val="11"/>
                <w:b w:val="1"/>
                <w:bCs w:val="1"/>
                <w:color w:val="auto"/>
                <w:w w:val="99"/>
              </w:rPr>
              <w:t>security</w:t>
            </w:r>
          </w:p>
        </w:tc>
        <w:tc>
          <w:tcPr>
            <w:tcW w:w="440" w:type="dxa"/>
            <w:vAlign w:val="bottom"/>
          </w:tcPr>
          <w:p>
            <w:pPr>
              <w:jc w:val="center"/>
              <w:spacing w:after="0"/>
              <w:rPr>
                <w:sz w:val="20"/>
                <w:szCs w:val="20"/>
                <w:color w:val="auto"/>
              </w:rPr>
            </w:pPr>
            <w:r>
              <w:rPr>
                <w:rFonts w:ascii="Calibri" w:cs="Calibri" w:eastAsia="Calibri" w:hAnsi="Calibri"/>
                <w:sz w:val="11"/>
                <w:szCs w:val="11"/>
                <w:b w:val="1"/>
                <w:bCs w:val="1"/>
                <w:color w:val="auto"/>
              </w:rPr>
              <w:t>ESG</w:t>
            </w:r>
          </w:p>
        </w:tc>
        <w:tc>
          <w:tcPr>
            <w:tcW w:w="740" w:type="dxa"/>
            <w:vAlign w:val="bottom"/>
          </w:tcPr>
          <w:p>
            <w:pPr>
              <w:jc w:val="center"/>
              <w:ind w:left="36"/>
              <w:spacing w:after="0"/>
              <w:rPr>
                <w:sz w:val="20"/>
                <w:szCs w:val="20"/>
                <w:color w:val="auto"/>
              </w:rPr>
            </w:pPr>
            <w:r>
              <w:rPr>
                <w:rFonts w:ascii="Calibri" w:cs="Calibri" w:eastAsia="Calibri" w:hAnsi="Calibri"/>
                <w:sz w:val="11"/>
                <w:szCs w:val="11"/>
                <w:b w:val="1"/>
                <w:bCs w:val="1"/>
                <w:color w:val="auto"/>
              </w:rPr>
              <w:t>acquisitons</w:t>
            </w:r>
          </w:p>
        </w:tc>
      </w:tr>
      <w:tr>
        <w:trPr>
          <w:trHeight w:val="82"/>
        </w:trPr>
        <w:tc>
          <w:tcPr>
            <w:tcW w:w="1300" w:type="dxa"/>
            <w:vAlign w:val="bottom"/>
            <w:tcBorders>
              <w:bottom w:val="single" w:sz="8" w:color="FB4E0B"/>
            </w:tcBorders>
          </w:tcPr>
          <w:p>
            <w:pPr>
              <w:spacing w:after="0"/>
              <w:rPr>
                <w:sz w:val="7"/>
                <w:szCs w:val="7"/>
                <w:color w:val="auto"/>
              </w:rPr>
            </w:pPr>
          </w:p>
        </w:tc>
        <w:tc>
          <w:tcPr>
            <w:tcW w:w="1360" w:type="dxa"/>
            <w:vAlign w:val="bottom"/>
            <w:tcBorders>
              <w:bottom w:val="single" w:sz="8" w:color="FB4E0B"/>
            </w:tcBorders>
          </w:tcPr>
          <w:p>
            <w:pPr>
              <w:spacing w:after="0"/>
              <w:rPr>
                <w:sz w:val="7"/>
                <w:szCs w:val="7"/>
                <w:color w:val="auto"/>
              </w:rPr>
            </w:pPr>
          </w:p>
        </w:tc>
        <w:tc>
          <w:tcPr>
            <w:tcW w:w="680" w:type="dxa"/>
            <w:vAlign w:val="bottom"/>
            <w:tcBorders>
              <w:bottom w:val="single" w:sz="8" w:color="FB4E0B"/>
            </w:tcBorders>
          </w:tcPr>
          <w:p>
            <w:pPr>
              <w:spacing w:after="0"/>
              <w:rPr>
                <w:sz w:val="7"/>
                <w:szCs w:val="7"/>
                <w:color w:val="auto"/>
              </w:rPr>
            </w:pPr>
          </w:p>
        </w:tc>
        <w:tc>
          <w:tcPr>
            <w:tcW w:w="720" w:type="dxa"/>
            <w:vAlign w:val="bottom"/>
            <w:tcBorders>
              <w:bottom w:val="single" w:sz="8" w:color="FB4E0B"/>
            </w:tcBorders>
          </w:tcPr>
          <w:p>
            <w:pPr>
              <w:spacing w:after="0"/>
              <w:rPr>
                <w:sz w:val="7"/>
                <w:szCs w:val="7"/>
                <w:color w:val="auto"/>
              </w:rPr>
            </w:pPr>
          </w:p>
        </w:tc>
        <w:tc>
          <w:tcPr>
            <w:tcW w:w="640" w:type="dxa"/>
            <w:vAlign w:val="bottom"/>
            <w:tcBorders>
              <w:bottom w:val="single" w:sz="8" w:color="FB4E0B"/>
            </w:tcBorders>
          </w:tcPr>
          <w:p>
            <w:pPr>
              <w:spacing w:after="0"/>
              <w:rPr>
                <w:sz w:val="7"/>
                <w:szCs w:val="7"/>
                <w:color w:val="auto"/>
              </w:rPr>
            </w:pPr>
          </w:p>
        </w:tc>
        <w:tc>
          <w:tcPr>
            <w:tcW w:w="860" w:type="dxa"/>
            <w:vAlign w:val="bottom"/>
            <w:tcBorders>
              <w:bottom w:val="single" w:sz="8" w:color="FB4E0B"/>
            </w:tcBorders>
          </w:tcPr>
          <w:p>
            <w:pPr>
              <w:spacing w:after="0"/>
              <w:rPr>
                <w:sz w:val="7"/>
                <w:szCs w:val="7"/>
                <w:color w:val="auto"/>
              </w:rPr>
            </w:pPr>
          </w:p>
        </w:tc>
        <w:tc>
          <w:tcPr>
            <w:tcW w:w="840" w:type="dxa"/>
            <w:vAlign w:val="bottom"/>
            <w:tcBorders>
              <w:bottom w:val="single" w:sz="8" w:color="FB4E0B"/>
            </w:tcBorders>
          </w:tcPr>
          <w:p>
            <w:pPr>
              <w:spacing w:after="0"/>
              <w:rPr>
                <w:sz w:val="7"/>
                <w:szCs w:val="7"/>
                <w:color w:val="auto"/>
              </w:rPr>
            </w:pPr>
          </w:p>
        </w:tc>
        <w:tc>
          <w:tcPr>
            <w:tcW w:w="680" w:type="dxa"/>
            <w:vAlign w:val="bottom"/>
            <w:tcBorders>
              <w:bottom w:val="single" w:sz="8" w:color="FB4E0B"/>
            </w:tcBorders>
          </w:tcPr>
          <w:p>
            <w:pPr>
              <w:spacing w:after="0"/>
              <w:rPr>
                <w:sz w:val="7"/>
                <w:szCs w:val="7"/>
                <w:color w:val="auto"/>
              </w:rPr>
            </w:pPr>
          </w:p>
        </w:tc>
        <w:tc>
          <w:tcPr>
            <w:tcW w:w="720" w:type="dxa"/>
            <w:vAlign w:val="bottom"/>
            <w:tcBorders>
              <w:bottom w:val="single" w:sz="8" w:color="FB4E0B"/>
            </w:tcBorders>
          </w:tcPr>
          <w:p>
            <w:pPr>
              <w:spacing w:after="0"/>
              <w:rPr>
                <w:sz w:val="7"/>
                <w:szCs w:val="7"/>
                <w:color w:val="auto"/>
              </w:rPr>
            </w:pPr>
          </w:p>
        </w:tc>
        <w:tc>
          <w:tcPr>
            <w:tcW w:w="840" w:type="dxa"/>
            <w:vAlign w:val="bottom"/>
            <w:tcBorders>
              <w:bottom w:val="single" w:sz="8" w:color="FB4E0B"/>
            </w:tcBorders>
          </w:tcPr>
          <w:p>
            <w:pPr>
              <w:spacing w:after="0"/>
              <w:rPr>
                <w:sz w:val="7"/>
                <w:szCs w:val="7"/>
                <w:color w:val="auto"/>
              </w:rPr>
            </w:pPr>
          </w:p>
        </w:tc>
        <w:tc>
          <w:tcPr>
            <w:tcW w:w="800" w:type="dxa"/>
            <w:vAlign w:val="bottom"/>
            <w:tcBorders>
              <w:bottom w:val="single" w:sz="8" w:color="FB4E0B"/>
            </w:tcBorders>
          </w:tcPr>
          <w:p>
            <w:pPr>
              <w:spacing w:after="0"/>
              <w:rPr>
                <w:sz w:val="7"/>
                <w:szCs w:val="7"/>
                <w:color w:val="auto"/>
              </w:rPr>
            </w:pPr>
          </w:p>
        </w:tc>
        <w:tc>
          <w:tcPr>
            <w:tcW w:w="440" w:type="dxa"/>
            <w:vAlign w:val="bottom"/>
            <w:tcBorders>
              <w:bottom w:val="single" w:sz="8" w:color="FB4E0B"/>
            </w:tcBorders>
          </w:tcPr>
          <w:p>
            <w:pPr>
              <w:spacing w:after="0"/>
              <w:rPr>
                <w:sz w:val="7"/>
                <w:szCs w:val="7"/>
                <w:color w:val="auto"/>
              </w:rPr>
            </w:pPr>
          </w:p>
        </w:tc>
        <w:tc>
          <w:tcPr>
            <w:tcW w:w="740" w:type="dxa"/>
            <w:vAlign w:val="bottom"/>
            <w:tcBorders>
              <w:bottom w:val="single" w:sz="8" w:color="FB4E0B"/>
            </w:tcBorders>
          </w:tcPr>
          <w:p>
            <w:pPr>
              <w:spacing w:after="0"/>
              <w:rPr>
                <w:sz w:val="7"/>
                <w:szCs w:val="7"/>
                <w:color w:val="auto"/>
              </w:rPr>
            </w:pPr>
          </w:p>
        </w:tc>
      </w:tr>
      <w:tr>
        <w:trPr>
          <w:trHeight w:val="238"/>
        </w:trPr>
        <w:tc>
          <w:tcPr>
            <w:tcW w:w="1300" w:type="dxa"/>
            <w:vAlign w:val="bottom"/>
          </w:tcPr>
          <w:p>
            <w:pPr>
              <w:ind w:left="20"/>
              <w:spacing w:after="0"/>
              <w:rPr>
                <w:sz w:val="20"/>
                <w:szCs w:val="20"/>
                <w:color w:val="auto"/>
              </w:rPr>
            </w:pPr>
            <w:r>
              <w:rPr>
                <w:rFonts w:ascii="Calibri" w:cs="Calibri" w:eastAsia="Calibri" w:hAnsi="Calibri"/>
                <w:sz w:val="14"/>
                <w:szCs w:val="14"/>
                <w:b w:val="1"/>
                <w:bCs w:val="1"/>
                <w:color w:val="auto"/>
              </w:rPr>
              <w:t>Vikram Pandit</w:t>
            </w:r>
          </w:p>
        </w:tc>
        <w:tc>
          <w:tcPr>
            <w:tcW w:w="1360" w:type="dxa"/>
            <w:vAlign w:val="bottom"/>
          </w:tcPr>
          <w:p>
            <w:pPr>
              <w:jc w:val="center"/>
              <w:ind w:left="594"/>
              <w:spacing w:after="0" w:line="141" w:lineRule="exact"/>
              <w:rPr>
                <w:sz w:val="20"/>
                <w:szCs w:val="20"/>
                <w:color w:val="auto"/>
              </w:rPr>
            </w:pPr>
            <w:r>
              <w:rPr>
                <w:rFonts w:ascii="MS PGothic" w:cs="MS PGothic" w:eastAsia="MS PGothic" w:hAnsi="MS PGothic"/>
                <w:sz w:val="14"/>
                <w:szCs w:val="14"/>
                <w:color w:val="auto"/>
                <w:w w:val="71"/>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center"/>
              <w:ind w:left="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8"/>
        </w:trPr>
        <w:tc>
          <w:tcPr>
            <w:tcW w:w="130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4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300" w:type="dxa"/>
            <w:vAlign w:val="bottom"/>
          </w:tcPr>
          <w:p>
            <w:pPr>
              <w:ind w:left="20"/>
              <w:spacing w:after="0"/>
              <w:rPr>
                <w:sz w:val="20"/>
                <w:szCs w:val="20"/>
                <w:color w:val="auto"/>
              </w:rPr>
            </w:pPr>
            <w:r>
              <w:rPr>
                <w:rFonts w:ascii="Calibri" w:cs="Calibri" w:eastAsia="Calibri" w:hAnsi="Calibri"/>
                <w:sz w:val="14"/>
                <w:szCs w:val="14"/>
                <w:b w:val="1"/>
                <w:bCs w:val="1"/>
                <w:color w:val="auto"/>
              </w:rPr>
              <w:t>Rohit Kapoor</w:t>
            </w:r>
          </w:p>
        </w:tc>
        <w:tc>
          <w:tcPr>
            <w:tcW w:w="1360" w:type="dxa"/>
            <w:vAlign w:val="bottom"/>
          </w:tcPr>
          <w:p>
            <w:pPr>
              <w:jc w:val="center"/>
              <w:ind w:left="594"/>
              <w:spacing w:after="0" w:line="141" w:lineRule="exact"/>
              <w:rPr>
                <w:sz w:val="20"/>
                <w:szCs w:val="20"/>
                <w:color w:val="auto"/>
              </w:rPr>
            </w:pPr>
            <w:r>
              <w:rPr>
                <w:rFonts w:ascii="MS PGothic" w:cs="MS PGothic" w:eastAsia="MS PGothic" w:hAnsi="MS PGothic"/>
                <w:sz w:val="14"/>
                <w:szCs w:val="14"/>
                <w:color w:val="auto"/>
                <w:w w:val="71"/>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center"/>
              <w:ind w:left="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8"/>
        </w:trPr>
        <w:tc>
          <w:tcPr>
            <w:tcW w:w="130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4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300" w:type="dxa"/>
            <w:vAlign w:val="bottom"/>
          </w:tcPr>
          <w:p>
            <w:pPr>
              <w:ind w:left="20"/>
              <w:spacing w:after="0"/>
              <w:rPr>
                <w:sz w:val="20"/>
                <w:szCs w:val="20"/>
                <w:color w:val="auto"/>
              </w:rPr>
            </w:pPr>
            <w:r>
              <w:rPr>
                <w:rFonts w:ascii="Calibri" w:cs="Calibri" w:eastAsia="Calibri" w:hAnsi="Calibri"/>
                <w:sz w:val="14"/>
                <w:szCs w:val="14"/>
                <w:b w:val="1"/>
                <w:bCs w:val="1"/>
                <w:color w:val="auto"/>
              </w:rPr>
              <w:t>Anne Minto</w:t>
            </w:r>
          </w:p>
        </w:tc>
        <w:tc>
          <w:tcPr>
            <w:tcW w:w="1360" w:type="dxa"/>
            <w:vAlign w:val="bottom"/>
          </w:tcPr>
          <w:p>
            <w:pPr>
              <w:jc w:val="center"/>
              <w:ind w:left="594"/>
              <w:spacing w:after="0" w:line="141" w:lineRule="exact"/>
              <w:rPr>
                <w:sz w:val="20"/>
                <w:szCs w:val="20"/>
                <w:color w:val="auto"/>
              </w:rPr>
            </w:pPr>
            <w:r>
              <w:rPr>
                <w:rFonts w:ascii="MS PGothic" w:cs="MS PGothic" w:eastAsia="MS PGothic" w:hAnsi="MS PGothic"/>
                <w:sz w:val="14"/>
                <w:szCs w:val="14"/>
                <w:color w:val="auto"/>
                <w:w w:val="71"/>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spacing w:after="0"/>
              <w:rPr>
                <w:sz w:val="20"/>
                <w:szCs w:val="20"/>
                <w:color w:val="auto"/>
              </w:rPr>
            </w:pP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spacing w:after="0"/>
              <w:rPr>
                <w:sz w:val="20"/>
                <w:szCs w:val="20"/>
                <w:color w:val="auto"/>
              </w:rPr>
            </w:pP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8"/>
        </w:trPr>
        <w:tc>
          <w:tcPr>
            <w:tcW w:w="130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4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300" w:type="dxa"/>
            <w:vAlign w:val="bottom"/>
          </w:tcPr>
          <w:p>
            <w:pPr>
              <w:ind w:left="20"/>
              <w:spacing w:after="0"/>
              <w:rPr>
                <w:sz w:val="20"/>
                <w:szCs w:val="20"/>
                <w:color w:val="auto"/>
              </w:rPr>
            </w:pPr>
            <w:r>
              <w:rPr>
                <w:rFonts w:ascii="Calibri" w:cs="Calibri" w:eastAsia="Calibri" w:hAnsi="Calibri"/>
                <w:sz w:val="14"/>
                <w:szCs w:val="14"/>
                <w:b w:val="1"/>
                <w:bCs w:val="1"/>
                <w:color w:val="auto"/>
              </w:rPr>
              <w:t>Som Mital</w:t>
            </w:r>
          </w:p>
        </w:tc>
        <w:tc>
          <w:tcPr>
            <w:tcW w:w="1360" w:type="dxa"/>
            <w:vAlign w:val="bottom"/>
          </w:tcPr>
          <w:p>
            <w:pPr>
              <w:jc w:val="center"/>
              <w:ind w:left="594"/>
              <w:spacing w:after="0" w:line="141" w:lineRule="exact"/>
              <w:rPr>
                <w:sz w:val="20"/>
                <w:szCs w:val="20"/>
                <w:color w:val="auto"/>
              </w:rPr>
            </w:pPr>
            <w:r>
              <w:rPr>
                <w:rFonts w:ascii="MS PGothic" w:cs="MS PGothic" w:eastAsia="MS PGothic" w:hAnsi="MS PGothic"/>
                <w:sz w:val="14"/>
                <w:szCs w:val="14"/>
                <w:color w:val="auto"/>
                <w:w w:val="71"/>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spacing w:after="0"/>
              <w:rPr>
                <w:sz w:val="20"/>
                <w:szCs w:val="20"/>
                <w:color w:val="auto"/>
              </w:rPr>
            </w:pP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spacing w:after="0"/>
              <w:rPr>
                <w:sz w:val="20"/>
                <w:szCs w:val="20"/>
                <w:color w:val="auto"/>
              </w:rPr>
            </w:pPr>
          </w:p>
        </w:tc>
      </w:tr>
      <w:tr>
        <w:trPr>
          <w:trHeight w:val="48"/>
        </w:trPr>
        <w:tc>
          <w:tcPr>
            <w:tcW w:w="130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4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300" w:type="dxa"/>
            <w:vAlign w:val="bottom"/>
          </w:tcPr>
          <w:p>
            <w:pPr>
              <w:ind w:left="20"/>
              <w:spacing w:after="0"/>
              <w:rPr>
                <w:sz w:val="20"/>
                <w:szCs w:val="20"/>
                <w:color w:val="auto"/>
              </w:rPr>
            </w:pPr>
            <w:r>
              <w:rPr>
                <w:rFonts w:ascii="Calibri" w:cs="Calibri" w:eastAsia="Calibri" w:hAnsi="Calibri"/>
                <w:sz w:val="14"/>
                <w:szCs w:val="14"/>
                <w:b w:val="1"/>
                <w:bCs w:val="1"/>
                <w:color w:val="auto"/>
              </w:rPr>
              <w:t>Clyde Ostler</w:t>
            </w:r>
          </w:p>
        </w:tc>
        <w:tc>
          <w:tcPr>
            <w:tcW w:w="1360" w:type="dxa"/>
            <w:vAlign w:val="bottom"/>
          </w:tcPr>
          <w:p>
            <w:pPr>
              <w:jc w:val="center"/>
              <w:ind w:left="594"/>
              <w:spacing w:after="0" w:line="141" w:lineRule="exact"/>
              <w:rPr>
                <w:sz w:val="20"/>
                <w:szCs w:val="20"/>
                <w:color w:val="auto"/>
              </w:rPr>
            </w:pPr>
            <w:r>
              <w:rPr>
                <w:rFonts w:ascii="MS PGothic" w:cs="MS PGothic" w:eastAsia="MS PGothic" w:hAnsi="MS PGothic"/>
                <w:sz w:val="14"/>
                <w:szCs w:val="14"/>
                <w:color w:val="auto"/>
                <w:w w:val="71"/>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spacing w:after="0"/>
              <w:rPr>
                <w:sz w:val="20"/>
                <w:szCs w:val="20"/>
                <w:color w:val="auto"/>
              </w:rPr>
            </w:pP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8"/>
        </w:trPr>
        <w:tc>
          <w:tcPr>
            <w:tcW w:w="130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4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300" w:type="dxa"/>
            <w:vAlign w:val="bottom"/>
          </w:tcPr>
          <w:p>
            <w:pPr>
              <w:ind w:left="20"/>
              <w:spacing w:after="0"/>
              <w:rPr>
                <w:sz w:val="20"/>
                <w:szCs w:val="20"/>
                <w:color w:val="auto"/>
              </w:rPr>
            </w:pPr>
            <w:r>
              <w:rPr>
                <w:rFonts w:ascii="Calibri" w:cs="Calibri" w:eastAsia="Calibri" w:hAnsi="Calibri"/>
                <w:sz w:val="14"/>
                <w:szCs w:val="14"/>
                <w:b w:val="1"/>
                <w:bCs w:val="1"/>
                <w:color w:val="auto"/>
              </w:rPr>
              <w:t>Kristy Pipes</w:t>
            </w:r>
          </w:p>
        </w:tc>
        <w:tc>
          <w:tcPr>
            <w:tcW w:w="1360" w:type="dxa"/>
            <w:vAlign w:val="bottom"/>
          </w:tcPr>
          <w:p>
            <w:pPr>
              <w:jc w:val="center"/>
              <w:ind w:left="594"/>
              <w:spacing w:after="0" w:line="141" w:lineRule="exact"/>
              <w:rPr>
                <w:sz w:val="20"/>
                <w:szCs w:val="20"/>
                <w:color w:val="auto"/>
              </w:rPr>
            </w:pPr>
            <w:r>
              <w:rPr>
                <w:rFonts w:ascii="MS PGothic" w:cs="MS PGothic" w:eastAsia="MS PGothic" w:hAnsi="MS PGothic"/>
                <w:sz w:val="14"/>
                <w:szCs w:val="14"/>
                <w:color w:val="auto"/>
                <w:w w:val="71"/>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8"/>
        </w:trPr>
        <w:tc>
          <w:tcPr>
            <w:tcW w:w="130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4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300" w:type="dxa"/>
            <w:vAlign w:val="bottom"/>
          </w:tcPr>
          <w:p>
            <w:pPr>
              <w:ind w:left="20"/>
              <w:spacing w:after="0"/>
              <w:rPr>
                <w:sz w:val="20"/>
                <w:szCs w:val="20"/>
                <w:color w:val="auto"/>
              </w:rPr>
            </w:pPr>
            <w:r>
              <w:rPr>
                <w:rFonts w:ascii="Calibri" w:cs="Calibri" w:eastAsia="Calibri" w:hAnsi="Calibri"/>
                <w:sz w:val="14"/>
                <w:szCs w:val="14"/>
                <w:b w:val="1"/>
                <w:bCs w:val="1"/>
                <w:color w:val="auto"/>
              </w:rPr>
              <w:t>Nitn Sahney</w:t>
            </w:r>
          </w:p>
        </w:tc>
        <w:tc>
          <w:tcPr>
            <w:tcW w:w="1360" w:type="dxa"/>
            <w:vAlign w:val="bottom"/>
          </w:tcPr>
          <w:p>
            <w:pPr>
              <w:jc w:val="center"/>
              <w:ind w:left="594"/>
              <w:spacing w:after="0" w:line="141" w:lineRule="exact"/>
              <w:rPr>
                <w:sz w:val="20"/>
                <w:szCs w:val="20"/>
                <w:color w:val="auto"/>
              </w:rPr>
            </w:pPr>
            <w:r>
              <w:rPr>
                <w:rFonts w:ascii="MS PGothic" w:cs="MS PGothic" w:eastAsia="MS PGothic" w:hAnsi="MS PGothic"/>
                <w:sz w:val="14"/>
                <w:szCs w:val="14"/>
                <w:color w:val="auto"/>
                <w:w w:val="71"/>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jc w:val="center"/>
              <w:ind w:left="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8"/>
        </w:trPr>
        <w:tc>
          <w:tcPr>
            <w:tcW w:w="130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4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300" w:type="dxa"/>
            <w:vAlign w:val="bottom"/>
          </w:tcPr>
          <w:p>
            <w:pPr>
              <w:ind w:left="20"/>
              <w:spacing w:after="0"/>
              <w:rPr>
                <w:sz w:val="20"/>
                <w:szCs w:val="20"/>
                <w:color w:val="auto"/>
              </w:rPr>
            </w:pPr>
            <w:r>
              <w:rPr>
                <w:rFonts w:ascii="Calibri" w:cs="Calibri" w:eastAsia="Calibri" w:hAnsi="Calibri"/>
                <w:sz w:val="14"/>
                <w:szCs w:val="14"/>
                <w:b w:val="1"/>
                <w:bCs w:val="1"/>
                <w:color w:val="auto"/>
              </w:rPr>
              <w:t>Garen Staglin</w:t>
            </w:r>
          </w:p>
        </w:tc>
        <w:tc>
          <w:tcPr>
            <w:tcW w:w="1360" w:type="dxa"/>
            <w:vAlign w:val="bottom"/>
          </w:tcPr>
          <w:p>
            <w:pPr>
              <w:jc w:val="center"/>
              <w:ind w:left="594"/>
              <w:spacing w:after="0" w:line="141" w:lineRule="exact"/>
              <w:rPr>
                <w:sz w:val="20"/>
                <w:szCs w:val="20"/>
                <w:color w:val="auto"/>
              </w:rPr>
            </w:pPr>
            <w:r>
              <w:rPr>
                <w:rFonts w:ascii="MS PGothic" w:cs="MS PGothic" w:eastAsia="MS PGothic" w:hAnsi="MS PGothic"/>
                <w:sz w:val="14"/>
                <w:szCs w:val="14"/>
                <w:color w:val="auto"/>
                <w:w w:val="71"/>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spacing w:after="0"/>
              <w:rPr>
                <w:sz w:val="20"/>
                <w:szCs w:val="20"/>
                <w:color w:val="auto"/>
              </w:rPr>
            </w:pP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8"/>
        </w:trPr>
        <w:tc>
          <w:tcPr>
            <w:tcW w:w="1300" w:type="dxa"/>
            <w:vAlign w:val="bottom"/>
            <w:tcBorders>
              <w:bottom w:val="single" w:sz="8" w:color="B2B2B2"/>
            </w:tcBorders>
          </w:tcPr>
          <w:p>
            <w:pPr>
              <w:spacing w:after="0"/>
              <w:rPr>
                <w:sz w:val="4"/>
                <w:szCs w:val="4"/>
                <w:color w:val="auto"/>
              </w:rPr>
            </w:pPr>
          </w:p>
        </w:tc>
        <w:tc>
          <w:tcPr>
            <w:tcW w:w="136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640" w:type="dxa"/>
            <w:vAlign w:val="bottom"/>
            <w:tcBorders>
              <w:bottom w:val="single" w:sz="8" w:color="B2B2B2"/>
            </w:tcBorders>
          </w:tcPr>
          <w:p>
            <w:pPr>
              <w:spacing w:after="0"/>
              <w:rPr>
                <w:sz w:val="4"/>
                <w:szCs w:val="4"/>
                <w:color w:val="auto"/>
              </w:rPr>
            </w:pPr>
          </w:p>
        </w:tc>
        <w:tc>
          <w:tcPr>
            <w:tcW w:w="86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680" w:type="dxa"/>
            <w:vAlign w:val="bottom"/>
            <w:tcBorders>
              <w:bottom w:val="single" w:sz="8" w:color="B2B2B2"/>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840" w:type="dxa"/>
            <w:vAlign w:val="bottom"/>
            <w:tcBorders>
              <w:bottom w:val="single" w:sz="8" w:color="B2B2B2"/>
            </w:tcBorders>
          </w:tcPr>
          <w:p>
            <w:pPr>
              <w:spacing w:after="0"/>
              <w:rPr>
                <w:sz w:val="4"/>
                <w:szCs w:val="4"/>
                <w:color w:val="auto"/>
              </w:rPr>
            </w:pPr>
          </w:p>
        </w:tc>
        <w:tc>
          <w:tcPr>
            <w:tcW w:w="800" w:type="dxa"/>
            <w:vAlign w:val="bottom"/>
            <w:tcBorders>
              <w:bottom w:val="single" w:sz="8" w:color="B2B2B2"/>
            </w:tcBorders>
          </w:tcPr>
          <w:p>
            <w:pPr>
              <w:spacing w:after="0"/>
              <w:rPr>
                <w:sz w:val="4"/>
                <w:szCs w:val="4"/>
                <w:color w:val="auto"/>
              </w:rPr>
            </w:pPr>
          </w:p>
        </w:tc>
        <w:tc>
          <w:tcPr>
            <w:tcW w:w="440" w:type="dxa"/>
            <w:vAlign w:val="bottom"/>
            <w:tcBorders>
              <w:bottom w:val="single" w:sz="8" w:color="B2B2B2"/>
            </w:tcBorders>
          </w:tcPr>
          <w:p>
            <w:pPr>
              <w:spacing w:after="0"/>
              <w:rPr>
                <w:sz w:val="4"/>
                <w:szCs w:val="4"/>
                <w:color w:val="auto"/>
              </w:rPr>
            </w:pPr>
          </w:p>
        </w:tc>
        <w:tc>
          <w:tcPr>
            <w:tcW w:w="740" w:type="dxa"/>
            <w:vAlign w:val="bottom"/>
            <w:tcBorders>
              <w:bottom w:val="single" w:sz="8" w:color="B2B2B2"/>
            </w:tcBorders>
          </w:tcPr>
          <w:p>
            <w:pPr>
              <w:spacing w:after="0"/>
              <w:rPr>
                <w:sz w:val="4"/>
                <w:szCs w:val="4"/>
                <w:color w:val="auto"/>
              </w:rPr>
            </w:pPr>
          </w:p>
        </w:tc>
      </w:tr>
      <w:tr>
        <w:trPr>
          <w:trHeight w:val="231"/>
        </w:trPr>
        <w:tc>
          <w:tcPr>
            <w:tcW w:w="1300" w:type="dxa"/>
            <w:vAlign w:val="bottom"/>
          </w:tcPr>
          <w:p>
            <w:pPr>
              <w:ind w:left="20"/>
              <w:spacing w:after="0"/>
              <w:rPr>
                <w:sz w:val="20"/>
                <w:szCs w:val="20"/>
                <w:color w:val="auto"/>
              </w:rPr>
            </w:pPr>
            <w:r>
              <w:rPr>
                <w:rFonts w:ascii="Calibri" w:cs="Calibri" w:eastAsia="Calibri" w:hAnsi="Calibri"/>
                <w:sz w:val="14"/>
                <w:szCs w:val="14"/>
                <w:b w:val="1"/>
                <w:bCs w:val="1"/>
                <w:color w:val="auto"/>
              </w:rPr>
              <w:t>Jaynie Studenmund</w:t>
            </w:r>
          </w:p>
        </w:tc>
        <w:tc>
          <w:tcPr>
            <w:tcW w:w="1360" w:type="dxa"/>
            <w:vAlign w:val="bottom"/>
          </w:tcPr>
          <w:p>
            <w:pPr>
              <w:jc w:val="center"/>
              <w:ind w:left="594"/>
              <w:spacing w:after="0" w:line="141" w:lineRule="exact"/>
              <w:rPr>
                <w:sz w:val="20"/>
                <w:szCs w:val="20"/>
                <w:color w:val="auto"/>
              </w:rPr>
            </w:pPr>
            <w:r>
              <w:rPr>
                <w:rFonts w:ascii="MS PGothic" w:cs="MS PGothic" w:eastAsia="MS PGothic" w:hAnsi="MS PGothic"/>
                <w:sz w:val="14"/>
                <w:szCs w:val="14"/>
                <w:color w:val="auto"/>
                <w:w w:val="71"/>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71"/>
              </w:rPr>
              <w:t>✓</w:t>
            </w:r>
          </w:p>
        </w:tc>
        <w:tc>
          <w:tcPr>
            <w:tcW w:w="6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00" w:type="dxa"/>
            <w:vAlign w:val="bottom"/>
          </w:tcPr>
          <w:p>
            <w:pPr>
              <w:spacing w:after="0"/>
              <w:rPr>
                <w:sz w:val="20"/>
                <w:szCs w:val="20"/>
                <w:color w:val="auto"/>
              </w:rPr>
            </w:pP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tcPr>
          <w:p>
            <w:pPr>
              <w:jc w:val="center"/>
              <w:ind w:left="36"/>
              <w:spacing w:after="0" w:line="141" w:lineRule="exact"/>
              <w:rPr>
                <w:sz w:val="20"/>
                <w:szCs w:val="20"/>
                <w:color w:val="auto"/>
              </w:rPr>
            </w:pPr>
            <w:r>
              <w:rPr>
                <w:rFonts w:ascii="MS PGothic" w:cs="MS PGothic" w:eastAsia="MS PGothic" w:hAnsi="MS PGothic"/>
                <w:sz w:val="14"/>
                <w:szCs w:val="14"/>
                <w:color w:val="auto"/>
                <w:w w:val="85"/>
              </w:rPr>
              <w:t>✓</w:t>
            </w:r>
          </w:p>
        </w:tc>
      </w:tr>
      <w:tr>
        <w:trPr>
          <w:trHeight w:val="54"/>
        </w:trPr>
        <w:tc>
          <w:tcPr>
            <w:tcW w:w="1300" w:type="dxa"/>
            <w:vAlign w:val="bottom"/>
            <w:tcBorders>
              <w:bottom w:val="single" w:sz="8" w:color="FB4E0B"/>
            </w:tcBorders>
          </w:tcPr>
          <w:p>
            <w:pPr>
              <w:spacing w:after="0"/>
              <w:rPr>
                <w:sz w:val="4"/>
                <w:szCs w:val="4"/>
                <w:color w:val="auto"/>
              </w:rPr>
            </w:pPr>
          </w:p>
        </w:tc>
        <w:tc>
          <w:tcPr>
            <w:tcW w:w="2040" w:type="dxa"/>
            <w:vAlign w:val="bottom"/>
            <w:tcBorders>
              <w:bottom w:val="single" w:sz="8" w:color="FB4E0B"/>
            </w:tcBorders>
            <w:gridSpan w:val="2"/>
          </w:tcPr>
          <w:p>
            <w:pPr>
              <w:spacing w:after="0"/>
              <w:rPr>
                <w:sz w:val="4"/>
                <w:szCs w:val="4"/>
                <w:color w:val="auto"/>
              </w:rPr>
            </w:pPr>
          </w:p>
        </w:tc>
        <w:tc>
          <w:tcPr>
            <w:tcW w:w="720" w:type="dxa"/>
            <w:vAlign w:val="bottom"/>
            <w:tcBorders>
              <w:bottom w:val="single" w:sz="8" w:color="FB4E0B"/>
            </w:tcBorders>
          </w:tcPr>
          <w:p>
            <w:pPr>
              <w:spacing w:after="0"/>
              <w:rPr>
                <w:sz w:val="4"/>
                <w:szCs w:val="4"/>
                <w:color w:val="auto"/>
              </w:rPr>
            </w:pPr>
          </w:p>
        </w:tc>
        <w:tc>
          <w:tcPr>
            <w:tcW w:w="640" w:type="dxa"/>
            <w:vAlign w:val="bottom"/>
            <w:tcBorders>
              <w:bottom w:val="single" w:sz="8" w:color="FB4E0B"/>
            </w:tcBorders>
          </w:tcPr>
          <w:p>
            <w:pPr>
              <w:spacing w:after="0"/>
              <w:rPr>
                <w:sz w:val="4"/>
                <w:szCs w:val="4"/>
                <w:color w:val="auto"/>
              </w:rPr>
            </w:pPr>
          </w:p>
        </w:tc>
        <w:tc>
          <w:tcPr>
            <w:tcW w:w="860" w:type="dxa"/>
            <w:vAlign w:val="bottom"/>
            <w:tcBorders>
              <w:bottom w:val="single" w:sz="8" w:color="FB4E0B"/>
            </w:tcBorders>
          </w:tcPr>
          <w:p>
            <w:pPr>
              <w:spacing w:after="0"/>
              <w:rPr>
                <w:sz w:val="4"/>
                <w:szCs w:val="4"/>
                <w:color w:val="auto"/>
              </w:rPr>
            </w:pPr>
          </w:p>
        </w:tc>
        <w:tc>
          <w:tcPr>
            <w:tcW w:w="840" w:type="dxa"/>
            <w:vAlign w:val="bottom"/>
            <w:tcBorders>
              <w:bottom w:val="single" w:sz="8" w:color="FB4E0B"/>
            </w:tcBorders>
          </w:tcPr>
          <w:p>
            <w:pPr>
              <w:spacing w:after="0"/>
              <w:rPr>
                <w:sz w:val="4"/>
                <w:szCs w:val="4"/>
                <w:color w:val="auto"/>
              </w:rPr>
            </w:pPr>
          </w:p>
        </w:tc>
        <w:tc>
          <w:tcPr>
            <w:tcW w:w="680" w:type="dxa"/>
            <w:vAlign w:val="bottom"/>
            <w:tcBorders>
              <w:bottom w:val="single" w:sz="8" w:color="FB4E0B"/>
            </w:tcBorders>
          </w:tcPr>
          <w:p>
            <w:pPr>
              <w:spacing w:after="0"/>
              <w:rPr>
                <w:sz w:val="4"/>
                <w:szCs w:val="4"/>
                <w:color w:val="auto"/>
              </w:rPr>
            </w:pPr>
          </w:p>
        </w:tc>
        <w:tc>
          <w:tcPr>
            <w:tcW w:w="720" w:type="dxa"/>
            <w:vAlign w:val="bottom"/>
            <w:tcBorders>
              <w:bottom w:val="single" w:sz="8" w:color="FB4E0B"/>
            </w:tcBorders>
          </w:tcPr>
          <w:p>
            <w:pPr>
              <w:spacing w:after="0"/>
              <w:rPr>
                <w:sz w:val="4"/>
                <w:szCs w:val="4"/>
                <w:color w:val="auto"/>
              </w:rPr>
            </w:pPr>
          </w:p>
        </w:tc>
        <w:tc>
          <w:tcPr>
            <w:tcW w:w="840" w:type="dxa"/>
            <w:vAlign w:val="bottom"/>
            <w:tcBorders>
              <w:bottom w:val="single" w:sz="8" w:color="FB4E0B"/>
            </w:tcBorders>
          </w:tcPr>
          <w:p>
            <w:pPr>
              <w:spacing w:after="0"/>
              <w:rPr>
                <w:sz w:val="4"/>
                <w:szCs w:val="4"/>
                <w:color w:val="auto"/>
              </w:rPr>
            </w:pPr>
          </w:p>
        </w:tc>
        <w:tc>
          <w:tcPr>
            <w:tcW w:w="800" w:type="dxa"/>
            <w:vAlign w:val="bottom"/>
            <w:tcBorders>
              <w:bottom w:val="single" w:sz="8" w:color="FB4E0B"/>
            </w:tcBorders>
          </w:tcPr>
          <w:p>
            <w:pPr>
              <w:spacing w:after="0"/>
              <w:rPr>
                <w:sz w:val="4"/>
                <w:szCs w:val="4"/>
                <w:color w:val="auto"/>
              </w:rPr>
            </w:pPr>
          </w:p>
        </w:tc>
        <w:tc>
          <w:tcPr>
            <w:tcW w:w="440" w:type="dxa"/>
            <w:vAlign w:val="bottom"/>
            <w:tcBorders>
              <w:bottom w:val="single" w:sz="8" w:color="FB4E0B"/>
            </w:tcBorders>
          </w:tcPr>
          <w:p>
            <w:pPr>
              <w:spacing w:after="0"/>
              <w:rPr>
                <w:sz w:val="4"/>
                <w:szCs w:val="4"/>
                <w:color w:val="auto"/>
              </w:rPr>
            </w:pPr>
          </w:p>
        </w:tc>
        <w:tc>
          <w:tcPr>
            <w:tcW w:w="740" w:type="dxa"/>
            <w:vAlign w:val="bottom"/>
            <w:tcBorders>
              <w:bottom w:val="single" w:sz="8" w:color="FB4E0B"/>
            </w:tcBorders>
          </w:tcPr>
          <w:p>
            <w:pPr>
              <w:spacing w:after="0"/>
              <w:rPr>
                <w:sz w:val="4"/>
                <w:szCs w:val="4"/>
                <w:color w:val="auto"/>
              </w:rPr>
            </w:pPr>
          </w:p>
        </w:tc>
      </w:tr>
      <w:tr>
        <w:trPr>
          <w:trHeight w:val="445"/>
        </w:trPr>
        <w:tc>
          <w:tcPr>
            <w:tcW w:w="1300" w:type="dxa"/>
            <w:vAlign w:val="bottom"/>
          </w:tcPr>
          <w:p>
            <w:pPr>
              <w:ind w:left="640"/>
              <w:spacing w:after="0"/>
              <w:rPr>
                <w:sz w:val="20"/>
                <w:szCs w:val="20"/>
                <w:color w:val="auto"/>
              </w:rPr>
            </w:pPr>
            <w:r>
              <w:rPr>
                <w:rFonts w:ascii="Calibri" w:cs="Calibri" w:eastAsia="Calibri" w:hAnsi="Calibri"/>
                <w:sz w:val="17"/>
                <w:szCs w:val="17"/>
                <w:b w:val="1"/>
                <w:bCs w:val="1"/>
                <w:color w:val="auto"/>
              </w:rPr>
              <w:t xml:space="preserve">12   </w:t>
            </w:r>
            <w:r>
              <w:rPr>
                <w:rFonts w:ascii="Calibri" w:cs="Calibri" w:eastAsia="Calibri" w:hAnsi="Calibri"/>
                <w:sz w:val="27"/>
                <w:szCs w:val="27"/>
                <w:b w:val="1"/>
                <w:bCs w:val="1"/>
                <w:color w:val="FB4E0B"/>
              </w:rPr>
              <w:t>/</w:t>
            </w:r>
          </w:p>
        </w:tc>
        <w:tc>
          <w:tcPr>
            <w:tcW w:w="2040" w:type="dxa"/>
            <w:vAlign w:val="bottom"/>
            <w:gridSpan w:val="2"/>
          </w:tcPr>
          <w:p>
            <w:pPr>
              <w:ind w:left="120"/>
              <w:spacing w:after="0"/>
              <w:rPr>
                <w:sz w:val="20"/>
                <w:szCs w:val="20"/>
                <w:color w:val="auto"/>
              </w:rPr>
            </w:pPr>
            <w:r>
              <w:rPr>
                <w:rFonts w:ascii="Calibri" w:cs="Calibri" w:eastAsia="Calibri" w:hAnsi="Calibri"/>
                <w:sz w:val="13"/>
                <w:szCs w:val="13"/>
                <w:color w:val="auto"/>
              </w:rPr>
              <w:t>EXL 2022 Proxy Statement</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940"/>
          </w:cols>
          <w:pgMar w:left="320" w:top="44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320" w:type="dxa"/>
            <w:vAlign w:val="bottom"/>
            <w:gridSpan w:val="2"/>
          </w:tcPr>
          <w:p>
            <w:pPr>
              <w:ind w:left="480"/>
              <w:spacing w:after="0"/>
              <w:rPr>
                <w:sz w:val="20"/>
                <w:szCs w:val="20"/>
                <w:color w:val="auto"/>
              </w:rPr>
            </w:pPr>
            <w:r>
              <w:rPr>
                <w:rFonts w:ascii="Calibri" w:cs="Calibri" w:eastAsia="Calibri" w:hAnsi="Calibri"/>
                <w:sz w:val="14"/>
                <w:szCs w:val="14"/>
                <w:b w:val="1"/>
                <w:bCs w:val="1"/>
                <w:color w:val="D8D8D8"/>
                <w:w w:val="97"/>
              </w:rPr>
              <w:t>2022 Proxy Statement summary</w:t>
            </w:r>
          </w:p>
        </w:tc>
      </w:tr>
      <w:tr>
        <w:trPr>
          <w:trHeight w:val="429"/>
        </w:trPr>
        <w:tc>
          <w:tcPr>
            <w:tcW w:w="8300" w:type="dxa"/>
            <w:vAlign w:val="bottom"/>
            <w:gridSpan w:val="3"/>
          </w:tcPr>
          <w:p>
            <w:pPr>
              <w:spacing w:after="0"/>
              <w:rPr>
                <w:sz w:val="20"/>
                <w:szCs w:val="20"/>
                <w:color w:val="auto"/>
              </w:rPr>
            </w:pPr>
            <w:r>
              <w:rPr>
                <w:rFonts w:ascii="Calibri" w:cs="Calibri" w:eastAsia="Calibri" w:hAnsi="Calibri"/>
                <w:sz w:val="24"/>
                <w:szCs w:val="24"/>
                <w:color w:val="auto"/>
              </w:rPr>
              <w:t>Nominees for electon as directors</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50"/>
        </w:trPr>
        <w:tc>
          <w:tcPr>
            <w:tcW w:w="1720" w:type="dxa"/>
            <w:vAlign w:val="bottom"/>
          </w:tcPr>
          <w:p>
            <w:pPr>
              <w:spacing w:after="0"/>
              <w:rPr>
                <w:sz w:val="24"/>
                <w:szCs w:val="24"/>
                <w:color w:val="auto"/>
              </w:rPr>
            </w:pPr>
          </w:p>
        </w:tc>
        <w:tc>
          <w:tcPr>
            <w:tcW w:w="1500" w:type="dxa"/>
            <w:vAlign w:val="bottom"/>
          </w:tcPr>
          <w:p>
            <w:pPr>
              <w:jc w:val="center"/>
              <w:ind w:left="1"/>
              <w:spacing w:after="0"/>
              <w:rPr>
                <w:sz w:val="20"/>
                <w:szCs w:val="20"/>
                <w:color w:val="auto"/>
              </w:rPr>
            </w:pPr>
            <w:r>
              <w:rPr>
                <w:rFonts w:ascii="Calibri" w:cs="Calibri" w:eastAsia="Calibri" w:hAnsi="Calibri"/>
                <w:sz w:val="17"/>
                <w:szCs w:val="17"/>
                <w:b w:val="1"/>
                <w:bCs w:val="1"/>
                <w:color w:val="FB4E0B"/>
              </w:rPr>
              <w:t>Director</w:t>
            </w:r>
          </w:p>
        </w:tc>
        <w:tc>
          <w:tcPr>
            <w:tcW w:w="5080" w:type="dxa"/>
            <w:vAlign w:val="bottom"/>
          </w:tcPr>
          <w:p>
            <w:pPr>
              <w:spacing w:after="0"/>
              <w:rPr>
                <w:sz w:val="24"/>
                <w:szCs w:val="24"/>
                <w:color w:val="auto"/>
              </w:rPr>
            </w:pPr>
          </w:p>
        </w:tc>
        <w:tc>
          <w:tcPr>
            <w:tcW w:w="2320" w:type="dxa"/>
            <w:vAlign w:val="bottom"/>
            <w:gridSpan w:val="2"/>
          </w:tcPr>
          <w:p>
            <w:pPr>
              <w:ind w:left="820"/>
              <w:spacing w:after="0"/>
              <w:rPr>
                <w:sz w:val="20"/>
                <w:szCs w:val="20"/>
                <w:color w:val="auto"/>
              </w:rPr>
            </w:pPr>
            <w:r>
              <w:rPr>
                <w:rFonts w:ascii="Calibri" w:cs="Calibri" w:eastAsia="Calibri" w:hAnsi="Calibri"/>
                <w:sz w:val="17"/>
                <w:szCs w:val="17"/>
                <w:b w:val="1"/>
                <w:bCs w:val="1"/>
                <w:color w:val="FB4E0B"/>
              </w:rPr>
              <w:t>Commitee</w:t>
            </w:r>
          </w:p>
        </w:tc>
      </w:tr>
      <w:tr>
        <w:trPr>
          <w:trHeight w:val="208"/>
        </w:trPr>
        <w:tc>
          <w:tcPr>
            <w:tcW w:w="1720" w:type="dxa"/>
            <w:vAlign w:val="bottom"/>
          </w:tcPr>
          <w:p>
            <w:pPr>
              <w:ind w:left="640"/>
              <w:spacing w:after="0"/>
              <w:rPr>
                <w:sz w:val="20"/>
                <w:szCs w:val="20"/>
                <w:color w:val="auto"/>
              </w:rPr>
            </w:pPr>
            <w:r>
              <w:rPr>
                <w:rFonts w:ascii="Calibri" w:cs="Calibri" w:eastAsia="Calibri" w:hAnsi="Calibri"/>
                <w:sz w:val="17"/>
                <w:szCs w:val="17"/>
                <w:b w:val="1"/>
                <w:bCs w:val="1"/>
                <w:color w:val="FB4E0B"/>
              </w:rPr>
              <w:t>Name</w:t>
            </w:r>
          </w:p>
        </w:tc>
        <w:tc>
          <w:tcPr>
            <w:tcW w:w="1500" w:type="dxa"/>
            <w:vAlign w:val="bottom"/>
          </w:tcPr>
          <w:p>
            <w:pPr>
              <w:jc w:val="center"/>
              <w:spacing w:after="0"/>
              <w:rPr>
                <w:sz w:val="20"/>
                <w:szCs w:val="20"/>
                <w:color w:val="auto"/>
              </w:rPr>
            </w:pPr>
            <w:r>
              <w:rPr>
                <w:rFonts w:ascii="Calibri" w:cs="Calibri" w:eastAsia="Calibri" w:hAnsi="Calibri"/>
                <w:sz w:val="17"/>
                <w:szCs w:val="17"/>
                <w:b w:val="1"/>
                <w:bCs w:val="1"/>
                <w:color w:val="FB4E0B"/>
              </w:rPr>
              <w:t>since</w:t>
            </w:r>
          </w:p>
        </w:tc>
        <w:tc>
          <w:tcPr>
            <w:tcW w:w="5080" w:type="dxa"/>
            <w:vAlign w:val="bottom"/>
          </w:tcPr>
          <w:p>
            <w:pPr>
              <w:ind w:left="1820"/>
              <w:spacing w:after="0"/>
              <w:rPr>
                <w:sz w:val="20"/>
                <w:szCs w:val="20"/>
                <w:color w:val="auto"/>
              </w:rPr>
            </w:pPr>
            <w:r>
              <w:rPr>
                <w:rFonts w:ascii="Calibri" w:cs="Calibri" w:eastAsia="Calibri" w:hAnsi="Calibri"/>
                <w:sz w:val="17"/>
                <w:szCs w:val="17"/>
                <w:b w:val="1"/>
                <w:bCs w:val="1"/>
                <w:color w:val="FB4E0B"/>
              </w:rPr>
              <w:t>Business Experience*</w:t>
            </w:r>
          </w:p>
        </w:tc>
        <w:tc>
          <w:tcPr>
            <w:tcW w:w="2320" w:type="dxa"/>
            <w:vAlign w:val="bottom"/>
            <w:gridSpan w:val="2"/>
          </w:tcPr>
          <w:p>
            <w:pPr>
              <w:ind w:left="760"/>
              <w:spacing w:after="0"/>
              <w:rPr>
                <w:sz w:val="20"/>
                <w:szCs w:val="20"/>
                <w:color w:val="auto"/>
              </w:rPr>
            </w:pPr>
            <w:r>
              <w:rPr>
                <w:rFonts w:ascii="Calibri" w:cs="Calibri" w:eastAsia="Calibri" w:hAnsi="Calibri"/>
                <w:sz w:val="17"/>
                <w:szCs w:val="17"/>
                <w:b w:val="1"/>
                <w:bCs w:val="1"/>
                <w:color w:val="FB4E0B"/>
              </w:rPr>
              <w:t>membership</w:t>
            </w:r>
          </w:p>
        </w:tc>
      </w:tr>
      <w:tr>
        <w:trPr>
          <w:trHeight w:val="94"/>
        </w:trPr>
        <w:tc>
          <w:tcPr>
            <w:tcW w:w="1720" w:type="dxa"/>
            <w:vAlign w:val="bottom"/>
            <w:tcBorders>
              <w:bottom w:val="single" w:sz="8" w:color="FB4E0B"/>
            </w:tcBorders>
          </w:tcPr>
          <w:p>
            <w:pPr>
              <w:spacing w:after="0"/>
              <w:rPr>
                <w:sz w:val="8"/>
                <w:szCs w:val="8"/>
                <w:color w:val="auto"/>
              </w:rPr>
            </w:pPr>
          </w:p>
        </w:tc>
        <w:tc>
          <w:tcPr>
            <w:tcW w:w="1500" w:type="dxa"/>
            <w:vAlign w:val="bottom"/>
            <w:tcBorders>
              <w:bottom w:val="single" w:sz="8" w:color="FB4E0B"/>
            </w:tcBorders>
          </w:tcPr>
          <w:p>
            <w:pPr>
              <w:spacing w:after="0"/>
              <w:rPr>
                <w:sz w:val="8"/>
                <w:szCs w:val="8"/>
                <w:color w:val="auto"/>
              </w:rPr>
            </w:pPr>
          </w:p>
        </w:tc>
        <w:tc>
          <w:tcPr>
            <w:tcW w:w="5080" w:type="dxa"/>
            <w:vAlign w:val="bottom"/>
            <w:tcBorders>
              <w:bottom w:val="single" w:sz="8" w:color="FB4E0B"/>
            </w:tcBorders>
          </w:tcPr>
          <w:p>
            <w:pPr>
              <w:spacing w:after="0"/>
              <w:rPr>
                <w:sz w:val="8"/>
                <w:szCs w:val="8"/>
                <w:color w:val="auto"/>
              </w:rPr>
            </w:pPr>
          </w:p>
        </w:tc>
        <w:tc>
          <w:tcPr>
            <w:tcW w:w="2320" w:type="dxa"/>
            <w:vAlign w:val="bottom"/>
            <w:tcBorders>
              <w:bottom w:val="single" w:sz="8" w:color="FB4E0B"/>
            </w:tcBorders>
            <w:gridSpan w:val="2"/>
          </w:tcPr>
          <w:p>
            <w:pPr>
              <w:spacing w:after="0"/>
              <w:rPr>
                <w:sz w:val="8"/>
                <w:szCs w:val="8"/>
                <w:color w:val="auto"/>
              </w:rPr>
            </w:pPr>
          </w:p>
        </w:tc>
      </w:tr>
      <w:tr>
        <w:trPr>
          <w:trHeight w:val="220"/>
        </w:trPr>
        <w:tc>
          <w:tcPr>
            <w:tcW w:w="1720" w:type="dxa"/>
            <w:vAlign w:val="bottom"/>
            <w:tcBorders>
              <w:right w:val="single" w:sz="8" w:color="auto"/>
            </w:tcBorders>
          </w:tcPr>
          <w:p>
            <w:pPr>
              <w:ind w:left="40"/>
              <w:spacing w:after="0"/>
              <w:rPr>
                <w:sz w:val="20"/>
                <w:szCs w:val="20"/>
                <w:color w:val="auto"/>
              </w:rPr>
            </w:pPr>
            <w:r>
              <w:rPr>
                <w:rFonts w:ascii="Calibri" w:cs="Calibri" w:eastAsia="Calibri" w:hAnsi="Calibri"/>
                <w:sz w:val="16"/>
                <w:szCs w:val="16"/>
                <w:b w:val="1"/>
                <w:bCs w:val="1"/>
                <w:color w:val="auto"/>
              </w:rPr>
              <w:t>Vikram Pandit</w:t>
            </w: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7"/>
              </w:rPr>
              <w:t>October</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Chairman and Chief Executve Ofcer of Orogen Group; former Chairman of</w:t>
            </w:r>
          </w:p>
        </w:tc>
        <w:tc>
          <w:tcPr>
            <w:tcW w:w="2320" w:type="dxa"/>
            <w:vAlign w:val="bottom"/>
            <w:gridSpan w:val="2"/>
          </w:tcPr>
          <w:p>
            <w:pPr>
              <w:ind w:left="80"/>
              <w:spacing w:after="0"/>
              <w:rPr>
                <w:sz w:val="20"/>
                <w:szCs w:val="20"/>
                <w:color w:val="auto"/>
              </w:rPr>
            </w:pPr>
            <w:r>
              <w:rPr>
                <w:rFonts w:ascii="Calibri" w:cs="Calibri" w:eastAsia="Calibri" w:hAnsi="Calibri"/>
                <w:sz w:val="16"/>
                <w:szCs w:val="16"/>
                <w:color w:val="auto"/>
              </w:rPr>
              <w:t>Audit Commitee; Nominatng and</w:t>
            </w:r>
          </w:p>
        </w:tc>
      </w:tr>
      <w:tr>
        <w:trPr>
          <w:trHeight w:val="195"/>
        </w:trPr>
        <w:tc>
          <w:tcPr>
            <w:tcW w:w="1720" w:type="dxa"/>
            <w:vAlign w:val="bottom"/>
            <w:tcBorders>
              <w:right w:val="single" w:sz="8" w:color="auto"/>
            </w:tcBorders>
          </w:tcPr>
          <w:p>
            <w:pPr>
              <w:ind w:left="40"/>
              <w:spacing w:after="0"/>
              <w:rPr>
                <w:sz w:val="20"/>
                <w:szCs w:val="20"/>
                <w:color w:val="auto"/>
              </w:rPr>
            </w:pPr>
            <w:r>
              <w:rPr>
                <w:rFonts w:ascii="Calibri" w:cs="Calibri" w:eastAsia="Calibri" w:hAnsi="Calibri"/>
                <w:sz w:val="16"/>
                <w:szCs w:val="16"/>
                <w:b w:val="1"/>
                <w:bCs w:val="1"/>
                <w:i w:val="1"/>
                <w:iCs w:val="1"/>
                <w:color w:val="auto"/>
              </w:rPr>
              <w:t>Chairman</w:t>
            </w: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2018</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TGG Group and former Chief Executve Ofcer of Citgroup Inc.</w:t>
            </w:r>
          </w:p>
        </w:tc>
        <w:tc>
          <w:tcPr>
            <w:tcW w:w="2320" w:type="dxa"/>
            <w:vAlign w:val="bottom"/>
            <w:gridSpan w:val="2"/>
          </w:tcPr>
          <w:p>
            <w:pPr>
              <w:ind w:left="80"/>
              <w:spacing w:after="0"/>
              <w:rPr>
                <w:sz w:val="20"/>
                <w:szCs w:val="20"/>
                <w:color w:val="auto"/>
              </w:rPr>
            </w:pPr>
            <w:r>
              <w:rPr>
                <w:rFonts w:ascii="Calibri" w:cs="Calibri" w:eastAsia="Calibri" w:hAnsi="Calibri"/>
                <w:sz w:val="16"/>
                <w:szCs w:val="16"/>
                <w:color w:val="auto"/>
              </w:rPr>
              <w:t>Governance Commitee</w:t>
            </w:r>
          </w:p>
        </w:tc>
      </w:tr>
      <w:tr>
        <w:trPr>
          <w:trHeight w:val="261"/>
        </w:trPr>
        <w:tc>
          <w:tcPr>
            <w:tcW w:w="17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508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13"/>
        </w:trPr>
        <w:tc>
          <w:tcPr>
            <w:tcW w:w="1720" w:type="dxa"/>
            <w:vAlign w:val="bottom"/>
            <w:tcBorders>
              <w:right w:val="single" w:sz="8" w:color="auto"/>
            </w:tcBorders>
          </w:tcPr>
          <w:p>
            <w:pPr>
              <w:ind w:left="40"/>
              <w:spacing w:after="0"/>
              <w:rPr>
                <w:sz w:val="20"/>
                <w:szCs w:val="20"/>
                <w:color w:val="auto"/>
              </w:rPr>
            </w:pPr>
            <w:r>
              <w:rPr>
                <w:rFonts w:ascii="Calibri" w:cs="Calibri" w:eastAsia="Calibri" w:hAnsi="Calibri"/>
                <w:sz w:val="16"/>
                <w:szCs w:val="16"/>
                <w:b w:val="1"/>
                <w:bCs w:val="1"/>
                <w:color w:val="auto"/>
              </w:rPr>
              <w:t>Rohit Kapoor</w:t>
            </w:r>
          </w:p>
        </w:tc>
        <w:tc>
          <w:tcPr>
            <w:tcW w:w="1500" w:type="dxa"/>
            <w:vAlign w:val="bottom"/>
            <w:tcBorders>
              <w:right w:val="single" w:sz="8" w:color="auto"/>
            </w:tcBorders>
          </w:tcPr>
          <w:p>
            <w:pPr>
              <w:jc w:val="center"/>
              <w:ind w:left="1"/>
              <w:spacing w:after="0"/>
              <w:rPr>
                <w:sz w:val="20"/>
                <w:szCs w:val="20"/>
                <w:color w:val="auto"/>
              </w:rPr>
            </w:pPr>
            <w:r>
              <w:rPr>
                <w:rFonts w:ascii="Calibri" w:cs="Calibri" w:eastAsia="Calibri" w:hAnsi="Calibri"/>
                <w:sz w:val="16"/>
                <w:szCs w:val="16"/>
                <w:color w:val="auto"/>
                <w:w w:val="95"/>
              </w:rPr>
              <w:t>November</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Co-founded the Company in 1999; Vice Chairman and CEO of the Company</w:t>
            </w:r>
          </w:p>
        </w:tc>
        <w:tc>
          <w:tcPr>
            <w:tcW w:w="1360" w:type="dxa"/>
            <w:vAlign w:val="bottom"/>
          </w:tcPr>
          <w:p>
            <w:pPr>
              <w:ind w:left="80"/>
              <w:spacing w:after="0"/>
              <w:rPr>
                <w:sz w:val="20"/>
                <w:szCs w:val="20"/>
                <w:color w:val="auto"/>
              </w:rPr>
            </w:pPr>
            <w:r>
              <w:rPr>
                <w:rFonts w:ascii="Calibri" w:cs="Calibri" w:eastAsia="Calibri" w:hAnsi="Calibri"/>
                <w:sz w:val="16"/>
                <w:szCs w:val="16"/>
                <w:color w:val="auto"/>
              </w:rPr>
              <w:t>None</w:t>
            </w:r>
          </w:p>
        </w:tc>
        <w:tc>
          <w:tcPr>
            <w:tcW w:w="960" w:type="dxa"/>
            <w:vAlign w:val="bottom"/>
          </w:tcPr>
          <w:p>
            <w:pPr>
              <w:spacing w:after="0"/>
              <w:rPr>
                <w:sz w:val="18"/>
                <w:szCs w:val="18"/>
                <w:color w:val="auto"/>
              </w:rPr>
            </w:pPr>
          </w:p>
        </w:tc>
      </w:tr>
      <w:tr>
        <w:trPr>
          <w:trHeight w:val="195"/>
        </w:trPr>
        <w:tc>
          <w:tcPr>
            <w:tcW w:w="1720" w:type="dxa"/>
            <w:vAlign w:val="bottom"/>
            <w:tcBorders>
              <w:right w:val="single" w:sz="8" w:color="auto"/>
            </w:tcBorders>
          </w:tcPr>
          <w:p>
            <w:pPr>
              <w:ind w:left="40"/>
              <w:spacing w:after="0"/>
              <w:rPr>
                <w:sz w:val="20"/>
                <w:szCs w:val="20"/>
                <w:color w:val="auto"/>
              </w:rPr>
            </w:pPr>
            <w:r>
              <w:rPr>
                <w:rFonts w:ascii="Calibri" w:cs="Calibri" w:eastAsia="Calibri" w:hAnsi="Calibri"/>
                <w:sz w:val="16"/>
                <w:szCs w:val="16"/>
                <w:b w:val="1"/>
                <w:bCs w:val="1"/>
                <w:i w:val="1"/>
                <w:iCs w:val="1"/>
                <w:color w:val="auto"/>
              </w:rPr>
              <w:t>Vice Chairman</w:t>
            </w: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2002</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since 2012</w:t>
            </w:r>
          </w:p>
        </w:tc>
        <w:tc>
          <w:tcPr>
            <w:tcW w:w="1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08"/>
        </w:trPr>
        <w:tc>
          <w:tcPr>
            <w:tcW w:w="172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508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tcBorders>
            <w:gridSpan w:val="2"/>
          </w:tcPr>
          <w:p>
            <w:pPr>
              <w:spacing w:after="0"/>
              <w:rPr>
                <w:sz w:val="24"/>
                <w:szCs w:val="24"/>
                <w:color w:val="auto"/>
              </w:rPr>
            </w:pPr>
          </w:p>
        </w:tc>
      </w:tr>
      <w:tr>
        <w:trPr>
          <w:trHeight w:val="213"/>
        </w:trPr>
        <w:tc>
          <w:tcPr>
            <w:tcW w:w="1720" w:type="dxa"/>
            <w:vAlign w:val="bottom"/>
            <w:tcBorders>
              <w:right w:val="single" w:sz="8" w:color="auto"/>
            </w:tcBorders>
          </w:tcPr>
          <w:p>
            <w:pPr>
              <w:ind w:left="40"/>
              <w:spacing w:after="0"/>
              <w:rPr>
                <w:sz w:val="20"/>
                <w:szCs w:val="20"/>
                <w:color w:val="auto"/>
              </w:rPr>
            </w:pPr>
            <w:r>
              <w:rPr>
                <w:rFonts w:ascii="Calibri" w:cs="Calibri" w:eastAsia="Calibri" w:hAnsi="Calibri"/>
                <w:sz w:val="16"/>
                <w:szCs w:val="16"/>
                <w:b w:val="1"/>
                <w:bCs w:val="1"/>
                <w:color w:val="auto"/>
              </w:rPr>
              <w:t>Anne Minto</w:t>
            </w:r>
          </w:p>
        </w:tc>
        <w:tc>
          <w:tcPr>
            <w:tcW w:w="1500" w:type="dxa"/>
            <w:vAlign w:val="bottom"/>
            <w:tcBorders>
              <w:right w:val="single" w:sz="8" w:color="auto"/>
            </w:tcBorders>
          </w:tcPr>
          <w:p>
            <w:pPr>
              <w:jc w:val="center"/>
              <w:ind w:left="1"/>
              <w:spacing w:after="0"/>
              <w:rPr>
                <w:sz w:val="20"/>
                <w:szCs w:val="20"/>
                <w:color w:val="auto"/>
              </w:rPr>
            </w:pPr>
            <w:r>
              <w:rPr>
                <w:rFonts w:ascii="Calibri" w:cs="Calibri" w:eastAsia="Calibri" w:hAnsi="Calibri"/>
                <w:sz w:val="16"/>
                <w:szCs w:val="16"/>
                <w:color w:val="auto"/>
                <w:w w:val="99"/>
              </w:rPr>
              <w:t>March</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Former Global Human Resources Director for Centrica plc, former CHRO for</w:t>
            </w:r>
          </w:p>
        </w:tc>
        <w:tc>
          <w:tcPr>
            <w:tcW w:w="2320" w:type="dxa"/>
            <w:vAlign w:val="bottom"/>
            <w:gridSpan w:val="2"/>
          </w:tcPr>
          <w:p>
            <w:pPr>
              <w:ind w:left="80"/>
              <w:spacing w:after="0"/>
              <w:rPr>
                <w:sz w:val="20"/>
                <w:szCs w:val="20"/>
                <w:color w:val="auto"/>
              </w:rPr>
            </w:pPr>
            <w:r>
              <w:rPr>
                <w:rFonts w:ascii="Calibri" w:cs="Calibri" w:eastAsia="Calibri" w:hAnsi="Calibri"/>
                <w:sz w:val="16"/>
                <w:szCs w:val="16"/>
                <w:color w:val="auto"/>
              </w:rPr>
              <w:t>Compensaton Commitee;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2013</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Smiths Group plc</w:t>
            </w:r>
          </w:p>
        </w:tc>
        <w:tc>
          <w:tcPr>
            <w:tcW w:w="2320" w:type="dxa"/>
            <w:vAlign w:val="bottom"/>
            <w:gridSpan w:val="2"/>
          </w:tcPr>
          <w:p>
            <w:pPr>
              <w:ind w:left="80"/>
              <w:spacing w:after="0"/>
              <w:rPr>
                <w:sz w:val="20"/>
                <w:szCs w:val="20"/>
                <w:color w:val="auto"/>
              </w:rPr>
            </w:pPr>
            <w:r>
              <w:rPr>
                <w:rFonts w:ascii="Calibri" w:cs="Calibri" w:eastAsia="Calibri" w:hAnsi="Calibri"/>
                <w:sz w:val="16"/>
                <w:szCs w:val="16"/>
                <w:color w:val="auto"/>
              </w:rPr>
              <w:t>Nominatng and Governance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1360" w:type="dxa"/>
            <w:vAlign w:val="bottom"/>
          </w:tcPr>
          <w:p>
            <w:pPr>
              <w:ind w:left="80"/>
              <w:spacing w:after="0"/>
              <w:rPr>
                <w:sz w:val="20"/>
                <w:szCs w:val="20"/>
                <w:color w:val="auto"/>
              </w:rPr>
            </w:pPr>
            <w:r>
              <w:rPr>
                <w:rFonts w:ascii="Calibri" w:cs="Calibri" w:eastAsia="Calibri" w:hAnsi="Calibri"/>
                <w:sz w:val="16"/>
                <w:szCs w:val="16"/>
                <w:color w:val="auto"/>
              </w:rPr>
              <w:t>Commitee</w:t>
            </w:r>
          </w:p>
        </w:tc>
        <w:tc>
          <w:tcPr>
            <w:tcW w:w="960" w:type="dxa"/>
            <w:vAlign w:val="bottom"/>
          </w:tcPr>
          <w:p>
            <w:pPr>
              <w:spacing w:after="0"/>
              <w:rPr>
                <w:sz w:val="16"/>
                <w:szCs w:val="16"/>
                <w:color w:val="auto"/>
              </w:rPr>
            </w:pPr>
          </w:p>
        </w:tc>
      </w:tr>
      <w:tr>
        <w:trPr>
          <w:trHeight w:val="261"/>
        </w:trPr>
        <w:tc>
          <w:tcPr>
            <w:tcW w:w="17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5080" w:type="dxa"/>
            <w:vAlign w:val="bottom"/>
            <w:tcBorders>
              <w:bottom w:val="single" w:sz="8" w:color="auto"/>
              <w:right w:val="single" w:sz="8" w:color="auto"/>
            </w:tcBorders>
          </w:tcPr>
          <w:p>
            <w:pPr>
              <w:spacing w:after="0"/>
              <w:rPr>
                <w:sz w:val="22"/>
                <w:szCs w:val="22"/>
                <w:color w:val="auto"/>
              </w:rPr>
            </w:pPr>
          </w:p>
        </w:tc>
        <w:tc>
          <w:tcPr>
            <w:tcW w:w="2320" w:type="dxa"/>
            <w:vAlign w:val="bottom"/>
            <w:tcBorders>
              <w:bottom w:val="single" w:sz="8" w:color="auto"/>
            </w:tcBorders>
            <w:gridSpan w:val="2"/>
          </w:tcPr>
          <w:p>
            <w:pPr>
              <w:spacing w:after="0"/>
              <w:rPr>
                <w:sz w:val="22"/>
                <w:szCs w:val="22"/>
                <w:color w:val="auto"/>
              </w:rPr>
            </w:pPr>
          </w:p>
        </w:tc>
      </w:tr>
      <w:tr>
        <w:trPr>
          <w:trHeight w:val="213"/>
        </w:trPr>
        <w:tc>
          <w:tcPr>
            <w:tcW w:w="1720" w:type="dxa"/>
            <w:vAlign w:val="bottom"/>
            <w:tcBorders>
              <w:right w:val="single" w:sz="8" w:color="auto"/>
            </w:tcBorders>
          </w:tcPr>
          <w:p>
            <w:pPr>
              <w:ind w:left="40"/>
              <w:spacing w:after="0"/>
              <w:rPr>
                <w:sz w:val="20"/>
                <w:szCs w:val="20"/>
                <w:color w:val="auto"/>
              </w:rPr>
            </w:pPr>
            <w:r>
              <w:rPr>
                <w:rFonts w:ascii="Calibri" w:cs="Calibri" w:eastAsia="Calibri" w:hAnsi="Calibri"/>
                <w:sz w:val="16"/>
                <w:szCs w:val="16"/>
                <w:b w:val="1"/>
                <w:bCs w:val="1"/>
                <w:color w:val="auto"/>
              </w:rPr>
              <w:t>Som Mital</w:t>
            </w:r>
          </w:p>
        </w:tc>
        <w:tc>
          <w:tcPr>
            <w:tcW w:w="1500" w:type="dxa"/>
            <w:vAlign w:val="bottom"/>
            <w:tcBorders>
              <w:right w:val="single" w:sz="8" w:color="auto"/>
            </w:tcBorders>
          </w:tcPr>
          <w:p>
            <w:pPr>
              <w:jc w:val="center"/>
              <w:ind w:left="1"/>
              <w:spacing w:after="0"/>
              <w:rPr>
                <w:sz w:val="20"/>
                <w:szCs w:val="20"/>
                <w:color w:val="auto"/>
              </w:rPr>
            </w:pPr>
            <w:r>
              <w:rPr>
                <w:rFonts w:ascii="Calibri" w:cs="Calibri" w:eastAsia="Calibri" w:hAnsi="Calibri"/>
                <w:sz w:val="16"/>
                <w:szCs w:val="16"/>
                <w:color w:val="auto"/>
                <w:w w:val="98"/>
              </w:rPr>
              <w:t>December</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Former Chairman and President of NASSCOM; various corporate leadership</w:t>
            </w:r>
          </w:p>
        </w:tc>
        <w:tc>
          <w:tcPr>
            <w:tcW w:w="2320" w:type="dxa"/>
            <w:vAlign w:val="bottom"/>
            <w:gridSpan w:val="2"/>
          </w:tcPr>
          <w:p>
            <w:pPr>
              <w:ind w:left="80"/>
              <w:spacing w:after="0"/>
              <w:rPr>
                <w:sz w:val="20"/>
                <w:szCs w:val="20"/>
                <w:color w:val="auto"/>
              </w:rPr>
            </w:pPr>
            <w:r>
              <w:rPr>
                <w:rFonts w:ascii="Calibri" w:cs="Calibri" w:eastAsia="Calibri" w:hAnsi="Calibri"/>
                <w:sz w:val="16"/>
                <w:szCs w:val="16"/>
                <w:color w:val="auto"/>
              </w:rPr>
              <w:t>Compensaton Commitee;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2013</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roles in the IT industry including at Wipro, Compaq, Digital and HP</w:t>
            </w:r>
          </w:p>
        </w:tc>
        <w:tc>
          <w:tcPr>
            <w:tcW w:w="2320" w:type="dxa"/>
            <w:vAlign w:val="bottom"/>
            <w:gridSpan w:val="2"/>
          </w:tcPr>
          <w:p>
            <w:pPr>
              <w:ind w:left="80"/>
              <w:spacing w:after="0"/>
              <w:rPr>
                <w:sz w:val="20"/>
                <w:szCs w:val="20"/>
                <w:color w:val="auto"/>
              </w:rPr>
            </w:pPr>
            <w:r>
              <w:rPr>
                <w:rFonts w:ascii="Calibri" w:cs="Calibri" w:eastAsia="Calibri" w:hAnsi="Calibri"/>
                <w:sz w:val="16"/>
                <w:szCs w:val="16"/>
                <w:color w:val="auto"/>
              </w:rPr>
              <w:t>Nominatng and Governance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1360" w:type="dxa"/>
            <w:vAlign w:val="bottom"/>
          </w:tcPr>
          <w:p>
            <w:pPr>
              <w:ind w:left="80"/>
              <w:spacing w:after="0"/>
              <w:rPr>
                <w:sz w:val="20"/>
                <w:szCs w:val="20"/>
                <w:color w:val="auto"/>
              </w:rPr>
            </w:pPr>
            <w:r>
              <w:rPr>
                <w:rFonts w:ascii="Calibri" w:cs="Calibri" w:eastAsia="Calibri" w:hAnsi="Calibri"/>
                <w:sz w:val="16"/>
                <w:szCs w:val="16"/>
                <w:color w:val="auto"/>
              </w:rPr>
              <w:t>Commitee</w:t>
            </w:r>
          </w:p>
        </w:tc>
        <w:tc>
          <w:tcPr>
            <w:tcW w:w="960" w:type="dxa"/>
            <w:vAlign w:val="bottom"/>
          </w:tcPr>
          <w:p>
            <w:pPr>
              <w:spacing w:after="0"/>
              <w:rPr>
                <w:sz w:val="16"/>
                <w:szCs w:val="16"/>
                <w:color w:val="auto"/>
              </w:rPr>
            </w:pPr>
          </w:p>
        </w:tc>
      </w:tr>
      <w:tr>
        <w:trPr>
          <w:trHeight w:val="261"/>
        </w:trPr>
        <w:tc>
          <w:tcPr>
            <w:tcW w:w="17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5080" w:type="dxa"/>
            <w:vAlign w:val="bottom"/>
            <w:tcBorders>
              <w:bottom w:val="single" w:sz="8" w:color="auto"/>
              <w:right w:val="single" w:sz="8" w:color="auto"/>
            </w:tcBorders>
          </w:tcPr>
          <w:p>
            <w:pPr>
              <w:spacing w:after="0"/>
              <w:rPr>
                <w:sz w:val="22"/>
                <w:szCs w:val="22"/>
                <w:color w:val="auto"/>
              </w:rPr>
            </w:pPr>
          </w:p>
        </w:tc>
        <w:tc>
          <w:tcPr>
            <w:tcW w:w="2320" w:type="dxa"/>
            <w:vAlign w:val="bottom"/>
            <w:tcBorders>
              <w:bottom w:val="single" w:sz="8" w:color="auto"/>
            </w:tcBorders>
            <w:gridSpan w:val="2"/>
          </w:tcPr>
          <w:p>
            <w:pPr>
              <w:spacing w:after="0"/>
              <w:rPr>
                <w:sz w:val="22"/>
                <w:szCs w:val="22"/>
                <w:color w:val="auto"/>
              </w:rPr>
            </w:pPr>
          </w:p>
        </w:tc>
      </w:tr>
      <w:tr>
        <w:trPr>
          <w:trHeight w:val="213"/>
        </w:trPr>
        <w:tc>
          <w:tcPr>
            <w:tcW w:w="1720" w:type="dxa"/>
            <w:vAlign w:val="bottom"/>
            <w:tcBorders>
              <w:right w:val="single" w:sz="8" w:color="auto"/>
            </w:tcBorders>
          </w:tcPr>
          <w:p>
            <w:pPr>
              <w:ind w:left="40"/>
              <w:spacing w:after="0"/>
              <w:rPr>
                <w:sz w:val="20"/>
                <w:szCs w:val="20"/>
                <w:color w:val="auto"/>
              </w:rPr>
            </w:pPr>
            <w:r>
              <w:rPr>
                <w:rFonts w:ascii="Calibri" w:cs="Calibri" w:eastAsia="Calibri" w:hAnsi="Calibri"/>
                <w:sz w:val="16"/>
                <w:szCs w:val="16"/>
                <w:b w:val="1"/>
                <w:bCs w:val="1"/>
                <w:color w:val="auto"/>
              </w:rPr>
              <w:t>Clyde Ostler</w:t>
            </w:r>
          </w:p>
        </w:tc>
        <w:tc>
          <w:tcPr>
            <w:tcW w:w="1500" w:type="dxa"/>
            <w:vAlign w:val="bottom"/>
            <w:tcBorders>
              <w:right w:val="single" w:sz="8" w:color="auto"/>
            </w:tcBorders>
          </w:tcPr>
          <w:p>
            <w:pPr>
              <w:jc w:val="center"/>
              <w:ind w:left="1"/>
              <w:spacing w:after="0"/>
              <w:rPr>
                <w:sz w:val="20"/>
                <w:szCs w:val="20"/>
                <w:color w:val="auto"/>
              </w:rPr>
            </w:pPr>
            <w:r>
              <w:rPr>
                <w:rFonts w:ascii="Calibri" w:cs="Calibri" w:eastAsia="Calibri" w:hAnsi="Calibri"/>
                <w:sz w:val="16"/>
                <w:szCs w:val="16"/>
                <w:color w:val="auto"/>
                <w:w w:val="98"/>
              </w:rPr>
              <w:t>December</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Former executve for Wells Fargo, whose roles included Group Executve Vice</w:t>
            </w:r>
          </w:p>
        </w:tc>
        <w:tc>
          <w:tcPr>
            <w:tcW w:w="2320" w:type="dxa"/>
            <w:vAlign w:val="bottom"/>
            <w:gridSpan w:val="2"/>
          </w:tcPr>
          <w:p>
            <w:pPr>
              <w:ind w:left="80"/>
              <w:spacing w:after="0"/>
              <w:rPr>
                <w:sz w:val="20"/>
                <w:szCs w:val="20"/>
                <w:color w:val="auto"/>
              </w:rPr>
            </w:pPr>
            <w:r>
              <w:rPr>
                <w:rFonts w:ascii="Calibri" w:cs="Calibri" w:eastAsia="Calibri" w:hAnsi="Calibri"/>
                <w:sz w:val="16"/>
                <w:szCs w:val="16"/>
                <w:color w:val="auto"/>
              </w:rPr>
              <w:t>Audit Commitee; Compensaton</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2007</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President, Chief Financial Ofcer and Chief Auditor</w:t>
            </w:r>
          </w:p>
        </w:tc>
        <w:tc>
          <w:tcPr>
            <w:tcW w:w="1360" w:type="dxa"/>
            <w:vAlign w:val="bottom"/>
          </w:tcPr>
          <w:p>
            <w:pPr>
              <w:ind w:left="80"/>
              <w:spacing w:after="0"/>
              <w:rPr>
                <w:sz w:val="20"/>
                <w:szCs w:val="20"/>
                <w:color w:val="auto"/>
              </w:rPr>
            </w:pPr>
            <w:r>
              <w:rPr>
                <w:rFonts w:ascii="Calibri" w:cs="Calibri" w:eastAsia="Calibri" w:hAnsi="Calibri"/>
                <w:sz w:val="16"/>
                <w:szCs w:val="16"/>
                <w:color w:val="auto"/>
              </w:rPr>
              <w:t>Commitee</w:t>
            </w:r>
          </w:p>
        </w:tc>
        <w:tc>
          <w:tcPr>
            <w:tcW w:w="960" w:type="dxa"/>
            <w:vAlign w:val="bottom"/>
          </w:tcPr>
          <w:p>
            <w:pPr>
              <w:spacing w:after="0"/>
              <w:rPr>
                <w:sz w:val="16"/>
                <w:szCs w:val="16"/>
                <w:color w:val="auto"/>
              </w:rPr>
            </w:pPr>
          </w:p>
        </w:tc>
      </w:tr>
      <w:tr>
        <w:trPr>
          <w:trHeight w:val="261"/>
        </w:trPr>
        <w:tc>
          <w:tcPr>
            <w:tcW w:w="17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5080" w:type="dxa"/>
            <w:vAlign w:val="bottom"/>
            <w:tcBorders>
              <w:bottom w:val="single" w:sz="8" w:color="auto"/>
              <w:right w:val="single" w:sz="8" w:color="auto"/>
            </w:tcBorders>
          </w:tcPr>
          <w:p>
            <w:pPr>
              <w:spacing w:after="0"/>
              <w:rPr>
                <w:sz w:val="22"/>
                <w:szCs w:val="22"/>
                <w:color w:val="auto"/>
              </w:rPr>
            </w:pPr>
          </w:p>
        </w:tc>
        <w:tc>
          <w:tcPr>
            <w:tcW w:w="2320" w:type="dxa"/>
            <w:vAlign w:val="bottom"/>
            <w:tcBorders>
              <w:bottom w:val="single" w:sz="8" w:color="auto"/>
            </w:tcBorders>
            <w:gridSpan w:val="2"/>
          </w:tcPr>
          <w:p>
            <w:pPr>
              <w:spacing w:after="0"/>
              <w:rPr>
                <w:sz w:val="22"/>
                <w:szCs w:val="22"/>
                <w:color w:val="auto"/>
              </w:rPr>
            </w:pPr>
          </w:p>
        </w:tc>
      </w:tr>
      <w:tr>
        <w:trPr>
          <w:trHeight w:val="213"/>
        </w:trPr>
        <w:tc>
          <w:tcPr>
            <w:tcW w:w="1720" w:type="dxa"/>
            <w:vAlign w:val="bottom"/>
            <w:tcBorders>
              <w:right w:val="single" w:sz="8" w:color="auto"/>
            </w:tcBorders>
          </w:tcPr>
          <w:p>
            <w:pPr>
              <w:ind w:left="40"/>
              <w:spacing w:after="0"/>
              <w:rPr>
                <w:sz w:val="20"/>
                <w:szCs w:val="20"/>
                <w:color w:val="auto"/>
              </w:rPr>
            </w:pPr>
            <w:r>
              <w:rPr>
                <w:rFonts w:ascii="Calibri" w:cs="Calibri" w:eastAsia="Calibri" w:hAnsi="Calibri"/>
                <w:sz w:val="16"/>
                <w:szCs w:val="16"/>
                <w:b w:val="1"/>
                <w:bCs w:val="1"/>
                <w:color w:val="auto"/>
              </w:rPr>
              <w:t>Kristy Pipes</w:t>
            </w:r>
          </w:p>
        </w:tc>
        <w:tc>
          <w:tcPr>
            <w:tcW w:w="1500" w:type="dxa"/>
            <w:vAlign w:val="bottom"/>
            <w:tcBorders>
              <w:right w:val="single" w:sz="8" w:color="auto"/>
            </w:tcBorders>
          </w:tcPr>
          <w:p>
            <w:pPr>
              <w:jc w:val="center"/>
              <w:ind w:left="1"/>
              <w:spacing w:after="0"/>
              <w:rPr>
                <w:sz w:val="20"/>
                <w:szCs w:val="20"/>
                <w:color w:val="auto"/>
              </w:rPr>
            </w:pPr>
            <w:r>
              <w:rPr>
                <w:rFonts w:ascii="Calibri" w:cs="Calibri" w:eastAsia="Calibri" w:hAnsi="Calibri"/>
                <w:sz w:val="16"/>
                <w:szCs w:val="16"/>
                <w:color w:val="auto"/>
                <w:w w:val="99"/>
              </w:rPr>
              <w:t>January</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Former Chief Financial Ofcer of Deloite Consultng; various leadership roles</w:t>
            </w:r>
          </w:p>
        </w:tc>
        <w:tc>
          <w:tcPr>
            <w:tcW w:w="2320" w:type="dxa"/>
            <w:vAlign w:val="bottom"/>
            <w:gridSpan w:val="2"/>
          </w:tcPr>
          <w:p>
            <w:pPr>
              <w:ind w:left="80"/>
              <w:spacing w:after="0"/>
              <w:rPr>
                <w:sz w:val="20"/>
                <w:szCs w:val="20"/>
                <w:color w:val="auto"/>
              </w:rPr>
            </w:pPr>
            <w:r>
              <w:rPr>
                <w:rFonts w:ascii="Calibri" w:cs="Calibri" w:eastAsia="Calibri" w:hAnsi="Calibri"/>
                <w:sz w:val="16"/>
                <w:szCs w:val="16"/>
                <w:color w:val="auto"/>
              </w:rPr>
              <w:t>Audit Commitee (Chair);</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2021</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w w:val="97"/>
              </w:rPr>
              <w:t>in the fnancial services industry, including at Transamerica Life Companies and</w:t>
            </w:r>
          </w:p>
        </w:tc>
        <w:tc>
          <w:tcPr>
            <w:tcW w:w="2320" w:type="dxa"/>
            <w:vAlign w:val="bottom"/>
            <w:gridSpan w:val="2"/>
          </w:tcPr>
          <w:p>
            <w:pPr>
              <w:ind w:left="80"/>
              <w:spacing w:after="0"/>
              <w:rPr>
                <w:sz w:val="20"/>
                <w:szCs w:val="20"/>
                <w:color w:val="auto"/>
              </w:rPr>
            </w:pPr>
            <w:r>
              <w:rPr>
                <w:rFonts w:ascii="Calibri" w:cs="Calibri" w:eastAsia="Calibri" w:hAnsi="Calibri"/>
                <w:sz w:val="16"/>
                <w:szCs w:val="16"/>
                <w:color w:val="auto"/>
              </w:rPr>
              <w:t>Compensaton Commitee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First Interstate Bank of California</w:t>
            </w:r>
          </w:p>
        </w:tc>
        <w:tc>
          <w:tcPr>
            <w:tcW w:w="1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92"/>
        </w:trPr>
        <w:tc>
          <w:tcPr>
            <w:tcW w:w="172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080" w:type="dxa"/>
            <w:vAlign w:val="bottom"/>
            <w:tcBorders>
              <w:bottom w:val="single" w:sz="8" w:color="auto"/>
              <w:right w:val="single" w:sz="8" w:color="auto"/>
            </w:tcBorders>
          </w:tcPr>
          <w:p>
            <w:pPr>
              <w:spacing w:after="0"/>
              <w:rPr>
                <w:sz w:val="8"/>
                <w:szCs w:val="8"/>
                <w:color w:val="auto"/>
              </w:rPr>
            </w:pPr>
          </w:p>
        </w:tc>
        <w:tc>
          <w:tcPr>
            <w:tcW w:w="2320" w:type="dxa"/>
            <w:vAlign w:val="bottom"/>
            <w:tcBorders>
              <w:bottom w:val="single" w:sz="8" w:color="auto"/>
            </w:tcBorders>
            <w:gridSpan w:val="2"/>
          </w:tcPr>
          <w:p>
            <w:pPr>
              <w:spacing w:after="0"/>
              <w:rPr>
                <w:sz w:val="8"/>
                <w:szCs w:val="8"/>
                <w:color w:val="auto"/>
              </w:rPr>
            </w:pPr>
          </w:p>
        </w:tc>
      </w:tr>
      <w:tr>
        <w:trPr>
          <w:trHeight w:val="213"/>
        </w:trPr>
        <w:tc>
          <w:tcPr>
            <w:tcW w:w="1720" w:type="dxa"/>
            <w:vAlign w:val="bottom"/>
            <w:tcBorders>
              <w:right w:val="single" w:sz="8" w:color="auto"/>
            </w:tcBorders>
          </w:tcPr>
          <w:p>
            <w:pPr>
              <w:ind w:left="40"/>
              <w:spacing w:after="0"/>
              <w:rPr>
                <w:sz w:val="20"/>
                <w:szCs w:val="20"/>
                <w:color w:val="auto"/>
              </w:rPr>
            </w:pPr>
            <w:r>
              <w:rPr>
                <w:rFonts w:ascii="Calibri" w:cs="Calibri" w:eastAsia="Calibri" w:hAnsi="Calibri"/>
                <w:sz w:val="16"/>
                <w:szCs w:val="16"/>
                <w:b w:val="1"/>
                <w:bCs w:val="1"/>
                <w:color w:val="auto"/>
              </w:rPr>
              <w:t>Nitn Sahney</w:t>
            </w:r>
          </w:p>
        </w:tc>
        <w:tc>
          <w:tcPr>
            <w:tcW w:w="1500" w:type="dxa"/>
            <w:vAlign w:val="bottom"/>
            <w:tcBorders>
              <w:right w:val="single" w:sz="8" w:color="auto"/>
            </w:tcBorders>
          </w:tcPr>
          <w:p>
            <w:pPr>
              <w:jc w:val="center"/>
              <w:ind w:left="1"/>
              <w:spacing w:after="0"/>
              <w:rPr>
                <w:sz w:val="20"/>
                <w:szCs w:val="20"/>
                <w:color w:val="auto"/>
              </w:rPr>
            </w:pPr>
            <w:r>
              <w:rPr>
                <w:rFonts w:ascii="Calibri" w:cs="Calibri" w:eastAsia="Calibri" w:hAnsi="Calibri"/>
                <w:sz w:val="16"/>
                <w:szCs w:val="16"/>
                <w:color w:val="auto"/>
                <w:w w:val="99"/>
              </w:rPr>
              <w:t>January</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w w:val="99"/>
              </w:rPr>
              <w:t>Founder and Chief Executve Ofcer of Pharmacord, LLC; former President and</w:t>
            </w:r>
          </w:p>
        </w:tc>
        <w:tc>
          <w:tcPr>
            <w:tcW w:w="2320" w:type="dxa"/>
            <w:vAlign w:val="bottom"/>
            <w:gridSpan w:val="2"/>
          </w:tcPr>
          <w:p>
            <w:pPr>
              <w:ind w:left="80"/>
              <w:spacing w:after="0"/>
              <w:rPr>
                <w:sz w:val="20"/>
                <w:szCs w:val="20"/>
                <w:color w:val="auto"/>
              </w:rPr>
            </w:pPr>
            <w:r>
              <w:rPr>
                <w:rFonts w:ascii="Calibri" w:cs="Calibri" w:eastAsia="Calibri" w:hAnsi="Calibri"/>
                <w:sz w:val="16"/>
                <w:szCs w:val="16"/>
                <w:color w:val="auto"/>
              </w:rPr>
              <w:t>Nominatng and Governance</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2016</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CEO of Omnicare Inc.</w:t>
            </w:r>
          </w:p>
        </w:tc>
        <w:tc>
          <w:tcPr>
            <w:tcW w:w="2320" w:type="dxa"/>
            <w:vAlign w:val="bottom"/>
            <w:gridSpan w:val="2"/>
          </w:tcPr>
          <w:p>
            <w:pPr>
              <w:ind w:left="80"/>
              <w:spacing w:after="0"/>
              <w:rPr>
                <w:sz w:val="20"/>
                <w:szCs w:val="20"/>
                <w:color w:val="auto"/>
              </w:rPr>
            </w:pPr>
            <w:r>
              <w:rPr>
                <w:rFonts w:ascii="Calibri" w:cs="Calibri" w:eastAsia="Calibri" w:hAnsi="Calibri"/>
                <w:sz w:val="16"/>
                <w:szCs w:val="16"/>
                <w:color w:val="auto"/>
              </w:rPr>
              <w:t>Commitee (Chair); Audit</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1360" w:type="dxa"/>
            <w:vAlign w:val="bottom"/>
          </w:tcPr>
          <w:p>
            <w:pPr>
              <w:ind w:left="80"/>
              <w:spacing w:after="0"/>
              <w:rPr>
                <w:sz w:val="20"/>
                <w:szCs w:val="20"/>
                <w:color w:val="auto"/>
              </w:rPr>
            </w:pPr>
            <w:r>
              <w:rPr>
                <w:rFonts w:ascii="Calibri" w:cs="Calibri" w:eastAsia="Calibri" w:hAnsi="Calibri"/>
                <w:sz w:val="16"/>
                <w:szCs w:val="16"/>
                <w:color w:val="auto"/>
              </w:rPr>
              <w:t>Commitee</w:t>
            </w:r>
          </w:p>
        </w:tc>
        <w:tc>
          <w:tcPr>
            <w:tcW w:w="960" w:type="dxa"/>
            <w:vAlign w:val="bottom"/>
          </w:tcPr>
          <w:p>
            <w:pPr>
              <w:spacing w:after="0"/>
              <w:rPr>
                <w:sz w:val="16"/>
                <w:szCs w:val="16"/>
                <w:color w:val="auto"/>
              </w:rPr>
            </w:pPr>
          </w:p>
        </w:tc>
      </w:tr>
      <w:tr>
        <w:trPr>
          <w:trHeight w:val="261"/>
        </w:trPr>
        <w:tc>
          <w:tcPr>
            <w:tcW w:w="17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5080" w:type="dxa"/>
            <w:vAlign w:val="bottom"/>
            <w:tcBorders>
              <w:bottom w:val="single" w:sz="8" w:color="auto"/>
              <w:right w:val="single" w:sz="8" w:color="auto"/>
            </w:tcBorders>
          </w:tcPr>
          <w:p>
            <w:pPr>
              <w:spacing w:after="0"/>
              <w:rPr>
                <w:sz w:val="22"/>
                <w:szCs w:val="22"/>
                <w:color w:val="auto"/>
              </w:rPr>
            </w:pPr>
          </w:p>
        </w:tc>
        <w:tc>
          <w:tcPr>
            <w:tcW w:w="2320" w:type="dxa"/>
            <w:vAlign w:val="bottom"/>
            <w:tcBorders>
              <w:bottom w:val="single" w:sz="8" w:color="auto"/>
            </w:tcBorders>
            <w:gridSpan w:val="2"/>
          </w:tcPr>
          <w:p>
            <w:pPr>
              <w:spacing w:after="0"/>
              <w:rPr>
                <w:sz w:val="22"/>
                <w:szCs w:val="22"/>
                <w:color w:val="auto"/>
              </w:rPr>
            </w:pPr>
          </w:p>
        </w:tc>
      </w:tr>
      <w:tr>
        <w:trPr>
          <w:trHeight w:val="213"/>
        </w:trPr>
        <w:tc>
          <w:tcPr>
            <w:tcW w:w="1720" w:type="dxa"/>
            <w:vAlign w:val="bottom"/>
            <w:tcBorders>
              <w:right w:val="single" w:sz="8" w:color="auto"/>
            </w:tcBorders>
          </w:tcPr>
          <w:p>
            <w:pPr>
              <w:ind w:left="40"/>
              <w:spacing w:after="0"/>
              <w:rPr>
                <w:sz w:val="20"/>
                <w:szCs w:val="20"/>
                <w:color w:val="auto"/>
              </w:rPr>
            </w:pPr>
            <w:r>
              <w:rPr>
                <w:rFonts w:ascii="Calibri" w:cs="Calibri" w:eastAsia="Calibri" w:hAnsi="Calibri"/>
                <w:sz w:val="16"/>
                <w:szCs w:val="16"/>
                <w:b w:val="1"/>
                <w:bCs w:val="1"/>
                <w:color w:val="auto"/>
              </w:rPr>
              <w:t>Jaynie Studenmund</w:t>
            </w:r>
          </w:p>
        </w:tc>
        <w:tc>
          <w:tcPr>
            <w:tcW w:w="1500" w:type="dxa"/>
            <w:vAlign w:val="bottom"/>
            <w:tcBorders>
              <w:right w:val="single" w:sz="8" w:color="auto"/>
            </w:tcBorders>
          </w:tcPr>
          <w:p>
            <w:pPr>
              <w:jc w:val="center"/>
              <w:ind w:left="1"/>
              <w:spacing w:after="0"/>
              <w:rPr>
                <w:sz w:val="20"/>
                <w:szCs w:val="20"/>
                <w:color w:val="auto"/>
              </w:rPr>
            </w:pPr>
            <w:r>
              <w:rPr>
                <w:rFonts w:ascii="Calibri" w:cs="Calibri" w:eastAsia="Calibri" w:hAnsi="Calibri"/>
                <w:sz w:val="16"/>
                <w:szCs w:val="16"/>
                <w:color w:val="auto"/>
                <w:w w:val="97"/>
              </w:rPr>
              <w:t>September</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Former Chief Operatng Ofcer of Overture Services, Inc.; former President &amp;</w:t>
            </w:r>
          </w:p>
        </w:tc>
        <w:tc>
          <w:tcPr>
            <w:tcW w:w="2320" w:type="dxa"/>
            <w:vAlign w:val="bottom"/>
            <w:gridSpan w:val="2"/>
          </w:tcPr>
          <w:p>
            <w:pPr>
              <w:ind w:left="80"/>
              <w:spacing w:after="0"/>
              <w:rPr>
                <w:sz w:val="20"/>
                <w:szCs w:val="20"/>
                <w:color w:val="auto"/>
              </w:rPr>
            </w:pPr>
            <w:r>
              <w:rPr>
                <w:rFonts w:ascii="Calibri" w:cs="Calibri" w:eastAsia="Calibri" w:hAnsi="Calibri"/>
                <w:sz w:val="16"/>
                <w:szCs w:val="16"/>
                <w:color w:val="auto"/>
              </w:rPr>
              <w:t>Compensaton Commitee (Chair);</w:t>
            </w: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Calibri" w:cs="Calibri" w:eastAsia="Calibri" w:hAnsi="Calibri"/>
                <w:sz w:val="16"/>
                <w:szCs w:val="16"/>
                <w:color w:val="auto"/>
                <w:w w:val="98"/>
              </w:rPr>
              <w:t>2018</w:t>
            </w: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Chief Operatng Ofcer, PayMyBills; former Executve Vice President and Head</w:t>
            </w:r>
          </w:p>
        </w:tc>
        <w:tc>
          <w:tcPr>
            <w:tcW w:w="1360" w:type="dxa"/>
            <w:vAlign w:val="bottom"/>
          </w:tcPr>
          <w:p>
            <w:pPr>
              <w:ind w:left="80"/>
              <w:spacing w:after="0"/>
              <w:rPr>
                <w:sz w:val="20"/>
                <w:szCs w:val="20"/>
                <w:color w:val="auto"/>
              </w:rPr>
            </w:pPr>
            <w:r>
              <w:rPr>
                <w:rFonts w:ascii="Calibri" w:cs="Calibri" w:eastAsia="Calibri" w:hAnsi="Calibri"/>
                <w:sz w:val="16"/>
                <w:szCs w:val="16"/>
                <w:color w:val="auto"/>
              </w:rPr>
              <w:t>Audit Commitee</w:t>
            </w:r>
          </w:p>
        </w:tc>
        <w:tc>
          <w:tcPr>
            <w:tcW w:w="960" w:type="dxa"/>
            <w:vAlign w:val="bottom"/>
          </w:tcPr>
          <w:p>
            <w:pPr>
              <w:spacing w:after="0"/>
              <w:rPr>
                <w:sz w:val="16"/>
                <w:szCs w:val="16"/>
                <w:color w:val="auto"/>
              </w:rPr>
            </w:pPr>
          </w:p>
        </w:tc>
      </w:tr>
      <w:tr>
        <w:trPr>
          <w:trHeight w:val="195"/>
        </w:trPr>
        <w:tc>
          <w:tcPr>
            <w:tcW w:w="172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tcPr>
          <w:p>
            <w:pPr>
              <w:ind w:left="80"/>
              <w:spacing w:after="0"/>
              <w:rPr>
                <w:sz w:val="20"/>
                <w:szCs w:val="20"/>
                <w:color w:val="auto"/>
              </w:rPr>
            </w:pPr>
            <w:r>
              <w:rPr>
                <w:rFonts w:ascii="Calibri" w:cs="Calibri" w:eastAsia="Calibri" w:hAnsi="Calibri"/>
                <w:sz w:val="16"/>
                <w:szCs w:val="16"/>
                <w:color w:val="auto"/>
              </w:rPr>
              <w:t>of Consumer and Business Banking for First Interstate of California</w:t>
            </w:r>
          </w:p>
        </w:tc>
        <w:tc>
          <w:tcPr>
            <w:tcW w:w="1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7"/>
        </w:trPr>
        <w:tc>
          <w:tcPr>
            <w:tcW w:w="1720" w:type="dxa"/>
            <w:vAlign w:val="bottom"/>
            <w:tcBorders>
              <w:bottom w:val="single" w:sz="8" w:color="FB4E0B"/>
              <w:right w:val="single" w:sz="8" w:color="auto"/>
            </w:tcBorders>
          </w:tcPr>
          <w:p>
            <w:pPr>
              <w:spacing w:after="0"/>
              <w:rPr>
                <w:sz w:val="23"/>
                <w:szCs w:val="23"/>
                <w:color w:val="auto"/>
              </w:rPr>
            </w:pPr>
          </w:p>
        </w:tc>
        <w:tc>
          <w:tcPr>
            <w:tcW w:w="1500" w:type="dxa"/>
            <w:vAlign w:val="bottom"/>
            <w:tcBorders>
              <w:bottom w:val="single" w:sz="8" w:color="FB4E0B"/>
              <w:right w:val="single" w:sz="8" w:color="auto"/>
            </w:tcBorders>
          </w:tcPr>
          <w:p>
            <w:pPr>
              <w:spacing w:after="0"/>
              <w:rPr>
                <w:sz w:val="23"/>
                <w:szCs w:val="23"/>
                <w:color w:val="auto"/>
              </w:rPr>
            </w:pPr>
          </w:p>
        </w:tc>
        <w:tc>
          <w:tcPr>
            <w:tcW w:w="5080" w:type="dxa"/>
            <w:vAlign w:val="bottom"/>
            <w:tcBorders>
              <w:bottom w:val="single" w:sz="8" w:color="FB4E0B"/>
              <w:right w:val="single" w:sz="8" w:color="auto"/>
            </w:tcBorders>
          </w:tcPr>
          <w:p>
            <w:pPr>
              <w:spacing w:after="0"/>
              <w:rPr>
                <w:sz w:val="23"/>
                <w:szCs w:val="23"/>
                <w:color w:val="auto"/>
              </w:rPr>
            </w:pPr>
          </w:p>
        </w:tc>
        <w:tc>
          <w:tcPr>
            <w:tcW w:w="1360" w:type="dxa"/>
            <w:vAlign w:val="bottom"/>
            <w:tcBorders>
              <w:bottom w:val="single" w:sz="8" w:color="FB4E0B"/>
            </w:tcBorders>
          </w:tcPr>
          <w:p>
            <w:pPr>
              <w:spacing w:after="0"/>
              <w:rPr>
                <w:sz w:val="23"/>
                <w:szCs w:val="23"/>
                <w:color w:val="auto"/>
              </w:rPr>
            </w:pPr>
          </w:p>
        </w:tc>
        <w:tc>
          <w:tcPr>
            <w:tcW w:w="960" w:type="dxa"/>
            <w:vAlign w:val="bottom"/>
            <w:tcBorders>
              <w:bottom w:val="single" w:sz="8" w:color="FB4E0B"/>
            </w:tcBorders>
          </w:tcPr>
          <w:p>
            <w:pPr>
              <w:spacing w:after="0"/>
              <w:rPr>
                <w:sz w:val="23"/>
                <w:szCs w:val="23"/>
                <w:color w:val="auto"/>
              </w:rPr>
            </w:pPr>
          </w:p>
        </w:tc>
      </w:tr>
      <w:tr>
        <w:trPr>
          <w:trHeight w:val="266"/>
        </w:trPr>
        <w:tc>
          <w:tcPr>
            <w:tcW w:w="8300" w:type="dxa"/>
            <w:vAlign w:val="bottom"/>
            <w:gridSpan w:val="3"/>
          </w:tcPr>
          <w:p>
            <w:pPr>
              <w:ind w:left="20"/>
              <w:spacing w:after="0"/>
              <w:rPr>
                <w:sz w:val="20"/>
                <w:szCs w:val="20"/>
                <w:color w:val="auto"/>
              </w:rPr>
            </w:pPr>
            <w:r>
              <w:rPr>
                <w:rFonts w:ascii="Calibri" w:cs="Calibri" w:eastAsia="Calibri" w:hAnsi="Calibri"/>
                <w:sz w:val="13"/>
                <w:szCs w:val="13"/>
                <w:color w:val="auto"/>
              </w:rPr>
              <w:t>*A complete list of each nominee’s business experience and directorships is listed below beginning on page 20.</w:t>
            </w:r>
          </w:p>
        </w:tc>
        <w:tc>
          <w:tcPr>
            <w:tcW w:w="1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478"/>
        </w:trPr>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40" w:type="dxa"/>
            <w:vAlign w:val="bottom"/>
            <w:gridSpan w:val="2"/>
          </w:tcPr>
          <w:p>
            <w:pPr>
              <w:ind w:left="4560"/>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960" w:type="dxa"/>
            <w:vAlign w:val="bottom"/>
          </w:tcPr>
          <w:p>
            <w:pPr>
              <w:jc w:val="right"/>
              <w:ind w:right="573"/>
              <w:spacing w:after="0"/>
              <w:rPr>
                <w:sz w:val="20"/>
                <w:szCs w:val="20"/>
                <w:color w:val="auto"/>
              </w:rPr>
            </w:pPr>
            <w:r>
              <w:rPr>
                <w:rFonts w:ascii="Calibri" w:cs="Calibri" w:eastAsia="Calibri" w:hAnsi="Calibri"/>
                <w:sz w:val="17"/>
                <w:szCs w:val="17"/>
                <w:b w:val="1"/>
                <w:bCs w:val="1"/>
                <w:color w:val="auto"/>
              </w:rPr>
              <w:t>13</w:t>
            </w:r>
          </w:p>
        </w:tc>
      </w:tr>
    </w:tbl>
    <w:p>
      <w:pPr>
        <w:sectPr>
          <w:pgSz w:w="11900" w:h="16838" w:orient="portrait"/>
          <w:cols w:equalWidth="0" w:num="1">
            <w:col w:w="10940"/>
          </w:cols>
          <w:pgMar w:left="320" w:top="44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2022 Proxy Statement summary</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Sustainability</w:t>
      </w:r>
    </w:p>
    <w:p>
      <w:pPr>
        <w:spacing w:after="0" w:line="8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At EXL, we believe that there is always a beter way; we look deeper, fnd it, and make it happen. This purpose informs our corporate culture, which, in turn, is rooted in our fve core values. In line with our purpose, values and culture, we are commited to fnding a beter way through sustainability initatves that are key to our long-term strategy and beneft our stockholders, clients, employees and communites. See “Sustainability” beginning on page 45 below for more details on our recent accomplishments in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147320</wp:posOffset>
            </wp:positionV>
            <wp:extent cx="4055745" cy="55924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55745" cy="559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14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00"/>
          </w:cols>
          <w:pgMar w:left="320" w:top="445" w:right="6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2022 Proxy Statement summary</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2021 Compensaton highlights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Named Executve Ofcers</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20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7420" w:type="dxa"/>
            <w:vAlign w:val="bottom"/>
          </w:tcPr>
          <w:p>
            <w:pPr>
              <w:ind w:left="80"/>
              <w:spacing w:after="0"/>
              <w:rPr>
                <w:sz w:val="20"/>
                <w:szCs w:val="20"/>
                <w:color w:val="auto"/>
              </w:rPr>
            </w:pPr>
            <w:r>
              <w:rPr>
                <w:rFonts w:ascii="Calibri" w:cs="Calibri" w:eastAsia="Calibri" w:hAnsi="Calibri"/>
                <w:sz w:val="17"/>
                <w:szCs w:val="17"/>
                <w:b w:val="1"/>
                <w:bCs w:val="1"/>
                <w:color w:val="FB4E0B"/>
              </w:rPr>
              <w:t>Title</w:t>
            </w:r>
          </w:p>
        </w:tc>
      </w:tr>
      <w:tr>
        <w:trPr>
          <w:trHeight w:val="81"/>
        </w:trPr>
        <w:tc>
          <w:tcPr>
            <w:tcW w:w="3200" w:type="dxa"/>
            <w:vAlign w:val="bottom"/>
            <w:tcBorders>
              <w:bottom w:val="single" w:sz="8" w:color="FB4E0B"/>
            </w:tcBorders>
          </w:tcPr>
          <w:p>
            <w:pPr>
              <w:spacing w:after="0"/>
              <w:rPr>
                <w:sz w:val="7"/>
                <w:szCs w:val="7"/>
                <w:color w:val="auto"/>
              </w:rPr>
            </w:pPr>
          </w:p>
        </w:tc>
        <w:tc>
          <w:tcPr>
            <w:tcW w:w="7420" w:type="dxa"/>
            <w:vAlign w:val="bottom"/>
            <w:tcBorders>
              <w:bottom w:val="single" w:sz="8" w:color="FB4E0B"/>
            </w:tcBorders>
          </w:tcPr>
          <w:p>
            <w:pPr>
              <w:spacing w:after="0"/>
              <w:rPr>
                <w:sz w:val="7"/>
                <w:szCs w:val="7"/>
                <w:color w:val="auto"/>
              </w:rPr>
            </w:pPr>
          </w:p>
        </w:tc>
      </w:tr>
      <w:tr>
        <w:trPr>
          <w:trHeight w:val="276"/>
        </w:trPr>
        <w:tc>
          <w:tcPr>
            <w:tcW w:w="32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7420" w:type="dxa"/>
            <w:vAlign w:val="bottom"/>
          </w:tcPr>
          <w:p>
            <w:pPr>
              <w:ind w:left="80"/>
              <w:spacing w:after="0"/>
              <w:rPr>
                <w:sz w:val="20"/>
                <w:szCs w:val="20"/>
                <w:color w:val="auto"/>
              </w:rPr>
            </w:pPr>
            <w:r>
              <w:rPr>
                <w:rFonts w:ascii="Calibri" w:cs="Calibri" w:eastAsia="Calibri" w:hAnsi="Calibri"/>
                <w:sz w:val="17"/>
                <w:szCs w:val="17"/>
                <w:color w:val="auto"/>
              </w:rPr>
              <w:t>Vice Chairman and CEO</w:t>
            </w:r>
          </w:p>
        </w:tc>
      </w:tr>
      <w:tr>
        <w:trPr>
          <w:trHeight w:val="75"/>
        </w:trPr>
        <w:tc>
          <w:tcPr>
            <w:tcW w:w="3200" w:type="dxa"/>
            <w:vAlign w:val="bottom"/>
            <w:tcBorders>
              <w:bottom w:val="single" w:sz="8" w:color="auto"/>
              <w:right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r>
      <w:tr>
        <w:trPr>
          <w:trHeight w:val="269"/>
        </w:trPr>
        <w:tc>
          <w:tcPr>
            <w:tcW w:w="32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7420" w:type="dxa"/>
            <w:vAlign w:val="bottom"/>
          </w:tcPr>
          <w:p>
            <w:pPr>
              <w:ind w:left="80"/>
              <w:spacing w:after="0"/>
              <w:rPr>
                <w:sz w:val="20"/>
                <w:szCs w:val="20"/>
                <w:color w:val="auto"/>
              </w:rPr>
            </w:pPr>
            <w:r>
              <w:rPr>
                <w:rFonts w:ascii="Calibri" w:cs="Calibri" w:eastAsia="Calibri" w:hAnsi="Calibri"/>
                <w:sz w:val="17"/>
                <w:szCs w:val="17"/>
                <w:color w:val="auto"/>
              </w:rPr>
              <w:t>Executve Vice President and CFO</w:t>
            </w:r>
          </w:p>
        </w:tc>
      </w:tr>
      <w:tr>
        <w:trPr>
          <w:trHeight w:val="75"/>
        </w:trPr>
        <w:tc>
          <w:tcPr>
            <w:tcW w:w="3200" w:type="dxa"/>
            <w:vAlign w:val="bottom"/>
            <w:tcBorders>
              <w:bottom w:val="single" w:sz="8" w:color="auto"/>
              <w:right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r>
      <w:tr>
        <w:trPr>
          <w:trHeight w:val="269"/>
        </w:trPr>
        <w:tc>
          <w:tcPr>
            <w:tcW w:w="32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7420" w:type="dxa"/>
            <w:vAlign w:val="bottom"/>
          </w:tcPr>
          <w:p>
            <w:pPr>
              <w:ind w:left="80"/>
              <w:spacing w:after="0"/>
              <w:rPr>
                <w:sz w:val="20"/>
                <w:szCs w:val="20"/>
                <w:color w:val="auto"/>
              </w:rPr>
            </w:pPr>
            <w:r>
              <w:rPr>
                <w:rFonts w:ascii="Calibri" w:cs="Calibri" w:eastAsia="Calibri" w:hAnsi="Calibri"/>
                <w:sz w:val="17"/>
                <w:szCs w:val="17"/>
                <w:color w:val="auto"/>
              </w:rPr>
              <w:t>Executve Vice President and Business Head, Insurance</w:t>
            </w:r>
          </w:p>
        </w:tc>
      </w:tr>
      <w:tr>
        <w:trPr>
          <w:trHeight w:val="75"/>
        </w:trPr>
        <w:tc>
          <w:tcPr>
            <w:tcW w:w="3200" w:type="dxa"/>
            <w:vAlign w:val="bottom"/>
            <w:tcBorders>
              <w:bottom w:val="single" w:sz="8" w:color="auto"/>
              <w:right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r>
      <w:tr>
        <w:trPr>
          <w:trHeight w:val="269"/>
        </w:trPr>
        <w:tc>
          <w:tcPr>
            <w:tcW w:w="32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7420" w:type="dxa"/>
            <w:vAlign w:val="bottom"/>
          </w:tcPr>
          <w:p>
            <w:pPr>
              <w:ind w:left="80"/>
              <w:spacing w:after="0"/>
              <w:rPr>
                <w:sz w:val="20"/>
                <w:szCs w:val="20"/>
                <w:color w:val="auto"/>
              </w:rPr>
            </w:pPr>
            <w:r>
              <w:rPr>
                <w:rFonts w:ascii="Calibri" w:cs="Calibri" w:eastAsia="Calibri" w:hAnsi="Calibri"/>
                <w:sz w:val="17"/>
                <w:szCs w:val="17"/>
                <w:color w:val="auto"/>
              </w:rPr>
              <w:t>Executve Vice President and Business Head, Analytcs</w:t>
            </w:r>
          </w:p>
        </w:tc>
      </w:tr>
      <w:tr>
        <w:trPr>
          <w:trHeight w:val="75"/>
        </w:trPr>
        <w:tc>
          <w:tcPr>
            <w:tcW w:w="3200" w:type="dxa"/>
            <w:vAlign w:val="bottom"/>
            <w:tcBorders>
              <w:bottom w:val="single" w:sz="8" w:color="auto"/>
              <w:right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r>
      <w:tr>
        <w:trPr>
          <w:trHeight w:val="269"/>
        </w:trPr>
        <w:tc>
          <w:tcPr>
            <w:tcW w:w="320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Samuel Meckey</w:t>
            </w:r>
          </w:p>
        </w:tc>
        <w:tc>
          <w:tcPr>
            <w:tcW w:w="7420" w:type="dxa"/>
            <w:vAlign w:val="bottom"/>
          </w:tcPr>
          <w:p>
            <w:pPr>
              <w:ind w:left="80"/>
              <w:spacing w:after="0"/>
              <w:rPr>
                <w:sz w:val="20"/>
                <w:szCs w:val="20"/>
                <w:color w:val="auto"/>
              </w:rPr>
            </w:pPr>
            <w:r>
              <w:rPr>
                <w:rFonts w:ascii="Calibri" w:cs="Calibri" w:eastAsia="Calibri" w:hAnsi="Calibri"/>
                <w:sz w:val="17"/>
                <w:szCs w:val="17"/>
                <w:color w:val="auto"/>
              </w:rPr>
              <w:t>Executve Vice President and Business Head, Healthcare</w:t>
            </w:r>
          </w:p>
        </w:tc>
      </w:tr>
      <w:tr>
        <w:trPr>
          <w:trHeight w:val="81"/>
        </w:trPr>
        <w:tc>
          <w:tcPr>
            <w:tcW w:w="3200" w:type="dxa"/>
            <w:vAlign w:val="bottom"/>
            <w:tcBorders>
              <w:bottom w:val="single" w:sz="8" w:color="FB4E0B"/>
              <w:right w:val="single" w:sz="8" w:color="auto"/>
            </w:tcBorders>
          </w:tcPr>
          <w:p>
            <w:pPr>
              <w:spacing w:after="0"/>
              <w:rPr>
                <w:sz w:val="7"/>
                <w:szCs w:val="7"/>
                <w:color w:val="auto"/>
              </w:rPr>
            </w:pPr>
          </w:p>
        </w:tc>
        <w:tc>
          <w:tcPr>
            <w:tcW w:w="7420" w:type="dxa"/>
            <w:vAlign w:val="bottom"/>
            <w:tcBorders>
              <w:bottom w:val="single" w:sz="8" w:color="FB4E0B"/>
            </w:tcBorders>
          </w:tcPr>
          <w:p>
            <w:pPr>
              <w:spacing w:after="0"/>
              <w:rPr>
                <w:sz w:val="7"/>
                <w:szCs w:val="7"/>
                <w:color w:val="auto"/>
              </w:rPr>
            </w:pPr>
          </w:p>
        </w:tc>
      </w:tr>
    </w:tbl>
    <w:p>
      <w:pPr>
        <w:spacing w:after="0" w:line="28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2021 Standard annual compensaton</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5320" w:type="dxa"/>
            <w:vAlign w:val="bottom"/>
          </w:tcPr>
          <w:p>
            <w:pPr>
              <w:spacing w:after="0"/>
              <w:rPr>
                <w:sz w:val="18"/>
                <w:szCs w:val="18"/>
                <w:color w:val="auto"/>
              </w:rPr>
            </w:pPr>
          </w:p>
        </w:tc>
        <w:tc>
          <w:tcPr>
            <w:tcW w:w="1140" w:type="dxa"/>
            <w:vAlign w:val="bottom"/>
          </w:tcPr>
          <w:p>
            <w:pPr>
              <w:jc w:val="right"/>
              <w:ind w:right="333"/>
              <w:spacing w:after="0"/>
              <w:rPr>
                <w:sz w:val="20"/>
                <w:szCs w:val="20"/>
                <w:color w:val="auto"/>
              </w:rPr>
            </w:pPr>
            <w:r>
              <w:rPr>
                <w:rFonts w:ascii="Calibri" w:cs="Calibri" w:eastAsia="Calibri" w:hAnsi="Calibri"/>
                <w:sz w:val="17"/>
                <w:szCs w:val="17"/>
                <w:b w:val="1"/>
                <w:bCs w:val="1"/>
                <w:color w:val="FB4E0B"/>
              </w:rPr>
              <w:t>Rohit</w:t>
            </w:r>
          </w:p>
        </w:tc>
        <w:tc>
          <w:tcPr>
            <w:tcW w:w="1020" w:type="dxa"/>
            <w:vAlign w:val="bottom"/>
          </w:tcPr>
          <w:p>
            <w:pPr>
              <w:jc w:val="right"/>
              <w:ind w:right="153"/>
              <w:spacing w:after="0"/>
              <w:rPr>
                <w:sz w:val="20"/>
                <w:szCs w:val="20"/>
                <w:color w:val="auto"/>
              </w:rPr>
            </w:pPr>
            <w:r>
              <w:rPr>
                <w:rFonts w:ascii="Calibri" w:cs="Calibri" w:eastAsia="Calibri" w:hAnsi="Calibri"/>
                <w:sz w:val="17"/>
                <w:szCs w:val="17"/>
                <w:b w:val="1"/>
                <w:bCs w:val="1"/>
                <w:color w:val="FB4E0B"/>
              </w:rPr>
              <w:t>Maurizio</w:t>
            </w:r>
          </w:p>
        </w:tc>
        <w:tc>
          <w:tcPr>
            <w:tcW w:w="1040" w:type="dxa"/>
            <w:vAlign w:val="bottom"/>
          </w:tcPr>
          <w:p>
            <w:pPr>
              <w:jc w:val="right"/>
              <w:ind w:right="273"/>
              <w:spacing w:after="0"/>
              <w:rPr>
                <w:sz w:val="20"/>
                <w:szCs w:val="20"/>
                <w:color w:val="auto"/>
              </w:rPr>
            </w:pPr>
            <w:r>
              <w:rPr>
                <w:rFonts w:ascii="Calibri" w:cs="Calibri" w:eastAsia="Calibri" w:hAnsi="Calibri"/>
                <w:sz w:val="17"/>
                <w:szCs w:val="17"/>
                <w:b w:val="1"/>
                <w:bCs w:val="1"/>
                <w:color w:val="FB4E0B"/>
              </w:rPr>
              <w:t>Vikas</w:t>
            </w:r>
          </w:p>
        </w:tc>
        <w:tc>
          <w:tcPr>
            <w:tcW w:w="1040" w:type="dxa"/>
            <w:vAlign w:val="bottom"/>
          </w:tcPr>
          <w:p>
            <w:pPr>
              <w:jc w:val="right"/>
              <w:ind w:right="273"/>
              <w:spacing w:after="0"/>
              <w:rPr>
                <w:sz w:val="20"/>
                <w:szCs w:val="20"/>
                <w:color w:val="auto"/>
              </w:rPr>
            </w:pPr>
            <w:r>
              <w:rPr>
                <w:rFonts w:ascii="Calibri" w:cs="Calibri" w:eastAsia="Calibri" w:hAnsi="Calibri"/>
                <w:sz w:val="17"/>
                <w:szCs w:val="17"/>
                <w:b w:val="1"/>
                <w:bCs w:val="1"/>
                <w:color w:val="FB4E0B"/>
              </w:rPr>
              <w:t>Vivek</w:t>
            </w:r>
          </w:p>
        </w:tc>
        <w:tc>
          <w:tcPr>
            <w:tcW w:w="1060" w:type="dxa"/>
            <w:vAlign w:val="bottom"/>
          </w:tcPr>
          <w:p>
            <w:pPr>
              <w:jc w:val="right"/>
              <w:ind w:right="213"/>
              <w:spacing w:after="0"/>
              <w:rPr>
                <w:sz w:val="20"/>
                <w:szCs w:val="20"/>
                <w:color w:val="auto"/>
              </w:rPr>
            </w:pPr>
            <w:r>
              <w:rPr>
                <w:rFonts w:ascii="Calibri" w:cs="Calibri" w:eastAsia="Calibri" w:hAnsi="Calibri"/>
                <w:sz w:val="17"/>
                <w:szCs w:val="17"/>
                <w:b w:val="1"/>
                <w:bCs w:val="1"/>
                <w:color w:val="FB4E0B"/>
              </w:rPr>
              <w:t>Samuel</w:t>
            </w:r>
          </w:p>
        </w:tc>
      </w:tr>
      <w:tr>
        <w:trPr>
          <w:trHeight w:val="283"/>
        </w:trPr>
        <w:tc>
          <w:tcPr>
            <w:tcW w:w="5320" w:type="dxa"/>
            <w:vAlign w:val="bottom"/>
            <w:tcBorders>
              <w:bottom w:val="single" w:sz="8" w:color="BABABA"/>
            </w:tcBorders>
          </w:tcPr>
          <w:p>
            <w:pPr>
              <w:ind w:left="80"/>
              <w:spacing w:after="0"/>
              <w:rPr>
                <w:sz w:val="20"/>
                <w:szCs w:val="20"/>
                <w:color w:val="auto"/>
              </w:rPr>
            </w:pPr>
            <w:r>
              <w:rPr>
                <w:rFonts w:ascii="Calibri" w:cs="Calibri" w:eastAsia="Calibri" w:hAnsi="Calibri"/>
                <w:sz w:val="17"/>
                <w:szCs w:val="17"/>
                <w:b w:val="1"/>
                <w:bCs w:val="1"/>
                <w:color w:val="FB4E0B"/>
              </w:rPr>
              <w:t>Compensaton component</w:t>
            </w:r>
          </w:p>
        </w:tc>
        <w:tc>
          <w:tcPr>
            <w:tcW w:w="1140" w:type="dxa"/>
            <w:vAlign w:val="bottom"/>
            <w:tcBorders>
              <w:bottom w:val="single" w:sz="8" w:color="BABABA"/>
            </w:tcBorders>
          </w:tcPr>
          <w:p>
            <w:pPr>
              <w:jc w:val="right"/>
              <w:ind w:right="273"/>
              <w:spacing w:after="0"/>
              <w:rPr>
                <w:sz w:val="20"/>
                <w:szCs w:val="20"/>
                <w:color w:val="auto"/>
              </w:rPr>
            </w:pPr>
            <w:r>
              <w:rPr>
                <w:rFonts w:ascii="Calibri" w:cs="Calibri" w:eastAsia="Calibri" w:hAnsi="Calibri"/>
                <w:sz w:val="17"/>
                <w:szCs w:val="17"/>
                <w:b w:val="1"/>
                <w:bCs w:val="1"/>
                <w:color w:val="FB4E0B"/>
              </w:rPr>
              <w:t>Kapoor</w:t>
            </w:r>
          </w:p>
        </w:tc>
        <w:tc>
          <w:tcPr>
            <w:tcW w:w="1020" w:type="dxa"/>
            <w:vAlign w:val="bottom"/>
            <w:tcBorders>
              <w:bottom w:val="single" w:sz="8" w:color="BABABA"/>
            </w:tcBorders>
          </w:tcPr>
          <w:p>
            <w:pPr>
              <w:jc w:val="right"/>
              <w:ind w:right="173"/>
              <w:spacing w:after="0"/>
              <w:rPr>
                <w:sz w:val="20"/>
                <w:szCs w:val="20"/>
                <w:color w:val="auto"/>
              </w:rPr>
            </w:pPr>
            <w:r>
              <w:rPr>
                <w:rFonts w:ascii="Calibri" w:cs="Calibri" w:eastAsia="Calibri" w:hAnsi="Calibri"/>
                <w:sz w:val="17"/>
                <w:szCs w:val="17"/>
                <w:b w:val="1"/>
                <w:bCs w:val="1"/>
                <w:color w:val="FB4E0B"/>
              </w:rPr>
              <w:t>Nicolelli</w:t>
            </w:r>
          </w:p>
        </w:tc>
        <w:tc>
          <w:tcPr>
            <w:tcW w:w="1040" w:type="dxa"/>
            <w:vAlign w:val="bottom"/>
            <w:tcBorders>
              <w:bottom w:val="single" w:sz="8" w:color="BABABA"/>
            </w:tcBorders>
          </w:tcPr>
          <w:p>
            <w:pPr>
              <w:jc w:val="right"/>
              <w:ind w:right="173"/>
              <w:spacing w:after="0" w:line="284" w:lineRule="exact"/>
              <w:rPr>
                <w:sz w:val="20"/>
                <w:szCs w:val="20"/>
                <w:color w:val="auto"/>
              </w:rPr>
            </w:pPr>
            <w:r>
              <w:rPr>
                <w:rFonts w:ascii="Calibri" w:cs="Calibri" w:eastAsia="Calibri" w:hAnsi="Calibri"/>
                <w:sz w:val="17"/>
                <w:szCs w:val="17"/>
                <w:b w:val="1"/>
                <w:bCs w:val="1"/>
                <w:color w:val="FB4E0B"/>
              </w:rPr>
              <w:t>Bhalla</w:t>
            </w:r>
            <w:r>
              <w:rPr>
                <w:rFonts w:ascii="Calibri" w:cs="Calibri" w:eastAsia="Calibri" w:hAnsi="Calibri"/>
                <w:sz w:val="29"/>
                <w:szCs w:val="29"/>
                <w:b w:val="1"/>
                <w:bCs w:val="1"/>
                <w:color w:val="FB4E0B"/>
                <w:vertAlign w:val="superscript"/>
              </w:rPr>
              <w:t>(3)</w:t>
            </w:r>
          </w:p>
        </w:tc>
        <w:tc>
          <w:tcPr>
            <w:tcW w:w="1040" w:type="dxa"/>
            <w:vAlign w:val="bottom"/>
            <w:tcBorders>
              <w:bottom w:val="single" w:sz="8" w:color="BABABA"/>
            </w:tcBorders>
          </w:tcPr>
          <w:p>
            <w:pPr>
              <w:jc w:val="right"/>
              <w:ind w:right="273"/>
              <w:spacing w:after="0"/>
              <w:rPr>
                <w:sz w:val="20"/>
                <w:szCs w:val="20"/>
                <w:color w:val="auto"/>
              </w:rPr>
            </w:pPr>
            <w:r>
              <w:rPr>
                <w:rFonts w:ascii="Calibri" w:cs="Calibri" w:eastAsia="Calibri" w:hAnsi="Calibri"/>
                <w:sz w:val="17"/>
                <w:szCs w:val="17"/>
                <w:b w:val="1"/>
                <w:bCs w:val="1"/>
                <w:color w:val="FB4E0B"/>
              </w:rPr>
              <w:t>Jetley</w:t>
            </w:r>
          </w:p>
        </w:tc>
        <w:tc>
          <w:tcPr>
            <w:tcW w:w="1060" w:type="dxa"/>
            <w:vAlign w:val="bottom"/>
            <w:tcBorders>
              <w:bottom w:val="single" w:sz="8" w:color="BABABA"/>
            </w:tcBorders>
          </w:tcPr>
          <w:p>
            <w:pPr>
              <w:jc w:val="right"/>
              <w:ind w:right="193"/>
              <w:spacing w:after="0"/>
              <w:rPr>
                <w:sz w:val="20"/>
                <w:szCs w:val="20"/>
                <w:color w:val="auto"/>
              </w:rPr>
            </w:pPr>
            <w:r>
              <w:rPr>
                <w:rFonts w:ascii="Calibri" w:cs="Calibri" w:eastAsia="Calibri" w:hAnsi="Calibri"/>
                <w:sz w:val="17"/>
                <w:szCs w:val="17"/>
                <w:b w:val="1"/>
                <w:bCs w:val="1"/>
                <w:color w:val="FB4E0B"/>
              </w:rPr>
              <w:t>Meckey</w:t>
            </w:r>
          </w:p>
        </w:tc>
      </w:tr>
      <w:tr>
        <w:trPr>
          <w:trHeight w:val="217"/>
        </w:trPr>
        <w:tc>
          <w:tcPr>
            <w:tcW w:w="5320" w:type="dxa"/>
            <w:vAlign w:val="bottom"/>
            <w:tcBorders>
              <w:right w:val="single" w:sz="8" w:color="BABABA"/>
            </w:tcBorders>
          </w:tcPr>
          <w:p>
            <w:pPr>
              <w:ind w:left="220"/>
              <w:spacing w:after="0"/>
              <w:rPr>
                <w:sz w:val="20"/>
                <w:szCs w:val="20"/>
                <w:color w:val="auto"/>
              </w:rPr>
            </w:pPr>
            <w:r>
              <w:rPr>
                <w:rFonts w:ascii="Calibri" w:cs="Calibri" w:eastAsia="Calibri" w:hAnsi="Calibri"/>
                <w:sz w:val="17"/>
                <w:szCs w:val="17"/>
                <w:color w:val="auto"/>
              </w:rPr>
              <w:t>Salary</w:t>
            </w:r>
          </w:p>
        </w:tc>
        <w:tc>
          <w:tcPr>
            <w:tcW w:w="11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$742,603</w:t>
            </w:r>
          </w:p>
        </w:tc>
        <w:tc>
          <w:tcPr>
            <w:tcW w:w="102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$475,000</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$276,716</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$415,068</w:t>
            </w:r>
          </w:p>
        </w:tc>
        <w:tc>
          <w:tcPr>
            <w:tcW w:w="1060" w:type="dxa"/>
            <w:vAlign w:val="bottom"/>
          </w:tcPr>
          <w:p>
            <w:pPr>
              <w:jc w:val="right"/>
              <w:ind w:right="13"/>
              <w:spacing w:after="0"/>
              <w:rPr>
                <w:sz w:val="20"/>
                <w:szCs w:val="20"/>
                <w:color w:val="auto"/>
              </w:rPr>
            </w:pPr>
            <w:r>
              <w:rPr>
                <w:rFonts w:ascii="Calibri" w:cs="Calibri" w:eastAsia="Calibri" w:hAnsi="Calibri"/>
                <w:sz w:val="17"/>
                <w:szCs w:val="17"/>
                <w:color w:val="auto"/>
              </w:rPr>
              <w:t>$437,808</w:t>
            </w:r>
          </w:p>
        </w:tc>
      </w:tr>
      <w:tr>
        <w:trPr>
          <w:trHeight w:val="312"/>
        </w:trPr>
        <w:tc>
          <w:tcPr>
            <w:tcW w:w="5320" w:type="dxa"/>
            <w:vAlign w:val="bottom"/>
            <w:tcBorders>
              <w:right w:val="single" w:sz="8" w:color="BABABA"/>
            </w:tcBorders>
          </w:tcPr>
          <w:p>
            <w:pPr>
              <w:ind w:left="220"/>
              <w:spacing w:after="0"/>
              <w:rPr>
                <w:sz w:val="20"/>
                <w:szCs w:val="20"/>
                <w:color w:val="auto"/>
              </w:rPr>
            </w:pPr>
            <w:r>
              <w:rPr>
                <w:rFonts w:ascii="Calibri" w:cs="Calibri" w:eastAsia="Calibri" w:hAnsi="Calibri"/>
                <w:sz w:val="17"/>
                <w:szCs w:val="17"/>
                <w:color w:val="auto"/>
              </w:rPr>
              <w:t>Non-equity incentve plan compensaton</w:t>
            </w:r>
          </w:p>
        </w:tc>
        <w:tc>
          <w:tcPr>
            <w:tcW w:w="11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2,050,000</w:t>
            </w:r>
          </w:p>
        </w:tc>
        <w:tc>
          <w:tcPr>
            <w:tcW w:w="102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640,498</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444,718</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586,146</w:t>
            </w:r>
          </w:p>
        </w:tc>
        <w:tc>
          <w:tcPr>
            <w:tcW w:w="1060" w:type="dxa"/>
            <w:vAlign w:val="bottom"/>
          </w:tcPr>
          <w:p>
            <w:pPr>
              <w:jc w:val="right"/>
              <w:ind w:right="13"/>
              <w:spacing w:after="0"/>
              <w:rPr>
                <w:sz w:val="20"/>
                <w:szCs w:val="20"/>
                <w:color w:val="auto"/>
              </w:rPr>
            </w:pPr>
            <w:r>
              <w:rPr>
                <w:rFonts w:ascii="Calibri" w:cs="Calibri" w:eastAsia="Calibri" w:hAnsi="Calibri"/>
                <w:sz w:val="17"/>
                <w:szCs w:val="17"/>
                <w:color w:val="auto"/>
              </w:rPr>
              <w:t>577,214</w:t>
            </w:r>
          </w:p>
        </w:tc>
      </w:tr>
      <w:tr>
        <w:trPr>
          <w:trHeight w:val="418"/>
        </w:trPr>
        <w:tc>
          <w:tcPr>
            <w:tcW w:w="5320" w:type="dxa"/>
            <w:vAlign w:val="bottom"/>
            <w:tcBorders>
              <w:right w:val="single" w:sz="8" w:color="BABABA"/>
            </w:tcBorders>
          </w:tcPr>
          <w:p>
            <w:pPr>
              <w:ind w:left="220"/>
              <w:spacing w:after="0"/>
              <w:rPr>
                <w:sz w:val="20"/>
                <w:szCs w:val="20"/>
                <w:color w:val="auto"/>
              </w:rPr>
            </w:pPr>
            <w:r>
              <w:rPr>
                <w:rFonts w:ascii="Calibri" w:cs="Calibri" w:eastAsia="Calibri" w:hAnsi="Calibri"/>
                <w:sz w:val="17"/>
                <w:szCs w:val="17"/>
                <w:color w:val="auto"/>
              </w:rPr>
              <w:t xml:space="preserve">Equity awards </w:t>
            </w:r>
            <w:r>
              <w:rPr>
                <w:rFonts w:ascii="Calibri" w:cs="Calibri" w:eastAsia="Calibri" w:hAnsi="Calibri"/>
                <w:sz w:val="29"/>
                <w:szCs w:val="29"/>
                <w:color w:val="auto"/>
                <w:vertAlign w:val="superscript"/>
              </w:rPr>
              <w:t>(1)</w:t>
            </w:r>
          </w:p>
        </w:tc>
        <w:tc>
          <w:tcPr>
            <w:tcW w:w="11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7,209,918</w:t>
            </w:r>
          </w:p>
        </w:tc>
        <w:tc>
          <w:tcPr>
            <w:tcW w:w="102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2,220,441</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2,711,454</w:t>
            </w:r>
          </w:p>
        </w:tc>
        <w:tc>
          <w:tcPr>
            <w:tcW w:w="1040" w:type="dxa"/>
            <w:vAlign w:val="bottom"/>
            <w:tcBorders>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2,429,371</w:t>
            </w:r>
          </w:p>
        </w:tc>
        <w:tc>
          <w:tcPr>
            <w:tcW w:w="1060" w:type="dxa"/>
            <w:vAlign w:val="bottom"/>
          </w:tcPr>
          <w:p>
            <w:pPr>
              <w:jc w:val="right"/>
              <w:ind w:right="33"/>
              <w:spacing w:after="0"/>
              <w:rPr>
                <w:sz w:val="20"/>
                <w:szCs w:val="20"/>
                <w:color w:val="auto"/>
              </w:rPr>
            </w:pPr>
            <w:r>
              <w:rPr>
                <w:rFonts w:ascii="Calibri" w:cs="Calibri" w:eastAsia="Calibri" w:hAnsi="Calibri"/>
                <w:sz w:val="17"/>
                <w:szCs w:val="17"/>
                <w:color w:val="auto"/>
              </w:rPr>
              <w:t>2,321,257</w:t>
            </w:r>
          </w:p>
        </w:tc>
      </w:tr>
      <w:tr>
        <w:trPr>
          <w:trHeight w:val="282"/>
        </w:trPr>
        <w:tc>
          <w:tcPr>
            <w:tcW w:w="5320" w:type="dxa"/>
            <w:vAlign w:val="bottom"/>
            <w:tcBorders>
              <w:bottom w:val="single" w:sz="8" w:color="BABABA"/>
              <w:right w:val="single" w:sz="8" w:color="BABABA"/>
            </w:tcBorders>
          </w:tcPr>
          <w:p>
            <w:pPr>
              <w:ind w:left="220"/>
              <w:spacing w:after="0" w:line="281" w:lineRule="exact"/>
              <w:rPr>
                <w:sz w:val="20"/>
                <w:szCs w:val="20"/>
                <w:color w:val="auto"/>
              </w:rPr>
            </w:pPr>
            <w:r>
              <w:rPr>
                <w:rFonts w:ascii="Calibri" w:cs="Calibri" w:eastAsia="Calibri" w:hAnsi="Calibri"/>
                <w:sz w:val="17"/>
                <w:szCs w:val="17"/>
                <w:color w:val="auto"/>
              </w:rPr>
              <w:t xml:space="preserve">Other compensaton </w:t>
            </w:r>
            <w:r>
              <w:rPr>
                <w:rFonts w:ascii="Calibri" w:cs="Calibri" w:eastAsia="Calibri" w:hAnsi="Calibri"/>
                <w:sz w:val="29"/>
                <w:szCs w:val="29"/>
                <w:color w:val="auto"/>
                <w:vertAlign w:val="superscript"/>
              </w:rPr>
              <w:t>(2)</w:t>
            </w:r>
          </w:p>
        </w:tc>
        <w:tc>
          <w:tcPr>
            <w:tcW w:w="1140" w:type="dxa"/>
            <w:vAlign w:val="bottom"/>
            <w:tcBorders>
              <w:bottom w:val="single" w:sz="8" w:color="BABABA"/>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31,068</w:t>
            </w:r>
          </w:p>
        </w:tc>
        <w:tc>
          <w:tcPr>
            <w:tcW w:w="1020" w:type="dxa"/>
            <w:vAlign w:val="bottom"/>
            <w:tcBorders>
              <w:bottom w:val="single" w:sz="8" w:color="BABABA"/>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109,204</w:t>
            </w:r>
          </w:p>
        </w:tc>
        <w:tc>
          <w:tcPr>
            <w:tcW w:w="1040" w:type="dxa"/>
            <w:vAlign w:val="bottom"/>
            <w:tcBorders>
              <w:bottom w:val="single" w:sz="8" w:color="BABABA"/>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35,899</w:t>
            </w:r>
          </w:p>
        </w:tc>
        <w:tc>
          <w:tcPr>
            <w:tcW w:w="1040" w:type="dxa"/>
            <w:vAlign w:val="bottom"/>
            <w:tcBorders>
              <w:bottom w:val="single" w:sz="8" w:color="BABABA"/>
              <w:right w:val="single" w:sz="8" w:color="BABABA"/>
            </w:tcBorders>
          </w:tcPr>
          <w:p>
            <w:pPr>
              <w:jc w:val="right"/>
              <w:ind w:right="33"/>
              <w:spacing w:after="0"/>
              <w:rPr>
                <w:sz w:val="20"/>
                <w:szCs w:val="20"/>
                <w:color w:val="auto"/>
              </w:rPr>
            </w:pPr>
            <w:r>
              <w:rPr>
                <w:rFonts w:ascii="Calibri" w:cs="Calibri" w:eastAsia="Calibri" w:hAnsi="Calibri"/>
                <w:sz w:val="17"/>
                <w:szCs w:val="17"/>
                <w:color w:val="auto"/>
              </w:rPr>
              <w:t>9,204</w:t>
            </w:r>
          </w:p>
        </w:tc>
        <w:tc>
          <w:tcPr>
            <w:tcW w:w="1060" w:type="dxa"/>
            <w:vAlign w:val="bottom"/>
            <w:tcBorders>
              <w:bottom w:val="single" w:sz="8" w:color="BABABA"/>
            </w:tcBorders>
          </w:tcPr>
          <w:p>
            <w:pPr>
              <w:jc w:val="right"/>
              <w:ind w:right="13"/>
              <w:spacing w:after="0"/>
              <w:rPr>
                <w:sz w:val="20"/>
                <w:szCs w:val="20"/>
                <w:color w:val="auto"/>
              </w:rPr>
            </w:pPr>
            <w:r>
              <w:rPr>
                <w:rFonts w:ascii="Calibri" w:cs="Calibri" w:eastAsia="Calibri" w:hAnsi="Calibri"/>
                <w:sz w:val="17"/>
                <w:szCs w:val="17"/>
                <w:color w:val="auto"/>
              </w:rPr>
              <w:t>9,204</w:t>
            </w:r>
          </w:p>
        </w:tc>
      </w:tr>
      <w:tr>
        <w:trPr>
          <w:trHeight w:val="217"/>
        </w:trPr>
        <w:tc>
          <w:tcPr>
            <w:tcW w:w="5320" w:type="dxa"/>
            <w:vAlign w:val="bottom"/>
          </w:tcPr>
          <w:p>
            <w:pPr>
              <w:ind w:left="80"/>
              <w:spacing w:after="0"/>
              <w:rPr>
                <w:sz w:val="20"/>
                <w:szCs w:val="20"/>
                <w:color w:val="auto"/>
              </w:rPr>
            </w:pPr>
            <w:r>
              <w:rPr>
                <w:rFonts w:ascii="Calibri" w:cs="Calibri" w:eastAsia="Calibri" w:hAnsi="Calibri"/>
                <w:sz w:val="17"/>
                <w:szCs w:val="17"/>
                <w:b w:val="1"/>
                <w:bCs w:val="1"/>
                <w:color w:val="auto"/>
              </w:rPr>
              <w:t>Total</w:t>
            </w:r>
          </w:p>
        </w:tc>
        <w:tc>
          <w:tcPr>
            <w:tcW w:w="1140" w:type="dxa"/>
            <w:vAlign w:val="bottom"/>
          </w:tcPr>
          <w:p>
            <w:pPr>
              <w:jc w:val="right"/>
              <w:ind w:right="33"/>
              <w:spacing w:after="0"/>
              <w:rPr>
                <w:sz w:val="20"/>
                <w:szCs w:val="20"/>
                <w:color w:val="auto"/>
              </w:rPr>
            </w:pPr>
            <w:r>
              <w:rPr>
                <w:rFonts w:ascii="Calibri" w:cs="Calibri" w:eastAsia="Calibri" w:hAnsi="Calibri"/>
                <w:sz w:val="17"/>
                <w:szCs w:val="17"/>
                <w:b w:val="1"/>
                <w:bCs w:val="1"/>
                <w:color w:val="auto"/>
              </w:rPr>
              <w:t>$10,033,589</w:t>
            </w:r>
          </w:p>
        </w:tc>
        <w:tc>
          <w:tcPr>
            <w:tcW w:w="1020" w:type="dxa"/>
            <w:vAlign w:val="bottom"/>
          </w:tcPr>
          <w:p>
            <w:pPr>
              <w:jc w:val="right"/>
              <w:ind w:right="33"/>
              <w:spacing w:after="0"/>
              <w:rPr>
                <w:sz w:val="20"/>
                <w:szCs w:val="20"/>
                <w:color w:val="auto"/>
              </w:rPr>
            </w:pPr>
            <w:r>
              <w:rPr>
                <w:rFonts w:ascii="Calibri" w:cs="Calibri" w:eastAsia="Calibri" w:hAnsi="Calibri"/>
                <w:sz w:val="17"/>
                <w:szCs w:val="17"/>
                <w:b w:val="1"/>
                <w:bCs w:val="1"/>
                <w:color w:val="auto"/>
              </w:rPr>
              <w:t>$3,445,143</w:t>
            </w:r>
          </w:p>
        </w:tc>
        <w:tc>
          <w:tcPr>
            <w:tcW w:w="1040" w:type="dxa"/>
            <w:vAlign w:val="bottom"/>
          </w:tcPr>
          <w:p>
            <w:pPr>
              <w:jc w:val="right"/>
              <w:ind w:right="33"/>
              <w:spacing w:after="0"/>
              <w:rPr>
                <w:sz w:val="20"/>
                <w:szCs w:val="20"/>
                <w:color w:val="auto"/>
              </w:rPr>
            </w:pPr>
            <w:r>
              <w:rPr>
                <w:rFonts w:ascii="Calibri" w:cs="Calibri" w:eastAsia="Calibri" w:hAnsi="Calibri"/>
                <w:sz w:val="17"/>
                <w:szCs w:val="17"/>
                <w:b w:val="1"/>
                <w:bCs w:val="1"/>
                <w:color w:val="auto"/>
              </w:rPr>
              <w:t>$3,468,787</w:t>
            </w:r>
          </w:p>
        </w:tc>
        <w:tc>
          <w:tcPr>
            <w:tcW w:w="1040" w:type="dxa"/>
            <w:vAlign w:val="bottom"/>
          </w:tcPr>
          <w:p>
            <w:pPr>
              <w:jc w:val="right"/>
              <w:ind w:right="33"/>
              <w:spacing w:after="0"/>
              <w:rPr>
                <w:sz w:val="20"/>
                <w:szCs w:val="20"/>
                <w:color w:val="auto"/>
              </w:rPr>
            </w:pPr>
            <w:r>
              <w:rPr>
                <w:rFonts w:ascii="Calibri" w:cs="Calibri" w:eastAsia="Calibri" w:hAnsi="Calibri"/>
                <w:sz w:val="17"/>
                <w:szCs w:val="17"/>
                <w:b w:val="1"/>
                <w:bCs w:val="1"/>
                <w:color w:val="auto"/>
              </w:rPr>
              <w:t>$3,439,789</w:t>
            </w:r>
          </w:p>
        </w:tc>
        <w:tc>
          <w:tcPr>
            <w:tcW w:w="1060" w:type="dxa"/>
            <w:vAlign w:val="bottom"/>
          </w:tcPr>
          <w:p>
            <w:pPr>
              <w:jc w:val="right"/>
              <w:ind w:right="13"/>
              <w:spacing w:after="0"/>
              <w:rPr>
                <w:sz w:val="20"/>
                <w:szCs w:val="20"/>
                <w:color w:val="auto"/>
              </w:rPr>
            </w:pPr>
            <w:r>
              <w:rPr>
                <w:rFonts w:ascii="Calibri" w:cs="Calibri" w:eastAsia="Calibri" w:hAnsi="Calibri"/>
                <w:sz w:val="17"/>
                <w:szCs w:val="17"/>
                <w:b w:val="1"/>
                <w:bCs w:val="1"/>
                <w:color w:val="auto"/>
              </w:rPr>
              <w:t>$3,345,483</w:t>
            </w:r>
          </w:p>
        </w:tc>
      </w:tr>
    </w:tbl>
    <w:p>
      <w:pPr>
        <w:spacing w:after="0" w:line="173" w:lineRule="exact"/>
        <w:rPr>
          <w:sz w:val="20"/>
          <w:szCs w:val="20"/>
          <w:color w:val="auto"/>
        </w:rPr>
      </w:pPr>
    </w:p>
    <w:p>
      <w:pPr>
        <w:ind w:left="320" w:right="120" w:hanging="4"/>
        <w:spacing w:after="0" w:line="251" w:lineRule="auto"/>
        <w:tabs>
          <w:tab w:leader="none" w:pos="494" w:val="left"/>
        </w:tabs>
        <w:numPr>
          <w:ilvl w:val="0"/>
          <w:numId w:val="10"/>
        </w:numPr>
        <w:rPr>
          <w:rFonts w:ascii="Calibri" w:cs="Calibri" w:eastAsia="Calibri" w:hAnsi="Calibri"/>
          <w:sz w:val="13"/>
          <w:szCs w:val="13"/>
          <w:color w:val="auto"/>
        </w:rPr>
      </w:pPr>
      <w:r>
        <w:rPr>
          <w:rFonts w:ascii="Calibri" w:cs="Calibri" w:eastAsia="Calibri" w:hAnsi="Calibri"/>
          <w:sz w:val="13"/>
          <w:szCs w:val="13"/>
          <w:color w:val="auto"/>
        </w:rPr>
        <w:t>Equity award values refect equity grants in 2021 with tme-based restricted stock units valued based on grant date fair market value and TSR linked performance-based restricted stock units valued using Monte Carlo fair market valuaton.</w:t>
      </w:r>
    </w:p>
    <w:p>
      <w:pPr>
        <w:spacing w:after="0" w:line="110" w:lineRule="exact"/>
        <w:rPr>
          <w:rFonts w:ascii="Calibri" w:cs="Calibri" w:eastAsia="Calibri" w:hAnsi="Calibri"/>
          <w:sz w:val="13"/>
          <w:szCs w:val="13"/>
          <w:color w:val="auto"/>
        </w:rPr>
      </w:pPr>
    </w:p>
    <w:p>
      <w:pPr>
        <w:ind w:left="320" w:right="60" w:hanging="4"/>
        <w:spacing w:after="0" w:line="253" w:lineRule="auto"/>
        <w:tabs>
          <w:tab w:leader="none" w:pos="494" w:val="left"/>
        </w:tabs>
        <w:numPr>
          <w:ilvl w:val="0"/>
          <w:numId w:val="10"/>
        </w:numPr>
        <w:rPr>
          <w:rFonts w:ascii="Calibri" w:cs="Calibri" w:eastAsia="Calibri" w:hAnsi="Calibri"/>
          <w:sz w:val="13"/>
          <w:szCs w:val="13"/>
          <w:color w:val="auto"/>
        </w:rPr>
      </w:pPr>
      <w:r>
        <w:rPr>
          <w:rFonts w:ascii="Calibri" w:cs="Calibri" w:eastAsia="Calibri" w:hAnsi="Calibri"/>
          <w:sz w:val="13"/>
          <w:szCs w:val="13"/>
          <w:color w:val="auto"/>
        </w:rPr>
        <w:t>For each named executve ofcer, this category includes, if applicable, his perquisites and personal benefts, hiring bonus, changes in pension value, Company-paid life insurance premiums and Company contributons to our 401(k) plan. A detailed discussion of the compensaton components for each named executve ofcer for fscal year 2021 is provided in the “Summary compensaton table for fscal year 2021” beginning on page 83.</w:t>
      </w:r>
    </w:p>
    <w:p>
      <w:pPr>
        <w:spacing w:after="0" w:line="109" w:lineRule="exact"/>
        <w:rPr>
          <w:rFonts w:ascii="Calibri" w:cs="Calibri" w:eastAsia="Calibri" w:hAnsi="Calibri"/>
          <w:sz w:val="13"/>
          <w:szCs w:val="13"/>
          <w:color w:val="auto"/>
        </w:rPr>
      </w:pPr>
    </w:p>
    <w:p>
      <w:pPr>
        <w:ind w:left="320" w:right="180" w:hanging="4"/>
        <w:spacing w:after="0" w:line="251" w:lineRule="auto"/>
        <w:tabs>
          <w:tab w:leader="none" w:pos="494" w:val="left"/>
        </w:tabs>
        <w:numPr>
          <w:ilvl w:val="0"/>
          <w:numId w:val="10"/>
        </w:numPr>
        <w:rPr>
          <w:rFonts w:ascii="Calibri" w:cs="Calibri" w:eastAsia="Calibri" w:hAnsi="Calibri"/>
          <w:sz w:val="13"/>
          <w:szCs w:val="13"/>
          <w:color w:val="auto"/>
        </w:rPr>
      </w:pPr>
      <w:r>
        <w:rPr>
          <w:rFonts w:ascii="Calibri" w:cs="Calibri" w:eastAsia="Calibri" w:hAnsi="Calibri"/>
          <w:sz w:val="13"/>
          <w:szCs w:val="13"/>
          <w:color w:val="auto"/>
        </w:rPr>
        <w:t>Mr. Bhalla is based in Delhi, India. Certain of his compensaton components, as described herein, are paid in Indian rupees (INR), and are converted for comparison purposes at 74.33 INR to 1 USD, which was the exchange rate on December 31, 2021.</w:t>
      </w:r>
    </w:p>
    <w:p>
      <w:pPr>
        <w:spacing w:after="0" w:line="200" w:lineRule="exact"/>
        <w:rPr>
          <w:sz w:val="20"/>
          <w:szCs w:val="20"/>
          <w:color w:val="auto"/>
        </w:rPr>
      </w:pPr>
    </w:p>
    <w:p>
      <w:pPr>
        <w:spacing w:after="0" w:line="247" w:lineRule="exact"/>
        <w:rPr>
          <w:sz w:val="20"/>
          <w:szCs w:val="20"/>
          <w:color w:val="auto"/>
        </w:rPr>
      </w:pPr>
    </w:p>
    <w:p>
      <w:pPr>
        <w:jc w:val="both"/>
        <w:ind w:left="320" w:right="160"/>
        <w:spacing w:after="0" w:line="239" w:lineRule="auto"/>
        <w:rPr>
          <w:sz w:val="20"/>
          <w:szCs w:val="20"/>
          <w:color w:val="auto"/>
        </w:rPr>
      </w:pPr>
      <w:r>
        <w:rPr>
          <w:rFonts w:ascii="Calibri" w:cs="Calibri" w:eastAsia="Calibri" w:hAnsi="Calibri"/>
          <w:sz w:val="17"/>
          <w:szCs w:val="17"/>
          <w:color w:val="auto"/>
        </w:rPr>
        <w:t>On an annual basis, we submit to our stockholders a vote to approve, on a non-binding advisory basis, the compensaton of our named executve ofcers as described in this Proxy Statement. We refer to this vote as “say-on-pay”. Please refer to our Compensaton Discussion and Analysis, beginning on page 60 for a complete descripton of our 2021 compensaton program.</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Below are a few highlights of our executve compensaton:</w:t>
      </w:r>
    </w:p>
    <w:p>
      <w:pPr>
        <w:spacing w:after="0" w:line="235" w:lineRule="exact"/>
        <w:rPr>
          <w:sz w:val="20"/>
          <w:szCs w:val="20"/>
          <w:color w:val="auto"/>
        </w:rPr>
      </w:pPr>
    </w:p>
    <w:p>
      <w:pPr>
        <w:ind w:left="1140" w:hanging="407"/>
        <w:spacing w:after="0"/>
        <w:tabs>
          <w:tab w:leader="none" w:pos="1140" w:val="left"/>
        </w:tabs>
        <w:numPr>
          <w:ilvl w:val="0"/>
          <w:numId w:val="11"/>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Compensaton philosophy: </w:t>
      </w:r>
      <w:r>
        <w:rPr>
          <w:rFonts w:ascii="Calibri" w:cs="Calibri" w:eastAsia="Calibri" w:hAnsi="Calibri"/>
          <w:sz w:val="17"/>
          <w:szCs w:val="17"/>
          <w:color w:val="auto"/>
        </w:rPr>
        <w:t>Our executve compensaton philosophy is focused on pay-for-performance and is designed to refect appropriate</w:t>
      </w:r>
    </w:p>
    <w:p>
      <w:pPr>
        <w:spacing w:after="0" w:line="2" w:lineRule="exact"/>
        <w:rPr>
          <w:rFonts w:ascii="Calibri" w:cs="Calibri" w:eastAsia="Calibri" w:hAnsi="Calibri"/>
          <w:sz w:val="17"/>
          <w:szCs w:val="17"/>
          <w:color w:val="auto"/>
        </w:rPr>
      </w:pPr>
    </w:p>
    <w:p>
      <w:pPr>
        <w:jc w:val="both"/>
        <w:ind w:left="1140" w:right="20"/>
        <w:spacing w:after="0" w:line="239" w:lineRule="auto"/>
        <w:rPr>
          <w:rFonts w:ascii="Calibri" w:cs="Calibri" w:eastAsia="Calibri" w:hAnsi="Calibri"/>
          <w:sz w:val="17"/>
          <w:szCs w:val="17"/>
          <w:color w:val="auto"/>
        </w:rPr>
      </w:pPr>
      <w:r>
        <w:rPr>
          <w:rFonts w:ascii="Calibri" w:cs="Calibri" w:eastAsia="Calibri" w:hAnsi="Calibri"/>
          <w:sz w:val="17"/>
          <w:szCs w:val="17"/>
          <w:color w:val="auto"/>
        </w:rPr>
        <w:t>governance practces aligned with the needs of our business, and includes, among others, the following features: clawback policy; robust stock ownership guidelines for executves (and non-employee directors); limited perquisites; no tax gross-ups; and an ant-hedging and ant-pledging policy. See “Executve compensaton program, practces and policies” beginning on page 66 below.</w:t>
      </w:r>
    </w:p>
    <w:p>
      <w:pPr>
        <w:spacing w:after="0" w:line="129"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15</w:t>
            </w:r>
          </w:p>
        </w:tc>
      </w:tr>
    </w:tbl>
    <w:p>
      <w:pPr>
        <w:sectPr>
          <w:pgSz w:w="11900" w:h="16838" w:orient="portrait"/>
          <w:cols w:equalWidth="0" w:num="1">
            <w:col w:w="10940"/>
          </w:cols>
          <w:pgMar w:left="320" w:top="44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2022 Proxy Statement summary</w:t>
      </w:r>
    </w:p>
    <w:p>
      <w:pPr>
        <w:spacing w:after="0" w:line="140" w:lineRule="exact"/>
        <w:rPr>
          <w:sz w:val="20"/>
          <w:szCs w:val="20"/>
          <w:color w:val="auto"/>
        </w:rPr>
      </w:pPr>
    </w:p>
    <w:p>
      <w:pPr>
        <w:ind w:left="1140" w:right="100" w:hanging="407"/>
        <w:spacing w:after="0" w:line="239" w:lineRule="auto"/>
        <w:tabs>
          <w:tab w:leader="none" w:pos="1140" w:val="left"/>
        </w:tabs>
        <w:numPr>
          <w:ilvl w:val="0"/>
          <w:numId w:val="12"/>
        </w:numPr>
        <w:rPr>
          <w:rFonts w:ascii="Calibri" w:cs="Calibri" w:eastAsia="Calibri" w:hAnsi="Calibri"/>
          <w:sz w:val="17"/>
          <w:szCs w:val="17"/>
          <w:color w:val="auto"/>
        </w:rPr>
      </w:pPr>
      <w:r>
        <w:rPr>
          <w:rFonts w:ascii="Calibri" w:cs="Calibri" w:eastAsia="Calibri" w:hAnsi="Calibri"/>
          <w:sz w:val="17"/>
          <w:szCs w:val="17"/>
          <w:b w:val="1"/>
          <w:bCs w:val="1"/>
          <w:color w:val="auto"/>
        </w:rPr>
        <w:t>99% Say-on-Pay approval of 2020 compensaton</w:t>
      </w:r>
      <w:r>
        <w:rPr>
          <w:rFonts w:ascii="Calibri" w:cs="Calibri" w:eastAsia="Calibri" w:hAnsi="Calibri"/>
          <w:sz w:val="17"/>
          <w:szCs w:val="17"/>
          <w:color w:val="auto"/>
        </w:rPr>
        <w:t>: At our 2021 Annual Meetng of Stockholders, our stockholders approved, on a non-binding</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advisory basis, the compensaton paid to our named executve ofcers for fscal year 2020. Over 99% of the votes present in person or by proxy (excluding broker non-votes) voted in favor of fscal year 2020 compensaton.</w:t>
      </w:r>
    </w:p>
    <w:p>
      <w:pPr>
        <w:spacing w:after="0" w:line="69" w:lineRule="exact"/>
        <w:rPr>
          <w:rFonts w:ascii="Calibri" w:cs="Calibri" w:eastAsia="Calibri" w:hAnsi="Calibri"/>
          <w:sz w:val="17"/>
          <w:szCs w:val="17"/>
          <w:color w:val="auto"/>
        </w:rPr>
      </w:pPr>
    </w:p>
    <w:p>
      <w:pPr>
        <w:ind w:left="1140" w:right="80" w:hanging="407"/>
        <w:spacing w:after="0" w:line="239" w:lineRule="auto"/>
        <w:tabs>
          <w:tab w:leader="none" w:pos="1140" w:val="left"/>
        </w:tabs>
        <w:numPr>
          <w:ilvl w:val="0"/>
          <w:numId w:val="12"/>
        </w:numPr>
        <w:rPr>
          <w:rFonts w:ascii="Calibri" w:cs="Calibri" w:eastAsia="Calibri" w:hAnsi="Calibri"/>
          <w:sz w:val="17"/>
          <w:szCs w:val="17"/>
          <w:color w:val="auto"/>
        </w:rPr>
      </w:pPr>
      <w:r>
        <w:rPr>
          <w:rFonts w:ascii="Calibri" w:cs="Calibri" w:eastAsia="Calibri" w:hAnsi="Calibri"/>
          <w:sz w:val="17"/>
          <w:szCs w:val="17"/>
          <w:b w:val="1"/>
          <w:bCs w:val="1"/>
          <w:color w:val="auto"/>
        </w:rPr>
        <w:t>Annual bonus program based upon fnancial performance criteria</w:t>
      </w:r>
      <w:r>
        <w:rPr>
          <w:rFonts w:ascii="Calibri" w:cs="Calibri" w:eastAsia="Calibri" w:hAnsi="Calibri"/>
          <w:sz w:val="17"/>
          <w:szCs w:val="17"/>
          <w:color w:val="auto"/>
        </w:rPr>
        <w:t>: Our Compensaton Commitee approved the contnued use of our annual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bonus program, which was based upon the following performance criteria for 2021:</w:t>
      </w:r>
    </w:p>
    <w:p>
      <w:pPr>
        <w:spacing w:after="0" w:line="66"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Company wide metrics (75%)—Adjusted earnings per share (“EPS”), revenue, and adjusted operatng proft margin (“AOPM”)</w:t>
      </w:r>
    </w:p>
    <w:p>
      <w:pPr>
        <w:spacing w:after="0" w:line="65"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–Individual metrics (25%)—Linked to areas of performance that are specifc to each executve</w:t>
      </w:r>
    </w:p>
    <w:p>
      <w:pPr>
        <w:spacing w:after="0" w:line="67" w:lineRule="exact"/>
        <w:rPr>
          <w:rFonts w:ascii="Calibri" w:cs="Calibri" w:eastAsia="Calibri" w:hAnsi="Calibri"/>
          <w:sz w:val="17"/>
          <w:szCs w:val="17"/>
          <w:color w:val="auto"/>
        </w:rPr>
      </w:pPr>
    </w:p>
    <w:p>
      <w:pPr>
        <w:ind w:left="1140" w:hanging="407"/>
        <w:spacing w:after="0"/>
        <w:tabs>
          <w:tab w:leader="none" w:pos="1140" w:val="left"/>
        </w:tabs>
        <w:numPr>
          <w:ilvl w:val="0"/>
          <w:numId w:val="12"/>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Long-term equity incentve program: </w:t>
      </w:r>
      <w:r>
        <w:rPr>
          <w:rFonts w:ascii="Calibri" w:cs="Calibri" w:eastAsia="Calibri" w:hAnsi="Calibri"/>
          <w:sz w:val="17"/>
          <w:szCs w:val="17"/>
          <w:color w:val="auto"/>
        </w:rPr>
        <w:t>We also contnued our equity incentve program, which includes grantng a balanced mix of tme-vested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restricted stock units and performance-based restricted stock units. The performance-based restricted stock units were comprised of relatve total stockholder return-linked restricted stock units. In additon, in September 2021, we made additonal equity grants to certain executve ofcers (other than our CEO) of restricted stock units that are subject to tme-based vestng as well as a post-setlement holding period to encourage stock ownership by our executves and promote retenton. See “Long-term equity incentves” beginning on page 76 below for more details.</w:t>
      </w:r>
    </w:p>
    <w:p>
      <w:pPr>
        <w:spacing w:after="0" w:line="67" w:lineRule="exact"/>
        <w:rPr>
          <w:rFonts w:ascii="Calibri" w:cs="Calibri" w:eastAsia="Calibri" w:hAnsi="Calibri"/>
          <w:sz w:val="17"/>
          <w:szCs w:val="17"/>
          <w:color w:val="auto"/>
        </w:rPr>
      </w:pPr>
    </w:p>
    <w:p>
      <w:pPr>
        <w:ind w:left="1140" w:hanging="407"/>
        <w:spacing w:after="0"/>
        <w:tabs>
          <w:tab w:leader="none" w:pos="1140" w:val="left"/>
        </w:tabs>
        <w:numPr>
          <w:ilvl w:val="0"/>
          <w:numId w:val="12"/>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2021 performance: </w:t>
      </w:r>
      <w:r>
        <w:rPr>
          <w:rFonts w:ascii="Calibri" w:cs="Calibri" w:eastAsia="Calibri" w:hAnsi="Calibri"/>
          <w:sz w:val="17"/>
          <w:szCs w:val="17"/>
          <w:color w:val="auto"/>
        </w:rPr>
        <w:t>We delivered the following revenue, Adjusted EPS, and AOPM (as described below) performance:</w:t>
      </w:r>
    </w:p>
    <w:p>
      <w:pPr>
        <w:spacing w:after="0" w:line="67" w:lineRule="exact"/>
        <w:rPr>
          <w:rFonts w:ascii="Calibri" w:cs="Calibri" w:eastAsia="Calibri" w:hAnsi="Calibri"/>
          <w:sz w:val="17"/>
          <w:szCs w:val="17"/>
          <w:color w:val="auto"/>
        </w:rPr>
      </w:pPr>
    </w:p>
    <w:p>
      <w:pPr>
        <w:ind w:left="1580" w:right="40" w:hanging="416"/>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Annual incentve program: </w:t>
      </w:r>
      <w:r>
        <w:rPr>
          <w:rFonts w:ascii="Calibri" w:cs="Calibri" w:eastAsia="Calibri" w:hAnsi="Calibri"/>
          <w:sz w:val="17"/>
          <w:szCs w:val="17"/>
          <w:color w:val="auto"/>
        </w:rPr>
        <w:t>As measured under our annual incentve plan, we delivered 118.77% of our Adjusted EPS target, 103.83%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our revenue performance target, and 116.49% of our AOPM target resultng in annual incentve payout calculatons for our named executve ofcers, ranging from 176% of target performance to 188% of target performance. Our Compensaton Commitee did not make adjustments to the performance targets that had previously been set.</w:t>
      </w:r>
    </w:p>
    <w:p>
      <w:pPr>
        <w:spacing w:after="0" w:line="67" w:lineRule="exact"/>
        <w:rPr>
          <w:rFonts w:ascii="Calibri" w:cs="Calibri" w:eastAsia="Calibri" w:hAnsi="Calibri"/>
          <w:sz w:val="17"/>
          <w:szCs w:val="17"/>
          <w:color w:val="auto"/>
        </w:rPr>
      </w:pPr>
    </w:p>
    <w:p>
      <w:pPr>
        <w:ind w:left="1580" w:hanging="416"/>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7"/>
          <w:szCs w:val="17"/>
          <w:b w:val="1"/>
          <w:bCs w:val="1"/>
          <w:color w:val="auto"/>
        </w:rPr>
        <w:t xml:space="preserve">Equity incentve program: </w:t>
      </w:r>
      <w:r>
        <w:rPr>
          <w:rFonts w:ascii="Calibri" w:cs="Calibri" w:eastAsia="Calibri" w:hAnsi="Calibri"/>
          <w:sz w:val="17"/>
          <w:szCs w:val="17"/>
          <w:color w:val="auto"/>
        </w:rPr>
        <w:t>This was the third and fnal performance year for the 2019 performance-based restricted stock units. We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achieved 96.65% of the revenue target for the revenue-linked restricted stock units resultng in 66.52% of target funding of those grants. The Company’s TSR performance was at the 87.23 percentle amongst its peer group, resultng in the executves earning 200% of the target funding of those grants. In the aggregate the 2019 performance-based restricted stock units resulted in the vestng of shares at 133.25% of target performance. No adjustments were made to the 2019 performance-based restricted stock units or the associated performance targets to account for the impact of the COVID-19 pandemic in the 2020 or 2021 fscal year.</w:t>
      </w:r>
    </w:p>
    <w:p>
      <w:pPr>
        <w:spacing w:after="0" w:line="128"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16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00"/>
          </w:cols>
          <w:pgMar w:left="320" w:top="445"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5600" w:type="dxa"/>
            <w:vAlign w:val="bottom"/>
          </w:tcPr>
          <w:p>
            <w:pPr>
              <w:ind w:left="3760"/>
              <w:spacing w:after="0"/>
              <w:rPr>
                <w:sz w:val="20"/>
                <w:szCs w:val="20"/>
                <w:color w:val="auto"/>
              </w:rPr>
            </w:pPr>
            <w:r>
              <w:rPr>
                <w:rFonts w:ascii="Calibri" w:cs="Calibri" w:eastAsia="Calibri" w:hAnsi="Calibri"/>
                <w:sz w:val="14"/>
                <w:szCs w:val="14"/>
                <w:b w:val="1"/>
                <w:bCs w:val="1"/>
                <w:color w:val="D8D8D8"/>
                <w:w w:val="97"/>
              </w:rPr>
              <w:t>2022 Proxy Statement summary</w:t>
            </w:r>
          </w:p>
        </w:tc>
      </w:tr>
      <w:tr>
        <w:trPr>
          <w:trHeight w:val="363"/>
        </w:trPr>
        <w:tc>
          <w:tcPr>
            <w:tcW w:w="5020" w:type="dxa"/>
            <w:vAlign w:val="bottom"/>
          </w:tcPr>
          <w:p>
            <w:pPr>
              <w:spacing w:after="0"/>
              <w:rPr>
                <w:sz w:val="20"/>
                <w:szCs w:val="20"/>
                <w:color w:val="auto"/>
              </w:rPr>
            </w:pPr>
            <w:r>
              <w:rPr>
                <w:rFonts w:ascii="Calibri" w:cs="Calibri" w:eastAsia="Calibri" w:hAnsi="Calibri"/>
                <w:sz w:val="19"/>
                <w:szCs w:val="19"/>
                <w:b w:val="1"/>
                <w:bCs w:val="1"/>
                <w:color w:val="FB4E0B"/>
              </w:rPr>
              <w:t>Compensaton mix</w:t>
            </w:r>
          </w:p>
        </w:tc>
        <w:tc>
          <w:tcPr>
            <w:tcW w:w="5600" w:type="dxa"/>
            <w:vAlign w:val="bottom"/>
          </w:tcPr>
          <w:p>
            <w:pPr>
              <w:spacing w:after="0"/>
              <w:rPr>
                <w:sz w:val="24"/>
                <w:szCs w:val="24"/>
                <w:color w:val="auto"/>
              </w:rPr>
            </w:pPr>
          </w:p>
        </w:tc>
      </w:tr>
      <w:tr>
        <w:trPr>
          <w:trHeight w:val="468"/>
        </w:trPr>
        <w:tc>
          <w:tcPr>
            <w:tcW w:w="5020" w:type="dxa"/>
            <w:vAlign w:val="bottom"/>
          </w:tcPr>
          <w:p>
            <w:pPr>
              <w:jc w:val="center"/>
              <w:ind w:right="685"/>
              <w:spacing w:after="0"/>
              <w:rPr>
                <w:sz w:val="20"/>
                <w:szCs w:val="20"/>
                <w:color w:val="auto"/>
              </w:rPr>
            </w:pPr>
            <w:r>
              <w:rPr>
                <w:rFonts w:ascii="Calibri" w:cs="Calibri" w:eastAsia="Calibri" w:hAnsi="Calibri"/>
                <w:sz w:val="19"/>
                <w:szCs w:val="19"/>
                <w:b w:val="1"/>
                <w:bCs w:val="1"/>
                <w:color w:val="FB4E0B"/>
              </w:rPr>
              <w:t>Vice Chairman &amp; CEO</w:t>
            </w:r>
          </w:p>
        </w:tc>
        <w:tc>
          <w:tcPr>
            <w:tcW w:w="5600" w:type="dxa"/>
            <w:vAlign w:val="bottom"/>
          </w:tcPr>
          <w:p>
            <w:pPr>
              <w:ind w:left="2060"/>
              <w:spacing w:after="0"/>
              <w:rPr>
                <w:sz w:val="20"/>
                <w:szCs w:val="20"/>
                <w:color w:val="auto"/>
              </w:rPr>
            </w:pPr>
            <w:r>
              <w:rPr>
                <w:rFonts w:ascii="Calibri" w:cs="Calibri" w:eastAsia="Calibri" w:hAnsi="Calibri"/>
                <w:sz w:val="19"/>
                <w:szCs w:val="19"/>
                <w:b w:val="1"/>
                <w:bCs w:val="1"/>
                <w:color w:val="FB4E0B"/>
              </w:rPr>
              <w:t>NEO compensaton mix</w:t>
            </w:r>
          </w:p>
        </w:tc>
      </w:tr>
      <w:tr>
        <w:trPr>
          <w:trHeight w:val="234"/>
        </w:trPr>
        <w:tc>
          <w:tcPr>
            <w:tcW w:w="5020" w:type="dxa"/>
            <w:vAlign w:val="bottom"/>
          </w:tcPr>
          <w:p>
            <w:pPr>
              <w:jc w:val="center"/>
              <w:ind w:right="685"/>
              <w:spacing w:after="0"/>
              <w:rPr>
                <w:sz w:val="20"/>
                <w:szCs w:val="20"/>
                <w:color w:val="auto"/>
              </w:rPr>
            </w:pPr>
            <w:r>
              <w:rPr>
                <w:rFonts w:ascii="Calibri" w:cs="Calibri" w:eastAsia="Calibri" w:hAnsi="Calibri"/>
                <w:sz w:val="19"/>
                <w:szCs w:val="19"/>
                <w:b w:val="1"/>
                <w:bCs w:val="1"/>
                <w:color w:val="FB4E0B"/>
              </w:rPr>
              <w:t>compensaton mix</w:t>
            </w:r>
          </w:p>
        </w:tc>
        <w:tc>
          <w:tcPr>
            <w:tcW w:w="5600" w:type="dxa"/>
            <w:vAlign w:val="bottom"/>
          </w:tcPr>
          <w:p>
            <w:pPr>
              <w:ind w:left="2080"/>
              <w:spacing w:after="0"/>
              <w:rPr>
                <w:sz w:val="20"/>
                <w:szCs w:val="20"/>
                <w:color w:val="auto"/>
              </w:rPr>
            </w:pPr>
            <w:r>
              <w:rPr>
                <w:rFonts w:ascii="Calibri" w:cs="Calibri" w:eastAsia="Calibri" w:hAnsi="Calibri"/>
                <w:sz w:val="14"/>
                <w:szCs w:val="14"/>
                <w:color w:val="auto"/>
              </w:rPr>
              <w:t>(Excluding Vice Chairman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177165</wp:posOffset>
            </wp:positionV>
            <wp:extent cx="2147570" cy="1924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7570" cy="1924685"/>
                    </a:xfrm>
                    <a:prstGeom prst="rect">
                      <a:avLst/>
                    </a:prstGeom>
                    <a:noFill/>
                  </pic:spPr>
                </pic:pic>
              </a:graphicData>
            </a:graphic>
          </wp:anchor>
        </w:drawing>
        <w:drawing>
          <wp:anchor simplePos="0" relativeHeight="251657728" behindDoc="1" locked="0" layoutInCell="0" allowOverlap="1">
            <wp:simplePos x="0" y="0"/>
            <wp:positionH relativeFrom="column">
              <wp:posOffset>4405630</wp:posOffset>
            </wp:positionH>
            <wp:positionV relativeFrom="paragraph">
              <wp:posOffset>177165</wp:posOffset>
            </wp:positionV>
            <wp:extent cx="1776095" cy="1520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76095" cy="152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0"/>
        <w:spacing w:after="0"/>
        <w:rPr>
          <w:sz w:val="20"/>
          <w:szCs w:val="20"/>
          <w:color w:val="auto"/>
        </w:rPr>
      </w:pPr>
      <w:r>
        <w:rPr>
          <w:rFonts w:ascii="Calibri" w:cs="Calibri" w:eastAsia="Calibri" w:hAnsi="Calibri"/>
          <w:sz w:val="14"/>
          <w:szCs w:val="14"/>
          <w:color w:val="auto"/>
        </w:rPr>
        <w:t>* Base salary also includes other compensaton</w:t>
      </w:r>
    </w:p>
    <w:p>
      <w:pPr>
        <w:spacing w:after="0" w:line="122"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17</w:t>
            </w:r>
          </w:p>
        </w:tc>
      </w:tr>
    </w:tbl>
    <w:p>
      <w:pPr>
        <w:sectPr>
          <w:pgSz w:w="11900" w:h="16838" w:orient="portrait"/>
          <w:cols w:equalWidth="0" w:num="1">
            <w:col w:w="10940"/>
          </w:cols>
          <w:pgMar w:left="320" w:top="445" w:right="6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Our board of directors</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Our board of directors</w:t>
      </w:r>
    </w:p>
    <w:p>
      <w:pPr>
        <w:spacing w:after="0" w:line="33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board of directors currently consists of nine directors (including our eight director nominees, and one of our directors who currently serves on the board, but will not stand for reelecton) with diverse experience, including in analytcs, digital operatons and solutons, client industries, informaton and cybersecurity, human capital management, ESG, and fnance and accountng, among others. The following tables include a summary of our board compositon by age, gender, tenure and independence.</w:t>
      </w:r>
    </w:p>
    <w:p>
      <w:pPr>
        <w:spacing w:after="0" w:line="228" w:lineRule="exact"/>
        <w:rPr>
          <w:sz w:val="20"/>
          <w:szCs w:val="20"/>
          <w:color w:val="auto"/>
        </w:rPr>
      </w:pPr>
    </w:p>
    <w:p>
      <w:pPr>
        <w:ind w:left="820"/>
        <w:spacing w:after="0"/>
        <w:tabs>
          <w:tab w:leader="none" w:pos="3180" w:val="left"/>
          <w:tab w:leader="none" w:pos="5660" w:val="left"/>
          <w:tab w:leader="none" w:pos="8320" w:val="left"/>
        </w:tabs>
        <w:rPr>
          <w:sz w:val="20"/>
          <w:szCs w:val="20"/>
          <w:color w:val="auto"/>
        </w:rPr>
      </w:pPr>
      <w:r>
        <w:rPr>
          <w:rFonts w:ascii="Calibri" w:cs="Calibri" w:eastAsia="Calibri" w:hAnsi="Calibri"/>
          <w:sz w:val="19"/>
          <w:szCs w:val="19"/>
          <w:b w:val="1"/>
          <w:bCs w:val="1"/>
          <w:color w:val="FB4E0B"/>
        </w:rPr>
        <w:t>Age distributon</w:t>
      </w:r>
      <w:r>
        <w:rPr>
          <w:sz w:val="20"/>
          <w:szCs w:val="20"/>
          <w:color w:val="auto"/>
        </w:rPr>
        <w:tab/>
      </w:r>
      <w:r>
        <w:rPr>
          <w:rFonts w:ascii="Calibri" w:cs="Calibri" w:eastAsia="Calibri" w:hAnsi="Calibri"/>
          <w:sz w:val="19"/>
          <w:szCs w:val="19"/>
          <w:b w:val="1"/>
          <w:bCs w:val="1"/>
          <w:color w:val="FB4E0B"/>
        </w:rPr>
        <w:t>Gender diversity</w:t>
      </w:r>
      <w:r>
        <w:rPr>
          <w:sz w:val="20"/>
          <w:szCs w:val="20"/>
          <w:color w:val="auto"/>
        </w:rPr>
        <w:tab/>
      </w:r>
      <w:r>
        <w:rPr>
          <w:rFonts w:ascii="Calibri" w:cs="Calibri" w:eastAsia="Calibri" w:hAnsi="Calibri"/>
          <w:sz w:val="19"/>
          <w:szCs w:val="19"/>
          <w:b w:val="1"/>
          <w:bCs w:val="1"/>
          <w:color w:val="FB4E0B"/>
        </w:rPr>
        <w:t>Board tenure</w:t>
      </w:r>
      <w:r>
        <w:rPr>
          <w:sz w:val="20"/>
          <w:szCs w:val="20"/>
          <w:color w:val="auto"/>
        </w:rPr>
        <w:tab/>
      </w:r>
      <w:r>
        <w:rPr>
          <w:rFonts w:ascii="Calibri" w:cs="Calibri" w:eastAsia="Calibri" w:hAnsi="Calibri"/>
          <w:sz w:val="19"/>
          <w:szCs w:val="19"/>
          <w:b w:val="1"/>
          <w:bCs w:val="1"/>
          <w:color w:val="FB4E0B"/>
        </w:rPr>
        <w:t>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86360</wp:posOffset>
            </wp:positionV>
            <wp:extent cx="6154420" cy="1073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54420" cy="107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18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780"/>
          </w:cols>
          <w:pgMar w:left="320" w:top="445" w:right="7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Our board of directors</w:t>
      </w:r>
    </w:p>
    <w:p>
      <w:pPr>
        <w:spacing w:after="0" w:line="140"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Upon the recommendaton of our Nominatng and Governance Commitee, we are pleased to propose eight of our existng directors as nominees for electon as directors at the Annual Meetng. As previously disclosed, one of our current directors, Mr. Staglin, will not be standing for re-electon at the Annual Meetng; the remaining eight directors are our director nominees at the Annual Meetng. Our nominees for re-electon as directors at the Annual Meetng are as follows:</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168275</wp:posOffset>
            </wp:positionV>
            <wp:extent cx="6740525" cy="859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40525" cy="859155"/>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140"/>
        <w:spacing w:after="0"/>
        <w:rPr>
          <w:sz w:val="20"/>
          <w:szCs w:val="20"/>
          <w:color w:val="auto"/>
        </w:rPr>
      </w:pPr>
      <w:r>
        <w:rPr>
          <w:rFonts w:ascii="Calibri" w:cs="Calibri" w:eastAsia="Calibri" w:hAnsi="Calibri"/>
          <w:sz w:val="17"/>
          <w:szCs w:val="17"/>
          <w:b w:val="1"/>
          <w:bCs w:val="1"/>
          <w:color w:val="auto"/>
        </w:rPr>
        <w:t>Vikram Pandit</w:t>
      </w:r>
    </w:p>
    <w:p>
      <w:pPr>
        <w:spacing w:after="0" w:line="2" w:lineRule="exact"/>
        <w:rPr>
          <w:sz w:val="20"/>
          <w:szCs w:val="20"/>
          <w:color w:val="auto"/>
        </w:rPr>
      </w:pPr>
    </w:p>
    <w:p>
      <w:pPr>
        <w:ind w:left="2140"/>
        <w:spacing w:after="0"/>
        <w:rPr>
          <w:sz w:val="20"/>
          <w:szCs w:val="20"/>
          <w:color w:val="auto"/>
        </w:rPr>
      </w:pPr>
      <w:r>
        <w:rPr>
          <w:rFonts w:ascii="Calibri" w:cs="Calibri" w:eastAsia="Calibri" w:hAnsi="Calibri"/>
          <w:sz w:val="16"/>
          <w:szCs w:val="16"/>
          <w:i w:val="1"/>
          <w:iCs w:val="1"/>
          <w:color w:val="auto"/>
        </w:rPr>
        <w:t>Chairman and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327025</wp:posOffset>
            </wp:positionV>
            <wp:extent cx="6740525" cy="793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40525" cy="793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Rohit Kapoor</w:t>
      </w:r>
    </w:p>
    <w:p>
      <w:pPr>
        <w:spacing w:after="0" w:line="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Vice Chairman and CEO and Director</w:t>
      </w:r>
    </w:p>
    <w:p>
      <w:pPr>
        <w:spacing w:after="0" w:line="200" w:lineRule="exact"/>
        <w:rPr>
          <w:sz w:val="20"/>
          <w:szCs w:val="20"/>
          <w:color w:val="auto"/>
        </w:rPr>
      </w:pPr>
    </w:p>
    <w:p>
      <w:pPr>
        <w:sectPr>
          <w:pgSz w:w="11900" w:h="16838" w:orient="portrait"/>
          <w:cols w:equalWidth="0" w:num="2">
            <w:col w:w="6820" w:space="720"/>
            <w:col w:w="3400"/>
          </w:cols>
          <w:pgMar w:left="320" w:top="445"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140"/>
        <w:spacing w:after="0"/>
        <w:rPr>
          <w:sz w:val="20"/>
          <w:szCs w:val="20"/>
          <w:color w:val="auto"/>
        </w:rPr>
      </w:pPr>
      <w:r>
        <w:rPr>
          <w:rFonts w:ascii="Calibri" w:cs="Calibri" w:eastAsia="Calibri" w:hAnsi="Calibri"/>
          <w:sz w:val="17"/>
          <w:szCs w:val="17"/>
          <w:b w:val="1"/>
          <w:bCs w:val="1"/>
          <w:color w:val="auto"/>
        </w:rPr>
        <w:t>Anne Minto</w:t>
      </w:r>
    </w:p>
    <w:p>
      <w:pPr>
        <w:spacing w:after="0" w:line="2" w:lineRule="exact"/>
        <w:rPr>
          <w:sz w:val="20"/>
          <w:szCs w:val="20"/>
          <w:color w:val="auto"/>
        </w:rPr>
      </w:pPr>
    </w:p>
    <w:p>
      <w:pPr>
        <w:ind w:left="2140"/>
        <w:spacing w:after="0"/>
        <w:rPr>
          <w:sz w:val="20"/>
          <w:szCs w:val="20"/>
          <w:color w:val="auto"/>
        </w:rPr>
      </w:pPr>
      <w:r>
        <w:rPr>
          <w:rFonts w:ascii="Calibri" w:cs="Calibri" w:eastAsia="Calibri" w:hAnsi="Calibri"/>
          <w:sz w:val="16"/>
          <w:szCs w:val="16"/>
          <w:i w:val="1"/>
          <w:iCs w:val="1"/>
          <w:color w:val="auto"/>
        </w:rPr>
        <w:t>Independent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Som Mital</w:t>
      </w:r>
    </w:p>
    <w:p>
      <w:pPr>
        <w:spacing w:after="0" w:line="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327025</wp:posOffset>
            </wp:positionV>
            <wp:extent cx="6740525" cy="7931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40525" cy="793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400"/>
          </w:cols>
          <w:pgMar w:left="320" w:top="445"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540"/>
        <w:spacing w:after="0"/>
        <w:rPr>
          <w:sz w:val="20"/>
          <w:szCs w:val="20"/>
          <w:color w:val="auto"/>
        </w:rPr>
      </w:pPr>
      <w:r>
        <w:rPr>
          <w:rFonts w:ascii="Calibri" w:cs="Calibri" w:eastAsia="Calibri" w:hAnsi="Calibri"/>
          <w:sz w:val="17"/>
          <w:szCs w:val="17"/>
          <w:b w:val="1"/>
          <w:bCs w:val="1"/>
          <w:color w:val="auto"/>
        </w:rPr>
        <w:t>Kristy Pipes</w:t>
      </w:r>
    </w:p>
    <w:p>
      <w:pPr>
        <w:ind w:left="2140"/>
        <w:spacing w:after="0" w:line="186" w:lineRule="auto"/>
        <w:rPr>
          <w:sz w:val="20"/>
          <w:szCs w:val="20"/>
          <w:color w:val="auto"/>
        </w:rPr>
      </w:pPr>
      <w:r>
        <w:rPr>
          <w:rFonts w:ascii="Calibri" w:cs="Calibri" w:eastAsia="Calibri" w:hAnsi="Calibri"/>
          <w:sz w:val="11"/>
          <w:szCs w:val="11"/>
          <w:b w:val="1"/>
          <w:bCs w:val="1"/>
          <w:color w:val="auto"/>
        </w:rPr>
        <w:t>Clyde Ostler</w:t>
      </w:r>
    </w:p>
    <w:p>
      <w:pPr>
        <w:ind w:left="7540"/>
        <w:spacing w:after="0" w:line="186" w:lineRule="auto"/>
        <w:rPr>
          <w:sz w:val="20"/>
          <w:szCs w:val="20"/>
          <w:color w:val="auto"/>
        </w:rPr>
      </w:pPr>
      <w:r>
        <w:rPr>
          <w:rFonts w:ascii="Calibri" w:cs="Calibri" w:eastAsia="Calibri" w:hAnsi="Calibri"/>
          <w:sz w:val="11"/>
          <w:szCs w:val="11"/>
          <w:i w:val="1"/>
          <w:iCs w:val="1"/>
          <w:color w:val="auto"/>
        </w:rPr>
        <w:t>Independent Director and Chair of the Audit</w:t>
      </w:r>
    </w:p>
    <w:p>
      <w:pPr>
        <w:ind w:left="2140"/>
        <w:spacing w:after="0" w:line="186" w:lineRule="auto"/>
        <w:rPr>
          <w:sz w:val="20"/>
          <w:szCs w:val="20"/>
          <w:color w:val="auto"/>
        </w:rPr>
      </w:pPr>
      <w:r>
        <w:rPr>
          <w:rFonts w:ascii="Calibri" w:cs="Calibri" w:eastAsia="Calibri" w:hAnsi="Calibri"/>
          <w:sz w:val="11"/>
          <w:szCs w:val="11"/>
          <w:i w:val="1"/>
          <w:iCs w:val="1"/>
          <w:color w:val="auto"/>
        </w:rPr>
        <w:t>Independent Director</w:t>
      </w:r>
    </w:p>
    <w:p>
      <w:pPr>
        <w:ind w:left="7540"/>
        <w:spacing w:after="0" w:line="199" w:lineRule="auto"/>
        <w:rPr>
          <w:sz w:val="20"/>
          <w:szCs w:val="20"/>
          <w:color w:val="auto"/>
        </w:rPr>
      </w:pPr>
      <w:r>
        <w:rPr>
          <w:rFonts w:ascii="Calibri" w:cs="Calibri" w:eastAsia="Calibri" w:hAnsi="Calibri"/>
          <w:sz w:val="17"/>
          <w:szCs w:val="17"/>
          <w:i w:val="1"/>
          <w:iCs w:val="1"/>
          <w:color w:val="auto"/>
        </w:rPr>
        <w:t>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254000</wp:posOffset>
            </wp:positionV>
            <wp:extent cx="6740525" cy="793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40525" cy="793115"/>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140"/>
        <w:spacing w:after="0"/>
        <w:rPr>
          <w:sz w:val="20"/>
          <w:szCs w:val="20"/>
          <w:color w:val="auto"/>
        </w:rPr>
      </w:pPr>
      <w:r>
        <w:rPr>
          <w:rFonts w:ascii="Calibri" w:cs="Calibri" w:eastAsia="Calibri" w:hAnsi="Calibri"/>
          <w:sz w:val="17"/>
          <w:szCs w:val="17"/>
          <w:b w:val="1"/>
          <w:bCs w:val="1"/>
          <w:color w:val="auto"/>
        </w:rPr>
        <w:t>Nitn Sahney</w:t>
      </w:r>
    </w:p>
    <w:p>
      <w:pPr>
        <w:spacing w:after="0" w:line="1" w:lineRule="exact"/>
        <w:rPr>
          <w:sz w:val="20"/>
          <w:szCs w:val="20"/>
          <w:color w:val="auto"/>
        </w:rPr>
      </w:pPr>
    </w:p>
    <w:p>
      <w:pPr>
        <w:ind w:left="2140"/>
        <w:spacing w:after="0"/>
        <w:rPr>
          <w:sz w:val="20"/>
          <w:szCs w:val="20"/>
          <w:color w:val="auto"/>
        </w:rPr>
      </w:pPr>
      <w:r>
        <w:rPr>
          <w:rFonts w:ascii="Calibri" w:cs="Calibri" w:eastAsia="Calibri" w:hAnsi="Calibri"/>
          <w:sz w:val="17"/>
          <w:szCs w:val="17"/>
          <w:i w:val="1"/>
          <w:iCs w:val="1"/>
          <w:color w:val="auto"/>
        </w:rPr>
        <w:t>Independent Director and Chair of the Nominatng</w:t>
      </w:r>
    </w:p>
    <w:p>
      <w:pPr>
        <w:spacing w:after="0" w:line="1" w:lineRule="exact"/>
        <w:rPr>
          <w:sz w:val="20"/>
          <w:szCs w:val="20"/>
          <w:color w:val="auto"/>
        </w:rPr>
      </w:pPr>
    </w:p>
    <w:p>
      <w:pPr>
        <w:ind w:left="2140"/>
        <w:spacing w:after="0"/>
        <w:rPr>
          <w:sz w:val="20"/>
          <w:szCs w:val="20"/>
          <w:color w:val="auto"/>
        </w:rPr>
      </w:pPr>
      <w:r>
        <w:rPr>
          <w:rFonts w:ascii="Calibri" w:cs="Calibri" w:eastAsia="Calibri" w:hAnsi="Calibri"/>
          <w:sz w:val="17"/>
          <w:szCs w:val="17"/>
          <w:i w:val="1"/>
          <w:iCs w:val="1"/>
          <w:color w:val="auto"/>
        </w:rPr>
        <w:t>and Governance Commitee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220980</wp:posOffset>
            </wp:positionV>
            <wp:extent cx="674052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Jaynie Studenmund</w:t>
      </w:r>
    </w:p>
    <w:p>
      <w:pPr>
        <w:spacing w:after="0" w:line="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Independent Director and Chair of the</w:t>
      </w:r>
    </w:p>
    <w:p>
      <w:pPr>
        <w:spacing w:after="0" w:line="1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Compensaton Commitee</w:t>
      </w:r>
    </w:p>
    <w:p>
      <w:pPr>
        <w:spacing w:after="0" w:line="200" w:lineRule="exact"/>
        <w:rPr>
          <w:sz w:val="20"/>
          <w:szCs w:val="20"/>
          <w:color w:val="auto"/>
        </w:rPr>
      </w:pPr>
    </w:p>
    <w:p>
      <w:pPr>
        <w:sectPr>
          <w:pgSz w:w="11900" w:h="16838" w:orient="portrait"/>
          <w:cols w:equalWidth="0" w:num="2">
            <w:col w:w="6820" w:space="720"/>
            <w:col w:w="3400"/>
          </w:cols>
          <w:pgMar w:left="320" w:top="445" w:right="639" w:bottom="1440" w:gutter="0" w:footer="0" w:header="0"/>
          <w:type w:val="continuous"/>
        </w:sectPr>
      </w:pPr>
    </w:p>
    <w:p>
      <w:pPr>
        <w:spacing w:after="0" w:line="361" w:lineRule="exact"/>
        <w:rPr>
          <w:sz w:val="20"/>
          <w:szCs w:val="20"/>
          <w:color w:val="auto"/>
        </w:rPr>
      </w:pPr>
    </w:p>
    <w:p>
      <w:pPr>
        <w:ind w:left="320" w:right="260"/>
        <w:spacing w:after="0" w:line="239" w:lineRule="auto"/>
        <w:rPr>
          <w:sz w:val="20"/>
          <w:szCs w:val="20"/>
          <w:color w:val="auto"/>
        </w:rPr>
      </w:pPr>
      <w:r>
        <w:rPr>
          <w:rFonts w:ascii="Calibri" w:cs="Calibri" w:eastAsia="Calibri" w:hAnsi="Calibri"/>
          <w:sz w:val="17"/>
          <w:szCs w:val="17"/>
          <w:color w:val="auto"/>
        </w:rPr>
        <w:t>We believe that our director nominees and contnuing directors, individually and together as a whole, possess the requisite skills, experience and qualifcatons necessary to maintain an efectve board to serve the best interests of the Company and its stockholders described below under “Director qualifcatons” (see pages 32-33).</w:t>
      </w:r>
    </w:p>
    <w:p>
      <w:pPr>
        <w:spacing w:after="0" w:line="213"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In additon to satsfying these general qualifcatons considered by the Nominatng and Governance Commitee in connecton with a director nominaton, Vikram S. Pandit was appointed to the Board on October 4, 2018 as a director pursuant to the terms of an Investment Agreement, dated as of October 1, 2018 (the “Investment Agreement”), between the Company and Orogen Echo LLC (the “Purchaser”), an afliate of The Orogen Group LLC (“The Orogen Group”). On August 27, 2021, we entered into a Payof and Terminaton Agreement with the Purchaser, pursuant to which the Investment Agreement, including the Purchaser’s board appointment right, was terminated.</w:t>
      </w:r>
    </w:p>
    <w:p>
      <w:pPr>
        <w:spacing w:after="0" w:line="128"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19</w:t>
            </w:r>
          </w:p>
        </w:tc>
      </w:tr>
    </w:tbl>
    <w:p>
      <w:pPr>
        <w:sectPr>
          <w:pgSz w:w="11900" w:h="16838" w:orient="portrait"/>
          <w:cols w:equalWidth="0" w:num="1">
            <w:col w:w="10940"/>
          </w:cols>
          <w:pgMar w:left="320" w:top="445" w:right="6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Our board of directors</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Board of directors</w:t>
      </w:r>
    </w:p>
    <w:p>
      <w:pPr>
        <w:spacing w:after="0" w:line="218"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The names, ages and principal occupatons (which have contnued for at least the past fve years unless otherwise indicated) and other informaton, including the specifc experience, qualifcatons, atributes or skills that led to the conclusion that such person should serve as a director of the Company, with respect to each of the nominees are set forth below. There are no family relatonships among any of our directors or executve ofcers.</w:t>
      </w:r>
    </w:p>
    <w:p>
      <w:pPr>
        <w:spacing w:after="0" w:line="38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Nominees for electon at the Annual Meetng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6740525" cy="6527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40525" cy="65278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Vikram S. Pandit</w:t>
      </w:r>
    </w:p>
    <w:p>
      <w:pPr>
        <w:spacing w:after="0" w:line="9" w:lineRule="exact"/>
        <w:rPr>
          <w:sz w:val="20"/>
          <w:szCs w:val="20"/>
          <w:color w:val="auto"/>
        </w:rPr>
      </w:pPr>
    </w:p>
    <w:p>
      <w:pPr>
        <w:ind w:left="440"/>
        <w:spacing w:after="0"/>
        <w:tabs>
          <w:tab w:leader="none" w:pos="2520" w:val="left"/>
          <w:tab w:leader="none" w:pos="2740" w:val="left"/>
          <w:tab w:leader="none" w:pos="9660" w:val="left"/>
        </w:tabs>
        <w:rPr>
          <w:sz w:val="20"/>
          <w:szCs w:val="20"/>
          <w:color w:val="auto"/>
        </w:rPr>
      </w:pPr>
      <w:r>
        <w:rPr>
          <w:rFonts w:ascii="Calibri" w:cs="Calibri" w:eastAsia="Calibri" w:hAnsi="Calibri"/>
          <w:sz w:val="17"/>
          <w:szCs w:val="17"/>
          <w:b w:val="1"/>
          <w:bCs w:val="1"/>
          <w:color w:val="auto"/>
        </w:rPr>
        <w:t>Director since October 2018</w:t>
        <w:tab/>
        <w:t>|</w:t>
        <w:tab/>
        <w:t>Chairman of the Board since 2022</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262255</wp:posOffset>
            </wp:positionV>
            <wp:extent cx="1164590" cy="1164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580"/>
        <w:spacing w:after="0"/>
        <w:rPr>
          <w:sz w:val="20"/>
          <w:szCs w:val="20"/>
          <w:color w:val="auto"/>
        </w:rPr>
      </w:pPr>
      <w:r>
        <w:rPr>
          <w:rFonts w:ascii="Calibri" w:cs="Calibri" w:eastAsia="Calibri" w:hAnsi="Calibri"/>
          <w:sz w:val="9"/>
          <w:szCs w:val="9"/>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17145</wp:posOffset>
            </wp:positionV>
            <wp:extent cx="231140" cy="231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117"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and accountng</w:t>
      </w:r>
    </w:p>
    <w:p>
      <w:pPr>
        <w:spacing w:after="0" w:line="13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-72390</wp:posOffset>
            </wp:positionV>
            <wp:extent cx="247650" cy="2311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leadership</w:t>
      </w:r>
    </w:p>
    <w:p>
      <w:pPr>
        <w:spacing w:after="0" w:line="8" w:lineRule="exact"/>
        <w:rPr>
          <w:sz w:val="20"/>
          <w:szCs w:val="20"/>
          <w:color w:val="auto"/>
        </w:rPr>
      </w:pPr>
    </w:p>
    <w:p>
      <w:pPr>
        <w:jc w:val="center"/>
        <w:ind w:left="1300"/>
        <w:spacing w:after="0"/>
        <w:rPr>
          <w:sz w:val="20"/>
          <w:szCs w:val="20"/>
          <w:color w:val="auto"/>
        </w:rPr>
      </w:pPr>
      <w:r>
        <w:rPr>
          <w:rFonts w:ascii="Calibri" w:cs="Calibri" w:eastAsia="Calibri" w:hAnsi="Calibri"/>
          <w:sz w:val="10"/>
          <w:szCs w:val="10"/>
          <w:color w:val="auto"/>
        </w:rPr>
        <w:t>(within the last 5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rPr>
          <w:sz w:val="20"/>
          <w:szCs w:val="20"/>
          <w:color w:val="auto"/>
        </w:rPr>
      </w:pPr>
      <w:r>
        <w:rPr>
          <w:rFonts w:ascii="Calibri" w:cs="Calibri" w:eastAsia="Calibri" w:hAnsi="Calibri"/>
          <w:sz w:val="17"/>
          <w:szCs w:val="17"/>
          <w:color w:val="auto"/>
        </w:rPr>
        <w:t>Age: 65 — is Chairman and Chief Executve Ofcer of The Orogen Group, which makes signifcant long- term strategic investments in fnancial services companies and related businesses. Mr. Pandit’s business experience and directorships are detailed below. The Company has concluded, based in part on Mr. Pandit’s more than 30 years of experience in the fnancial services industry, including his experience as Chief Executve Ofcer, and a member of the board of directors, of Citgroup Inc. (NYSE: C), that Mr. Pandit should serve as a director.</w:t>
      </w:r>
    </w:p>
    <w:p>
      <w:pPr>
        <w:spacing w:after="0" w:line="1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Audit*; Nominatng and Governance</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Chairman and Chief Executve Ofcer, The Orogen Group LLC (July 2016 - present)</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Chairman, TGG Group (February 2014 - June 2016)</w:t>
      </w:r>
    </w:p>
    <w:p>
      <w:pPr>
        <w:spacing w:after="0" w:line="117"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tab/>
        <w:t>  Chief Executve Ofcer, Citgroup Inc. (December 2007 - October 2012)</w:t>
      </w:r>
    </w:p>
    <w:p>
      <w:pPr>
        <w:spacing w:after="0" w:line="122" w:lineRule="exact"/>
        <w:rPr>
          <w:sz w:val="20"/>
          <w:szCs w:val="20"/>
          <w:color w:val="auto"/>
        </w:rPr>
      </w:pPr>
    </w:p>
    <w:p>
      <w:pPr>
        <w:sectPr>
          <w:pgSz w:w="11900" w:h="16838" w:orient="portrait"/>
          <w:cols w:equalWidth="0" w:num="2">
            <w:col w:w="2280" w:space="480"/>
            <w:col w:w="8180"/>
          </w:cols>
          <w:pgMar w:left="320" w:top="445" w:right="639" w:bottom="1440" w:gutter="0" w:footer="0" w:header="0"/>
          <w:type w:val="continuous"/>
        </w:sectPr>
      </w:pPr>
    </w:p>
    <w:p>
      <w:pPr>
        <w:spacing w:after="0" w:line="236"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-72390</wp:posOffset>
            </wp:positionV>
            <wp:extent cx="132080" cy="2063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governance</w:t>
      </w:r>
    </w:p>
    <w:p>
      <w:pPr>
        <w:spacing w:after="0" w:line="229"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-47625</wp:posOffset>
            </wp:positionV>
            <wp:extent cx="255905" cy="165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300"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-64135</wp:posOffset>
            </wp:positionV>
            <wp:extent cx="214630"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management</w:t>
      </w:r>
    </w:p>
    <w:p>
      <w:pPr>
        <w:spacing w:after="0" w:line="242"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Digital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-64135</wp:posOffset>
            </wp:positionV>
            <wp:extent cx="239395" cy="214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and solutons</w:t>
      </w:r>
    </w:p>
    <w:p>
      <w:pPr>
        <w:spacing w:after="0" w:line="25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-72390</wp:posOffset>
            </wp:positionV>
            <wp:extent cx="231140" cy="2311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experience</w:t>
      </w:r>
    </w:p>
    <w:p>
      <w:pPr>
        <w:spacing w:after="0" w:line="25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Mergers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-64135</wp:posOffset>
            </wp:positionV>
            <wp:extent cx="231140" cy="2063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acquisitons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 Director and member of the nominatng and governance and fnance commitees, Virtusa Corporaton (NASDAQ:</w:t>
            </w:r>
          </w:p>
        </w:tc>
      </w:tr>
      <w:tr>
        <w:trPr>
          <w:trHeight w:val="195"/>
        </w:trPr>
        <w:tc>
          <w:tcPr>
            <w:tcW w:w="480" w:type="dxa"/>
            <w:vAlign w:val="bottom"/>
          </w:tcPr>
          <w:p>
            <w:pPr>
              <w:spacing w:after="0"/>
              <w:rPr>
                <w:sz w:val="16"/>
                <w:szCs w:val="16"/>
                <w:color w:val="auto"/>
              </w:rPr>
            </w:pPr>
          </w:p>
        </w:tc>
        <w:tc>
          <w:tcPr>
            <w:tcW w:w="7700" w:type="dxa"/>
            <w:vAlign w:val="bottom"/>
          </w:tcPr>
          <w:p>
            <w:pPr>
              <w:ind w:left="140"/>
              <w:spacing w:after="0"/>
              <w:rPr>
                <w:sz w:val="20"/>
                <w:szCs w:val="20"/>
                <w:color w:val="auto"/>
              </w:rPr>
            </w:pPr>
            <w:r>
              <w:rPr>
                <w:rFonts w:ascii="Calibri" w:cs="Calibri" w:eastAsia="Calibri" w:hAnsi="Calibri"/>
                <w:sz w:val="16"/>
                <w:szCs w:val="16"/>
                <w:color w:val="auto"/>
              </w:rPr>
              <w:t>VRTU) (2017 - 2021)</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w w:val="98"/>
              </w:rPr>
              <w:t>   Lead Independent Director, chair of the human resources and compensaton commitee and member of the corporate</w:t>
            </w:r>
          </w:p>
        </w:tc>
      </w:tr>
      <w:tr>
        <w:trPr>
          <w:trHeight w:val="195"/>
        </w:trPr>
        <w:tc>
          <w:tcPr>
            <w:tcW w:w="480" w:type="dxa"/>
            <w:vAlign w:val="bottom"/>
          </w:tcPr>
          <w:p>
            <w:pPr>
              <w:spacing w:after="0"/>
              <w:rPr>
                <w:sz w:val="16"/>
                <w:szCs w:val="16"/>
                <w:color w:val="auto"/>
              </w:rPr>
            </w:pPr>
          </w:p>
        </w:tc>
        <w:tc>
          <w:tcPr>
            <w:tcW w:w="7700" w:type="dxa"/>
            <w:vAlign w:val="bottom"/>
          </w:tcPr>
          <w:p>
            <w:pPr>
              <w:ind w:left="140"/>
              <w:spacing w:after="0"/>
              <w:rPr>
                <w:sz w:val="20"/>
                <w:szCs w:val="20"/>
                <w:color w:val="auto"/>
              </w:rPr>
            </w:pPr>
            <w:r>
              <w:rPr>
                <w:rFonts w:ascii="Calibri" w:cs="Calibri" w:eastAsia="Calibri" w:hAnsi="Calibri"/>
                <w:sz w:val="16"/>
                <w:szCs w:val="16"/>
                <w:color w:val="auto"/>
              </w:rPr>
              <w:t>governance and nominatng commitee, former member of the audit commitee, Bombardier Inc. (TSX: BBD) (2014 -</w:t>
            </w:r>
          </w:p>
        </w:tc>
      </w:tr>
      <w:tr>
        <w:trPr>
          <w:trHeight w:val="195"/>
        </w:trPr>
        <w:tc>
          <w:tcPr>
            <w:tcW w:w="480" w:type="dxa"/>
            <w:vAlign w:val="bottom"/>
          </w:tcPr>
          <w:p>
            <w:pPr>
              <w:spacing w:after="0"/>
              <w:rPr>
                <w:sz w:val="16"/>
                <w:szCs w:val="16"/>
                <w:color w:val="auto"/>
              </w:rPr>
            </w:pPr>
          </w:p>
        </w:tc>
        <w:tc>
          <w:tcPr>
            <w:tcW w:w="7700" w:type="dxa"/>
            <w:vAlign w:val="bottom"/>
          </w:tcPr>
          <w:p>
            <w:pPr>
              <w:ind w:left="140"/>
              <w:spacing w:after="0"/>
              <w:rPr>
                <w:sz w:val="20"/>
                <w:szCs w:val="20"/>
                <w:color w:val="auto"/>
              </w:rPr>
            </w:pPr>
            <w:r>
              <w:rPr>
                <w:rFonts w:ascii="Calibri" w:cs="Calibri" w:eastAsia="Calibri" w:hAnsi="Calibri"/>
                <w:sz w:val="16"/>
                <w:szCs w:val="16"/>
                <w:color w:val="auto"/>
              </w:rPr>
              <w:t>2021)</w:t>
            </w:r>
          </w:p>
        </w:tc>
      </w:tr>
      <w:tr>
        <w:trPr>
          <w:trHeight w:val="329"/>
        </w:trPr>
        <w:tc>
          <w:tcPr>
            <w:tcW w:w="8180" w:type="dxa"/>
            <w:vAlign w:val="bottom"/>
            <w:gridSpan w:val="2"/>
          </w:tcPr>
          <w:p>
            <w:pPr>
              <w:spacing w:after="0"/>
              <w:rPr>
                <w:sz w:val="20"/>
                <w:szCs w:val="20"/>
                <w:color w:val="auto"/>
              </w:rPr>
            </w:pPr>
            <w:r>
              <w:rPr>
                <w:rFonts w:ascii="Calibri" w:cs="Calibri" w:eastAsia="Calibri" w:hAnsi="Calibri"/>
                <w:sz w:val="17"/>
                <w:szCs w:val="17"/>
                <w:b w:val="1"/>
                <w:bCs w:val="1"/>
                <w:color w:val="auto"/>
              </w:rPr>
              <w:t>Other relevant experience</w:t>
            </w:r>
          </w:p>
        </w:tc>
      </w:tr>
      <w:tr>
        <w:trPr>
          <w:trHeight w:val="23"/>
        </w:trPr>
        <w:tc>
          <w:tcPr>
            <w:tcW w:w="480" w:type="dxa"/>
            <w:vAlign w:val="bottom"/>
            <w:tcBorders>
              <w:bottom w:val="single" w:sz="8" w:color="auto"/>
            </w:tcBorders>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78"/>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Director, Citgroup Inc. (December 2007 - October 2012)</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Director, Fair Square Financial Holdings (2017 - 2021)</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Director, Westcor Land Title Insurance Company (2020 - present)</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Chairman, JM Financial Credit Solutons Ltd. (2014 - present)</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Member of the Board of Overseers of Columbia Business School</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700" w:type="dxa"/>
            <w:vAlign w:val="bottom"/>
          </w:tcPr>
          <w:p>
            <w:pPr>
              <w:ind w:left="60"/>
              <w:spacing w:after="0"/>
              <w:rPr>
                <w:sz w:val="20"/>
                <w:szCs w:val="20"/>
                <w:color w:val="auto"/>
              </w:rPr>
            </w:pPr>
            <w:r>
              <w:rPr>
                <w:rFonts w:ascii="Calibri" w:cs="Calibri" w:eastAsia="Calibri" w:hAnsi="Calibri"/>
                <w:sz w:val="16"/>
                <w:szCs w:val="16"/>
                <w:color w:val="auto"/>
              </w:rPr>
              <w:t>  Member of the Board of Visitors of Columbia School of Engineering and Applied Science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504825</wp:posOffset>
            </wp:positionV>
            <wp:extent cx="674052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180"/>
          </w:cols>
          <w:pgMar w:left="320" w:top="445"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Audit commitee fnancial expert under applicable SEC rules and regulatons</w:t>
      </w:r>
    </w:p>
    <w:p>
      <w:pPr>
        <w:spacing w:after="0" w:line="124"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20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102235</wp:posOffset>
            </wp:positionV>
            <wp:extent cx="6740525" cy="801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40525" cy="80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Rohit Kapoor</w:t>
      </w:r>
    </w:p>
    <w:p>
      <w:pPr>
        <w:spacing w:after="0" w:line="9" w:lineRule="exact"/>
        <w:rPr>
          <w:sz w:val="20"/>
          <w:szCs w:val="20"/>
          <w:color w:val="auto"/>
        </w:rPr>
      </w:pPr>
    </w:p>
    <w:p>
      <w:pPr>
        <w:ind w:left="440"/>
        <w:spacing w:after="0"/>
        <w:tabs>
          <w:tab w:leader="none" w:pos="2680" w:val="left"/>
          <w:tab w:leader="none" w:pos="2920" w:val="left"/>
          <w:tab w:leader="none" w:pos="9320" w:val="left"/>
        </w:tabs>
        <w:rPr>
          <w:sz w:val="20"/>
          <w:szCs w:val="20"/>
          <w:color w:val="auto"/>
        </w:rPr>
      </w:pPr>
      <w:r>
        <w:rPr>
          <w:rFonts w:ascii="Calibri" w:cs="Calibri" w:eastAsia="Calibri" w:hAnsi="Calibri"/>
          <w:sz w:val="17"/>
          <w:szCs w:val="17"/>
          <w:b w:val="1"/>
          <w:bCs w:val="1"/>
          <w:color w:val="auto"/>
        </w:rPr>
        <w:t>Director since November 2002</w:t>
        <w:tab/>
        <w:t>|</w:t>
        <w:tab/>
        <w:t>Vice Chairman and CEO since April 2012</w:t>
      </w:r>
      <w:r>
        <w:rPr>
          <w:sz w:val="20"/>
          <w:szCs w:val="20"/>
          <w:color w:val="auto"/>
        </w:rPr>
        <w:tab/>
      </w:r>
      <w:r>
        <w:rPr>
          <w:rFonts w:ascii="Calibri" w:cs="Calibri" w:eastAsia="Calibri" w:hAnsi="Calibri"/>
          <w:sz w:val="16"/>
          <w:szCs w:val="16"/>
          <w:b w:val="1"/>
          <w:bCs w:val="1"/>
          <w:color w:val="FB4E0B"/>
        </w:rPr>
        <w:t>Non-independent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121920</wp:posOffset>
            </wp:positionV>
            <wp:extent cx="1404620" cy="17183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04620" cy="1718310"/>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20"/>
        <w:spacing w:after="0"/>
        <w:rPr>
          <w:sz w:val="20"/>
          <w:szCs w:val="20"/>
          <w:color w:val="auto"/>
        </w:rPr>
      </w:pPr>
      <w:r>
        <w:rPr>
          <w:rFonts w:ascii="Calibri" w:cs="Calibri" w:eastAsia="Calibri" w:hAnsi="Calibri"/>
          <w:sz w:val="10"/>
          <w:szCs w:val="10"/>
          <w:b w:val="1"/>
          <w:bCs w:val="1"/>
          <w:color w:val="auto"/>
        </w:rPr>
        <w:t>SKILLS</w:t>
      </w:r>
    </w:p>
    <w:p>
      <w:pPr>
        <w:spacing w:after="0" w:line="255"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-72390</wp:posOffset>
            </wp:positionV>
            <wp:extent cx="231140" cy="2311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ind w:left="1220"/>
        <w:spacing w:after="0"/>
        <w:rPr>
          <w:sz w:val="20"/>
          <w:szCs w:val="20"/>
          <w:color w:val="auto"/>
        </w:rPr>
      </w:pPr>
      <w:r>
        <w:rPr>
          <w:rFonts w:ascii="Calibri" w:cs="Calibri" w:eastAsia="Calibri" w:hAnsi="Calibri"/>
          <w:sz w:val="10"/>
          <w:szCs w:val="10"/>
          <w:color w:val="auto"/>
        </w:rPr>
        <w:t>and accountng</w:t>
      </w:r>
    </w:p>
    <w:p>
      <w:pPr>
        <w:spacing w:after="0" w:line="203"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-31115</wp:posOffset>
            </wp:positionV>
            <wp:extent cx="247650" cy="2311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ind w:left="1220"/>
        <w:spacing w:after="0"/>
        <w:rPr>
          <w:sz w:val="20"/>
          <w:szCs w:val="20"/>
          <w:color w:val="auto"/>
        </w:rPr>
      </w:pPr>
      <w:r>
        <w:rPr>
          <w:rFonts w:ascii="Calibri" w:cs="Calibri" w:eastAsia="Calibri" w:hAnsi="Calibri"/>
          <w:sz w:val="10"/>
          <w:szCs w:val="10"/>
          <w:color w:val="auto"/>
        </w:rPr>
        <w:t>leadership</w:t>
      </w:r>
    </w:p>
    <w:p>
      <w:pPr>
        <w:spacing w:after="0" w:line="8"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(within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133350</wp:posOffset>
            </wp:positionV>
            <wp:extent cx="132080" cy="2063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222"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125095</wp:posOffset>
            </wp:positionV>
            <wp:extent cx="255905" cy="165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196"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174625</wp:posOffset>
            </wp:positionV>
            <wp:extent cx="214630" cy="214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313"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199390</wp:posOffset>
            </wp:positionV>
            <wp:extent cx="239395"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spacing w:after="0" w:line="365"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Digital operatons and solutons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215900</wp:posOffset>
            </wp:positionV>
            <wp:extent cx="239395" cy="2393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391"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Marketng</w:t>
      </w:r>
    </w:p>
    <w:p>
      <w:pPr>
        <w:spacing w:after="0" w:line="333"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-72390</wp:posOffset>
            </wp:positionV>
            <wp:extent cx="231140" cy="2311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ind w:left="1220"/>
        <w:spacing w:after="0"/>
        <w:rPr>
          <w:sz w:val="20"/>
          <w:szCs w:val="20"/>
          <w:color w:val="auto"/>
        </w:rPr>
      </w:pPr>
      <w:r>
        <w:rPr>
          <w:rFonts w:ascii="Calibri" w:cs="Calibri" w:eastAsia="Calibri" w:hAnsi="Calibri"/>
          <w:sz w:val="10"/>
          <w:szCs w:val="10"/>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174625</wp:posOffset>
            </wp:positionV>
            <wp:extent cx="231140"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261"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Risk oversight and</w:t>
      </w:r>
    </w:p>
    <w:p>
      <w:pPr>
        <w:spacing w:after="0" w:line="8"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174625</wp:posOffset>
            </wp:positionV>
            <wp:extent cx="231140" cy="2063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326" w:lineRule="exact"/>
        <w:rPr>
          <w:sz w:val="20"/>
          <w:szCs w:val="20"/>
          <w:color w:val="auto"/>
        </w:rPr>
      </w:pPr>
    </w:p>
    <w:p>
      <w:pPr>
        <w:ind w:left="1220"/>
        <w:spacing w:after="0"/>
        <w:rPr>
          <w:sz w:val="20"/>
          <w:szCs w:val="20"/>
          <w:color w:val="auto"/>
        </w:rPr>
      </w:pPr>
      <w:r>
        <w:rPr>
          <w:rFonts w:ascii="Calibri" w:cs="Calibri" w:eastAsia="Calibri" w:hAnsi="Calibri"/>
          <w:sz w:val="10"/>
          <w:szCs w:val="10"/>
          <w:color w:val="auto"/>
        </w:rPr>
        <w:t>Mergers and acquisitons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40"/>
        <w:spacing w:after="0"/>
        <w:rPr>
          <w:sz w:val="20"/>
          <w:szCs w:val="20"/>
          <w:color w:val="auto"/>
        </w:rPr>
      </w:pPr>
      <w:r>
        <w:rPr>
          <w:rFonts w:ascii="Calibri" w:cs="Calibri" w:eastAsia="Calibri" w:hAnsi="Calibri"/>
          <w:sz w:val="17"/>
          <w:szCs w:val="17"/>
          <w:color w:val="auto"/>
        </w:rPr>
        <w:t>Age: 57 — co-founded EXL in April 1999 and has served as our Vice Chairman and CEO since April 2012 and as a director since November 2002. He previously served as our President and CEO from May 2008 to March 2012. Mr. Kapoor’s business experience and directorships are detailed below. The Company has concluded that, in connecton with Mr. Kapoor’s experience as a founder and current role as CEO of the Company, Mr. Kapoor should serve as a director.</w:t>
      </w:r>
    </w:p>
    <w:p>
      <w:pPr>
        <w:spacing w:after="0" w:line="1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 N/A</w:t>
      </w:r>
    </w:p>
    <w:p>
      <w:pPr>
        <w:spacing w:after="0" w:line="11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54"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Vice Chairman and CEO (2012 - present)</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President and CEO (2008 - 2012)</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Various senior leadership roles, including CFO and COO (2000 - 2008)</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business experience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0" w:type="dxa"/>
            <w:vAlign w:val="bottom"/>
            <w:tcBorders>
              <w:top w:val="single" w:sz="8" w:color="auto"/>
            </w:tcBorders>
          </w:tcPr>
          <w:p>
            <w:pPr>
              <w:ind w:left="320"/>
              <w:spacing w:after="0"/>
              <w:rPr>
                <w:sz w:val="20"/>
                <w:szCs w:val="20"/>
                <w:color w:val="auto"/>
              </w:rPr>
            </w:pPr>
            <w:r>
              <w:rPr>
                <w:rFonts w:ascii="Calibri" w:cs="Calibri" w:eastAsia="Calibri" w:hAnsi="Calibri"/>
                <w:sz w:val="14"/>
                <w:szCs w:val="14"/>
                <w:color w:val="auto"/>
                <w:w w:val="76"/>
              </w:rPr>
              <w:t>• </w:t>
            </w:r>
          </w:p>
        </w:tc>
        <w:tc>
          <w:tcPr>
            <w:tcW w:w="7360" w:type="dxa"/>
            <w:vAlign w:val="bottom"/>
            <w:tcBorders>
              <w:top w:val="single" w:sz="8" w:color="auto"/>
            </w:tcBorders>
          </w:tcPr>
          <w:p>
            <w:pPr>
              <w:ind w:left="60"/>
              <w:spacing w:after="0"/>
              <w:rPr>
                <w:sz w:val="20"/>
                <w:szCs w:val="20"/>
                <w:color w:val="auto"/>
              </w:rPr>
            </w:pPr>
            <w:r>
              <w:rPr>
                <w:rFonts w:ascii="Calibri" w:cs="Calibri" w:eastAsia="Calibri" w:hAnsi="Calibri"/>
                <w:sz w:val="16"/>
                <w:szCs w:val="16"/>
                <w:color w:val="auto"/>
              </w:rPr>
              <w:t>  Business head, Deutsche Bank, a fnancial services provider (1999 - 2000)</w:t>
            </w:r>
          </w:p>
        </w:tc>
      </w:tr>
      <w:tr>
        <w:trPr>
          <w:trHeight w:val="295"/>
        </w:trPr>
        <w:tc>
          <w:tcPr>
            <w:tcW w:w="500" w:type="dxa"/>
            <w:vAlign w:val="bottom"/>
          </w:tcPr>
          <w:p>
            <w:pPr>
              <w:ind w:left="320"/>
              <w:spacing w:after="0"/>
              <w:rPr>
                <w:sz w:val="20"/>
                <w:szCs w:val="20"/>
                <w:color w:val="auto"/>
              </w:rPr>
            </w:pPr>
            <w:r>
              <w:rPr>
                <w:rFonts w:ascii="Calibri" w:cs="Calibri" w:eastAsia="Calibri" w:hAnsi="Calibri"/>
                <w:sz w:val="14"/>
                <w:szCs w:val="14"/>
                <w:color w:val="auto"/>
                <w:w w:val="76"/>
              </w:rPr>
              <w:t>• </w:t>
            </w:r>
          </w:p>
        </w:tc>
        <w:tc>
          <w:tcPr>
            <w:tcW w:w="7360" w:type="dxa"/>
            <w:vAlign w:val="bottom"/>
          </w:tcPr>
          <w:p>
            <w:pPr>
              <w:ind w:left="60"/>
              <w:spacing w:after="0"/>
              <w:rPr>
                <w:sz w:val="20"/>
                <w:szCs w:val="20"/>
                <w:color w:val="auto"/>
              </w:rPr>
            </w:pPr>
            <w:r>
              <w:rPr>
                <w:rFonts w:ascii="Calibri" w:cs="Calibri" w:eastAsia="Calibri" w:hAnsi="Calibri"/>
                <w:sz w:val="16"/>
                <w:szCs w:val="16"/>
                <w:color w:val="auto"/>
              </w:rPr>
              <w:t>  Various capacites at Bank of America in the United States and Asia, including India (1991 - 1999)</w:t>
            </w:r>
          </w:p>
        </w:tc>
      </w:tr>
    </w:tbl>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64" w:lineRule="exact"/>
        <w:rPr>
          <w:sz w:val="20"/>
          <w:szCs w:val="20"/>
          <w:color w:val="auto"/>
        </w:rPr>
      </w:pPr>
    </w:p>
    <w:p>
      <w:pPr>
        <w:ind w:left="560" w:right="180" w:hanging="311"/>
        <w:spacing w:after="0" w:line="233" w:lineRule="auto"/>
        <w:tabs>
          <w:tab w:leader="none" w:pos="540" w:val="left"/>
        </w:tabs>
        <w:rPr>
          <w:sz w:val="20"/>
          <w:szCs w:val="20"/>
          <w:color w:val="auto"/>
        </w:rPr>
      </w:pPr>
      <w:r>
        <w:rPr>
          <w:rFonts w:ascii="Calibri" w:cs="Calibri" w:eastAsia="Calibri" w:hAnsi="Calibri"/>
          <w:sz w:val="16"/>
          <w:szCs w:val="16"/>
          <w:color w:val="auto"/>
        </w:rPr>
        <w:t>• </w:t>
        <w:tab/>
        <w:t>  Lead independent director, director and member of the audit commitee, CA Technologies, Inc. (NASDAQ: CA), a sofware services company (2012 - 2018)</w:t>
      </w:r>
    </w:p>
    <w:p>
      <w:pPr>
        <w:spacing w:after="0" w:line="123"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54"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Board of Directors, American India Foundaton (AIF)</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Board of Directors, Pratham (Tristate Chapter)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2007870</wp:posOffset>
            </wp:positionV>
            <wp:extent cx="674052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865" w:lineRule="exact"/>
        <w:rPr>
          <w:sz w:val="20"/>
          <w:szCs w:val="20"/>
          <w:color w:val="auto"/>
        </w:rPr>
      </w:pPr>
    </w:p>
    <w:p>
      <w:pPr>
        <w:sectPr>
          <w:pgSz w:w="11900" w:h="16838" w:orient="portrait"/>
          <w:cols w:equalWidth="0" w:num="2">
            <w:col w:w="2560" w:space="520"/>
            <w:col w:w="7860"/>
          </w:cols>
          <w:pgMar w:left="320" w:top="445" w:right="63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21</w:t>
            </w:r>
          </w:p>
        </w:tc>
      </w:tr>
    </w:tbl>
    <w:p>
      <w:pPr>
        <w:sectPr>
          <w:pgSz w:w="11900" w:h="16838" w:orient="portrait"/>
          <w:cols w:equalWidth="0" w:num="1">
            <w:col w:w="10940"/>
          </w:cols>
          <w:pgMar w:left="320" w:top="445" w:right="6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102235</wp:posOffset>
            </wp:positionV>
            <wp:extent cx="6740525" cy="801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40525" cy="80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Anne E. Minto</w:t>
      </w:r>
    </w:p>
    <w:p>
      <w:pPr>
        <w:spacing w:after="0" w:line="9" w:lineRule="exact"/>
        <w:rPr>
          <w:sz w:val="20"/>
          <w:szCs w:val="20"/>
          <w:color w:val="auto"/>
        </w:rPr>
      </w:pPr>
    </w:p>
    <w:p>
      <w:pPr>
        <w:ind w:left="440"/>
        <w:spacing w:after="0"/>
        <w:tabs>
          <w:tab w:leader="none" w:pos="9660" w:val="left"/>
        </w:tabs>
        <w:rPr>
          <w:sz w:val="20"/>
          <w:szCs w:val="20"/>
          <w:color w:val="auto"/>
        </w:rPr>
      </w:pPr>
      <w:r>
        <w:rPr>
          <w:rFonts w:ascii="Calibri" w:cs="Calibri" w:eastAsia="Calibri" w:hAnsi="Calibri"/>
          <w:sz w:val="17"/>
          <w:szCs w:val="17"/>
          <w:b w:val="1"/>
          <w:bCs w:val="1"/>
          <w:color w:val="auto"/>
        </w:rPr>
        <w:t>Director since March 2013</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196215</wp:posOffset>
            </wp:positionV>
            <wp:extent cx="1164590" cy="1164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500"/>
        <w:spacing w:after="0"/>
        <w:rPr>
          <w:sz w:val="20"/>
          <w:szCs w:val="20"/>
          <w:color w:val="auto"/>
        </w:rPr>
      </w:pPr>
      <w:r>
        <w:rPr>
          <w:rFonts w:ascii="Calibri" w:cs="Calibri" w:eastAsia="Calibri" w:hAnsi="Calibri"/>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9525</wp:posOffset>
            </wp:positionV>
            <wp:extent cx="231140" cy="2311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105"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and accountng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92075</wp:posOffset>
            </wp:positionV>
            <wp:extent cx="247650"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7650" cy="214630"/>
                    </a:xfrm>
                    <a:prstGeom prst="rect">
                      <a:avLst/>
                    </a:prstGeom>
                    <a:noFill/>
                  </pic:spPr>
                </pic:pic>
              </a:graphicData>
            </a:graphic>
          </wp:anchor>
        </w:drawing>
      </w:r>
    </w:p>
    <w:p>
      <w:pPr>
        <w:spacing w:after="0" w:line="209"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Executve</w:t>
      </w:r>
    </w:p>
    <w:p>
      <w:pPr>
        <w:spacing w:after="0" w:line="8"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leadership</w:t>
      </w:r>
    </w:p>
    <w:p>
      <w:pPr>
        <w:spacing w:after="0" w:line="268"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-72390</wp:posOffset>
            </wp:positionV>
            <wp:extent cx="132080" cy="2063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ind w:left="1500"/>
        <w:spacing w:after="0"/>
        <w:rPr>
          <w:sz w:val="20"/>
          <w:szCs w:val="20"/>
          <w:color w:val="auto"/>
        </w:rPr>
      </w:pPr>
      <w:r>
        <w:rPr>
          <w:rFonts w:ascii="Calibri" w:cs="Calibri" w:eastAsia="Calibri" w:hAnsi="Calibri"/>
          <w:sz w:val="10"/>
          <w:szCs w:val="10"/>
          <w:color w:val="auto"/>
        </w:rPr>
        <w:t>governance</w:t>
      </w:r>
    </w:p>
    <w:p>
      <w:pPr>
        <w:spacing w:after="0" w:line="255"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-64135</wp:posOffset>
            </wp:positionV>
            <wp:extent cx="214630" cy="2146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1500"/>
        <w:spacing w:after="0"/>
        <w:rPr>
          <w:sz w:val="20"/>
          <w:szCs w:val="20"/>
          <w:color w:val="auto"/>
        </w:rPr>
      </w:pPr>
      <w:r>
        <w:rPr>
          <w:rFonts w:ascii="Calibri" w:cs="Calibri" w:eastAsia="Calibri" w:hAnsi="Calibri"/>
          <w:sz w:val="10"/>
          <w:szCs w:val="10"/>
          <w:color w:val="auto"/>
        </w:rPr>
        <w:t>management</w:t>
      </w:r>
    </w:p>
    <w:p>
      <w:pPr>
        <w:spacing w:after="0" w:line="255"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-72390</wp:posOffset>
            </wp:positionV>
            <wp:extent cx="231140" cy="2311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ind w:left="1500"/>
        <w:spacing w:after="0"/>
        <w:rPr>
          <w:sz w:val="20"/>
          <w:szCs w:val="20"/>
          <w:color w:val="auto"/>
        </w:rPr>
      </w:pPr>
      <w:r>
        <w:rPr>
          <w:rFonts w:ascii="Calibri" w:cs="Calibri" w:eastAsia="Calibri" w:hAnsi="Calibri"/>
          <w:sz w:val="10"/>
          <w:szCs w:val="10"/>
          <w:color w:val="auto"/>
        </w:rPr>
        <w:t>experience</w:t>
      </w:r>
    </w:p>
    <w:p>
      <w:pPr>
        <w:spacing w:after="0" w:line="255"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Risk oversight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-64135</wp:posOffset>
            </wp:positionV>
            <wp:extent cx="23114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ind w:left="1500"/>
        <w:spacing w:after="0"/>
        <w:rPr>
          <w:sz w:val="20"/>
          <w:szCs w:val="20"/>
          <w:color w:val="auto"/>
        </w:rPr>
      </w:pPr>
      <w:r>
        <w:rPr>
          <w:rFonts w:ascii="Calibri" w:cs="Calibri" w:eastAsia="Calibri" w:hAnsi="Calibri"/>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166370</wp:posOffset>
            </wp:positionV>
            <wp:extent cx="231140" cy="1981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1140" cy="198120"/>
                    </a:xfrm>
                    <a:prstGeom prst="rect">
                      <a:avLst/>
                    </a:prstGeom>
                    <a:noFill/>
                  </pic:spPr>
                </pic:pic>
              </a:graphicData>
            </a:graphic>
          </wp:anchor>
        </w:drawing>
      </w:r>
    </w:p>
    <w:p>
      <w:pPr>
        <w:spacing w:after="0" w:line="287"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191135</wp:posOffset>
            </wp:positionV>
            <wp:extent cx="231140" cy="2063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spacing w:after="0" w:line="365"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Mergers and</w:t>
      </w:r>
    </w:p>
    <w:p>
      <w:pPr>
        <w:spacing w:after="0" w:line="8" w:lineRule="exact"/>
        <w:rPr>
          <w:sz w:val="20"/>
          <w:szCs w:val="20"/>
          <w:color w:val="auto"/>
        </w:rPr>
      </w:pPr>
    </w:p>
    <w:p>
      <w:pPr>
        <w:ind w:left="1500"/>
        <w:spacing w:after="0"/>
        <w:rPr>
          <w:sz w:val="20"/>
          <w:szCs w:val="20"/>
          <w:color w:val="auto"/>
        </w:rPr>
      </w:pPr>
      <w:r>
        <w:rPr>
          <w:rFonts w:ascii="Calibri" w:cs="Calibri" w:eastAsia="Calibri" w:hAnsi="Calibri"/>
          <w:sz w:val="10"/>
          <w:szCs w:val="10"/>
          <w:color w:val="auto"/>
        </w:rPr>
        <w:t>acquisitons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20"/>
        <w:spacing w:after="0"/>
        <w:rPr>
          <w:sz w:val="20"/>
          <w:szCs w:val="20"/>
          <w:color w:val="auto"/>
        </w:rPr>
      </w:pPr>
      <w:r>
        <w:rPr>
          <w:rFonts w:ascii="Calibri" w:cs="Calibri" w:eastAsia="Calibri" w:hAnsi="Calibri"/>
          <w:sz w:val="17"/>
          <w:szCs w:val="17"/>
          <w:color w:val="auto"/>
        </w:rPr>
        <w:t>Age: 68 — is a qualifed lawyer and member of the Law Society of Scotland. Ms. Minto’s business experience and directorships are detailed below. The Company has concluded, based in part on Ms. Minto’s extensive experience as a member of internatonal company boards and management in the human resources feld and her expertse in human capital management, together with her knowledge and experience of the European business and regulatory environment, that Ms. Minto should serve as a director.</w:t>
      </w:r>
    </w:p>
    <w:p>
      <w:pPr>
        <w:spacing w:after="0" w:line="1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9"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tab/>
        <w:t>  Compensaton, Nominatng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52539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5399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0" w:type="dxa"/>
            <w:vAlign w:val="bottom"/>
            <w:tcBorders>
              <w:top w:val="single" w:sz="8" w:color="auto"/>
            </w:tcBorders>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Borders>
              <w:top w:val="single" w:sz="8" w:color="auto"/>
            </w:tcBorders>
          </w:tcPr>
          <w:p>
            <w:pPr>
              <w:ind w:left="60"/>
              <w:spacing w:after="0"/>
              <w:rPr>
                <w:sz w:val="20"/>
                <w:szCs w:val="20"/>
                <w:color w:val="auto"/>
              </w:rPr>
            </w:pPr>
            <w:r>
              <w:rPr>
                <w:rFonts w:ascii="Calibri" w:cs="Calibri" w:eastAsia="Calibri" w:hAnsi="Calibri"/>
                <w:sz w:val="16"/>
                <w:szCs w:val="16"/>
                <w:color w:val="auto"/>
              </w:rPr>
              <w:t>  Qualifed lawyer and member of Law Society of Scotland</w:t>
            </w:r>
          </w:p>
        </w:tc>
      </w:tr>
      <w:tr>
        <w:trPr>
          <w:trHeight w:val="295"/>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w w:val="98"/>
              </w:rPr>
              <w:t>  Group director, human resources and member of the executve commitee, Centrica plc, an energy and services company</w:t>
            </w:r>
          </w:p>
        </w:tc>
      </w:tr>
      <w:tr>
        <w:trPr>
          <w:trHeight w:val="195"/>
        </w:trPr>
        <w:tc>
          <w:tcPr>
            <w:tcW w:w="480" w:type="dxa"/>
            <w:vAlign w:val="bottom"/>
          </w:tcPr>
          <w:p>
            <w:pPr>
              <w:spacing w:after="0"/>
              <w:rPr>
                <w:sz w:val="16"/>
                <w:szCs w:val="16"/>
                <w:color w:val="auto"/>
              </w:rPr>
            </w:pPr>
          </w:p>
        </w:tc>
        <w:tc>
          <w:tcPr>
            <w:tcW w:w="7800" w:type="dxa"/>
            <w:vAlign w:val="bottom"/>
          </w:tcPr>
          <w:p>
            <w:pPr>
              <w:jc w:val="right"/>
              <w:ind w:right="6742"/>
              <w:spacing w:after="0"/>
              <w:rPr>
                <w:sz w:val="20"/>
                <w:szCs w:val="20"/>
                <w:color w:val="auto"/>
              </w:rPr>
            </w:pPr>
            <w:r>
              <w:rPr>
                <w:rFonts w:ascii="Calibri" w:cs="Calibri" w:eastAsia="Calibri" w:hAnsi="Calibri"/>
                <w:sz w:val="16"/>
                <w:szCs w:val="16"/>
                <w:color w:val="auto"/>
              </w:rPr>
              <w:t>(2002 - 2011)</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Prior senior management roles at Shell UK and Smiths Group plc</w:t>
            </w:r>
          </w:p>
        </w:tc>
      </w:tr>
    </w:tbl>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0" w:type="dxa"/>
            <w:vAlign w:val="bottom"/>
            <w:tcBorders>
              <w:top w:val="single" w:sz="8" w:color="auto"/>
            </w:tcBorders>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Borders>
              <w:top w:val="single" w:sz="8" w:color="auto"/>
            </w:tcBorders>
          </w:tcPr>
          <w:p>
            <w:pPr>
              <w:ind w:left="60"/>
              <w:spacing w:after="0" w:line="191" w:lineRule="exact"/>
              <w:rPr>
                <w:sz w:val="20"/>
                <w:szCs w:val="20"/>
                <w:color w:val="auto"/>
              </w:rPr>
            </w:pPr>
            <w:r>
              <w:rPr>
                <w:rFonts w:ascii="Calibri" w:cs="Calibri" w:eastAsia="Calibri" w:hAnsi="Calibri"/>
                <w:sz w:val="16"/>
                <w:szCs w:val="16"/>
                <w:color w:val="auto"/>
              </w:rPr>
              <w:t>  Non-executve director, chairman of the remuneraton commitee, Tate &amp; Lyle plc (LSE: TATE), a global provider of</w:t>
            </w:r>
          </w:p>
        </w:tc>
      </w:tr>
      <w:tr>
        <w:trPr>
          <w:trHeight w:val="185"/>
        </w:trPr>
        <w:tc>
          <w:tcPr>
            <w:tcW w:w="480" w:type="dxa"/>
            <w:vAlign w:val="bottom"/>
          </w:tcPr>
          <w:p>
            <w:pPr>
              <w:spacing w:after="0"/>
              <w:rPr>
                <w:sz w:val="16"/>
                <w:szCs w:val="16"/>
                <w:color w:val="auto"/>
              </w:rPr>
            </w:pPr>
          </w:p>
        </w:tc>
        <w:tc>
          <w:tcPr>
            <w:tcW w:w="7800" w:type="dxa"/>
            <w:vAlign w:val="bottom"/>
          </w:tcPr>
          <w:p>
            <w:pPr>
              <w:ind w:left="140"/>
              <w:spacing w:after="0" w:line="185" w:lineRule="exact"/>
              <w:rPr>
                <w:sz w:val="20"/>
                <w:szCs w:val="20"/>
                <w:color w:val="auto"/>
              </w:rPr>
            </w:pPr>
            <w:r>
              <w:rPr>
                <w:rFonts w:ascii="Calibri" w:cs="Calibri" w:eastAsia="Calibri" w:hAnsi="Calibri"/>
                <w:sz w:val="16"/>
                <w:szCs w:val="16"/>
                <w:color w:val="auto"/>
              </w:rPr>
              <w:t>specialty food products (2012 - 2021)</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Non-executve director, chairman of the remuneraton commitee and member of the nominaton and governance</w:t>
            </w:r>
          </w:p>
        </w:tc>
      </w:tr>
      <w:tr>
        <w:trPr>
          <w:trHeight w:val="195"/>
        </w:trPr>
        <w:tc>
          <w:tcPr>
            <w:tcW w:w="480" w:type="dxa"/>
            <w:vAlign w:val="bottom"/>
          </w:tcPr>
          <w:p>
            <w:pPr>
              <w:spacing w:after="0"/>
              <w:rPr>
                <w:sz w:val="16"/>
                <w:szCs w:val="16"/>
                <w:color w:val="auto"/>
              </w:rPr>
            </w:pPr>
          </w:p>
        </w:tc>
        <w:tc>
          <w:tcPr>
            <w:tcW w:w="7800" w:type="dxa"/>
            <w:vAlign w:val="bottom"/>
          </w:tcPr>
          <w:p>
            <w:pPr>
              <w:ind w:left="140"/>
              <w:spacing w:after="0"/>
              <w:rPr>
                <w:sz w:val="20"/>
                <w:szCs w:val="20"/>
                <w:color w:val="auto"/>
              </w:rPr>
            </w:pPr>
            <w:r>
              <w:rPr>
                <w:rFonts w:ascii="Calibri" w:cs="Calibri" w:eastAsia="Calibri" w:hAnsi="Calibri"/>
                <w:sz w:val="16"/>
                <w:szCs w:val="16"/>
                <w:color w:val="auto"/>
              </w:rPr>
              <w:t>commitee, Shire plc (NASDAQ: SHPG, LSE: SHP), a global biopharmaceutcal company (2010 - 2019)</w:t>
            </w:r>
          </w:p>
        </w:tc>
      </w:tr>
    </w:tbl>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0" w:type="dxa"/>
            <w:vAlign w:val="bottom"/>
            <w:tcBorders>
              <w:top w:val="single" w:sz="8" w:color="auto"/>
            </w:tcBorders>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Borders>
              <w:top w:val="single" w:sz="8" w:color="auto"/>
            </w:tcBorders>
          </w:tcPr>
          <w:p>
            <w:pPr>
              <w:ind w:left="60"/>
              <w:spacing w:after="0"/>
              <w:rPr>
                <w:sz w:val="20"/>
                <w:szCs w:val="20"/>
                <w:color w:val="auto"/>
              </w:rPr>
            </w:pPr>
            <w:r>
              <w:rPr>
                <w:rFonts w:ascii="Calibri" w:cs="Calibri" w:eastAsia="Calibri" w:hAnsi="Calibri"/>
                <w:sz w:val="16"/>
                <w:szCs w:val="16"/>
                <w:color w:val="auto"/>
              </w:rPr>
              <w:t>  Non-executve director, Court of the University of Aberdeen</w:t>
            </w:r>
          </w:p>
        </w:tc>
      </w:tr>
      <w:tr>
        <w:trPr>
          <w:trHeight w:val="295"/>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Chairman, University of Aberdeen Policy and Resources Commitee</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Fellow, Chartered Insttute of Personnel &amp; Development and the City and Guilds of London Insttute</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Fellow, Chartered Insttute of Management</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Recipient, Order of the Britsh Empire for services to the U.K. engineering industry (2000)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421640</wp:posOffset>
            </wp:positionV>
            <wp:extent cx="674052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400"/>
            <w:col w:w="8280"/>
          </w:cols>
          <w:pgMar w:left="320" w:top="445"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22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102235</wp:posOffset>
            </wp:positionV>
            <wp:extent cx="6740525" cy="7848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40525"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Som Mital</w:t>
      </w:r>
    </w:p>
    <w:p>
      <w:pPr>
        <w:spacing w:after="0" w:line="9" w:lineRule="exact"/>
        <w:rPr>
          <w:sz w:val="20"/>
          <w:szCs w:val="20"/>
          <w:color w:val="auto"/>
        </w:rPr>
      </w:pPr>
    </w:p>
    <w:p>
      <w:pPr>
        <w:ind w:left="440"/>
        <w:spacing w:after="0"/>
        <w:tabs>
          <w:tab w:leader="none" w:pos="9660" w:val="left"/>
        </w:tabs>
        <w:rPr>
          <w:sz w:val="20"/>
          <w:szCs w:val="20"/>
          <w:color w:val="auto"/>
        </w:rPr>
      </w:pPr>
      <w:r>
        <w:rPr>
          <w:rFonts w:ascii="Calibri" w:cs="Calibri" w:eastAsia="Calibri" w:hAnsi="Calibri"/>
          <w:sz w:val="17"/>
          <w:szCs w:val="17"/>
          <w:b w:val="1"/>
          <w:bCs w:val="1"/>
          <w:color w:val="auto"/>
        </w:rPr>
        <w:t>Director since December 2013</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138430</wp:posOffset>
            </wp:positionV>
            <wp:extent cx="6740525" cy="1280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40525" cy="1280160"/>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spacing w:after="0"/>
        <w:rPr>
          <w:sz w:val="20"/>
          <w:szCs w:val="20"/>
          <w:color w:val="auto"/>
        </w:rPr>
      </w:pPr>
      <w:r>
        <w:rPr>
          <w:rFonts w:ascii="Calibri" w:cs="Calibri" w:eastAsia="Calibri" w:hAnsi="Calibri"/>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9525</wp:posOffset>
            </wp:positionV>
            <wp:extent cx="231140" cy="2311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40"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and accountng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133350</wp:posOffset>
            </wp:positionV>
            <wp:extent cx="247650" cy="2146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7650" cy="214630"/>
                    </a:xfrm>
                    <a:prstGeom prst="rect">
                      <a:avLst/>
                    </a:prstGeom>
                    <a:noFill/>
                  </pic:spPr>
                </pic:pic>
              </a:graphicData>
            </a:graphic>
          </wp:anchor>
        </w:drawing>
      </w:r>
    </w:p>
    <w:p>
      <w:pPr>
        <w:spacing w:after="0" w:line="23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Executve</w:t>
      </w:r>
    </w:p>
    <w:p>
      <w:pPr>
        <w:spacing w:after="0" w:line="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leadership</w:t>
      </w:r>
    </w:p>
    <w:p>
      <w:pPr>
        <w:spacing w:after="0" w:line="307"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-72390</wp:posOffset>
            </wp:positionV>
            <wp:extent cx="132080" cy="2063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governance</w:t>
      </w:r>
    </w:p>
    <w:p>
      <w:pPr>
        <w:spacing w:after="0" w:line="25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-64135</wp:posOffset>
            </wp:positionV>
            <wp:extent cx="21463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management</w:t>
      </w:r>
    </w:p>
    <w:p>
      <w:pPr>
        <w:spacing w:after="0" w:line="242" w:lineRule="exact"/>
        <w:rPr>
          <w:sz w:val="20"/>
          <w:szCs w:val="20"/>
          <w:color w:val="auto"/>
        </w:rPr>
      </w:pPr>
    </w:p>
    <w:p>
      <w:pPr>
        <w:ind w:left="1300"/>
        <w:spacing w:after="0" w:line="259" w:lineRule="auto"/>
        <w:rPr>
          <w:sz w:val="20"/>
          <w:szCs w:val="20"/>
          <w:color w:val="auto"/>
        </w:rPr>
      </w:pPr>
      <w:r>
        <w:rPr>
          <w:rFonts w:ascii="Calibri" w:cs="Calibri" w:eastAsia="Calibri" w:hAnsi="Calibri"/>
          <w:sz w:val="10"/>
          <w:szCs w:val="10"/>
          <w:color w:val="auto"/>
        </w:rPr>
        <w:t>Digital operatons and solutons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-153670</wp:posOffset>
            </wp:positionV>
            <wp:extent cx="239395" cy="214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spacing w:after="0" w:line="224"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-72390</wp:posOffset>
            </wp:positionV>
            <wp:extent cx="231140" cy="2311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experience</w:t>
      </w:r>
    </w:p>
    <w:p>
      <w:pPr>
        <w:spacing w:after="0" w:line="25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Risk oversight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-64135</wp:posOffset>
            </wp:positionV>
            <wp:extent cx="231140"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management</w:t>
      </w:r>
    </w:p>
    <w:p>
      <w:pPr>
        <w:spacing w:after="0" w:line="25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Informaton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-72390</wp:posOffset>
            </wp:positionV>
            <wp:extent cx="206375"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6375"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158115</wp:posOffset>
            </wp:positionV>
            <wp:extent cx="231140" cy="1981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1140" cy="198120"/>
                    </a:xfrm>
                    <a:prstGeom prst="rect">
                      <a:avLst/>
                    </a:prstGeom>
                    <a:noFill/>
                  </pic:spPr>
                </pic:pic>
              </a:graphicData>
            </a:graphic>
          </wp:anchor>
        </w:drawing>
      </w:r>
    </w:p>
    <w:p>
      <w:pPr>
        <w:spacing w:after="0" w:line="274"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ESG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20"/>
        <w:spacing w:after="0"/>
        <w:rPr>
          <w:sz w:val="20"/>
          <w:szCs w:val="20"/>
          <w:color w:val="auto"/>
        </w:rPr>
      </w:pPr>
      <w:r>
        <w:rPr>
          <w:rFonts w:ascii="Calibri" w:cs="Calibri" w:eastAsia="Calibri" w:hAnsi="Calibri"/>
          <w:sz w:val="17"/>
          <w:szCs w:val="17"/>
          <w:color w:val="auto"/>
        </w:rPr>
        <w:t>Age: 70 — has held various corporate leadership roles in the IT industry since 1989 and also has extensive experience in the engineering and automotve sectors. His business experience and directorships are detailed below. The Company has concluded, based in part on Mr. Mital’s business experience as President of NASSCOM, his knowledge of the global outsourcing industry and his expertse in corporate sustainability and responsibility, that Mr. Mital should serve as a director.</w:t>
      </w:r>
    </w:p>
    <w:p>
      <w:pPr>
        <w:spacing w:after="0" w:line="119"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9"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tab/>
        <w:t>  Compensaton, Nominatng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52539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5399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0" w:type="dxa"/>
            <w:vAlign w:val="bottom"/>
            <w:tcBorders>
              <w:top w:val="single" w:sz="8" w:color="auto"/>
            </w:tcBorders>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Borders>
              <w:top w:val="single" w:sz="8" w:color="auto"/>
            </w:tcBorders>
          </w:tcPr>
          <w:p>
            <w:pPr>
              <w:ind w:left="60"/>
              <w:spacing w:after="0" w:line="191" w:lineRule="exact"/>
              <w:rPr>
                <w:sz w:val="20"/>
                <w:szCs w:val="20"/>
                <w:color w:val="auto"/>
              </w:rPr>
            </w:pPr>
            <w:r>
              <w:rPr>
                <w:rFonts w:ascii="Calibri" w:cs="Calibri" w:eastAsia="Calibri" w:hAnsi="Calibri"/>
                <w:sz w:val="16"/>
                <w:szCs w:val="16"/>
                <w:color w:val="auto"/>
                <w:w w:val="97"/>
              </w:rPr>
              <w:t>  Chairman and President, NASSCOM, a trade body for the IT and business process management industries in India (2008 -</w:t>
            </w:r>
          </w:p>
        </w:tc>
      </w:tr>
      <w:tr>
        <w:trPr>
          <w:trHeight w:val="185"/>
        </w:trPr>
        <w:tc>
          <w:tcPr>
            <w:tcW w:w="480" w:type="dxa"/>
            <w:vAlign w:val="bottom"/>
          </w:tcPr>
          <w:p>
            <w:pPr>
              <w:spacing w:after="0"/>
              <w:rPr>
                <w:sz w:val="16"/>
                <w:szCs w:val="16"/>
                <w:color w:val="auto"/>
              </w:rPr>
            </w:pPr>
          </w:p>
        </w:tc>
        <w:tc>
          <w:tcPr>
            <w:tcW w:w="7800" w:type="dxa"/>
            <w:vAlign w:val="bottom"/>
          </w:tcPr>
          <w:p>
            <w:pPr>
              <w:jc w:val="right"/>
              <w:ind w:right="7222"/>
              <w:spacing w:after="0" w:line="185" w:lineRule="exact"/>
              <w:rPr>
                <w:sz w:val="20"/>
                <w:szCs w:val="20"/>
                <w:color w:val="auto"/>
              </w:rPr>
            </w:pPr>
            <w:r>
              <w:rPr>
                <w:rFonts w:ascii="Calibri" w:cs="Calibri" w:eastAsia="Calibri" w:hAnsi="Calibri"/>
                <w:sz w:val="16"/>
                <w:szCs w:val="16"/>
                <w:color w:val="auto"/>
              </w:rPr>
              <w:t>2014)</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Prior leadership roles at Wipro, Digital, Compaq and HP</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Prior executve roles at Larsen and Toubro, Escorts and Denso</w:t>
            </w:r>
          </w:p>
        </w:tc>
      </w:tr>
    </w:tbl>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0" w:type="dxa"/>
            <w:vAlign w:val="bottom"/>
            <w:tcBorders>
              <w:top w:val="single" w:sz="8" w:color="auto"/>
            </w:tcBorders>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Borders>
              <w:top w:val="single" w:sz="8" w:color="auto"/>
            </w:tcBorders>
          </w:tcPr>
          <w:p>
            <w:pPr>
              <w:ind w:left="60"/>
              <w:spacing w:after="0" w:line="191" w:lineRule="exact"/>
              <w:rPr>
                <w:sz w:val="20"/>
                <w:szCs w:val="20"/>
                <w:color w:val="auto"/>
              </w:rPr>
            </w:pPr>
            <w:r>
              <w:rPr>
                <w:rFonts w:ascii="Calibri" w:cs="Calibri" w:eastAsia="Calibri" w:hAnsi="Calibri"/>
                <w:sz w:val="16"/>
                <w:szCs w:val="16"/>
                <w:color w:val="auto"/>
              </w:rPr>
              <w:t>  Director and member of clinical quality and innovaton commitee, Apollo Hospitals Enterprise Limited (NSE:</w:t>
            </w:r>
          </w:p>
        </w:tc>
      </w:tr>
      <w:tr>
        <w:trPr>
          <w:trHeight w:val="185"/>
        </w:trPr>
        <w:tc>
          <w:tcPr>
            <w:tcW w:w="480" w:type="dxa"/>
            <w:vAlign w:val="bottom"/>
          </w:tcPr>
          <w:p>
            <w:pPr>
              <w:spacing w:after="0"/>
              <w:rPr>
                <w:sz w:val="16"/>
                <w:szCs w:val="16"/>
                <w:color w:val="auto"/>
              </w:rPr>
            </w:pPr>
          </w:p>
        </w:tc>
        <w:tc>
          <w:tcPr>
            <w:tcW w:w="7800" w:type="dxa"/>
            <w:vAlign w:val="bottom"/>
          </w:tcPr>
          <w:p>
            <w:pPr>
              <w:ind w:left="140"/>
              <w:spacing w:after="0" w:line="185" w:lineRule="exact"/>
              <w:rPr>
                <w:sz w:val="20"/>
                <w:szCs w:val="20"/>
                <w:color w:val="auto"/>
              </w:rPr>
            </w:pPr>
            <w:r>
              <w:rPr>
                <w:rFonts w:ascii="Calibri" w:cs="Calibri" w:eastAsia="Calibri" w:hAnsi="Calibri"/>
                <w:sz w:val="16"/>
                <w:szCs w:val="16"/>
                <w:color w:val="auto"/>
              </w:rPr>
              <w:t>APOLLOHOSP), a healthcare services provider (2021 - present)</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Director and chairman of audit commitee, Sheela Foam Ltd. (NSE: SFL), a manufacturing company (2016 - present)</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Director and member of audit and risk management commitee, Cyient Ltd. (NSE: CYIENT), an engineering design</w:t>
            </w:r>
          </w:p>
        </w:tc>
      </w:tr>
      <w:tr>
        <w:trPr>
          <w:trHeight w:val="195"/>
        </w:trPr>
        <w:tc>
          <w:tcPr>
            <w:tcW w:w="480" w:type="dxa"/>
            <w:vAlign w:val="bottom"/>
          </w:tcPr>
          <w:p>
            <w:pPr>
              <w:spacing w:after="0"/>
              <w:rPr>
                <w:sz w:val="16"/>
                <w:szCs w:val="16"/>
                <w:color w:val="auto"/>
              </w:rPr>
            </w:pPr>
          </w:p>
        </w:tc>
        <w:tc>
          <w:tcPr>
            <w:tcW w:w="7800" w:type="dxa"/>
            <w:vAlign w:val="bottom"/>
          </w:tcPr>
          <w:p>
            <w:pPr>
              <w:ind w:left="140"/>
              <w:spacing w:after="0"/>
              <w:rPr>
                <w:sz w:val="20"/>
                <w:szCs w:val="20"/>
                <w:color w:val="auto"/>
              </w:rPr>
            </w:pPr>
            <w:r>
              <w:rPr>
                <w:rFonts w:ascii="Calibri" w:cs="Calibri" w:eastAsia="Calibri" w:hAnsi="Calibri"/>
                <w:sz w:val="16"/>
                <w:szCs w:val="16"/>
                <w:color w:val="auto"/>
              </w:rPr>
              <w:t>services company (2014 - 2022)</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Director and chairman of customer service commitee and IT strategy commitee, member of nominaton and</w:t>
            </w:r>
          </w:p>
        </w:tc>
      </w:tr>
      <w:tr>
        <w:trPr>
          <w:trHeight w:val="195"/>
        </w:trPr>
        <w:tc>
          <w:tcPr>
            <w:tcW w:w="480" w:type="dxa"/>
            <w:vAlign w:val="bottom"/>
          </w:tcPr>
          <w:p>
            <w:pPr>
              <w:spacing w:after="0"/>
              <w:rPr>
                <w:sz w:val="16"/>
                <w:szCs w:val="16"/>
                <w:color w:val="auto"/>
              </w:rPr>
            </w:pPr>
          </w:p>
        </w:tc>
        <w:tc>
          <w:tcPr>
            <w:tcW w:w="7800" w:type="dxa"/>
            <w:vAlign w:val="bottom"/>
          </w:tcPr>
          <w:p>
            <w:pPr>
              <w:ind w:left="140"/>
              <w:spacing w:after="0"/>
              <w:rPr>
                <w:sz w:val="20"/>
                <w:szCs w:val="20"/>
                <w:color w:val="auto"/>
              </w:rPr>
            </w:pPr>
            <w:r>
              <w:rPr>
                <w:rFonts w:ascii="Calibri" w:cs="Calibri" w:eastAsia="Calibri" w:hAnsi="Calibri"/>
                <w:sz w:val="16"/>
                <w:szCs w:val="16"/>
                <w:color w:val="auto"/>
              </w:rPr>
              <w:t>remuneraton commitee and other commitees, Axis Bank, Ltd. (NSE: Axis), a fnancial services company (2011 - 2019)</w:t>
            </w:r>
          </w:p>
        </w:tc>
      </w:tr>
    </w:tbl>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directorships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0" w:type="dxa"/>
            <w:vAlign w:val="bottom"/>
            <w:tcBorders>
              <w:top w:val="single" w:sz="8" w:color="auto"/>
            </w:tcBorders>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Borders>
              <w:top w:val="single" w:sz="8" w:color="auto"/>
            </w:tcBorders>
          </w:tcPr>
          <w:p>
            <w:pPr>
              <w:ind w:left="60"/>
              <w:spacing w:after="0" w:line="191" w:lineRule="exact"/>
              <w:rPr>
                <w:sz w:val="20"/>
                <w:szCs w:val="20"/>
                <w:color w:val="auto"/>
              </w:rPr>
            </w:pPr>
            <w:r>
              <w:rPr>
                <w:rFonts w:ascii="Calibri" w:cs="Calibri" w:eastAsia="Calibri" w:hAnsi="Calibri"/>
                <w:sz w:val="16"/>
                <w:szCs w:val="16"/>
                <w:color w:val="auto"/>
              </w:rPr>
              <w:t>  Director, Tata SIA Airlines, Ltd., an Indian airline joint venture between TATA and Singapore Airlines with Indian and</w:t>
            </w:r>
          </w:p>
        </w:tc>
      </w:tr>
      <w:tr>
        <w:trPr>
          <w:trHeight w:val="185"/>
        </w:trPr>
        <w:tc>
          <w:tcPr>
            <w:tcW w:w="480" w:type="dxa"/>
            <w:vAlign w:val="bottom"/>
          </w:tcPr>
          <w:p>
            <w:pPr>
              <w:spacing w:after="0"/>
              <w:rPr>
                <w:sz w:val="16"/>
                <w:szCs w:val="16"/>
                <w:color w:val="auto"/>
              </w:rPr>
            </w:pPr>
          </w:p>
        </w:tc>
        <w:tc>
          <w:tcPr>
            <w:tcW w:w="7800" w:type="dxa"/>
            <w:vAlign w:val="bottom"/>
          </w:tcPr>
          <w:p>
            <w:pPr>
              <w:ind w:left="140"/>
              <w:spacing w:after="0" w:line="185" w:lineRule="exact"/>
              <w:rPr>
                <w:sz w:val="20"/>
                <w:szCs w:val="20"/>
                <w:color w:val="auto"/>
              </w:rPr>
            </w:pPr>
            <w:r>
              <w:rPr>
                <w:rFonts w:ascii="Calibri" w:cs="Calibri" w:eastAsia="Calibri" w:hAnsi="Calibri"/>
                <w:sz w:val="16"/>
                <w:szCs w:val="16"/>
                <w:color w:val="auto"/>
              </w:rPr>
              <w:t>internatonal operatons (2015 - present)</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Non executve Independent Director and Chairman, Vodafone India Services India Pvt Ltd., an Indian shared services</w:t>
            </w:r>
          </w:p>
        </w:tc>
      </w:tr>
      <w:tr>
        <w:trPr>
          <w:trHeight w:val="195"/>
        </w:trPr>
        <w:tc>
          <w:tcPr>
            <w:tcW w:w="480" w:type="dxa"/>
            <w:vAlign w:val="bottom"/>
          </w:tcPr>
          <w:p>
            <w:pPr>
              <w:spacing w:after="0"/>
              <w:rPr>
                <w:sz w:val="16"/>
                <w:szCs w:val="16"/>
                <w:color w:val="auto"/>
              </w:rPr>
            </w:pPr>
          </w:p>
        </w:tc>
        <w:tc>
          <w:tcPr>
            <w:tcW w:w="7800" w:type="dxa"/>
            <w:vAlign w:val="bottom"/>
          </w:tcPr>
          <w:p>
            <w:pPr>
              <w:ind w:left="140"/>
              <w:spacing w:after="0"/>
              <w:rPr>
                <w:sz w:val="20"/>
                <w:szCs w:val="20"/>
                <w:color w:val="auto"/>
              </w:rPr>
            </w:pPr>
            <w:r>
              <w:rPr>
                <w:rFonts w:ascii="Calibri" w:cs="Calibri" w:eastAsia="Calibri" w:hAnsi="Calibri"/>
                <w:sz w:val="16"/>
                <w:szCs w:val="16"/>
                <w:color w:val="auto"/>
                <w:w w:val="98"/>
              </w:rPr>
              <w:t>company that is wholly owned, operated and controlled by Vodafone Group Plc (“Vodafone”) and provides informaton</w:t>
            </w:r>
          </w:p>
        </w:tc>
      </w:tr>
      <w:tr>
        <w:trPr>
          <w:trHeight w:val="195"/>
        </w:trPr>
        <w:tc>
          <w:tcPr>
            <w:tcW w:w="480" w:type="dxa"/>
            <w:vAlign w:val="bottom"/>
          </w:tcPr>
          <w:p>
            <w:pPr>
              <w:spacing w:after="0"/>
              <w:rPr>
                <w:sz w:val="16"/>
                <w:szCs w:val="16"/>
                <w:color w:val="auto"/>
              </w:rPr>
            </w:pPr>
          </w:p>
        </w:tc>
        <w:tc>
          <w:tcPr>
            <w:tcW w:w="7800" w:type="dxa"/>
            <w:vAlign w:val="bottom"/>
          </w:tcPr>
          <w:p>
            <w:pPr>
              <w:ind w:left="140"/>
              <w:spacing w:after="0"/>
              <w:rPr>
                <w:sz w:val="20"/>
                <w:szCs w:val="20"/>
                <w:color w:val="auto"/>
              </w:rPr>
            </w:pPr>
            <w:r>
              <w:rPr>
                <w:rFonts w:ascii="Calibri" w:cs="Calibri" w:eastAsia="Calibri" w:hAnsi="Calibri"/>
                <w:sz w:val="16"/>
                <w:szCs w:val="16"/>
                <w:color w:val="auto"/>
              </w:rPr>
              <w:t>technology and networks services, among others, to Vodafone (2020 - present)</w:t>
            </w:r>
          </w:p>
        </w:tc>
      </w:tr>
    </w:tbl>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0" w:type="dxa"/>
            <w:vAlign w:val="bottom"/>
            <w:tcBorders>
              <w:top w:val="single" w:sz="8" w:color="auto"/>
            </w:tcBorders>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Borders>
              <w:top w:val="single" w:sz="8" w:color="auto"/>
            </w:tcBorders>
          </w:tcPr>
          <w:p>
            <w:pPr>
              <w:ind w:left="60"/>
              <w:spacing w:after="0"/>
              <w:rPr>
                <w:sz w:val="20"/>
                <w:szCs w:val="20"/>
                <w:color w:val="auto"/>
              </w:rPr>
            </w:pPr>
            <w:r>
              <w:rPr>
                <w:rFonts w:ascii="Calibri" w:cs="Calibri" w:eastAsia="Calibri" w:hAnsi="Calibri"/>
                <w:sz w:val="16"/>
                <w:szCs w:val="16"/>
                <w:color w:val="auto"/>
              </w:rPr>
              <w:t>  Former member, Board of Governors, Indian Insttute of Corporate Afairs</w:t>
            </w:r>
          </w:p>
        </w:tc>
      </w:tr>
      <w:tr>
        <w:trPr>
          <w:trHeight w:val="295"/>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rPr>
              <w:t>  Former Commitee Member, Indian Prime Minister’s Natonal e-Governance Program</w:t>
            </w:r>
          </w:p>
        </w:tc>
      </w:tr>
      <w:tr>
        <w:trPr>
          <w:trHeight w:val="312"/>
        </w:trPr>
        <w:tc>
          <w:tcPr>
            <w:tcW w:w="480" w:type="dxa"/>
            <w:vAlign w:val="bottom"/>
          </w:tcPr>
          <w:p>
            <w:pPr>
              <w:ind w:left="320"/>
              <w:spacing w:after="0"/>
              <w:rPr>
                <w:sz w:val="20"/>
                <w:szCs w:val="20"/>
                <w:color w:val="auto"/>
              </w:rPr>
            </w:pPr>
            <w:r>
              <w:rPr>
                <w:rFonts w:ascii="Calibri" w:cs="Calibri" w:eastAsia="Calibri" w:hAnsi="Calibri"/>
                <w:sz w:val="13"/>
                <w:szCs w:val="13"/>
                <w:color w:val="auto"/>
                <w:w w:val="71"/>
              </w:rPr>
              <w:t>• </w:t>
            </w:r>
          </w:p>
        </w:tc>
        <w:tc>
          <w:tcPr>
            <w:tcW w:w="7800" w:type="dxa"/>
            <w:vAlign w:val="bottom"/>
          </w:tcPr>
          <w:p>
            <w:pPr>
              <w:ind w:left="60"/>
              <w:spacing w:after="0"/>
              <w:rPr>
                <w:sz w:val="20"/>
                <w:szCs w:val="20"/>
                <w:color w:val="auto"/>
              </w:rPr>
            </w:pPr>
            <w:r>
              <w:rPr>
                <w:rFonts w:ascii="Calibri" w:cs="Calibri" w:eastAsia="Calibri" w:hAnsi="Calibri"/>
                <w:sz w:val="16"/>
                <w:szCs w:val="16"/>
                <w:color w:val="auto"/>
                <w:w w:val="98"/>
              </w:rPr>
              <w:t>  Member of the governing body of Axis Bank Foundaton, a non-proft organizaton, and member of board of governors of</w:t>
            </w:r>
          </w:p>
        </w:tc>
      </w:tr>
      <w:tr>
        <w:trPr>
          <w:trHeight w:val="195"/>
        </w:trPr>
        <w:tc>
          <w:tcPr>
            <w:tcW w:w="480" w:type="dxa"/>
            <w:vAlign w:val="bottom"/>
          </w:tcPr>
          <w:p>
            <w:pPr>
              <w:spacing w:after="0"/>
              <w:rPr>
                <w:sz w:val="16"/>
                <w:szCs w:val="16"/>
                <w:color w:val="auto"/>
              </w:rPr>
            </w:pPr>
          </w:p>
        </w:tc>
        <w:tc>
          <w:tcPr>
            <w:tcW w:w="7800" w:type="dxa"/>
            <w:vAlign w:val="bottom"/>
          </w:tcPr>
          <w:p>
            <w:pPr>
              <w:ind w:left="140"/>
              <w:spacing w:after="0"/>
              <w:rPr>
                <w:sz w:val="20"/>
                <w:szCs w:val="20"/>
                <w:color w:val="auto"/>
              </w:rPr>
            </w:pPr>
            <w:r>
              <w:rPr>
                <w:rFonts w:ascii="Calibri" w:cs="Calibri" w:eastAsia="Calibri" w:hAnsi="Calibri"/>
                <w:sz w:val="16"/>
                <w:szCs w:val="16"/>
                <w:color w:val="auto"/>
              </w:rPr>
              <w:t>academic insttutons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835025</wp:posOffset>
            </wp:positionV>
            <wp:extent cx="674052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440"/>
            <w:col w:w="8280"/>
          </w:cols>
          <w:pgMar w:left="320" w:top="445"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23</w:t>
            </w:r>
          </w:p>
        </w:tc>
      </w:tr>
    </w:tbl>
    <w:p>
      <w:pPr>
        <w:sectPr>
          <w:pgSz w:w="11900" w:h="16838" w:orient="portrait"/>
          <w:cols w:equalWidth="0" w:num="1">
            <w:col w:w="10940"/>
          </w:cols>
          <w:pgMar w:left="320" w:top="445" w:right="6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102235</wp:posOffset>
            </wp:positionV>
            <wp:extent cx="6740525" cy="7848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40525"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Clyde W. Ostler</w:t>
      </w:r>
    </w:p>
    <w:p>
      <w:pPr>
        <w:spacing w:after="0" w:line="9" w:lineRule="exact"/>
        <w:rPr>
          <w:sz w:val="20"/>
          <w:szCs w:val="20"/>
          <w:color w:val="auto"/>
        </w:rPr>
      </w:pPr>
    </w:p>
    <w:p>
      <w:pPr>
        <w:ind w:left="440"/>
        <w:spacing w:after="0"/>
        <w:tabs>
          <w:tab w:leader="none" w:pos="9660" w:val="left"/>
        </w:tabs>
        <w:rPr>
          <w:sz w:val="20"/>
          <w:szCs w:val="20"/>
          <w:color w:val="auto"/>
        </w:rPr>
      </w:pPr>
      <w:r>
        <w:rPr>
          <w:rFonts w:ascii="Calibri" w:cs="Calibri" w:eastAsia="Calibri" w:hAnsi="Calibri"/>
          <w:sz w:val="17"/>
          <w:szCs w:val="17"/>
          <w:b w:val="1"/>
          <w:bCs w:val="1"/>
          <w:color w:val="auto"/>
        </w:rPr>
        <w:t>Director since December 2007</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138430</wp:posOffset>
            </wp:positionV>
            <wp:extent cx="6740525" cy="1280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40525" cy="1280160"/>
                    </a:xfrm>
                    <a:prstGeom prst="rect">
                      <a:avLst/>
                    </a:prstGeom>
                    <a:noFill/>
                  </pic:spPr>
                </pic:pic>
              </a:graphicData>
            </a:graphic>
          </wp:anchor>
        </w:drawing>
      </w:r>
    </w:p>
    <w:p>
      <w:pPr>
        <w:sectPr>
          <w:pgSz w:w="11900" w:h="16838" w:orient="portrait"/>
          <w:cols w:equalWidth="0" w:num="1">
            <w:col w:w="10800"/>
          </w:cols>
          <w:pgMar w:left="320" w:top="445"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820"/>
        <w:spacing w:after="0"/>
        <w:rPr>
          <w:sz w:val="20"/>
          <w:szCs w:val="20"/>
          <w:color w:val="auto"/>
        </w:rPr>
      </w:pPr>
      <w:r>
        <w:rPr>
          <w:rFonts w:ascii="Calibri" w:cs="Calibri" w:eastAsia="Calibri" w:hAnsi="Calibri"/>
          <w:sz w:val="9"/>
          <w:szCs w:val="9"/>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58420</wp:posOffset>
            </wp:positionV>
            <wp:extent cx="231140" cy="2311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117"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and accountng</w:t>
      </w:r>
    </w:p>
    <w:p>
      <w:pPr>
        <w:spacing w:after="0" w:line="190"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-64135</wp:posOffset>
            </wp:positionV>
            <wp:extent cx="247650"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7650"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leadership</w:t>
      </w:r>
    </w:p>
    <w:p>
      <w:pPr>
        <w:spacing w:after="0" w:line="25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-72390</wp:posOffset>
            </wp:positionV>
            <wp:extent cx="132080" cy="2063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174625</wp:posOffset>
            </wp:positionV>
            <wp:extent cx="239395" cy="2393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326"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Marketng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0"/>
        <w:spacing w:after="0" w:line="262" w:lineRule="auto"/>
        <w:rPr>
          <w:sz w:val="20"/>
          <w:szCs w:val="20"/>
          <w:color w:val="auto"/>
        </w:rPr>
      </w:pPr>
      <w:r>
        <w:rPr>
          <w:rFonts w:ascii="Calibri" w:cs="Calibri" w:eastAsia="Calibri" w:hAnsi="Calibri"/>
          <w:sz w:val="16"/>
          <w:szCs w:val="16"/>
          <w:color w:val="auto"/>
        </w:rPr>
        <w:t>Age: 75 — is a retred executve of Wells Fargo and during his 40-year tenure held numerous senior leadership positons within that organizaton, including as Chief Financial Ofcer. The Company has concluded, based in part on Mr. Ostler’s business experience through his positons at Wells Fargo &amp; Co., that Mr. Ostler should serve as a director.</w:t>
      </w:r>
    </w:p>
    <w:p>
      <w:pPr>
        <w:spacing w:after="0" w:line="100"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tab/>
        <w:t>  Audit*, Compensaton</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 Leadership positons within Wells Fargo, including: Group Executve Vice President, Wells Fargo &amp; Co., Vice Chairman,</w:t>
      </w:r>
    </w:p>
    <w:p>
      <w:pPr>
        <w:ind w:left="620"/>
        <w:spacing w:after="0"/>
        <w:rPr>
          <w:sz w:val="20"/>
          <w:szCs w:val="20"/>
          <w:color w:val="auto"/>
        </w:rPr>
      </w:pPr>
      <w:r>
        <w:rPr>
          <w:rFonts w:ascii="Calibri" w:cs="Calibri" w:eastAsia="Calibri" w:hAnsi="Calibri"/>
          <w:sz w:val="16"/>
          <w:szCs w:val="16"/>
          <w:color w:val="auto"/>
        </w:rPr>
        <w:t>Wells Fargo Bank California NA, President, Wells Fargo Family Wealth, Vice Chairman in the Ofce of the President,</w:t>
      </w:r>
    </w:p>
    <w:p>
      <w:pPr>
        <w:ind w:left="620"/>
        <w:spacing w:after="0"/>
        <w:rPr>
          <w:sz w:val="20"/>
          <w:szCs w:val="20"/>
          <w:color w:val="auto"/>
        </w:rPr>
      </w:pPr>
      <w:r>
        <w:rPr>
          <w:rFonts w:ascii="Calibri" w:cs="Calibri" w:eastAsia="Calibri" w:hAnsi="Calibri"/>
          <w:sz w:val="16"/>
          <w:szCs w:val="16"/>
          <w:color w:val="auto"/>
        </w:rPr>
        <w:t>Chief Financial Ofcer, Chief Auditor, Head of Retail Branch Banking, Head of Informaton Technology, Head of</w:t>
      </w:r>
    </w:p>
    <w:p>
      <w:pPr>
        <w:ind w:left="620"/>
        <w:spacing w:after="0"/>
        <w:rPr>
          <w:sz w:val="20"/>
          <w:szCs w:val="20"/>
          <w:color w:val="auto"/>
        </w:rPr>
      </w:pPr>
      <w:r>
        <w:rPr>
          <w:rFonts w:ascii="Calibri" w:cs="Calibri" w:eastAsia="Calibri" w:hAnsi="Calibri"/>
          <w:sz w:val="16"/>
          <w:szCs w:val="16"/>
          <w:color w:val="auto"/>
        </w:rPr>
        <w:t>Insttutonal and Personal Investments and Head of Internet Services</w:t>
      </w:r>
    </w:p>
    <w:p>
      <w:pPr>
        <w:spacing w:after="0" w:line="116"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Served on the Senior Management Commitee of Wells Fargo for over 25 years</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9"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McClatchy Company, a media company (NYSE: MNI) (2013 - 2020)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-114300</wp:posOffset>
            </wp:positionV>
            <wp:extent cx="51879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Advisory Director Emeritus, FTV Capital, a private global investment company</w:t>
      </w:r>
    </w:p>
    <w:p>
      <w:pPr>
        <w:spacing w:after="0" w:line="85" w:lineRule="exact"/>
        <w:rPr>
          <w:sz w:val="20"/>
          <w:szCs w:val="20"/>
          <w:color w:val="auto"/>
        </w:rPr>
      </w:pPr>
    </w:p>
    <w:p>
      <w:pPr>
        <w:sectPr>
          <w:pgSz w:w="11900" w:h="16838" w:orient="portrait"/>
          <w:cols w:equalWidth="0" w:num="2">
            <w:col w:w="2040" w:space="720"/>
            <w:col w:w="8040"/>
          </w:cols>
          <w:pgMar w:left="320" w:top="445" w:right="779" w:bottom="1440" w:gutter="0" w:footer="0" w:header="0"/>
          <w:type w:val="continuous"/>
        </w:sectPr>
      </w:pPr>
    </w:p>
    <w:p>
      <w:pPr>
        <w:ind w:left="1300"/>
        <w:spacing w:after="0"/>
        <w:rPr>
          <w:sz w:val="20"/>
          <w:szCs w:val="20"/>
          <w:color w:val="auto"/>
        </w:rPr>
      </w:pPr>
      <w:r>
        <w:rPr>
          <w:rFonts w:ascii="Calibri" w:cs="Calibri" w:eastAsia="Calibri" w:hAnsi="Calibri"/>
          <w:sz w:val="10"/>
          <w:szCs w:val="10"/>
          <w:color w:val="auto"/>
        </w:rPr>
        <w:t>Risk oversight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-64135</wp:posOffset>
            </wp:positionV>
            <wp:extent cx="231140" cy="2146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management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28"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Director’s Advisory Council, Emeritus, Scripps Insttuton of Oceanography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793750</wp:posOffset>
            </wp:positionV>
            <wp:extent cx="674052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00"/>
            <w:col w:w="8040"/>
          </w:cols>
          <w:pgMar w:left="320" w:top="445"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Audit commitee fnancial expert under applicable SEC rules and regulatons.</w:t>
      </w:r>
    </w:p>
    <w:p>
      <w:pPr>
        <w:spacing w:after="0" w:line="124"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24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800"/>
          </w:cols>
          <w:pgMar w:left="320" w:top="445" w:right="7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102235</wp:posOffset>
            </wp:positionV>
            <wp:extent cx="6740525" cy="784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40525"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Kristy Pipes</w:t>
      </w:r>
    </w:p>
    <w:p>
      <w:pPr>
        <w:spacing w:after="0" w:line="9" w:lineRule="exact"/>
        <w:rPr>
          <w:sz w:val="20"/>
          <w:szCs w:val="20"/>
          <w:color w:val="auto"/>
        </w:rPr>
      </w:pPr>
    </w:p>
    <w:p>
      <w:pPr>
        <w:ind w:left="440"/>
        <w:spacing w:after="0"/>
        <w:tabs>
          <w:tab w:leader="none" w:pos="9660" w:val="left"/>
        </w:tabs>
        <w:rPr>
          <w:sz w:val="20"/>
          <w:szCs w:val="20"/>
          <w:color w:val="auto"/>
        </w:rPr>
      </w:pPr>
      <w:r>
        <w:rPr>
          <w:rFonts w:ascii="Calibri" w:cs="Calibri" w:eastAsia="Calibri" w:hAnsi="Calibri"/>
          <w:sz w:val="17"/>
          <w:szCs w:val="17"/>
          <w:b w:val="1"/>
          <w:bCs w:val="1"/>
          <w:color w:val="auto"/>
        </w:rPr>
        <w:t>Director since January 2021</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138430</wp:posOffset>
            </wp:positionV>
            <wp:extent cx="674052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40525" cy="1651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328295</wp:posOffset>
            </wp:positionV>
            <wp:extent cx="1164590" cy="1164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580"/>
        <w:spacing w:after="0"/>
        <w:rPr>
          <w:sz w:val="20"/>
          <w:szCs w:val="20"/>
          <w:color w:val="auto"/>
        </w:rPr>
      </w:pPr>
      <w:r>
        <w:rPr>
          <w:rFonts w:ascii="Calibri" w:cs="Calibri" w:eastAsia="Calibri" w:hAnsi="Calibri"/>
          <w:sz w:val="10"/>
          <w:szCs w:val="10"/>
          <w:b w:val="1"/>
          <w:bCs w:val="1"/>
          <w:color w:val="auto"/>
        </w:rPr>
        <w:t>SKILLS</w:t>
      </w:r>
    </w:p>
    <w:p>
      <w:pPr>
        <w:spacing w:after="0" w:line="26" w:lineRule="exact"/>
        <w:rPr>
          <w:sz w:val="20"/>
          <w:szCs w:val="20"/>
          <w:color w:val="auto"/>
        </w:rPr>
      </w:pPr>
    </w:p>
    <w:p>
      <w:pPr>
        <w:ind w:left="320"/>
        <w:spacing w:after="0"/>
        <w:tabs>
          <w:tab w:leader="none" w:pos="440" w:val="left"/>
        </w:tabs>
        <w:rPr>
          <w:sz w:val="20"/>
          <w:szCs w:val="20"/>
          <w:color w:val="auto"/>
        </w:rPr>
      </w:pPr>
      <w:r>
        <w:rPr>
          <w:rFonts w:ascii="Calibri" w:cs="Calibri" w:eastAsia="Calibri" w:hAnsi="Calibri"/>
          <w:sz w:val="14"/>
          <w:szCs w:val="14"/>
          <w:color w:val="auto"/>
        </w:rPr>
        <w:t> </w:t>
      </w:r>
      <w:r>
        <w:rPr>
          <w:sz w:val="20"/>
          <w:szCs w:val="20"/>
          <w:color w:val="auto"/>
        </w:rPr>
        <w:tab/>
      </w:r>
      <w:r>
        <w:rPr>
          <w:rFonts w:ascii="Calibri" w:cs="Calibri" w:eastAsia="Calibri" w:hAnsi="Calibri"/>
          <w:sz w:val="10"/>
          <w:szCs w:val="10"/>
          <w:color w:val="auto"/>
        </w:rPr>
        <w:t>    </w:t>
      </w:r>
    </w:p>
    <w:p>
      <w:pPr>
        <w:ind w:left="1300"/>
        <w:spacing w:after="0" w:line="204" w:lineRule="auto"/>
        <w:rPr>
          <w:sz w:val="20"/>
          <w:szCs w:val="20"/>
          <w:color w:val="auto"/>
        </w:rPr>
      </w:pPr>
      <w:r>
        <w:rPr>
          <w:rFonts w:ascii="Calibri" w:cs="Calibri" w:eastAsia="Calibri" w:hAnsi="Calibri"/>
          <w:sz w:val="10"/>
          <w:szCs w:val="10"/>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-40640</wp:posOffset>
            </wp:positionV>
            <wp:extent cx="231140" cy="2311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and accountng</w:t>
      </w:r>
    </w:p>
    <w:p>
      <w:pPr>
        <w:spacing w:after="0" w:line="320"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-72390</wp:posOffset>
            </wp:positionV>
            <wp:extent cx="247650" cy="2311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leadership</w:t>
      </w:r>
    </w:p>
    <w:p>
      <w:pPr>
        <w:spacing w:after="0" w:line="8" w:lineRule="exact"/>
        <w:rPr>
          <w:sz w:val="20"/>
          <w:szCs w:val="20"/>
          <w:color w:val="auto"/>
        </w:rPr>
      </w:pPr>
    </w:p>
    <w:p>
      <w:pPr>
        <w:jc w:val="right"/>
        <w:spacing w:after="0"/>
        <w:rPr>
          <w:sz w:val="20"/>
          <w:szCs w:val="20"/>
          <w:color w:val="auto"/>
        </w:rPr>
      </w:pPr>
      <w:r>
        <w:rPr>
          <w:rFonts w:ascii="Calibri" w:cs="Calibri" w:eastAsia="Calibri" w:hAnsi="Calibri"/>
          <w:sz w:val="10"/>
          <w:szCs w:val="10"/>
          <w:color w:val="auto"/>
        </w:rPr>
        <w:t>(within the last 5 years)</w:t>
      </w:r>
    </w:p>
    <w:p>
      <w:pPr>
        <w:spacing w:after="0" w:line="8" w:lineRule="exact"/>
        <w:rPr>
          <w:sz w:val="20"/>
          <w:szCs w:val="20"/>
          <w:color w:val="auto"/>
        </w:rPr>
      </w:pPr>
    </w:p>
    <w:p>
      <w:pPr>
        <w:ind w:left="320"/>
        <w:spacing w:after="0"/>
        <w:tabs>
          <w:tab w:leader="none" w:pos="440" w:val="left"/>
        </w:tabs>
        <w:rPr>
          <w:sz w:val="20"/>
          <w:szCs w:val="20"/>
          <w:color w:val="auto"/>
        </w:rPr>
      </w:pPr>
      <w:r>
        <w:rPr>
          <w:rFonts w:ascii="Calibri" w:cs="Calibri" w:eastAsia="Calibri" w:hAnsi="Calibri"/>
          <w:sz w:val="14"/>
          <w:szCs w:val="14"/>
          <w:color w:val="auto"/>
        </w:rPr>
        <w:t> </w:t>
      </w:r>
      <w:r>
        <w:rPr>
          <w:sz w:val="20"/>
          <w:szCs w:val="20"/>
          <w:color w:val="auto"/>
        </w:rPr>
        <w:tab/>
      </w:r>
      <w:r>
        <w:rPr>
          <w:rFonts w:ascii="Calibri" w:cs="Calibri" w:eastAsia="Calibri" w:hAnsi="Calibri"/>
          <w:sz w:val="10"/>
          <w:szCs w:val="10"/>
          <w:color w:val="auto"/>
        </w:rPr>
        <w:t>    </w:t>
      </w:r>
    </w:p>
    <w:p>
      <w:pPr>
        <w:ind w:left="1300"/>
        <w:spacing w:after="0" w:line="214" w:lineRule="auto"/>
        <w:rPr>
          <w:sz w:val="20"/>
          <w:szCs w:val="20"/>
          <w:color w:val="auto"/>
        </w:rPr>
      </w:pPr>
      <w:r>
        <w:rPr>
          <w:rFonts w:ascii="Calibri" w:cs="Calibri" w:eastAsia="Calibri" w:hAnsi="Calibri"/>
          <w:sz w:val="10"/>
          <w:szCs w:val="10"/>
          <w:color w:val="auto"/>
        </w:rPr>
        <w:t>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-57150</wp:posOffset>
            </wp:positionV>
            <wp:extent cx="132080" cy="2063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governance</w:t>
      </w:r>
    </w:p>
    <w:p>
      <w:pPr>
        <w:spacing w:after="0" w:line="164" w:lineRule="exact"/>
        <w:rPr>
          <w:sz w:val="20"/>
          <w:szCs w:val="20"/>
          <w:color w:val="auto"/>
        </w:rPr>
      </w:pPr>
    </w:p>
    <w:p>
      <w:pPr>
        <w:ind w:left="320"/>
        <w:spacing w:after="0"/>
        <w:tabs>
          <w:tab w:leader="none" w:pos="440" w:val="left"/>
        </w:tabs>
        <w:rPr>
          <w:sz w:val="20"/>
          <w:szCs w:val="20"/>
          <w:color w:val="auto"/>
        </w:rPr>
      </w:pPr>
      <w:r>
        <w:rPr>
          <w:rFonts w:ascii="Calibri" w:cs="Calibri" w:eastAsia="Calibri" w:hAnsi="Calibri"/>
          <w:sz w:val="14"/>
          <w:szCs w:val="14"/>
          <w:color w:val="auto"/>
        </w:rPr>
        <w:t> </w:t>
      </w:r>
      <w:r>
        <w:rPr>
          <w:sz w:val="20"/>
          <w:szCs w:val="20"/>
          <w:color w:val="auto"/>
        </w:rPr>
        <w:tab/>
      </w:r>
      <w:r>
        <w:rPr>
          <w:rFonts w:ascii="Calibri" w:cs="Calibri" w:eastAsia="Calibri" w:hAnsi="Calibri"/>
          <w:sz w:val="10"/>
          <w:szCs w:val="10"/>
          <w:color w:val="auto"/>
        </w:rPr>
        <w:t>    </w:t>
      </w:r>
    </w:p>
    <w:p>
      <w:pPr>
        <w:spacing w:after="0" w:line="11"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-72390</wp:posOffset>
            </wp:positionV>
            <wp:extent cx="255905" cy="165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136" w:lineRule="exact"/>
        <w:rPr>
          <w:sz w:val="20"/>
          <w:szCs w:val="20"/>
          <w:color w:val="auto"/>
        </w:rPr>
      </w:pPr>
    </w:p>
    <w:p>
      <w:pPr>
        <w:ind w:left="320"/>
        <w:spacing w:after="0"/>
        <w:tabs>
          <w:tab w:leader="none" w:pos="440" w:val="left"/>
        </w:tabs>
        <w:rPr>
          <w:sz w:val="20"/>
          <w:szCs w:val="20"/>
          <w:color w:val="auto"/>
        </w:rPr>
      </w:pPr>
      <w:r>
        <w:rPr>
          <w:rFonts w:ascii="Calibri" w:cs="Calibri" w:eastAsia="Calibri" w:hAnsi="Calibri"/>
          <w:sz w:val="14"/>
          <w:szCs w:val="14"/>
          <w:color w:val="auto"/>
        </w:rPr>
        <w:t> </w:t>
      </w:r>
      <w:r>
        <w:rPr>
          <w:sz w:val="20"/>
          <w:szCs w:val="20"/>
          <w:color w:val="auto"/>
        </w:rPr>
        <w:tab/>
      </w:r>
      <w:r>
        <w:rPr>
          <w:rFonts w:ascii="Calibri" w:cs="Calibri" w:eastAsia="Calibri" w:hAnsi="Calibri"/>
          <w:sz w:val="10"/>
          <w:szCs w:val="10"/>
          <w:color w:val="auto"/>
        </w:rPr>
        <w:t>    </w:t>
      </w:r>
    </w:p>
    <w:p>
      <w:pPr>
        <w:ind w:left="1300"/>
        <w:spacing w:after="0" w:line="204" w:lineRule="auto"/>
        <w:rPr>
          <w:sz w:val="20"/>
          <w:szCs w:val="20"/>
          <w:color w:val="auto"/>
        </w:rPr>
      </w:pPr>
      <w:r>
        <w:rPr>
          <w:rFonts w:ascii="Calibri" w:cs="Calibri" w:eastAsia="Calibri" w:hAnsi="Calibri"/>
          <w:sz w:val="10"/>
          <w:szCs w:val="10"/>
          <w:color w:val="auto"/>
        </w:rPr>
        <w:t>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-48895</wp:posOffset>
            </wp:positionV>
            <wp:extent cx="214630"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management</w:t>
      </w:r>
    </w:p>
    <w:p>
      <w:pPr>
        <w:spacing w:after="0" w:line="281"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-72390</wp:posOffset>
            </wp:positionV>
            <wp:extent cx="231140" cy="2311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experience</w:t>
      </w:r>
    </w:p>
    <w:p>
      <w:pPr>
        <w:spacing w:after="0" w:line="25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Risk oversight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-64135</wp:posOffset>
            </wp:positionV>
            <wp:extent cx="231140"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management</w:t>
      </w:r>
    </w:p>
    <w:p>
      <w:pPr>
        <w:spacing w:after="0" w:line="255" w:lineRule="exact"/>
        <w:rPr>
          <w:sz w:val="20"/>
          <w:szCs w:val="20"/>
          <w:color w:val="auto"/>
        </w:rPr>
      </w:pPr>
    </w:p>
    <w:p>
      <w:pPr>
        <w:ind w:left="1300"/>
        <w:spacing w:after="0"/>
        <w:rPr>
          <w:sz w:val="20"/>
          <w:szCs w:val="20"/>
          <w:color w:val="auto"/>
        </w:rPr>
      </w:pPr>
      <w:r>
        <w:rPr>
          <w:rFonts w:ascii="Calibri" w:cs="Calibri" w:eastAsia="Calibri" w:hAnsi="Calibri"/>
          <w:sz w:val="10"/>
          <w:szCs w:val="10"/>
          <w:color w:val="auto"/>
        </w:rPr>
        <w:t>Informaton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-72390</wp:posOffset>
            </wp:positionV>
            <wp:extent cx="206375"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6375" cy="214630"/>
                    </a:xfrm>
                    <a:prstGeom prst="rect">
                      <a:avLst/>
                    </a:prstGeom>
                    <a:noFill/>
                  </pic:spPr>
                </pic:pic>
              </a:graphicData>
            </a:graphic>
          </wp:anchor>
        </w:drawing>
      </w:r>
    </w:p>
    <w:p>
      <w:pPr>
        <w:ind w:left="1300"/>
        <w:spacing w:after="0"/>
        <w:rPr>
          <w:sz w:val="20"/>
          <w:szCs w:val="20"/>
          <w:color w:val="auto"/>
        </w:rPr>
      </w:pPr>
      <w:r>
        <w:rPr>
          <w:rFonts w:ascii="Calibri" w:cs="Calibri" w:eastAsia="Calibri" w:hAnsi="Calibri"/>
          <w:sz w:val="10"/>
          <w:szCs w:val="10"/>
          <w:color w:val="auto"/>
        </w:rPr>
        <w:t>cybersecurity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rPr>
          <w:sz w:val="20"/>
          <w:szCs w:val="20"/>
          <w:color w:val="auto"/>
        </w:rPr>
      </w:pPr>
      <w:r>
        <w:rPr>
          <w:rFonts w:ascii="Calibri" w:cs="Calibri" w:eastAsia="Calibri" w:hAnsi="Calibri"/>
          <w:sz w:val="17"/>
          <w:szCs w:val="17"/>
          <w:color w:val="auto"/>
        </w:rPr>
        <w:t>Age: 62 — is a leader in the consultng and fnancial services industry. Ms. Pipes’s business experience and directorships are detailed below. The Company has concluded, based in part on Ms. Pipes’s experience as the Chief Financial Ofcer and as a member of the Management Commitee of Deloite Consultng, LLP and her expertse in the consultng and fnancial services industry that Ms. Pipes should serve as a director.</w:t>
      </w:r>
    </w:p>
    <w:p>
      <w:pPr>
        <w:spacing w:after="0" w:line="11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1219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21910" cy="8255"/>
                    </a:xfrm>
                    <a:prstGeom prst="rect">
                      <a:avLst/>
                    </a:prstGeom>
                    <a:noFill/>
                  </pic:spPr>
                </pic:pic>
              </a:graphicData>
            </a:graphic>
          </wp:anchor>
        </w:drawing>
      </w:r>
    </w:p>
    <w:p>
      <w:pPr>
        <w:spacing w:after="0" w:line="54"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Audit (Chair)*; Compensaton</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1219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21910" cy="8255"/>
                    </a:xfrm>
                    <a:prstGeom prst="rect">
                      <a:avLst/>
                    </a:prstGeom>
                    <a:noFill/>
                  </pic:spPr>
                </pic:pic>
              </a:graphicData>
            </a:graphic>
          </wp:anchor>
        </w:drawing>
      </w:r>
    </w:p>
    <w:p>
      <w:pPr>
        <w:spacing w:after="0" w:line="54"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 Chief Financial Ofcer, member of the Management Commitee and various leadership positons, Deloite Consultng</w:t>
      </w:r>
    </w:p>
    <w:p>
      <w:pPr>
        <w:ind w:left="640"/>
        <w:spacing w:after="0"/>
        <w:rPr>
          <w:sz w:val="20"/>
          <w:szCs w:val="20"/>
          <w:color w:val="auto"/>
        </w:rPr>
      </w:pPr>
      <w:r>
        <w:rPr>
          <w:rFonts w:ascii="Calibri" w:cs="Calibri" w:eastAsia="Calibri" w:hAnsi="Calibri"/>
          <w:sz w:val="16"/>
          <w:szCs w:val="16"/>
          <w:color w:val="auto"/>
        </w:rPr>
        <w:t>LLP, a management consultng frm (1999 - 2019)</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 Vice President and Manager, Finance Division, Transamerica Life Companies (1997 - 1999)</w:t>
      </w:r>
    </w:p>
    <w:p>
      <w:pPr>
        <w:spacing w:after="0" w:line="117"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 Senior Vice President and Chief of Staf for the President and CEO, among other senior management positons, First</w:t>
      </w:r>
    </w:p>
    <w:p>
      <w:pPr>
        <w:ind w:left="640"/>
        <w:spacing w:after="0"/>
        <w:rPr>
          <w:sz w:val="20"/>
          <w:szCs w:val="20"/>
          <w:color w:val="auto"/>
        </w:rPr>
      </w:pPr>
      <w:r>
        <w:rPr>
          <w:rFonts w:ascii="Calibri" w:cs="Calibri" w:eastAsia="Calibri" w:hAnsi="Calibri"/>
          <w:sz w:val="16"/>
          <w:szCs w:val="16"/>
          <w:color w:val="auto"/>
        </w:rPr>
        <w:t>Interstate Bank of California (1985 - 1996)</w:t>
      </w:r>
    </w:p>
    <w:p>
      <w:pPr>
        <w:spacing w:after="0" w:line="12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51219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2191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 w:type="dxa"/>
            <w:vAlign w:val="bottom"/>
          </w:tcPr>
          <w:p>
            <w:pPr>
              <w:ind w:left="320"/>
              <w:spacing w:after="0"/>
              <w:rPr>
                <w:sz w:val="20"/>
                <w:szCs w:val="20"/>
                <w:color w:val="auto"/>
              </w:rPr>
            </w:pPr>
            <w:r>
              <w:rPr>
                <w:rFonts w:ascii="Calibri" w:cs="Calibri" w:eastAsia="Calibri" w:hAnsi="Calibri"/>
                <w:sz w:val="14"/>
                <w:szCs w:val="14"/>
                <w:color w:val="auto"/>
                <w:w w:val="76"/>
              </w:rPr>
              <w:t>• </w:t>
            </w:r>
          </w:p>
        </w:tc>
        <w:tc>
          <w:tcPr>
            <w:tcW w:w="7580" w:type="dxa"/>
            <w:vAlign w:val="bottom"/>
          </w:tcPr>
          <w:p>
            <w:pPr>
              <w:ind w:left="60"/>
              <w:spacing w:after="0"/>
              <w:rPr>
                <w:sz w:val="20"/>
                <w:szCs w:val="20"/>
                <w:color w:val="auto"/>
              </w:rPr>
            </w:pPr>
            <w:r>
              <w:rPr>
                <w:rFonts w:ascii="Calibri" w:cs="Calibri" w:eastAsia="Calibri" w:hAnsi="Calibri"/>
                <w:sz w:val="16"/>
                <w:szCs w:val="16"/>
                <w:color w:val="auto"/>
              </w:rPr>
              <w:t>   Director and chair of the audit commitee, and member of the nominatng/corporate governance commitee, PS</w:t>
            </w:r>
          </w:p>
        </w:tc>
      </w:tr>
      <w:tr>
        <w:trPr>
          <w:trHeight w:val="195"/>
        </w:trPr>
        <w:tc>
          <w:tcPr>
            <w:tcW w:w="50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Calibri" w:cs="Calibri" w:eastAsia="Calibri" w:hAnsi="Calibri"/>
                <w:sz w:val="16"/>
                <w:szCs w:val="16"/>
                <w:color w:val="auto"/>
              </w:rPr>
              <w:t>Business Parks, Inc. (NYSE: PSB), a commercial property real estate investment trust (2019 - present)</w:t>
            </w:r>
          </w:p>
        </w:tc>
      </w:tr>
      <w:tr>
        <w:trPr>
          <w:trHeight w:val="312"/>
        </w:trPr>
        <w:tc>
          <w:tcPr>
            <w:tcW w:w="500" w:type="dxa"/>
            <w:vAlign w:val="bottom"/>
          </w:tcPr>
          <w:p>
            <w:pPr>
              <w:ind w:left="320"/>
              <w:spacing w:after="0"/>
              <w:rPr>
                <w:sz w:val="20"/>
                <w:szCs w:val="20"/>
                <w:color w:val="auto"/>
              </w:rPr>
            </w:pPr>
            <w:r>
              <w:rPr>
                <w:rFonts w:ascii="Calibri" w:cs="Calibri" w:eastAsia="Calibri" w:hAnsi="Calibri"/>
                <w:sz w:val="14"/>
                <w:szCs w:val="14"/>
                <w:color w:val="auto"/>
                <w:w w:val="76"/>
              </w:rPr>
              <w:t>• </w:t>
            </w:r>
          </w:p>
        </w:tc>
        <w:tc>
          <w:tcPr>
            <w:tcW w:w="7580" w:type="dxa"/>
            <w:vAlign w:val="bottom"/>
          </w:tcPr>
          <w:p>
            <w:pPr>
              <w:ind w:left="60"/>
              <w:spacing w:after="0"/>
              <w:rPr>
                <w:sz w:val="20"/>
                <w:szCs w:val="20"/>
                <w:color w:val="auto"/>
              </w:rPr>
            </w:pPr>
            <w:r>
              <w:rPr>
                <w:rFonts w:ascii="Calibri" w:cs="Calibri" w:eastAsia="Calibri" w:hAnsi="Calibri"/>
                <w:sz w:val="16"/>
                <w:szCs w:val="16"/>
                <w:color w:val="auto"/>
                <w:w w:val="99"/>
              </w:rPr>
              <w:t>   Director and chair of the audit commitee, and member of the nominatng/corporate governance commitee, Public</w:t>
            </w:r>
          </w:p>
        </w:tc>
      </w:tr>
      <w:tr>
        <w:trPr>
          <w:trHeight w:val="195"/>
        </w:trPr>
        <w:tc>
          <w:tcPr>
            <w:tcW w:w="50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Calibri" w:cs="Calibri" w:eastAsia="Calibri" w:hAnsi="Calibri"/>
                <w:sz w:val="16"/>
                <w:szCs w:val="16"/>
                <w:color w:val="auto"/>
              </w:rPr>
              <w:t>Storage (NYSE: PSA), an internatonal self storage company (2020 - present)</w:t>
            </w:r>
          </w:p>
        </w:tc>
      </w:tr>
      <w:tr>
        <w:trPr>
          <w:trHeight w:val="329"/>
        </w:trPr>
        <w:tc>
          <w:tcPr>
            <w:tcW w:w="8080" w:type="dxa"/>
            <w:vAlign w:val="bottom"/>
            <w:gridSpan w:val="2"/>
          </w:tcPr>
          <w:p>
            <w:pPr>
              <w:spacing w:after="0"/>
              <w:rPr>
                <w:sz w:val="20"/>
                <w:szCs w:val="20"/>
                <w:color w:val="auto"/>
              </w:rPr>
            </w:pPr>
            <w:r>
              <w:rPr>
                <w:rFonts w:ascii="Calibri" w:cs="Calibri" w:eastAsia="Calibri" w:hAnsi="Calibri"/>
                <w:sz w:val="17"/>
                <w:szCs w:val="17"/>
                <w:b w:val="1"/>
                <w:bCs w:val="1"/>
                <w:color w:val="auto"/>
              </w:rPr>
              <w:t>Other relevant experience</w:t>
            </w:r>
          </w:p>
        </w:tc>
      </w:tr>
      <w:tr>
        <w:trPr>
          <w:trHeight w:val="23"/>
        </w:trPr>
        <w:tc>
          <w:tcPr>
            <w:tcW w:w="500" w:type="dxa"/>
            <w:vAlign w:val="bottom"/>
            <w:tcBorders>
              <w:bottom w:val="single" w:sz="8" w:color="auto"/>
            </w:tcBorders>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r>
      <w:tr>
        <w:trPr>
          <w:trHeight w:val="278"/>
        </w:trPr>
        <w:tc>
          <w:tcPr>
            <w:tcW w:w="500" w:type="dxa"/>
            <w:vAlign w:val="bottom"/>
          </w:tcPr>
          <w:p>
            <w:pPr>
              <w:ind w:left="320"/>
              <w:spacing w:after="0"/>
              <w:rPr>
                <w:sz w:val="20"/>
                <w:szCs w:val="20"/>
                <w:color w:val="auto"/>
              </w:rPr>
            </w:pPr>
            <w:r>
              <w:rPr>
                <w:rFonts w:ascii="Calibri" w:cs="Calibri" w:eastAsia="Calibri" w:hAnsi="Calibri"/>
                <w:sz w:val="14"/>
                <w:szCs w:val="14"/>
                <w:color w:val="auto"/>
                <w:w w:val="76"/>
              </w:rPr>
              <w:t>• </w:t>
            </w:r>
          </w:p>
        </w:tc>
        <w:tc>
          <w:tcPr>
            <w:tcW w:w="7580" w:type="dxa"/>
            <w:vAlign w:val="bottom"/>
          </w:tcPr>
          <w:p>
            <w:pPr>
              <w:ind w:left="60"/>
              <w:spacing w:after="0"/>
              <w:rPr>
                <w:sz w:val="20"/>
                <w:szCs w:val="20"/>
                <w:color w:val="auto"/>
              </w:rPr>
            </w:pPr>
            <w:r>
              <w:rPr>
                <w:rFonts w:ascii="Calibri" w:cs="Calibri" w:eastAsia="Calibri" w:hAnsi="Calibri"/>
                <w:sz w:val="16"/>
                <w:szCs w:val="16"/>
                <w:color w:val="auto"/>
                <w:w w:val="99"/>
              </w:rPr>
              <w:t>  Director and chair of the audit commitee, and member of the nominatng/corporate governance commitee, Savers,</w:t>
            </w:r>
          </w:p>
        </w:tc>
      </w:tr>
      <w:tr>
        <w:trPr>
          <w:trHeight w:val="195"/>
        </w:trPr>
        <w:tc>
          <w:tcPr>
            <w:tcW w:w="500" w:type="dxa"/>
            <w:vAlign w:val="bottom"/>
          </w:tcPr>
          <w:p>
            <w:pPr>
              <w:spacing w:after="0"/>
              <w:rPr>
                <w:sz w:val="16"/>
                <w:szCs w:val="16"/>
                <w:color w:val="auto"/>
              </w:rPr>
            </w:pPr>
          </w:p>
        </w:tc>
        <w:tc>
          <w:tcPr>
            <w:tcW w:w="7580" w:type="dxa"/>
            <w:vAlign w:val="bottom"/>
          </w:tcPr>
          <w:p>
            <w:pPr>
              <w:ind w:left="140"/>
              <w:spacing w:after="0"/>
              <w:rPr>
                <w:sz w:val="20"/>
                <w:szCs w:val="20"/>
                <w:color w:val="auto"/>
              </w:rPr>
            </w:pPr>
            <w:r>
              <w:rPr>
                <w:rFonts w:ascii="Calibri" w:cs="Calibri" w:eastAsia="Calibri" w:hAnsi="Calibri"/>
                <w:sz w:val="16"/>
                <w:szCs w:val="16"/>
                <w:color w:val="auto"/>
              </w:rPr>
              <w:t>Inc., one of the world’s largest thrif retailers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793750</wp:posOffset>
            </wp:positionV>
            <wp:extent cx="674052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031" w:lineRule="exact"/>
        <w:rPr>
          <w:sz w:val="20"/>
          <w:szCs w:val="20"/>
          <w:color w:val="auto"/>
        </w:rPr>
      </w:pPr>
    </w:p>
    <w:p>
      <w:pPr>
        <w:sectPr>
          <w:pgSz w:w="11900" w:h="16838" w:orient="portrait"/>
          <w:cols w:equalWidth="0" w:num="2">
            <w:col w:w="2280" w:space="580"/>
            <w:col w:w="8080"/>
          </w:cols>
          <w:pgMar w:left="320" w:top="445" w:right="639" w:bottom="1440" w:gutter="0" w:footer="0" w:header="0"/>
          <w:type w:val="continuous"/>
        </w:sectPr>
      </w:pPr>
    </w:p>
    <w:p>
      <w:pPr>
        <w:spacing w:after="0" w:line="261"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Audit commitee fnancial expert under applicable SEC rules and regulatons.</w:t>
      </w:r>
    </w:p>
    <w:p>
      <w:pPr>
        <w:spacing w:after="0" w:line="124"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25</w:t>
            </w:r>
          </w:p>
        </w:tc>
      </w:tr>
    </w:tbl>
    <w:p>
      <w:pPr>
        <w:sectPr>
          <w:pgSz w:w="11900" w:h="16838" w:orient="portrait"/>
          <w:cols w:equalWidth="0" w:num="1">
            <w:col w:w="10940"/>
          </w:cols>
          <w:pgMar w:left="320" w:top="445" w:right="6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102235</wp:posOffset>
            </wp:positionV>
            <wp:extent cx="6740525" cy="801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40525" cy="80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Nitn Sahney</w:t>
      </w:r>
    </w:p>
    <w:p>
      <w:pPr>
        <w:spacing w:after="0" w:line="9" w:lineRule="exact"/>
        <w:rPr>
          <w:sz w:val="20"/>
          <w:szCs w:val="20"/>
          <w:color w:val="auto"/>
        </w:rPr>
      </w:pPr>
    </w:p>
    <w:p>
      <w:pPr>
        <w:ind w:left="440"/>
        <w:spacing w:after="0"/>
        <w:tabs>
          <w:tab w:leader="none" w:pos="9660" w:val="left"/>
        </w:tabs>
        <w:rPr>
          <w:sz w:val="20"/>
          <w:szCs w:val="20"/>
          <w:color w:val="auto"/>
        </w:rPr>
      </w:pPr>
      <w:r>
        <w:rPr>
          <w:rFonts w:ascii="Calibri" w:cs="Calibri" w:eastAsia="Calibri" w:hAnsi="Calibri"/>
          <w:sz w:val="17"/>
          <w:szCs w:val="17"/>
          <w:b w:val="1"/>
          <w:bCs w:val="1"/>
          <w:color w:val="auto"/>
        </w:rPr>
        <w:t>Director since January 2016</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204470</wp:posOffset>
            </wp:positionV>
            <wp:extent cx="1164590" cy="1164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820"/>
          </w:cols>
          <w:pgMar w:left="320" w:top="445"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580"/>
        <w:spacing w:after="0"/>
        <w:rPr>
          <w:sz w:val="20"/>
          <w:szCs w:val="20"/>
          <w:color w:val="auto"/>
        </w:rPr>
      </w:pPr>
      <w:r>
        <w:rPr>
          <w:rFonts w:ascii="Calibri" w:cs="Calibri" w:eastAsia="Calibri" w:hAnsi="Calibri"/>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1270</wp:posOffset>
            </wp:positionV>
            <wp:extent cx="231140" cy="2311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118"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and accountng</w:t>
      </w:r>
    </w:p>
    <w:p>
      <w:pPr>
        <w:spacing w:after="0" w:line="151"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Executve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-72390</wp:posOffset>
            </wp:positionV>
            <wp:extent cx="247650" cy="2311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7650" cy="231140"/>
                    </a:xfrm>
                    <a:prstGeom prst="rect">
                      <a:avLst/>
                    </a:prstGeom>
                    <a:noFill/>
                  </pic:spPr>
                </pic:pic>
              </a:graphicData>
            </a:graphic>
          </wp:anchor>
        </w:drawing>
      </w:r>
    </w:p>
    <w:p>
      <w:pPr>
        <w:ind w:left="1280"/>
        <w:spacing w:after="0"/>
        <w:rPr>
          <w:sz w:val="20"/>
          <w:szCs w:val="20"/>
          <w:color w:val="auto"/>
        </w:rPr>
      </w:pPr>
      <w:r>
        <w:rPr>
          <w:rFonts w:ascii="Calibri" w:cs="Calibri" w:eastAsia="Calibri" w:hAnsi="Calibri"/>
          <w:sz w:val="10"/>
          <w:szCs w:val="10"/>
          <w:color w:val="auto"/>
        </w:rPr>
        <w:t>leadership</w:t>
      </w:r>
    </w:p>
    <w:p>
      <w:pPr>
        <w:spacing w:after="0" w:line="8"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(within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108585</wp:posOffset>
            </wp:positionV>
            <wp:extent cx="132080" cy="2063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274"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governance</w:t>
      </w:r>
    </w:p>
    <w:p>
      <w:pPr>
        <w:spacing w:after="0" w:line="268" w:lineRule="exact"/>
        <w:rPr>
          <w:sz w:val="20"/>
          <w:szCs w:val="20"/>
          <w:color w:val="auto"/>
        </w:rPr>
      </w:pPr>
    </w:p>
    <w:p>
      <w:pPr>
        <w:ind w:left="1280"/>
        <w:spacing w:after="0"/>
        <w:rPr>
          <w:sz w:val="20"/>
          <w:szCs w:val="20"/>
          <w:color w:val="auto"/>
        </w:rPr>
      </w:pPr>
      <w:r>
        <w:rPr>
          <w:rFonts w:ascii="Calibri" w:cs="Calibri" w:eastAsia="Calibri" w:hAnsi="Calibri"/>
          <w:sz w:val="10"/>
          <w:szCs w:val="10"/>
          <w:color w:val="auto"/>
        </w:rPr>
        <w:t>Mergers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-64135</wp:posOffset>
            </wp:positionV>
            <wp:extent cx="231140" cy="2063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ind w:left="1280"/>
        <w:spacing w:after="0"/>
        <w:rPr>
          <w:sz w:val="20"/>
          <w:szCs w:val="20"/>
          <w:color w:val="auto"/>
        </w:rPr>
      </w:pPr>
      <w:r>
        <w:rPr>
          <w:rFonts w:ascii="Calibri" w:cs="Calibri" w:eastAsia="Calibri" w:hAnsi="Calibri"/>
          <w:sz w:val="10"/>
          <w:szCs w:val="10"/>
          <w:color w:val="auto"/>
        </w:rPr>
        <w:t>acquisitons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17"/>
          <w:szCs w:val="17"/>
          <w:color w:val="auto"/>
        </w:rPr>
        <w:t>Age: 59 — Is a leader in the healthcare industry with over 25 years of experience across all areas of healthcare. Mr. Sahney’s business experience and directorships are detailed below. The Company has concluded, based in part on Mr. Sahney’s experience as CEO of PharmaCord and Omnicare, Inc. and his expertse in the healthcare industry garnered from more than two decades of experience, that Mr. Sahney should serve as a director.</w:t>
      </w:r>
    </w:p>
    <w:p>
      <w:pPr>
        <w:spacing w:after="0" w:line="13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41"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Nominatng and Governance (Chair); Audit</w:t>
      </w:r>
    </w:p>
    <w:p>
      <w:pPr>
        <w:spacing w:after="0" w:line="13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41"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 Founder, Member-Manager and Chief Executve Ofcer, PharmaCord, LLC, a company that helps biopharma</w:t>
      </w:r>
    </w:p>
    <w:p>
      <w:pPr>
        <w:ind w:left="620"/>
        <w:spacing w:after="0"/>
        <w:rPr>
          <w:sz w:val="20"/>
          <w:szCs w:val="20"/>
          <w:color w:val="auto"/>
        </w:rPr>
      </w:pPr>
      <w:r>
        <w:rPr>
          <w:rFonts w:ascii="Calibri" w:cs="Calibri" w:eastAsia="Calibri" w:hAnsi="Calibri"/>
          <w:sz w:val="16"/>
          <w:szCs w:val="16"/>
          <w:color w:val="auto"/>
        </w:rPr>
        <w:t>manufacturers address product access hurdles (2016 - present)</w:t>
      </w:r>
    </w:p>
    <w:p>
      <w:pPr>
        <w:spacing w:after="0" w:line="130"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Operatng Advisor, Clayton Dubilier &amp; Rice Funds, a private equity frm (2016 - 2017)</w:t>
      </w:r>
    </w:p>
    <w:p>
      <w:pPr>
        <w:spacing w:after="0" w:line="130"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President and CEO (2014 - 2015) and President and COO (2012 - 2014) of Omnicare Inc., a former New York Stock</w:t>
      </w:r>
    </w:p>
    <w:p>
      <w:pPr>
        <w:ind w:left="620"/>
        <w:spacing w:after="0"/>
        <w:rPr>
          <w:sz w:val="20"/>
          <w:szCs w:val="20"/>
          <w:color w:val="auto"/>
        </w:rPr>
      </w:pPr>
      <w:r>
        <w:rPr>
          <w:rFonts w:ascii="Calibri" w:cs="Calibri" w:eastAsia="Calibri" w:hAnsi="Calibri"/>
          <w:sz w:val="16"/>
          <w:szCs w:val="16"/>
          <w:color w:val="auto"/>
        </w:rPr>
        <w:t>Exchange-listed Fortune 500 company in the long-term care and specialty care industries</w:t>
      </w:r>
    </w:p>
    <w:p>
      <w:pPr>
        <w:spacing w:after="0" w:line="130"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Manager of a healthcare investment fund (2008 - 2010)</w:t>
      </w:r>
    </w:p>
    <w:p>
      <w:pPr>
        <w:spacing w:after="0" w:line="130"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Founder and CEO of RxCrossroads, a specialty pharmaceutcal company (2001 - 2007)</w:t>
      </w:r>
    </w:p>
    <w:p>
      <w:pPr>
        <w:spacing w:after="0" w:line="130"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Prior leadership positons with Cardinal Healthcare, a global healthcare services and products company</w:t>
      </w:r>
    </w:p>
    <w:p>
      <w:pPr>
        <w:spacing w:after="0" w:line="13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41"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Opton Care Enterprises, Inc. (NASDAQ: OPCH) (2019 - present)</w:t>
      </w:r>
    </w:p>
    <w:p>
      <w:pPr>
        <w:spacing w:after="0" w:line="13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51879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spacing w:after="0" w:line="41" w:lineRule="exact"/>
        <w:rPr>
          <w:sz w:val="20"/>
          <w:szCs w:val="20"/>
          <w:color w:val="auto"/>
        </w:rPr>
      </w:pPr>
    </w:p>
    <w:p>
      <w:pPr>
        <w:ind w:left="320"/>
        <w:spacing w:after="0"/>
        <w:tabs>
          <w:tab w:leader="none" w:pos="52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Member of the Board of Trustees, University of Louisville (2017 - 2019)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917575</wp:posOffset>
            </wp:positionV>
            <wp:extent cx="674052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500"/>
            <w:col w:w="8060"/>
          </w:cols>
          <w:pgMar w:left="320" w:top="445" w:right="7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26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820"/>
          </w:cols>
          <w:pgMar w:left="320" w:top="445" w:right="7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102235</wp:posOffset>
            </wp:positionV>
            <wp:extent cx="6740525" cy="801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40525" cy="80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Calibri" w:cs="Calibri" w:eastAsia="Calibri" w:hAnsi="Calibri"/>
          <w:sz w:val="24"/>
          <w:szCs w:val="24"/>
          <w:b w:val="1"/>
          <w:bCs w:val="1"/>
          <w:color w:val="FB4E0B"/>
        </w:rPr>
        <w:t>Jaynie M. Studenmund</w:t>
      </w:r>
    </w:p>
    <w:p>
      <w:pPr>
        <w:spacing w:after="0" w:line="9" w:lineRule="exact"/>
        <w:rPr>
          <w:sz w:val="20"/>
          <w:szCs w:val="20"/>
          <w:color w:val="auto"/>
        </w:rPr>
      </w:pPr>
    </w:p>
    <w:p>
      <w:pPr>
        <w:ind w:left="440"/>
        <w:spacing w:after="0"/>
        <w:tabs>
          <w:tab w:leader="none" w:pos="9660" w:val="left"/>
        </w:tabs>
        <w:rPr>
          <w:sz w:val="20"/>
          <w:szCs w:val="20"/>
          <w:color w:val="auto"/>
        </w:rPr>
      </w:pPr>
      <w:r>
        <w:rPr>
          <w:rFonts w:ascii="Calibri" w:cs="Calibri" w:eastAsia="Calibri" w:hAnsi="Calibri"/>
          <w:sz w:val="17"/>
          <w:szCs w:val="17"/>
          <w:b w:val="1"/>
          <w:bCs w:val="1"/>
          <w:color w:val="auto"/>
        </w:rPr>
        <w:t>Director since September 2018</w:t>
      </w:r>
      <w:r>
        <w:rPr>
          <w:sz w:val="20"/>
          <w:szCs w:val="20"/>
          <w:color w:val="auto"/>
        </w:rPr>
        <w:tab/>
      </w:r>
      <w:r>
        <w:rPr>
          <w:rFonts w:ascii="Calibri" w:cs="Calibri" w:eastAsia="Calibri" w:hAnsi="Calibri"/>
          <w:sz w:val="16"/>
          <w:szCs w:val="16"/>
          <w:b w:val="1"/>
          <w:bCs w:val="1"/>
          <w:color w:val="FB4E0B"/>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204470</wp:posOffset>
            </wp:positionV>
            <wp:extent cx="1164590" cy="1164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64590" cy="1164590"/>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80"/>
        <w:spacing w:after="0"/>
        <w:rPr>
          <w:sz w:val="20"/>
          <w:szCs w:val="20"/>
          <w:color w:val="auto"/>
        </w:rPr>
      </w:pPr>
      <w:r>
        <w:rPr>
          <w:rFonts w:ascii="Calibri" w:cs="Calibri" w:eastAsia="Calibri" w:hAnsi="Calibri"/>
          <w:sz w:val="10"/>
          <w:szCs w:val="10"/>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100330</wp:posOffset>
            </wp:positionV>
            <wp:extent cx="231140" cy="2311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35"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Finance</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and accountng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92075</wp:posOffset>
            </wp:positionV>
            <wp:extent cx="247650"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7650" cy="214630"/>
                    </a:xfrm>
                    <a:prstGeom prst="rect">
                      <a:avLst/>
                    </a:prstGeom>
                    <a:noFill/>
                  </pic:spPr>
                </pic:pic>
              </a:graphicData>
            </a:graphic>
          </wp:anchor>
        </w:drawing>
      </w:r>
    </w:p>
    <w:p>
      <w:pPr>
        <w:spacing w:after="0" w:line="209"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Executve</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83820</wp:posOffset>
            </wp:positionV>
            <wp:extent cx="132080" cy="2063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2080" cy="206375"/>
                    </a:xfrm>
                    <a:prstGeom prst="rect">
                      <a:avLst/>
                    </a:prstGeom>
                    <a:noFill/>
                  </pic:spPr>
                </pic:pic>
              </a:graphicData>
            </a:graphic>
          </wp:anchor>
        </w:drawing>
      </w:r>
    </w:p>
    <w:p>
      <w:pPr>
        <w:spacing w:after="0" w:line="209"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Public company</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83820</wp:posOffset>
            </wp:positionV>
            <wp:extent cx="255905" cy="165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5905" cy="165100"/>
                    </a:xfrm>
                    <a:prstGeom prst="rect">
                      <a:avLst/>
                    </a:prstGeom>
                    <a:noFill/>
                  </pic:spPr>
                </pic:pic>
              </a:graphicData>
            </a:graphic>
          </wp:anchor>
        </w:drawing>
      </w:r>
    </w:p>
    <w:p>
      <w:pPr>
        <w:spacing w:after="0" w:line="261"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108585</wp:posOffset>
            </wp:positionV>
            <wp:extent cx="214630" cy="2146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61"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Human capital</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100330</wp:posOffset>
            </wp:positionV>
            <wp:extent cx="239395" cy="214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9395" cy="214630"/>
                    </a:xfrm>
                    <a:prstGeom prst="rect">
                      <a:avLst/>
                    </a:prstGeom>
                    <a:noFill/>
                  </pic:spPr>
                </pic:pic>
              </a:graphicData>
            </a:graphic>
          </wp:anchor>
        </w:drawing>
      </w:r>
    </w:p>
    <w:p>
      <w:pPr>
        <w:spacing w:after="0" w:line="24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Digital operatons</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and solutons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100330</wp:posOffset>
            </wp:positionV>
            <wp:extent cx="239395" cy="2393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313"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Marketng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133350</wp:posOffset>
            </wp:positionV>
            <wp:extent cx="231140" cy="2311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1140" cy="231140"/>
                    </a:xfrm>
                    <a:prstGeom prst="rect">
                      <a:avLst/>
                    </a:prstGeom>
                    <a:noFill/>
                  </pic:spPr>
                </pic:pic>
              </a:graphicData>
            </a:graphic>
          </wp:anchor>
        </w:drawing>
      </w:r>
    </w:p>
    <w:p>
      <w:pPr>
        <w:spacing w:after="0" w:line="287"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Global</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92075</wp:posOffset>
            </wp:positionV>
            <wp:extent cx="231140" cy="2146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1140" cy="214630"/>
                    </a:xfrm>
                    <a:prstGeom prst="rect">
                      <a:avLst/>
                    </a:prstGeom>
                    <a:noFill/>
                  </pic:spPr>
                </pic:pic>
              </a:graphicData>
            </a:graphic>
          </wp:anchor>
        </w:drawing>
      </w:r>
    </w:p>
    <w:p>
      <w:pPr>
        <w:spacing w:after="0" w:line="170"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Risk oversight and</w:t>
      </w:r>
    </w:p>
    <w:p>
      <w:pPr>
        <w:spacing w:after="0" w:line="8"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100330</wp:posOffset>
            </wp:positionV>
            <wp:extent cx="231140" cy="1981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1140" cy="198120"/>
                    </a:xfrm>
                    <a:prstGeom prst="rect">
                      <a:avLst/>
                    </a:prstGeom>
                    <a:noFill/>
                  </pic:spPr>
                </pic:pic>
              </a:graphicData>
            </a:graphic>
          </wp:anchor>
        </w:drawing>
      </w:r>
    </w:p>
    <w:p>
      <w:pPr>
        <w:spacing w:after="0" w:line="209"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ESG</w:t>
      </w:r>
    </w:p>
    <w:p>
      <w:pPr>
        <w:spacing w:after="0" w:line="281" w:lineRule="exact"/>
        <w:rPr>
          <w:sz w:val="20"/>
          <w:szCs w:val="20"/>
          <w:color w:val="auto"/>
        </w:rPr>
      </w:pPr>
    </w:p>
    <w:p>
      <w:pPr>
        <w:ind w:left="1180"/>
        <w:spacing w:after="0"/>
        <w:rPr>
          <w:sz w:val="20"/>
          <w:szCs w:val="20"/>
          <w:color w:val="auto"/>
        </w:rPr>
      </w:pPr>
      <w:r>
        <w:rPr>
          <w:rFonts w:ascii="Calibri" w:cs="Calibri" w:eastAsia="Calibri" w:hAnsi="Calibri"/>
          <w:sz w:val="10"/>
          <w:szCs w:val="10"/>
          <w:color w:val="auto"/>
        </w:rPr>
        <w:t>Mergers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-64135</wp:posOffset>
            </wp:positionV>
            <wp:extent cx="231140" cy="2063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1140" cy="206375"/>
                    </a:xfrm>
                    <a:prstGeom prst="rect">
                      <a:avLst/>
                    </a:prstGeom>
                    <a:noFill/>
                  </pic:spPr>
                </pic:pic>
              </a:graphicData>
            </a:graphic>
          </wp:anchor>
        </w:drawing>
      </w:r>
    </w:p>
    <w:p>
      <w:pPr>
        <w:ind w:left="1180"/>
        <w:spacing w:after="0"/>
        <w:rPr>
          <w:sz w:val="20"/>
          <w:szCs w:val="20"/>
          <w:color w:val="auto"/>
        </w:rPr>
      </w:pPr>
      <w:r>
        <w:rPr>
          <w:rFonts w:ascii="Calibri" w:cs="Calibri" w:eastAsia="Calibri" w:hAnsi="Calibri"/>
          <w:sz w:val="10"/>
          <w:szCs w:val="10"/>
          <w:color w:val="auto"/>
        </w:rPr>
        <w:t>acquisitons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right="20"/>
        <w:spacing w:after="0"/>
        <w:rPr>
          <w:sz w:val="20"/>
          <w:szCs w:val="20"/>
          <w:color w:val="auto"/>
        </w:rPr>
      </w:pPr>
      <w:r>
        <w:rPr>
          <w:rFonts w:ascii="Calibri" w:cs="Calibri" w:eastAsia="Calibri" w:hAnsi="Calibri"/>
          <w:sz w:val="17"/>
          <w:szCs w:val="17"/>
          <w:color w:val="auto"/>
        </w:rPr>
        <w:t>Age: 67 — is a seasoned executve with signifcant experience as a top line executve leading fnancial services and digital companies. She also has extensive experience as a public company director. Ms. Studenmund’s business experience and directorships are detailed below. The Company has concluded, based in part on Ms. Studenmund’s extensive public company board experience, together with her knowledge and experience in the digital, fnancial services, health care and consumer business sectors, and her expertse in compensaton and corporate governance, that Ms. Studenmund should serve as a director.</w:t>
      </w:r>
    </w:p>
    <w:p>
      <w:pPr>
        <w:spacing w:after="0" w:line="13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Commitees: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93"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 Compensaton (Chair), Audit*</w:t>
      </w:r>
    </w:p>
    <w:p>
      <w:pPr>
        <w:spacing w:after="0" w:line="13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93"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 Chief Operatng Ofcer, Overture Services, a pioneer in paid search and search engine marketng (2001 - 2004)</w:t>
      </w:r>
    </w:p>
    <w:p>
      <w:pPr>
        <w:spacing w:after="0" w:line="130"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 President &amp; Chief Operatng Ofcer, PayMyBills, the leading consumer bill payment and presentment company</w:t>
      </w:r>
    </w:p>
    <w:p>
      <w:pPr>
        <w:ind w:left="640"/>
        <w:spacing w:after="0"/>
        <w:rPr>
          <w:sz w:val="20"/>
          <w:szCs w:val="20"/>
          <w:color w:val="auto"/>
        </w:rPr>
      </w:pPr>
      <w:r>
        <w:rPr>
          <w:rFonts w:ascii="Calibri" w:cs="Calibri" w:eastAsia="Calibri" w:hAnsi="Calibri"/>
          <w:sz w:val="16"/>
          <w:szCs w:val="16"/>
          <w:color w:val="auto"/>
        </w:rPr>
        <w:t>(1999 - 2001)</w:t>
      </w:r>
    </w:p>
    <w:p>
      <w:pPr>
        <w:spacing w:after="0" w:line="130"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 Previously for over two decades served as Executve Vice President and Head of Consumer and Business Banking</w:t>
      </w:r>
    </w:p>
    <w:p>
      <w:pPr>
        <w:spacing w:after="0" w:line="10" w:lineRule="exact"/>
        <w:rPr>
          <w:sz w:val="20"/>
          <w:szCs w:val="20"/>
          <w:color w:val="auto"/>
        </w:rPr>
      </w:pPr>
    </w:p>
    <w:p>
      <w:pPr>
        <w:ind w:left="640"/>
        <w:spacing w:after="0"/>
        <w:rPr>
          <w:sz w:val="20"/>
          <w:szCs w:val="20"/>
          <w:color w:val="auto"/>
        </w:rPr>
      </w:pPr>
      <w:r>
        <w:rPr>
          <w:rFonts w:ascii="Calibri" w:cs="Calibri" w:eastAsia="Calibri" w:hAnsi="Calibri"/>
          <w:sz w:val="14"/>
          <w:szCs w:val="14"/>
          <w:color w:val="auto"/>
        </w:rPr>
        <w:t>for three of the naton’s largest banks at the tme and primarily for First Interstate of California. Today, these three</w:t>
      </w:r>
    </w:p>
    <w:p>
      <w:pPr>
        <w:spacing w:after="0" w:line="24" w:lineRule="exact"/>
        <w:rPr>
          <w:sz w:val="20"/>
          <w:szCs w:val="20"/>
          <w:color w:val="auto"/>
        </w:rPr>
      </w:pPr>
    </w:p>
    <w:p>
      <w:pPr>
        <w:ind w:left="640"/>
        <w:spacing w:after="0"/>
        <w:rPr>
          <w:sz w:val="20"/>
          <w:szCs w:val="20"/>
          <w:color w:val="auto"/>
        </w:rPr>
      </w:pPr>
      <w:r>
        <w:rPr>
          <w:rFonts w:ascii="Calibri" w:cs="Calibri" w:eastAsia="Calibri" w:hAnsi="Calibri"/>
          <w:sz w:val="14"/>
          <w:szCs w:val="14"/>
          <w:color w:val="auto"/>
        </w:rPr>
        <w:t>banks form the backbone of Chase’s and Wells Fargo’s consumer business in California following the era of bank</w:t>
      </w:r>
    </w:p>
    <w:p>
      <w:pPr>
        <w:spacing w:after="0" w:line="14"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consolidaton.</w:t>
      </w:r>
    </w:p>
    <w:p>
      <w:pPr>
        <w:spacing w:after="0" w:line="130"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 Management Consultant, Booz, Allen &amp; Hamilton</w:t>
      </w:r>
    </w:p>
    <w:p>
      <w:pPr>
        <w:spacing w:after="0" w:line="13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Public directorships during past fve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93"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chair of the compensaton commite and member of the risk management commitee, Pacifc</w:t>
      </w:r>
    </w:p>
    <w:p>
      <w:pPr>
        <w:ind w:left="640"/>
        <w:spacing w:after="0"/>
        <w:rPr>
          <w:sz w:val="20"/>
          <w:szCs w:val="20"/>
          <w:color w:val="auto"/>
        </w:rPr>
      </w:pPr>
      <w:r>
        <w:rPr>
          <w:rFonts w:ascii="Calibri" w:cs="Calibri" w:eastAsia="Calibri" w:hAnsi="Calibri"/>
          <w:sz w:val="16"/>
          <w:szCs w:val="16"/>
          <w:color w:val="auto"/>
        </w:rPr>
        <w:t>Premier Bancorp (Nasdaq: PPBI), a top performing regional bank (2019 - present)</w:t>
      </w:r>
    </w:p>
    <w:p>
      <w:pPr>
        <w:spacing w:after="0" w:line="130"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member of the contracts commitee, audit commitee and nominaton and governance commitee,</w:t>
      </w:r>
    </w:p>
    <w:p>
      <w:pPr>
        <w:spacing w:after="0" w:line="10" w:lineRule="exact"/>
        <w:rPr>
          <w:sz w:val="20"/>
          <w:szCs w:val="20"/>
          <w:color w:val="auto"/>
        </w:rPr>
      </w:pPr>
    </w:p>
    <w:p>
      <w:pPr>
        <w:ind w:left="640"/>
        <w:spacing w:after="0"/>
        <w:rPr>
          <w:sz w:val="20"/>
          <w:szCs w:val="20"/>
          <w:color w:val="auto"/>
        </w:rPr>
      </w:pPr>
      <w:r>
        <w:rPr>
          <w:rFonts w:ascii="Calibri" w:cs="Calibri" w:eastAsia="Calibri" w:hAnsi="Calibri"/>
          <w:sz w:val="14"/>
          <w:szCs w:val="14"/>
          <w:color w:val="auto"/>
        </w:rPr>
        <w:t>Western Asset Management funds, a major global fxed income fund, and director of afliated funds for Western</w:t>
      </w:r>
    </w:p>
    <w:p>
      <w:pPr>
        <w:spacing w:after="0" w:line="14" w:lineRule="exact"/>
        <w:rPr>
          <w:sz w:val="20"/>
          <w:szCs w:val="20"/>
          <w:color w:val="auto"/>
        </w:rPr>
      </w:pPr>
    </w:p>
    <w:p>
      <w:pPr>
        <w:ind w:left="640"/>
        <w:spacing w:after="0"/>
        <w:rPr>
          <w:sz w:val="20"/>
          <w:szCs w:val="20"/>
          <w:color w:val="auto"/>
        </w:rPr>
      </w:pPr>
      <w:r>
        <w:rPr>
          <w:rFonts w:ascii="Calibri" w:cs="Calibri" w:eastAsia="Calibri" w:hAnsi="Calibri"/>
          <w:sz w:val="16"/>
          <w:szCs w:val="16"/>
          <w:color w:val="auto"/>
        </w:rPr>
        <w:t>Asset Management (2004 - present)</w:t>
      </w:r>
    </w:p>
    <w:p>
      <w:pPr>
        <w:spacing w:after="0" w:line="130"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and chair of the compensaton commitee and member of the nominaton and governance commitee,</w:t>
      </w:r>
    </w:p>
    <w:p>
      <w:pPr>
        <w:ind w:left="640"/>
        <w:spacing w:after="0"/>
        <w:rPr>
          <w:sz w:val="20"/>
          <w:szCs w:val="20"/>
          <w:color w:val="auto"/>
        </w:rPr>
      </w:pPr>
      <w:r>
        <w:rPr>
          <w:rFonts w:ascii="Calibri" w:cs="Calibri" w:eastAsia="Calibri" w:hAnsi="Calibri"/>
          <w:sz w:val="16"/>
          <w:szCs w:val="16"/>
          <w:color w:val="auto"/>
        </w:rPr>
        <w:t>CoreLogic, Inc. (NYSE: CLGX) untl its acquisiton in 2021 (2012 - 2021)</w:t>
      </w:r>
    </w:p>
    <w:p>
      <w:pPr>
        <w:spacing w:after="0" w:line="130"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 Director, compensaton commitee chair and member of the compliance commitee, Pinnacle Entertainment</w:t>
      </w:r>
    </w:p>
    <w:p>
      <w:pPr>
        <w:ind w:left="640"/>
        <w:spacing w:after="0"/>
        <w:rPr>
          <w:sz w:val="20"/>
          <w:szCs w:val="20"/>
          <w:color w:val="auto"/>
        </w:rPr>
      </w:pPr>
      <w:r>
        <w:rPr>
          <w:rFonts w:ascii="Calibri" w:cs="Calibri" w:eastAsia="Calibri" w:hAnsi="Calibri"/>
          <w:sz w:val="16"/>
          <w:szCs w:val="16"/>
          <w:color w:val="auto"/>
        </w:rPr>
        <w:t>(Nasdaq: PNK) untl its acquisiton in 2018 (2012 - 2018)</w:t>
      </w:r>
    </w:p>
    <w:p>
      <w:pPr>
        <w:spacing w:after="0" w:line="13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Other relevant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9809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80940" cy="8255"/>
                    </a:xfrm>
                    <a:prstGeom prst="rect">
                      <a:avLst/>
                    </a:prstGeom>
                    <a:noFill/>
                  </pic:spPr>
                </pic:pic>
              </a:graphicData>
            </a:graphic>
          </wp:anchor>
        </w:drawing>
      </w:r>
    </w:p>
    <w:p>
      <w:pPr>
        <w:spacing w:after="0" w:line="93"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 Board Leadership Fellow and member of the Directorship 100 for excellence in board service, Natonal</w:t>
      </w:r>
    </w:p>
    <w:p>
      <w:pPr>
        <w:ind w:left="640"/>
        <w:spacing w:after="0"/>
        <w:rPr>
          <w:sz w:val="20"/>
          <w:szCs w:val="20"/>
          <w:color w:val="auto"/>
        </w:rPr>
      </w:pPr>
      <w:r>
        <w:rPr>
          <w:rFonts w:ascii="Calibri" w:cs="Calibri" w:eastAsia="Calibri" w:hAnsi="Calibri"/>
          <w:sz w:val="16"/>
          <w:szCs w:val="16"/>
          <w:color w:val="auto"/>
        </w:rPr>
        <w:t>Associaton of Corporate Directors</w:t>
      </w:r>
    </w:p>
    <w:p>
      <w:pPr>
        <w:spacing w:after="0" w:line="130"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 Life trustee and board chair, Huntngton Health, afliate of Cedars Sinai Health System</w:t>
      </w:r>
    </w:p>
    <w:p>
      <w:pPr>
        <w:spacing w:after="0" w:line="130" w:lineRule="exact"/>
        <w:rPr>
          <w:sz w:val="20"/>
          <w:szCs w:val="20"/>
          <w:color w:val="auto"/>
        </w:rPr>
      </w:pPr>
    </w:p>
    <w:p>
      <w:pPr>
        <w:ind w:left="320"/>
        <w:spacing w:after="0"/>
        <w:tabs>
          <w:tab w:leader="none" w:pos="540" w:val="left"/>
        </w:tabs>
        <w:rPr>
          <w:sz w:val="20"/>
          <w:szCs w:val="20"/>
          <w:color w:val="auto"/>
        </w:rPr>
      </w:pPr>
      <w:r>
        <w:rPr>
          <w:rFonts w:ascii="Calibri" w:cs="Calibri" w:eastAsia="Calibri" w:hAnsi="Calibri"/>
          <w:sz w:val="16"/>
          <w:szCs w:val="16"/>
          <w:color w:val="auto"/>
        </w:rPr>
        <w:t>• </w:t>
      </w:r>
      <w:r>
        <w:rPr>
          <w:sz w:val="20"/>
          <w:szCs w:val="20"/>
          <w:color w:val="auto"/>
        </w:rPr>
        <w:tab/>
      </w:r>
      <w:r>
        <w:rPr>
          <w:rFonts w:ascii="Calibri" w:cs="Calibri" w:eastAsia="Calibri" w:hAnsi="Calibri"/>
          <w:sz w:val="14"/>
          <w:szCs w:val="14"/>
          <w:color w:val="auto"/>
        </w:rPr>
        <w:t>   Founder and board member, Enduring Heroes Foundaton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876300</wp:posOffset>
            </wp:positionV>
            <wp:extent cx="674052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720"/>
            <w:col w:w="7860"/>
          </w:cols>
          <w:pgMar w:left="320" w:top="445"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Audit commitee fnancial expert under applicable SEC rules and regulatons.</w:t>
      </w:r>
    </w:p>
    <w:p>
      <w:pPr>
        <w:spacing w:after="0" w:line="137"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27</w:t>
            </w:r>
          </w:p>
        </w:tc>
      </w:tr>
    </w:tbl>
    <w:p>
      <w:pPr>
        <w:sectPr>
          <w:pgSz w:w="11900" w:h="16838" w:orient="portrait"/>
          <w:cols w:equalWidth="0" w:num="1">
            <w:col w:w="10940"/>
          </w:cols>
          <w:pgMar w:left="320" w:top="445" w:right="6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Corporate governance</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Director independence</w:t>
      </w:r>
    </w:p>
    <w:p>
      <w:pPr>
        <w:spacing w:after="0" w:line="218"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In determining director independence, the board of directors considered the transactons and relatonships set forth below under “Certain Relatonships and Related Person Transactons—Related Party Transactons” and routne service arrangements between the Company and each of Fair Square Financial (“FSF”), Virtusa Corporaton (“Virtusa”) and Westcor Land Title Insurance Company (“Westcor”). During 2021, one of our directors, Mr. Pandit, served as a non-executve director and, through his ownership in The Orogen Group (see below for informaton on Mr. Pandit’s relatonship with The Orogen Group), owned an immaterial indirect equity interest, in each of FSF (untl October 2021) and Virtusa (untl February 2021) and Westcor; Mr. Pandit is not, and was not during 2021, a partner, controlling shareholder or executve ofcer of either FSF, Virtusa or Westcor.</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Based on its review of all applicable relatonships, our board of directors has determined that all of the members on our board of directors, other than Mr.</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Kapoor, meet the independence requirements of the Nasdaq Stock Market and federal securites laws.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Meetng atendance</w:t>
      </w:r>
    </w:p>
    <w:p>
      <w:pPr>
        <w:spacing w:after="0" w:line="218"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expect our directors to atend all board of directors meetngs and meetngs of commitees on which they serve. We also expect our directors to spend sufcient tme and meet as frequently as necessary to discharge their responsibilites properly. Each director atended at least 90% of the aggregate meetngs of our board of directors and the commitees on which they served during 2021; all but two directors had 100% atendance record for all such meetngs. It is our policy that all of our directors standing for electon should atend our Annual Meetngs of Stockholders absent exceptonal cause, and all of our then-incumbent directors atended the 2021 Annual Meetng of Stockholders.</w:t>
      </w: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and commitee meetngs in 2021</w:t>
      </w:r>
    </w:p>
    <w:p>
      <w:pPr>
        <w:spacing w:after="0" w:line="200" w:lineRule="exact"/>
        <w:rPr>
          <w:sz w:val="20"/>
          <w:szCs w:val="20"/>
          <w:color w:val="auto"/>
        </w:rPr>
      </w:pPr>
    </w:p>
    <w:p>
      <w:pPr>
        <w:spacing w:after="0" w:line="313" w:lineRule="exact"/>
        <w:rPr>
          <w:sz w:val="20"/>
          <w:szCs w:val="20"/>
          <w:color w:val="auto"/>
        </w:rPr>
      </w:pPr>
    </w:p>
    <w:tbl>
      <w:tblPr>
        <w:tblLayout w:type="fixed"/>
        <w:tblInd w:w="320" w:type="dxa"/>
        <w:tblCellMar>
          <w:top w:w="0" w:type="dxa"/>
          <w:left w:w="0" w:type="dxa"/>
          <w:bottom w:w="0" w:type="dxa"/>
          <w:right w:w="0" w:type="dxa"/>
        </w:tblCellMar>
      </w:tblPr>
      <w:tr>
        <w:trPr>
          <w:trHeight w:val="797"/>
        </w:trPr>
        <w:tc>
          <w:tcPr>
            <w:tcW w:w="2440" w:type="dxa"/>
            <w:vAlign w:val="bottom"/>
            <w:shd w:val="clear" w:color="auto" w:fill="D8D8D8"/>
          </w:tcPr>
          <w:p>
            <w:pPr>
              <w:ind w:left="80"/>
              <w:spacing w:after="0"/>
              <w:rPr>
                <w:sz w:val="20"/>
                <w:szCs w:val="20"/>
                <w:color w:val="auto"/>
              </w:rPr>
            </w:pPr>
            <w:r>
              <w:rPr>
                <w:rFonts w:ascii="Calibri" w:cs="Calibri" w:eastAsia="Calibri" w:hAnsi="Calibri"/>
                <w:sz w:val="17"/>
                <w:szCs w:val="17"/>
                <w:b w:val="1"/>
                <w:bCs w:val="1"/>
                <w:color w:val="FB4E0B"/>
              </w:rPr>
              <w:t>Board meetngs</w:t>
            </w:r>
          </w:p>
        </w:tc>
        <w:tc>
          <w:tcPr>
            <w:tcW w:w="280" w:type="dxa"/>
            <w:vAlign w:val="bottom"/>
          </w:tcPr>
          <w:p>
            <w:pPr>
              <w:spacing w:after="0"/>
              <w:rPr>
                <w:sz w:val="24"/>
                <w:szCs w:val="24"/>
                <w:color w:val="auto"/>
              </w:rPr>
            </w:pPr>
          </w:p>
        </w:tc>
        <w:tc>
          <w:tcPr>
            <w:tcW w:w="2600" w:type="dxa"/>
            <w:vAlign w:val="bottom"/>
            <w:shd w:val="clear" w:color="auto" w:fill="D8D8D8"/>
          </w:tcPr>
          <w:p>
            <w:pPr>
              <w:ind w:left="120"/>
              <w:spacing w:after="0"/>
              <w:rPr>
                <w:sz w:val="20"/>
                <w:szCs w:val="20"/>
                <w:color w:val="auto"/>
              </w:rPr>
            </w:pPr>
            <w:r>
              <w:rPr>
                <w:rFonts w:ascii="Calibri" w:cs="Calibri" w:eastAsia="Calibri" w:hAnsi="Calibri"/>
                <w:sz w:val="17"/>
                <w:szCs w:val="17"/>
                <w:b w:val="1"/>
                <w:bCs w:val="1"/>
                <w:color w:val="FB4E0B"/>
              </w:rPr>
              <w:t>Audit Commitee meetngs</w:t>
            </w:r>
          </w:p>
        </w:tc>
        <w:tc>
          <w:tcPr>
            <w:tcW w:w="280" w:type="dxa"/>
            <w:vAlign w:val="bottom"/>
          </w:tcPr>
          <w:p>
            <w:pPr>
              <w:spacing w:after="0"/>
              <w:rPr>
                <w:sz w:val="24"/>
                <w:szCs w:val="24"/>
                <w:color w:val="auto"/>
              </w:rPr>
            </w:pPr>
          </w:p>
        </w:tc>
        <w:tc>
          <w:tcPr>
            <w:tcW w:w="2640" w:type="dxa"/>
            <w:vAlign w:val="bottom"/>
            <w:shd w:val="clear" w:color="auto" w:fill="D8D8D8"/>
          </w:tcPr>
          <w:p>
            <w:pPr>
              <w:ind w:left="100"/>
              <w:spacing w:after="0"/>
              <w:rPr>
                <w:sz w:val="20"/>
                <w:szCs w:val="20"/>
                <w:color w:val="auto"/>
              </w:rPr>
            </w:pPr>
            <w:r>
              <w:rPr>
                <w:rFonts w:ascii="Calibri" w:cs="Calibri" w:eastAsia="Calibri" w:hAnsi="Calibri"/>
                <w:sz w:val="17"/>
                <w:szCs w:val="17"/>
                <w:b w:val="1"/>
                <w:bCs w:val="1"/>
                <w:color w:val="FB4E0B"/>
              </w:rPr>
              <w:t>Nominatng and</w:t>
            </w:r>
          </w:p>
        </w:tc>
        <w:tc>
          <w:tcPr>
            <w:tcW w:w="280" w:type="dxa"/>
            <w:vAlign w:val="bottom"/>
          </w:tcPr>
          <w:p>
            <w:pPr>
              <w:spacing w:after="0"/>
              <w:rPr>
                <w:sz w:val="24"/>
                <w:szCs w:val="24"/>
                <w:color w:val="auto"/>
              </w:rPr>
            </w:pPr>
          </w:p>
        </w:tc>
        <w:tc>
          <w:tcPr>
            <w:tcW w:w="2100" w:type="dxa"/>
            <w:vAlign w:val="bottom"/>
            <w:shd w:val="clear" w:color="auto" w:fill="D8D8D8"/>
          </w:tcPr>
          <w:p>
            <w:pPr>
              <w:ind w:left="100"/>
              <w:spacing w:after="0"/>
              <w:rPr>
                <w:sz w:val="20"/>
                <w:szCs w:val="20"/>
                <w:color w:val="auto"/>
              </w:rPr>
            </w:pPr>
            <w:r>
              <w:rPr>
                <w:rFonts w:ascii="Calibri" w:cs="Calibri" w:eastAsia="Calibri" w:hAnsi="Calibri"/>
                <w:sz w:val="17"/>
                <w:szCs w:val="17"/>
                <w:b w:val="1"/>
                <w:bCs w:val="1"/>
                <w:color w:val="FB4E0B"/>
              </w:rPr>
              <w:t>Compensaton Commitee</w:t>
            </w:r>
          </w:p>
        </w:tc>
      </w:tr>
      <w:tr>
        <w:trPr>
          <w:trHeight w:val="208"/>
        </w:trPr>
        <w:tc>
          <w:tcPr>
            <w:tcW w:w="244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shd w:val="clear" w:color="auto" w:fill="D8D8D8"/>
          </w:tcPr>
          <w:p>
            <w:pPr>
              <w:ind w:left="100"/>
              <w:spacing w:after="0"/>
              <w:rPr>
                <w:sz w:val="20"/>
                <w:szCs w:val="20"/>
                <w:color w:val="auto"/>
              </w:rPr>
            </w:pPr>
            <w:r>
              <w:rPr>
                <w:rFonts w:ascii="Calibri" w:cs="Calibri" w:eastAsia="Calibri" w:hAnsi="Calibri"/>
                <w:sz w:val="17"/>
                <w:szCs w:val="17"/>
                <w:b w:val="1"/>
                <w:bCs w:val="1"/>
                <w:color w:val="FB4E0B"/>
              </w:rPr>
              <w:t>Governance Commitee</w:t>
            </w:r>
          </w:p>
        </w:tc>
        <w:tc>
          <w:tcPr>
            <w:tcW w:w="280" w:type="dxa"/>
            <w:vAlign w:val="bottom"/>
          </w:tcPr>
          <w:p>
            <w:pPr>
              <w:spacing w:after="0"/>
              <w:rPr>
                <w:sz w:val="18"/>
                <w:szCs w:val="18"/>
                <w:color w:val="auto"/>
              </w:rPr>
            </w:pPr>
          </w:p>
        </w:tc>
        <w:tc>
          <w:tcPr>
            <w:tcW w:w="2100" w:type="dxa"/>
            <w:vAlign w:val="bottom"/>
            <w:shd w:val="clear" w:color="auto" w:fill="D8D8D8"/>
          </w:tcPr>
          <w:p>
            <w:pPr>
              <w:ind w:left="100"/>
              <w:spacing w:after="0"/>
              <w:rPr>
                <w:sz w:val="20"/>
                <w:szCs w:val="20"/>
                <w:color w:val="auto"/>
              </w:rPr>
            </w:pPr>
            <w:r>
              <w:rPr>
                <w:rFonts w:ascii="Calibri" w:cs="Calibri" w:eastAsia="Calibri" w:hAnsi="Calibri"/>
                <w:sz w:val="17"/>
                <w:szCs w:val="17"/>
                <w:b w:val="1"/>
                <w:bCs w:val="1"/>
                <w:color w:val="FB4E0B"/>
              </w:rPr>
              <w:t>meetngs</w:t>
            </w:r>
          </w:p>
        </w:tc>
      </w:tr>
      <w:tr>
        <w:trPr>
          <w:trHeight w:val="208"/>
        </w:trPr>
        <w:tc>
          <w:tcPr>
            <w:tcW w:w="244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shd w:val="clear" w:color="auto" w:fill="D8D8D8"/>
          </w:tcPr>
          <w:p>
            <w:pPr>
              <w:ind w:left="100"/>
              <w:spacing w:after="0"/>
              <w:rPr>
                <w:sz w:val="20"/>
                <w:szCs w:val="20"/>
                <w:color w:val="auto"/>
              </w:rPr>
            </w:pPr>
            <w:r>
              <w:rPr>
                <w:rFonts w:ascii="Calibri" w:cs="Calibri" w:eastAsia="Calibri" w:hAnsi="Calibri"/>
                <w:sz w:val="17"/>
                <w:szCs w:val="17"/>
                <w:b w:val="1"/>
                <w:bCs w:val="1"/>
                <w:color w:val="FB4E0B"/>
              </w:rPr>
              <w:t>meetngs</w:t>
            </w:r>
          </w:p>
        </w:tc>
        <w:tc>
          <w:tcPr>
            <w:tcW w:w="280" w:type="dxa"/>
            <w:vAlign w:val="bottom"/>
          </w:tcPr>
          <w:p>
            <w:pPr>
              <w:spacing w:after="0"/>
              <w:rPr>
                <w:sz w:val="18"/>
                <w:szCs w:val="18"/>
                <w:color w:val="auto"/>
              </w:rPr>
            </w:pPr>
          </w:p>
        </w:tc>
        <w:tc>
          <w:tcPr>
            <w:tcW w:w="2100" w:type="dxa"/>
            <w:vAlign w:val="bottom"/>
            <w:shd w:val="clear" w:color="auto" w:fill="D8D8D8"/>
          </w:tcPr>
          <w:p>
            <w:pPr>
              <w:spacing w:after="0"/>
              <w:rPr>
                <w:sz w:val="18"/>
                <w:szCs w:val="18"/>
                <w:color w:val="auto"/>
              </w:rPr>
            </w:pPr>
          </w:p>
        </w:tc>
      </w:tr>
      <w:tr>
        <w:trPr>
          <w:trHeight w:val="218"/>
        </w:trPr>
        <w:tc>
          <w:tcPr>
            <w:tcW w:w="244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shd w:val="clear" w:color="auto" w:fill="D8D8D8"/>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shd w:val="clear" w:color="auto" w:fill="D8D8D8"/>
          </w:tcPr>
          <w:p>
            <w:pPr>
              <w:spacing w:after="0"/>
              <w:rPr>
                <w:sz w:val="18"/>
                <w:szCs w:val="18"/>
                <w:color w:val="auto"/>
              </w:rPr>
            </w:pPr>
          </w:p>
        </w:tc>
      </w:tr>
      <w:tr>
        <w:trPr>
          <w:trHeight w:val="130"/>
        </w:trPr>
        <w:tc>
          <w:tcPr>
            <w:tcW w:w="2440" w:type="dxa"/>
            <w:vAlign w:val="bottom"/>
            <w:shd w:val="clear" w:color="auto" w:fill="FB4E0B"/>
          </w:tcPr>
          <w:p>
            <w:pPr>
              <w:spacing w:after="0"/>
              <w:rPr>
                <w:sz w:val="11"/>
                <w:szCs w:val="11"/>
                <w:color w:val="auto"/>
              </w:rPr>
            </w:pPr>
          </w:p>
        </w:tc>
        <w:tc>
          <w:tcPr>
            <w:tcW w:w="2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-81915</wp:posOffset>
            </wp:positionV>
            <wp:extent cx="6740525" cy="3797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40525" cy="379730"/>
                    </a:xfrm>
                    <a:prstGeom prst="rect">
                      <a:avLst/>
                    </a:prstGeom>
                    <a:noFill/>
                  </pic:spPr>
                </pic:pic>
              </a:graphicData>
            </a:graphic>
          </wp:anchor>
        </w:drawing>
        <w:drawing>
          <wp:anchor simplePos="0" relativeHeight="251657728" behindDoc="1" locked="0" layoutInCell="0" allowOverlap="1">
            <wp:simplePos x="0" y="0"/>
            <wp:positionH relativeFrom="column">
              <wp:posOffset>291465</wp:posOffset>
            </wp:positionH>
            <wp:positionV relativeFrom="paragraph">
              <wp:posOffset>-924560</wp:posOffset>
            </wp:positionV>
            <wp:extent cx="255905" cy="255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5905" cy="255905"/>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-899795</wp:posOffset>
            </wp:positionV>
            <wp:extent cx="231140" cy="2311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1140" cy="231140"/>
                    </a:xfrm>
                    <a:prstGeom prst="rect">
                      <a:avLst/>
                    </a:prstGeom>
                    <a:noFill/>
                  </pic:spPr>
                </pic:pic>
              </a:graphicData>
            </a:graphic>
          </wp:anchor>
        </w:drawing>
        <w:drawing>
          <wp:anchor simplePos="0" relativeHeight="251657728" behindDoc="1" locked="0" layoutInCell="0" allowOverlap="1">
            <wp:simplePos x="0" y="0"/>
            <wp:positionH relativeFrom="column">
              <wp:posOffset>3827145</wp:posOffset>
            </wp:positionH>
            <wp:positionV relativeFrom="paragraph">
              <wp:posOffset>-908050</wp:posOffset>
            </wp:positionV>
            <wp:extent cx="247650" cy="2476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7650" cy="24765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-916305</wp:posOffset>
            </wp:positionV>
            <wp:extent cx="255905" cy="255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5905" cy="25590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352"/>
        </w:trPr>
        <w:tc>
          <w:tcPr>
            <w:tcW w:w="880" w:type="dxa"/>
            <w:vAlign w:val="bottom"/>
          </w:tcPr>
          <w:p>
            <w:pPr>
              <w:jc w:val="right"/>
              <w:ind w:right="627"/>
              <w:spacing w:after="0"/>
              <w:rPr>
                <w:sz w:val="20"/>
                <w:szCs w:val="20"/>
                <w:color w:val="auto"/>
              </w:rPr>
            </w:pPr>
            <w:r>
              <w:rPr>
                <w:rFonts w:ascii="Calibri" w:cs="Calibri" w:eastAsia="Calibri" w:hAnsi="Calibri"/>
                <w:sz w:val="28"/>
                <w:szCs w:val="28"/>
                <w:b w:val="1"/>
                <w:bCs w:val="1"/>
                <w:color w:val="FFFFFF"/>
                <w:w w:val="84"/>
              </w:rPr>
              <w:t>7</w:t>
            </w:r>
          </w:p>
        </w:tc>
        <w:tc>
          <w:tcPr>
            <w:tcW w:w="1180" w:type="dxa"/>
            <w:vAlign w:val="bottom"/>
          </w:tcPr>
          <w:p>
            <w:pPr>
              <w:spacing w:after="0"/>
              <w:rPr>
                <w:sz w:val="24"/>
                <w:szCs w:val="24"/>
                <w:color w:val="auto"/>
              </w:rPr>
            </w:pPr>
          </w:p>
        </w:tc>
        <w:tc>
          <w:tcPr>
            <w:tcW w:w="320" w:type="dxa"/>
            <w:vAlign w:val="bottom"/>
            <w:shd w:val="clear" w:color="auto" w:fill="FB4E0B"/>
          </w:tcPr>
          <w:p>
            <w:pPr>
              <w:spacing w:after="0"/>
              <w:rPr>
                <w:sz w:val="24"/>
                <w:szCs w:val="24"/>
                <w:color w:val="auto"/>
              </w:rPr>
            </w:pPr>
          </w:p>
        </w:tc>
        <w:tc>
          <w:tcPr>
            <w:tcW w:w="1900" w:type="dxa"/>
            <w:vAlign w:val="bottom"/>
          </w:tcPr>
          <w:p>
            <w:pPr>
              <w:jc w:val="right"/>
              <w:ind w:right="1221"/>
              <w:spacing w:after="0"/>
              <w:rPr>
                <w:sz w:val="20"/>
                <w:szCs w:val="20"/>
                <w:color w:val="auto"/>
              </w:rPr>
            </w:pPr>
            <w:r>
              <w:rPr>
                <w:rFonts w:ascii="Calibri" w:cs="Calibri" w:eastAsia="Calibri" w:hAnsi="Calibri"/>
                <w:sz w:val="28"/>
                <w:szCs w:val="28"/>
                <w:b w:val="1"/>
                <w:bCs w:val="1"/>
                <w:color w:val="FFFFFF"/>
              </w:rPr>
              <w:t>6</w:t>
            </w:r>
          </w:p>
        </w:tc>
        <w:tc>
          <w:tcPr>
            <w:tcW w:w="2900" w:type="dxa"/>
            <w:vAlign w:val="bottom"/>
          </w:tcPr>
          <w:p>
            <w:pPr>
              <w:jc w:val="right"/>
              <w:ind w:right="1261"/>
              <w:spacing w:after="0"/>
              <w:rPr>
                <w:sz w:val="20"/>
                <w:szCs w:val="20"/>
                <w:color w:val="auto"/>
              </w:rPr>
            </w:pPr>
            <w:r>
              <w:rPr>
                <w:rFonts w:ascii="Calibri" w:cs="Calibri" w:eastAsia="Calibri" w:hAnsi="Calibri"/>
                <w:sz w:val="28"/>
                <w:szCs w:val="28"/>
                <w:b w:val="1"/>
                <w:bCs w:val="1"/>
                <w:color w:val="FFFFFF"/>
              </w:rPr>
              <w:t>5</w:t>
            </w:r>
          </w:p>
        </w:tc>
        <w:tc>
          <w:tcPr>
            <w:tcW w:w="1520" w:type="dxa"/>
            <w:vAlign w:val="bottom"/>
          </w:tcPr>
          <w:p>
            <w:pPr>
              <w:jc w:val="right"/>
              <w:spacing w:after="0"/>
              <w:rPr>
                <w:sz w:val="20"/>
                <w:szCs w:val="20"/>
                <w:color w:val="auto"/>
              </w:rPr>
            </w:pPr>
            <w:r>
              <w:rPr>
                <w:rFonts w:ascii="Calibri" w:cs="Calibri" w:eastAsia="Calibri" w:hAnsi="Calibri"/>
                <w:sz w:val="28"/>
                <w:szCs w:val="28"/>
                <w:b w:val="1"/>
                <w:bCs w:val="1"/>
                <w:color w:val="FFFFFF"/>
              </w:rPr>
              <w:t>7</w:t>
            </w:r>
          </w:p>
        </w:tc>
      </w:tr>
      <w:tr>
        <w:trPr>
          <w:trHeight w:val="96"/>
        </w:trPr>
        <w:tc>
          <w:tcPr>
            <w:tcW w:w="8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20" w:type="dxa"/>
            <w:vAlign w:val="bottom"/>
            <w:shd w:val="clear" w:color="auto" w:fill="FB4E0B"/>
          </w:tcPr>
          <w:p>
            <w:pPr>
              <w:spacing w:after="0"/>
              <w:rPr>
                <w:sz w:val="8"/>
                <w:szCs w:val="8"/>
                <w:color w:val="auto"/>
              </w:rPr>
            </w:pPr>
          </w:p>
        </w:tc>
        <w:tc>
          <w:tcPr>
            <w:tcW w:w="19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445"/>
        </w:trPr>
        <w:tc>
          <w:tcPr>
            <w:tcW w:w="880" w:type="dxa"/>
            <w:vAlign w:val="bottom"/>
          </w:tcPr>
          <w:p>
            <w:pPr>
              <w:jc w:val="right"/>
              <w:ind w:right="27"/>
              <w:spacing w:after="0"/>
              <w:rPr>
                <w:sz w:val="20"/>
                <w:szCs w:val="20"/>
                <w:color w:val="auto"/>
              </w:rPr>
            </w:pPr>
            <w:r>
              <w:rPr>
                <w:rFonts w:ascii="Calibri" w:cs="Calibri" w:eastAsia="Calibri" w:hAnsi="Calibri"/>
                <w:sz w:val="17"/>
                <w:szCs w:val="17"/>
                <w:b w:val="1"/>
                <w:bCs w:val="1"/>
                <w:color w:val="auto"/>
              </w:rPr>
              <w:t>28</w:t>
            </w:r>
          </w:p>
        </w:tc>
        <w:tc>
          <w:tcPr>
            <w:tcW w:w="3400" w:type="dxa"/>
            <w:vAlign w:val="bottom"/>
            <w:gridSpan w:val="3"/>
          </w:tcPr>
          <w:p>
            <w:pPr>
              <w:jc w:val="right"/>
              <w:ind w:right="1401"/>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2022 Proxy Statement</w:t>
            </w:r>
          </w:p>
        </w:tc>
        <w:tc>
          <w:tcPr>
            <w:tcW w:w="29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940"/>
          </w:cols>
          <w:pgMar w:left="320" w:top="44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Corporate governance framework</w:t>
      </w:r>
    </w:p>
    <w:p>
      <w:pPr>
        <w:spacing w:after="0" w:line="218" w:lineRule="exact"/>
        <w:rPr>
          <w:sz w:val="20"/>
          <w:szCs w:val="20"/>
          <w:color w:val="auto"/>
        </w:rPr>
      </w:pPr>
    </w:p>
    <w:p>
      <w:pPr>
        <w:ind w:left="320" w:right="660"/>
        <w:spacing w:after="0" w:line="239" w:lineRule="auto"/>
        <w:rPr>
          <w:sz w:val="20"/>
          <w:szCs w:val="20"/>
          <w:color w:val="auto"/>
        </w:rPr>
      </w:pPr>
      <w:r>
        <w:rPr>
          <w:rFonts w:ascii="Calibri" w:cs="Calibri" w:eastAsia="Calibri" w:hAnsi="Calibri"/>
          <w:sz w:val="17"/>
          <w:szCs w:val="17"/>
          <w:color w:val="auto"/>
        </w:rPr>
        <w:t>The board is responsible for providing governance and oversight over the efectveness of policy and decision-making with respect to the strategy, operatons and management of EXL, in order to enhance our fnancial performance and stockholder value over the long term.</w:t>
      </w:r>
    </w:p>
    <w:p>
      <w:pPr>
        <w:spacing w:after="0" w:line="211"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Our board’s commitment to strong corporate governance is informed by the fve core values of our corporate culture: innovaton, respect, integrity, excellence and collaboraton. Our board seeks to maintain best practces in corporate governance by reviewing and updatng our governance policies, as appropriate, at least annually, and provides oversight over our risk management and strategic planning as relates to our growth, human capital management, and environmental, social and governance maters, each as discussed further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419735</wp:posOffset>
            </wp:positionV>
            <wp:extent cx="6740525" cy="25196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40525" cy="251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Calibri" w:cs="Calibri" w:eastAsia="Calibri" w:hAnsi="Calibri"/>
          <w:sz w:val="19"/>
          <w:szCs w:val="19"/>
          <w:b w:val="1"/>
          <w:bCs w:val="1"/>
          <w:color w:val="FB4E0B"/>
        </w:rPr>
        <w:t>Governance policies</w:t>
      </w:r>
    </w:p>
    <w:p>
      <w:pPr>
        <w:spacing w:after="0" w:line="89" w:lineRule="exact"/>
        <w:rPr>
          <w:sz w:val="20"/>
          <w:szCs w:val="20"/>
          <w:color w:val="auto"/>
        </w:rPr>
      </w:pPr>
    </w:p>
    <w:p>
      <w:pPr>
        <w:ind w:left="660" w:right="500"/>
        <w:spacing w:after="0" w:line="239" w:lineRule="auto"/>
        <w:rPr>
          <w:sz w:val="20"/>
          <w:szCs w:val="20"/>
          <w:color w:val="auto"/>
        </w:rPr>
      </w:pPr>
      <w:r>
        <w:rPr>
          <w:rFonts w:ascii="Calibri" w:cs="Calibri" w:eastAsia="Calibri" w:hAnsi="Calibri"/>
          <w:sz w:val="17"/>
          <w:szCs w:val="17"/>
          <w:color w:val="auto"/>
        </w:rPr>
        <w:t>Our Corporate Governance Guidelines and other governance policies, including our commitee charters and Code of Conduct and Ethics, codify our corporate governance framework.</w:t>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780"/>
        <w:spacing w:after="0" w:line="237" w:lineRule="auto"/>
        <w:rPr>
          <w:sz w:val="20"/>
          <w:szCs w:val="20"/>
          <w:color w:val="auto"/>
        </w:rPr>
      </w:pPr>
      <w:r>
        <w:rPr>
          <w:rFonts w:ascii="Calibri" w:cs="Calibri" w:eastAsia="Calibri" w:hAnsi="Calibri"/>
          <w:sz w:val="16"/>
          <w:szCs w:val="16"/>
          <w:color w:val="auto"/>
        </w:rPr>
        <w:t>The Corporate Governance Guidelines address Board responsibilites and conduct, director qualifcatons and membership maters, director orientaton and contnuing educaton, Board and commitee meetngs, and share ownership by non-management directors, among other topics.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80" w:right="40"/>
        <w:spacing w:after="0" w:line="293" w:lineRule="auto"/>
        <w:rPr>
          <w:sz w:val="20"/>
          <w:szCs w:val="20"/>
          <w:color w:val="auto"/>
        </w:rPr>
      </w:pPr>
      <w:r>
        <w:rPr>
          <w:rFonts w:ascii="Calibri" w:cs="Calibri" w:eastAsia="Calibri" w:hAnsi="Calibri"/>
          <w:sz w:val="14"/>
          <w:szCs w:val="14"/>
          <w:color w:val="auto"/>
        </w:rPr>
        <w:t>Our commitee charters specifcally set out the authority and responsibilites of the Commitees of the board.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320"/>
        <w:spacing w:after="0" w:line="238" w:lineRule="auto"/>
        <w:rPr>
          <w:sz w:val="20"/>
          <w:szCs w:val="20"/>
          <w:color w:val="auto"/>
        </w:rPr>
      </w:pPr>
      <w:r>
        <w:rPr>
          <w:rFonts w:ascii="Calibri" w:cs="Calibri" w:eastAsia="Calibri" w:hAnsi="Calibri"/>
          <w:sz w:val="16"/>
          <w:szCs w:val="16"/>
          <w:color w:val="auto"/>
        </w:rPr>
        <w:t>Our Code of Conduct and Ethics is applicable to our directors, ofcers and fully and part-tme employees, and anyone who works on EXL’s behalf, including suppliers, subcontractors and partners, and details how they should conduct themselves when dealing with fellow employees, clients, suppliers, partners, compettors and the general public. Our Code of Conduct and Ethics is reviewed annually by the Audit Commitee and audited periodically as part of our compliance and legal audits. Each of our employees and contractors receives periodic training on the Code. We encourage our employees to speak up and raise concerns promptly about any situaton that they believe may violate our Code of Conduct and Ethics or the law and we are commited to responding promptly to any concerns. Our Corporate Governance Guidelines, commitee charters, and other corporate governance policies are all available on our website at htps://ir.exlservice.com/corporate-governance.</w:t>
      </w:r>
    </w:p>
    <w:p>
      <w:pPr>
        <w:spacing w:after="0" w:line="200" w:lineRule="exact"/>
        <w:rPr>
          <w:sz w:val="20"/>
          <w:szCs w:val="20"/>
          <w:color w:val="auto"/>
        </w:rPr>
      </w:pPr>
    </w:p>
    <w:p>
      <w:pPr>
        <w:sectPr>
          <w:pgSz w:w="11900" w:h="16838" w:orient="portrait"/>
          <w:cols w:equalWidth="0" w:num="2">
            <w:col w:w="4400" w:space="600"/>
            <w:col w:w="5940"/>
          </w:cols>
          <w:pgMar w:left="320" w:top="445" w:right="639" w:bottom="1440" w:gutter="0" w:footer="0" w:header="0"/>
          <w:type w:val="continuous"/>
        </w:sectPr>
      </w:pPr>
    </w:p>
    <w:p>
      <w:pPr>
        <w:spacing w:after="0" w:line="276"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29</w:t>
            </w:r>
          </w:p>
        </w:tc>
      </w:tr>
    </w:tbl>
    <w:p>
      <w:pPr>
        <w:sectPr>
          <w:pgSz w:w="11900" w:h="16838" w:orient="portrait"/>
          <w:cols w:equalWidth="0" w:num="1">
            <w:col w:w="10940"/>
          </w:cols>
          <w:pgMar w:left="320" w:top="445" w:right="6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Beyond the board room</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940"/>
        <w:spacing w:after="0"/>
        <w:rPr>
          <w:sz w:val="20"/>
          <w:szCs w:val="20"/>
          <w:color w:val="auto"/>
        </w:rPr>
      </w:pPr>
      <w:r>
        <w:rPr>
          <w:rFonts w:ascii="Calibri" w:cs="Calibri" w:eastAsia="Calibri" w:hAnsi="Calibri"/>
          <w:sz w:val="17"/>
          <w:szCs w:val="17"/>
          <w:b w:val="1"/>
          <w:bCs w:val="1"/>
          <w:color w:val="auto"/>
        </w:rPr>
        <w:t>Director onboarding</w:t>
      </w:r>
    </w:p>
    <w:p>
      <w:pPr>
        <w:spacing w:after="0" w:line="71" w:lineRule="exact"/>
        <w:rPr>
          <w:sz w:val="20"/>
          <w:szCs w:val="20"/>
          <w:color w:val="auto"/>
        </w:rPr>
      </w:pPr>
    </w:p>
    <w:p>
      <w:pPr>
        <w:ind w:left="1620" w:right="140"/>
        <w:spacing w:after="0" w:line="236" w:lineRule="auto"/>
        <w:rPr>
          <w:sz w:val="20"/>
          <w:szCs w:val="20"/>
          <w:color w:val="auto"/>
        </w:rPr>
      </w:pPr>
      <w:r>
        <w:rPr>
          <w:rFonts w:ascii="Calibri" w:cs="Calibri" w:eastAsia="Calibri" w:hAnsi="Calibri"/>
          <w:sz w:val="16"/>
          <w:szCs w:val="16"/>
          <w:color w:val="auto"/>
        </w:rPr>
        <w:t>All new directors partcipate in an orientaton program shortly afer their electon, which is overseen by the Nominatng and Governance Commitee of the board, includes site visits and</w:t>
      </w:r>
    </w:p>
    <w:p>
      <w:pPr>
        <w:spacing w:after="0" w:line="12" w:lineRule="exact"/>
        <w:rPr>
          <w:sz w:val="20"/>
          <w:szCs w:val="20"/>
          <w:color w:val="auto"/>
        </w:rPr>
      </w:pPr>
    </w:p>
    <w:p>
      <w:pPr>
        <w:ind w:left="780" w:right="360"/>
        <w:spacing w:after="0" w:line="237" w:lineRule="auto"/>
        <w:rPr>
          <w:sz w:val="20"/>
          <w:szCs w:val="20"/>
          <w:color w:val="auto"/>
        </w:rPr>
      </w:pPr>
      <w:r>
        <w:rPr>
          <w:rFonts w:ascii="Calibri" w:cs="Calibri" w:eastAsia="Calibri" w:hAnsi="Calibri"/>
          <w:sz w:val="16"/>
          <w:szCs w:val="16"/>
          <w:color w:val="auto"/>
        </w:rPr>
        <w:t>presentaton by senior management to familiarize new directors with EXL’s strategic and business plans, as well as our signifcant fnancial, accountng and risk management maters, our compliance programs, our corporate governance framework, and our principal ofcers, and independent and internal audit teams.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80"/>
        <w:spacing w:after="0"/>
        <w:rPr>
          <w:sz w:val="20"/>
          <w:szCs w:val="20"/>
          <w:color w:val="auto"/>
        </w:rPr>
      </w:pPr>
      <w:r>
        <w:rPr>
          <w:rFonts w:ascii="Calibri" w:cs="Calibri" w:eastAsia="Calibri" w:hAnsi="Calibri"/>
          <w:sz w:val="17"/>
          <w:szCs w:val="17"/>
          <w:b w:val="1"/>
          <w:bCs w:val="1"/>
          <w:color w:val="auto"/>
        </w:rPr>
        <w:t>Employee and stockholder engagement</w:t>
      </w:r>
    </w:p>
    <w:p>
      <w:pPr>
        <w:spacing w:after="0" w:line="97" w:lineRule="exact"/>
        <w:rPr>
          <w:sz w:val="20"/>
          <w:szCs w:val="20"/>
          <w:color w:val="auto"/>
        </w:rPr>
      </w:pPr>
    </w:p>
    <w:p>
      <w:pPr>
        <w:ind w:left="1620" w:right="80"/>
        <w:spacing w:after="0" w:line="236" w:lineRule="auto"/>
        <w:rPr>
          <w:sz w:val="20"/>
          <w:szCs w:val="20"/>
          <w:color w:val="auto"/>
        </w:rPr>
      </w:pPr>
      <w:r>
        <w:rPr>
          <w:rFonts w:ascii="Calibri" w:cs="Calibri" w:eastAsia="Calibri" w:hAnsi="Calibri"/>
          <w:sz w:val="16"/>
          <w:szCs w:val="16"/>
          <w:color w:val="auto"/>
        </w:rPr>
        <w:t>Our board members are generally invited to visit any of EXL’s ofces and have complete and open access at any tme to our management and employees. Our board members also take part in</w:t>
      </w:r>
    </w:p>
    <w:p>
      <w:pPr>
        <w:spacing w:after="0" w:line="38" w:lineRule="exact"/>
        <w:rPr>
          <w:sz w:val="20"/>
          <w:szCs w:val="20"/>
          <w:color w:val="auto"/>
        </w:rPr>
      </w:pPr>
    </w:p>
    <w:p>
      <w:pPr>
        <w:ind w:left="780" w:right="400"/>
        <w:spacing w:after="0" w:line="233" w:lineRule="auto"/>
        <w:rPr>
          <w:sz w:val="20"/>
          <w:szCs w:val="20"/>
          <w:color w:val="auto"/>
        </w:rPr>
      </w:pPr>
      <w:r>
        <w:rPr>
          <w:rFonts w:ascii="Calibri" w:cs="Calibri" w:eastAsia="Calibri" w:hAnsi="Calibri"/>
          <w:sz w:val="16"/>
          <w:szCs w:val="16"/>
          <w:color w:val="auto"/>
        </w:rPr>
        <w:t>EXL company initatves in which they can engage with our non-management level employees directly. For example,</w:t>
      </w:r>
    </w:p>
    <w:p>
      <w:pPr>
        <w:spacing w:after="0" w:line="11" w:lineRule="exact"/>
        <w:rPr>
          <w:sz w:val="20"/>
          <w:szCs w:val="20"/>
          <w:color w:val="auto"/>
        </w:rPr>
      </w:pPr>
    </w:p>
    <w:p>
      <w:pPr>
        <w:ind w:left="780" w:right="440"/>
        <w:spacing w:after="0" w:line="236" w:lineRule="auto"/>
        <w:rPr>
          <w:sz w:val="20"/>
          <w:szCs w:val="20"/>
          <w:color w:val="auto"/>
        </w:rPr>
      </w:pPr>
      <w:r>
        <w:rPr>
          <w:rFonts w:ascii="Calibri" w:cs="Calibri" w:eastAsia="Calibri" w:hAnsi="Calibri"/>
          <w:sz w:val="16"/>
          <w:szCs w:val="16"/>
          <w:b w:val="1"/>
          <w:bCs w:val="1"/>
          <w:color w:val="auto"/>
        </w:rPr>
        <w:t>Ms. Studenmund</w:t>
      </w:r>
      <w:r>
        <w:rPr>
          <w:rFonts w:ascii="Calibri" w:cs="Calibri" w:eastAsia="Calibri" w:hAnsi="Calibri"/>
          <w:sz w:val="16"/>
          <w:szCs w:val="16"/>
          <w:color w:val="auto"/>
        </w:rPr>
        <w:t>, a board member, partcipated in a freside</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chat webinar for Internatonal Women’s Day in 2021 on gender equity in the business world, which was made available to our employees.</w:t>
      </w:r>
    </w:p>
    <w:p>
      <w:pPr>
        <w:spacing w:after="0" w:line="129" w:lineRule="exact"/>
        <w:rPr>
          <w:sz w:val="20"/>
          <w:szCs w:val="20"/>
          <w:color w:val="auto"/>
        </w:rPr>
      </w:pPr>
    </w:p>
    <w:p>
      <w:pPr>
        <w:jc w:val="both"/>
        <w:ind w:left="780" w:right="560"/>
        <w:spacing w:after="0" w:line="280" w:lineRule="auto"/>
        <w:rPr>
          <w:sz w:val="20"/>
          <w:szCs w:val="20"/>
          <w:color w:val="auto"/>
        </w:rPr>
      </w:pPr>
      <w:r>
        <w:rPr>
          <w:rFonts w:ascii="Calibri" w:cs="Calibri" w:eastAsia="Calibri" w:hAnsi="Calibri"/>
          <w:sz w:val="14"/>
          <w:szCs w:val="14"/>
          <w:color w:val="auto"/>
        </w:rPr>
        <w:t xml:space="preserve">Additonally, in 2021, </w:t>
      </w:r>
      <w:r>
        <w:rPr>
          <w:rFonts w:ascii="Calibri" w:cs="Calibri" w:eastAsia="Calibri" w:hAnsi="Calibri"/>
          <w:sz w:val="14"/>
          <w:szCs w:val="14"/>
          <w:b w:val="1"/>
          <w:bCs w:val="1"/>
          <w:color w:val="auto"/>
        </w:rPr>
        <w:t>Mr. Sahney</w:t>
      </w:r>
      <w:r>
        <w:rPr>
          <w:rFonts w:ascii="Calibri" w:cs="Calibri" w:eastAsia="Calibri" w:hAnsi="Calibri"/>
          <w:sz w:val="14"/>
          <w:szCs w:val="14"/>
          <w:color w:val="auto"/>
        </w:rPr>
        <w:t xml:space="preserve"> and </w:t>
      </w:r>
      <w:r>
        <w:rPr>
          <w:rFonts w:ascii="Calibri" w:cs="Calibri" w:eastAsia="Calibri" w:hAnsi="Calibri"/>
          <w:sz w:val="14"/>
          <w:szCs w:val="14"/>
          <w:b w:val="1"/>
          <w:bCs w:val="1"/>
          <w:color w:val="auto"/>
        </w:rPr>
        <w:t>Ms. Studenmund</w:t>
      </w:r>
      <w:r>
        <w:rPr>
          <w:rFonts w:ascii="Calibri" w:cs="Calibri" w:eastAsia="Calibri" w:hAnsi="Calibri"/>
          <w:sz w:val="14"/>
          <w:szCs w:val="14"/>
          <w:color w:val="auto"/>
        </w:rPr>
        <w:t xml:space="preserve"> each partcipated in our stockholder engagement program, joining management in direct discussions with our stockholders. See "Corporate governance—stockholder engagement."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300"/>
        <w:spacing w:after="0"/>
        <w:rPr>
          <w:sz w:val="20"/>
          <w:szCs w:val="20"/>
          <w:color w:val="auto"/>
        </w:rPr>
      </w:pPr>
      <w:r>
        <w:rPr>
          <w:rFonts w:ascii="Calibri" w:cs="Calibri" w:eastAsia="Calibri" w:hAnsi="Calibri"/>
          <w:sz w:val="17"/>
          <w:szCs w:val="17"/>
          <w:b w:val="1"/>
          <w:bCs w:val="1"/>
          <w:color w:val="auto"/>
        </w:rPr>
        <w:t>Director contnuing educaton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-1438910</wp:posOffset>
            </wp:positionV>
            <wp:extent cx="717931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-438785</wp:posOffset>
            </wp:positionV>
            <wp:extent cx="6740525" cy="65919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40525" cy="6591935"/>
                    </a:xfrm>
                    <a:prstGeom prst="rect">
                      <a:avLst/>
                    </a:prstGeom>
                    <a:noFill/>
                  </pic:spPr>
                </pic:pic>
              </a:graphicData>
            </a:graphic>
          </wp:anchor>
        </w:drawing>
      </w:r>
    </w:p>
    <w:p>
      <w:pPr>
        <w:spacing w:after="0" w:line="64" w:lineRule="exact"/>
        <w:rPr>
          <w:sz w:val="20"/>
          <w:szCs w:val="20"/>
          <w:color w:val="auto"/>
        </w:rPr>
      </w:pPr>
    </w:p>
    <w:p>
      <w:pPr>
        <w:jc w:val="both"/>
        <w:ind w:left="900" w:right="200"/>
        <w:spacing w:after="0" w:line="236" w:lineRule="auto"/>
        <w:rPr>
          <w:sz w:val="20"/>
          <w:szCs w:val="20"/>
          <w:color w:val="auto"/>
        </w:rPr>
      </w:pPr>
      <w:r>
        <w:rPr>
          <w:rFonts w:ascii="Calibri" w:cs="Calibri" w:eastAsia="Calibri" w:hAnsi="Calibri"/>
          <w:sz w:val="16"/>
          <w:szCs w:val="16"/>
          <w:color w:val="auto"/>
        </w:rPr>
        <w:t>We also encourage our board members to partcipate in director contnuing educaton, and provide our directors with materials relatng to director contnuing educaton opportunites, and</w:t>
      </w:r>
    </w:p>
    <w:p>
      <w:pPr>
        <w:spacing w:after="0" w:line="25" w:lineRule="exact"/>
        <w:rPr>
          <w:sz w:val="20"/>
          <w:szCs w:val="20"/>
          <w:color w:val="auto"/>
        </w:rPr>
      </w:pPr>
    </w:p>
    <w:p>
      <w:pPr>
        <w:ind w:right="80"/>
        <w:spacing w:after="0" w:line="238" w:lineRule="auto"/>
        <w:rPr>
          <w:sz w:val="20"/>
          <w:szCs w:val="20"/>
          <w:color w:val="auto"/>
        </w:rPr>
      </w:pPr>
      <w:r>
        <w:rPr>
          <w:rFonts w:ascii="Calibri" w:cs="Calibri" w:eastAsia="Calibri" w:hAnsi="Calibri"/>
          <w:sz w:val="16"/>
          <w:szCs w:val="16"/>
          <w:color w:val="auto"/>
        </w:rPr>
        <w:t xml:space="preserve">reimbursements for atending such courses. For example, </w:t>
      </w:r>
      <w:r>
        <w:rPr>
          <w:rFonts w:ascii="Calibri" w:cs="Calibri" w:eastAsia="Calibri" w:hAnsi="Calibri"/>
          <w:sz w:val="16"/>
          <w:szCs w:val="16"/>
          <w:b w:val="1"/>
          <w:bCs w:val="1"/>
          <w:color w:val="auto"/>
        </w:rPr>
        <w:t>Mr. Kapoor</w:t>
      </w:r>
      <w:r>
        <w:rPr>
          <w:rFonts w:ascii="Calibri" w:cs="Calibri" w:eastAsia="Calibri" w:hAnsi="Calibri"/>
          <w:sz w:val="16"/>
          <w:szCs w:val="16"/>
          <w:color w:val="auto"/>
        </w:rPr>
        <w:t xml:space="preserve"> atended the KPMG Board Leadership Conference ttled “Courage and Leadership” in early 2021, </w:t>
      </w:r>
      <w:r>
        <w:rPr>
          <w:rFonts w:ascii="Calibri" w:cs="Calibri" w:eastAsia="Calibri" w:hAnsi="Calibri"/>
          <w:sz w:val="16"/>
          <w:szCs w:val="16"/>
          <w:b w:val="1"/>
          <w:bCs w:val="1"/>
          <w:color w:val="auto"/>
        </w:rPr>
        <w:t>Ms. Minto</w:t>
      </w:r>
      <w:r>
        <w:rPr>
          <w:rFonts w:ascii="Calibri" w:cs="Calibri" w:eastAsia="Calibri" w:hAnsi="Calibri"/>
          <w:sz w:val="16"/>
          <w:szCs w:val="16"/>
          <w:color w:val="auto"/>
        </w:rPr>
        <w:t xml:space="preserve"> partcipated in the Deloite Annual Board Symposium hosted by the Center for Board Efectveness, and </w:t>
      </w:r>
      <w:r>
        <w:rPr>
          <w:rFonts w:ascii="Calibri" w:cs="Calibri" w:eastAsia="Calibri" w:hAnsi="Calibri"/>
          <w:sz w:val="16"/>
          <w:szCs w:val="16"/>
          <w:b w:val="1"/>
          <w:bCs w:val="1"/>
          <w:color w:val="auto"/>
        </w:rPr>
        <w:t>Ms.</w:t>
      </w:r>
      <w:r>
        <w:rPr>
          <w:rFonts w:ascii="Calibri" w:cs="Calibri" w:eastAsia="Calibri" w:hAnsi="Calibri"/>
          <w:sz w:val="16"/>
          <w:szCs w:val="16"/>
          <w:color w:val="auto"/>
        </w:rPr>
        <w:t xml:space="preserve"> </w:t>
      </w:r>
      <w:r>
        <w:rPr>
          <w:rFonts w:ascii="Calibri" w:cs="Calibri" w:eastAsia="Calibri" w:hAnsi="Calibri"/>
          <w:sz w:val="16"/>
          <w:szCs w:val="16"/>
          <w:b w:val="1"/>
          <w:bCs w:val="1"/>
          <w:color w:val="auto"/>
        </w:rPr>
        <w:t xml:space="preserve">Pipes </w:t>
      </w:r>
      <w:r>
        <w:rPr>
          <w:rFonts w:ascii="Calibri" w:cs="Calibri" w:eastAsia="Calibri" w:hAnsi="Calibri"/>
          <w:sz w:val="16"/>
          <w:szCs w:val="16"/>
          <w:color w:val="auto"/>
        </w:rPr>
        <w:t>partcipated in several courses and trainings on cybersecurity,</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among other topics, including through the Digital Directors Network throughout the year.</w:t>
      </w:r>
    </w:p>
    <w:p>
      <w:pPr>
        <w:spacing w:after="0" w:line="153" w:lineRule="exact"/>
        <w:rPr>
          <w:sz w:val="20"/>
          <w:szCs w:val="20"/>
          <w:color w:val="auto"/>
        </w:rPr>
      </w:pPr>
    </w:p>
    <w:p>
      <w:pPr>
        <w:ind w:right="140"/>
        <w:spacing w:after="0" w:line="237" w:lineRule="auto"/>
        <w:rPr>
          <w:sz w:val="20"/>
          <w:szCs w:val="20"/>
          <w:color w:val="auto"/>
        </w:rPr>
      </w:pPr>
      <w:r>
        <w:rPr>
          <w:rFonts w:ascii="Calibri" w:cs="Calibri" w:eastAsia="Calibri" w:hAnsi="Calibri"/>
          <w:sz w:val="16"/>
          <w:szCs w:val="16"/>
          <w:color w:val="auto"/>
        </w:rPr>
        <w:t>Our board members also receive regular updates on corporate governance, social and environmental maters, executve compensaton developments and trends, accountng standards changes, risk management maters and other legal and other topics of interest from our internal and external counsel, our independent auditors and third-party advisors.</w:t>
      </w:r>
    </w:p>
    <w:p>
      <w:pPr>
        <w:spacing w:after="0" w:line="170" w:lineRule="exact"/>
        <w:rPr>
          <w:sz w:val="20"/>
          <w:szCs w:val="20"/>
          <w:color w:val="auto"/>
        </w:rPr>
      </w:pPr>
    </w:p>
    <w:p>
      <w:pPr>
        <w:ind w:right="560"/>
        <w:spacing w:after="0" w:line="283" w:lineRule="auto"/>
        <w:rPr>
          <w:sz w:val="20"/>
          <w:szCs w:val="20"/>
          <w:color w:val="auto"/>
        </w:rPr>
      </w:pPr>
      <w:r>
        <w:rPr>
          <w:rFonts w:ascii="Calibri" w:cs="Calibri" w:eastAsia="Calibri" w:hAnsi="Calibri"/>
          <w:sz w:val="14"/>
          <w:szCs w:val="14"/>
          <w:color w:val="auto"/>
        </w:rPr>
        <w:t>We maintain a subscripton for board members to the Natonal Associaton of Corporate Directors (the “NACD”), an authority on elevatng board leadership and promotng board best practces.</w:t>
      </w:r>
    </w:p>
    <w:p>
      <w:pPr>
        <w:spacing w:after="0" w:line="124" w:lineRule="exact"/>
        <w:rPr>
          <w:sz w:val="20"/>
          <w:szCs w:val="20"/>
          <w:color w:val="auto"/>
        </w:rPr>
      </w:pPr>
    </w:p>
    <w:p>
      <w:pPr>
        <w:spacing w:after="0" w:line="238" w:lineRule="auto"/>
        <w:rPr>
          <w:sz w:val="20"/>
          <w:szCs w:val="20"/>
          <w:color w:val="auto"/>
        </w:rPr>
      </w:pPr>
      <w:r>
        <w:rPr>
          <w:rFonts w:ascii="Calibri" w:cs="Calibri" w:eastAsia="Calibri" w:hAnsi="Calibri"/>
          <w:sz w:val="16"/>
          <w:szCs w:val="16"/>
          <w:color w:val="auto"/>
        </w:rPr>
        <w:t xml:space="preserve">Certain of our directors are involved in industry-level governance maters. For example, </w:t>
      </w:r>
      <w:r>
        <w:rPr>
          <w:rFonts w:ascii="Calibri" w:cs="Calibri" w:eastAsia="Calibri" w:hAnsi="Calibri"/>
          <w:sz w:val="16"/>
          <w:szCs w:val="16"/>
          <w:b w:val="1"/>
          <w:bCs w:val="1"/>
          <w:color w:val="auto"/>
        </w:rPr>
        <w:t>Mr. Mital</w:t>
      </w:r>
      <w:r>
        <w:rPr>
          <w:rFonts w:ascii="Calibri" w:cs="Calibri" w:eastAsia="Calibri" w:hAnsi="Calibri"/>
          <w:sz w:val="16"/>
          <w:szCs w:val="16"/>
          <w:color w:val="auto"/>
        </w:rPr>
        <w:t xml:space="preserve"> is the former president and chairman of the Natonal Associaton of Sofware and Service Companies (“NASSCOM”), an Indian trade associaton and governance group focused on the informaton technology and business process outsourcing industry, a group in which we and many of our U.S. peer companies with operatons in India are members. He advises NASSCOM on best practces for corporate governance within the industry.</w:t>
      </w:r>
    </w:p>
    <w:p>
      <w:pPr>
        <w:spacing w:after="0" w:line="155" w:lineRule="exact"/>
        <w:rPr>
          <w:sz w:val="20"/>
          <w:szCs w:val="20"/>
          <w:color w:val="auto"/>
        </w:rPr>
      </w:pPr>
    </w:p>
    <w:p>
      <w:pPr>
        <w:ind w:right="60"/>
        <w:spacing w:after="0" w:line="237" w:lineRule="auto"/>
        <w:rPr>
          <w:sz w:val="20"/>
          <w:szCs w:val="20"/>
          <w:color w:val="auto"/>
        </w:rPr>
      </w:pPr>
      <w:r>
        <w:rPr>
          <w:rFonts w:ascii="Calibri" w:cs="Calibri" w:eastAsia="Calibri" w:hAnsi="Calibri"/>
          <w:sz w:val="16"/>
          <w:szCs w:val="16"/>
          <w:color w:val="auto"/>
        </w:rPr>
        <w:t xml:space="preserve">Additonally, </w:t>
      </w:r>
      <w:r>
        <w:rPr>
          <w:rFonts w:ascii="Calibri" w:cs="Calibri" w:eastAsia="Calibri" w:hAnsi="Calibri"/>
          <w:sz w:val="16"/>
          <w:szCs w:val="16"/>
          <w:b w:val="1"/>
          <w:bCs w:val="1"/>
          <w:color w:val="auto"/>
        </w:rPr>
        <w:t>Ms. Studenmund</w:t>
      </w:r>
      <w:r>
        <w:rPr>
          <w:rFonts w:ascii="Calibri" w:cs="Calibri" w:eastAsia="Calibri" w:hAnsi="Calibri"/>
          <w:sz w:val="16"/>
          <w:szCs w:val="16"/>
          <w:color w:val="auto"/>
        </w:rPr>
        <w:t xml:space="preserve"> is an NACD Board Leadership Fellow, a credental awarded to her for her completon of the NACD Master Class and her ongoing partcipaton in director educaton programs and events that enable her to stay up-to-date on emerging corporate governance maters. She was also recently recognized as a member of NACD’s Directorship 100 for her leadership in corporate governance.</w:t>
      </w:r>
    </w:p>
    <w:p>
      <w:pPr>
        <w:spacing w:after="0" w:line="200" w:lineRule="exact"/>
        <w:rPr>
          <w:sz w:val="20"/>
          <w:szCs w:val="20"/>
          <w:color w:val="auto"/>
        </w:rPr>
      </w:pPr>
    </w:p>
    <w:p>
      <w:pPr>
        <w:sectPr>
          <w:pgSz w:w="11900" w:h="16838" w:orient="portrait"/>
          <w:cols w:equalWidth="0" w:num="2">
            <w:col w:w="5200" w:space="720"/>
            <w:col w:w="4660"/>
          </w:cols>
          <w:pgMar w:left="320" w:top="44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80"/>
        <w:spacing w:after="0"/>
        <w:tabs>
          <w:tab w:leader="none" w:pos="2620" w:val="left"/>
          <w:tab w:leader="none" w:pos="4280" w:val="left"/>
          <w:tab w:leader="none" w:pos="5940" w:val="left"/>
          <w:tab w:leader="none" w:pos="7620" w:val="left"/>
          <w:tab w:leader="none" w:pos="9300" w:val="left"/>
        </w:tabs>
        <w:rPr>
          <w:sz w:val="20"/>
          <w:szCs w:val="20"/>
          <w:color w:val="auto"/>
        </w:rPr>
      </w:pPr>
      <w:r>
        <w:rPr>
          <w:rFonts w:ascii="Calibri" w:cs="Calibri" w:eastAsia="Calibri" w:hAnsi="Calibri"/>
          <w:sz w:val="14"/>
          <w:szCs w:val="14"/>
          <w:b w:val="1"/>
          <w:bCs w:val="1"/>
          <w:i w:val="1"/>
          <w:iCs w:val="1"/>
          <w:color w:val="auto"/>
        </w:rPr>
        <w:t>Anne Minto</w:t>
      </w:r>
      <w:r>
        <w:rPr>
          <w:sz w:val="20"/>
          <w:szCs w:val="20"/>
          <w:color w:val="auto"/>
        </w:rPr>
        <w:tab/>
      </w:r>
      <w:r>
        <w:rPr>
          <w:rFonts w:ascii="Calibri" w:cs="Calibri" w:eastAsia="Calibri" w:hAnsi="Calibri"/>
          <w:sz w:val="14"/>
          <w:szCs w:val="14"/>
          <w:b w:val="1"/>
          <w:bCs w:val="1"/>
          <w:i w:val="1"/>
          <w:iCs w:val="1"/>
          <w:color w:val="auto"/>
        </w:rPr>
        <w:t>Kristy Pipes</w:t>
      </w:r>
      <w:r>
        <w:rPr>
          <w:sz w:val="20"/>
          <w:szCs w:val="20"/>
          <w:color w:val="auto"/>
        </w:rPr>
        <w:tab/>
      </w:r>
      <w:r>
        <w:rPr>
          <w:rFonts w:ascii="Calibri" w:cs="Calibri" w:eastAsia="Calibri" w:hAnsi="Calibri"/>
          <w:sz w:val="14"/>
          <w:szCs w:val="14"/>
          <w:b w:val="1"/>
          <w:bCs w:val="1"/>
          <w:i w:val="1"/>
          <w:iCs w:val="1"/>
          <w:color w:val="auto"/>
        </w:rPr>
        <w:t>Rohit Kapoor</w:t>
      </w:r>
      <w:r>
        <w:rPr>
          <w:sz w:val="20"/>
          <w:szCs w:val="20"/>
          <w:color w:val="auto"/>
        </w:rPr>
        <w:tab/>
      </w:r>
      <w:r>
        <w:rPr>
          <w:rFonts w:ascii="Calibri" w:cs="Calibri" w:eastAsia="Calibri" w:hAnsi="Calibri"/>
          <w:sz w:val="14"/>
          <w:szCs w:val="14"/>
          <w:b w:val="1"/>
          <w:bCs w:val="1"/>
          <w:i w:val="1"/>
          <w:iCs w:val="1"/>
          <w:color w:val="auto"/>
        </w:rPr>
        <w:t>Jaynie Studenmund</w:t>
      </w:r>
      <w:r>
        <w:rPr>
          <w:sz w:val="20"/>
          <w:szCs w:val="20"/>
          <w:color w:val="auto"/>
        </w:rPr>
        <w:tab/>
      </w:r>
      <w:r>
        <w:rPr>
          <w:rFonts w:ascii="Calibri" w:cs="Calibri" w:eastAsia="Calibri" w:hAnsi="Calibri"/>
          <w:sz w:val="14"/>
          <w:szCs w:val="14"/>
          <w:b w:val="1"/>
          <w:bCs w:val="1"/>
          <w:i w:val="1"/>
          <w:iCs w:val="1"/>
          <w:color w:val="auto"/>
        </w:rPr>
        <w:t>Som Mital</w:t>
      </w:r>
      <w:r>
        <w:rPr>
          <w:sz w:val="20"/>
          <w:szCs w:val="20"/>
          <w:color w:val="auto"/>
        </w:rPr>
        <w:tab/>
      </w:r>
      <w:r>
        <w:rPr>
          <w:rFonts w:ascii="Calibri" w:cs="Calibri" w:eastAsia="Calibri" w:hAnsi="Calibri"/>
          <w:sz w:val="14"/>
          <w:szCs w:val="14"/>
          <w:b w:val="1"/>
          <w:bCs w:val="1"/>
          <w:i w:val="1"/>
          <w:iCs w:val="1"/>
          <w:color w:val="auto"/>
        </w:rPr>
        <w:t>Nitn Sahney</w:t>
      </w:r>
    </w:p>
    <w:p>
      <w:pPr>
        <w:ind w:left="880"/>
        <w:spacing w:after="0"/>
        <w:tabs>
          <w:tab w:leader="none" w:pos="2620" w:val="left"/>
          <w:tab w:leader="none" w:pos="4280" w:val="left"/>
          <w:tab w:leader="none" w:pos="5940" w:val="left"/>
          <w:tab w:leader="none" w:pos="7620" w:val="left"/>
          <w:tab w:leader="none" w:pos="9300" w:val="left"/>
        </w:tabs>
        <w:rPr>
          <w:sz w:val="20"/>
          <w:szCs w:val="20"/>
          <w:color w:val="auto"/>
        </w:rPr>
      </w:pPr>
      <w:r>
        <w:rPr>
          <w:rFonts w:ascii="Calibri" w:cs="Calibri" w:eastAsia="Calibri" w:hAnsi="Calibri"/>
          <w:sz w:val="14"/>
          <w:szCs w:val="14"/>
          <w:i w:val="1"/>
          <w:iCs w:val="1"/>
          <w:color w:val="auto"/>
        </w:rPr>
        <w:t>Independent director</w:t>
      </w:r>
      <w:r>
        <w:rPr>
          <w:sz w:val="20"/>
          <w:szCs w:val="20"/>
          <w:color w:val="auto"/>
        </w:rPr>
        <w:tab/>
      </w:r>
      <w:r>
        <w:rPr>
          <w:rFonts w:ascii="Calibri" w:cs="Calibri" w:eastAsia="Calibri" w:hAnsi="Calibri"/>
          <w:sz w:val="14"/>
          <w:szCs w:val="14"/>
          <w:i w:val="1"/>
          <w:iCs w:val="1"/>
          <w:color w:val="auto"/>
        </w:rPr>
        <w:t>Independent director</w:t>
      </w:r>
      <w:r>
        <w:rPr>
          <w:sz w:val="20"/>
          <w:szCs w:val="20"/>
          <w:color w:val="auto"/>
        </w:rPr>
        <w:tab/>
      </w:r>
      <w:r>
        <w:rPr>
          <w:rFonts w:ascii="Calibri" w:cs="Calibri" w:eastAsia="Calibri" w:hAnsi="Calibri"/>
          <w:sz w:val="14"/>
          <w:szCs w:val="14"/>
          <w:i w:val="1"/>
          <w:iCs w:val="1"/>
          <w:color w:val="auto"/>
        </w:rPr>
        <w:t>Vice Chairman</w:t>
      </w:r>
      <w:r>
        <w:rPr>
          <w:sz w:val="20"/>
          <w:szCs w:val="20"/>
          <w:color w:val="auto"/>
        </w:rPr>
        <w:tab/>
      </w:r>
      <w:r>
        <w:rPr>
          <w:rFonts w:ascii="Calibri" w:cs="Calibri" w:eastAsia="Calibri" w:hAnsi="Calibri"/>
          <w:sz w:val="14"/>
          <w:szCs w:val="14"/>
          <w:i w:val="1"/>
          <w:iCs w:val="1"/>
          <w:color w:val="auto"/>
        </w:rPr>
        <w:t>Independent director</w:t>
      </w:r>
      <w:r>
        <w:rPr>
          <w:sz w:val="20"/>
          <w:szCs w:val="20"/>
          <w:color w:val="auto"/>
        </w:rPr>
        <w:tab/>
      </w:r>
      <w:r>
        <w:rPr>
          <w:rFonts w:ascii="Calibri" w:cs="Calibri" w:eastAsia="Calibri" w:hAnsi="Calibri"/>
          <w:sz w:val="14"/>
          <w:szCs w:val="14"/>
          <w:i w:val="1"/>
          <w:iCs w:val="1"/>
          <w:color w:val="auto"/>
        </w:rPr>
        <w:t>Independent director</w:t>
      </w:r>
      <w:r>
        <w:rPr>
          <w:sz w:val="20"/>
          <w:szCs w:val="20"/>
          <w:color w:val="auto"/>
        </w:rPr>
        <w:tab/>
      </w:r>
      <w:r>
        <w:rPr>
          <w:rFonts w:ascii="Calibri" w:cs="Calibri" w:eastAsia="Calibri" w:hAnsi="Calibri"/>
          <w:sz w:val="13"/>
          <w:szCs w:val="13"/>
          <w:i w:val="1"/>
          <w:iCs w:val="1"/>
          <w:color w:val="auto"/>
        </w:rPr>
        <w:t>Independent director</w:t>
      </w:r>
    </w:p>
    <w:p>
      <w:pPr>
        <w:ind w:left="4300"/>
        <w:spacing w:after="0" w:line="238" w:lineRule="auto"/>
        <w:rPr>
          <w:sz w:val="20"/>
          <w:szCs w:val="20"/>
          <w:color w:val="auto"/>
        </w:rPr>
      </w:pPr>
      <w:r>
        <w:rPr>
          <w:rFonts w:ascii="Calibri" w:cs="Calibri" w:eastAsia="Calibri" w:hAnsi="Calibri"/>
          <w:sz w:val="14"/>
          <w:szCs w:val="14"/>
          <w:i w:val="1"/>
          <w:iCs w:val="1"/>
          <w:color w:val="auto"/>
        </w:rPr>
        <w:t>and CEO</w:t>
      </w:r>
    </w:p>
    <w:p>
      <w:pPr>
        <w:spacing w:after="0" w:line="187"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30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580"/>
          </w:cols>
          <w:pgMar w:left="320" w:top="445"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Board leadership structure</w:t>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Vikram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-1934210</wp:posOffset>
            </wp:positionV>
            <wp:extent cx="1404620" cy="17183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04620" cy="1718310"/>
                    </a:xfrm>
                    <a:prstGeom prst="rect">
                      <a:avLst/>
                    </a:prstGeom>
                    <a:noFill/>
                  </pic:spPr>
                </pic:pic>
              </a:graphicData>
            </a:graphic>
          </wp:anchor>
        </w:drawing>
      </w:r>
    </w:p>
    <w:p>
      <w:pPr>
        <w:ind w:left="320"/>
        <w:spacing w:after="0"/>
        <w:rPr>
          <w:sz w:val="20"/>
          <w:szCs w:val="20"/>
          <w:color w:val="auto"/>
        </w:rPr>
      </w:pPr>
      <w:r>
        <w:rPr>
          <w:rFonts w:ascii="Calibri" w:cs="Calibri" w:eastAsia="Calibri" w:hAnsi="Calibri"/>
          <w:sz w:val="16"/>
          <w:szCs w:val="16"/>
          <w:i w:val="1"/>
          <w:iCs w:val="1"/>
          <w:color w:val="auto"/>
        </w:rPr>
        <w:t>Independent Chairman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640" w:right="160"/>
        <w:spacing w:after="0" w:line="239" w:lineRule="auto"/>
        <w:rPr>
          <w:sz w:val="20"/>
          <w:szCs w:val="20"/>
          <w:color w:val="auto"/>
        </w:rPr>
      </w:pPr>
      <w:r>
        <w:rPr>
          <w:rFonts w:ascii="Calibri" w:cs="Calibri" w:eastAsia="Calibri" w:hAnsi="Calibri"/>
          <w:sz w:val="17"/>
          <w:szCs w:val="17"/>
          <w:color w:val="auto"/>
        </w:rPr>
        <w:t>Our board of directors is currently led by Vikram Pandit, our Chairman, and Rohit Kapoor, our Vice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404620" cy="17183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04620" cy="1718310"/>
                    </a:xfrm>
                    <a:prstGeom prst="rect">
                      <a:avLst/>
                    </a:prstGeom>
                    <a:noFill/>
                  </pic:spPr>
                </pic:pic>
              </a:graphicData>
            </a:graphic>
          </wp:anchor>
        </w:drawing>
      </w:r>
    </w:p>
    <w:p>
      <w:pPr>
        <w:spacing w:after="0" w:line="217" w:lineRule="exact"/>
        <w:rPr>
          <w:sz w:val="20"/>
          <w:szCs w:val="20"/>
          <w:color w:val="auto"/>
        </w:rPr>
      </w:pPr>
    </w:p>
    <w:p>
      <w:pPr>
        <w:ind w:left="2640" w:right="20"/>
        <w:spacing w:after="0"/>
        <w:rPr>
          <w:sz w:val="20"/>
          <w:szCs w:val="20"/>
          <w:color w:val="auto"/>
        </w:rPr>
      </w:pPr>
      <w:r>
        <w:rPr>
          <w:rFonts w:ascii="Calibri" w:cs="Calibri" w:eastAsia="Calibri" w:hAnsi="Calibri"/>
          <w:sz w:val="17"/>
          <w:szCs w:val="17"/>
          <w:color w:val="auto"/>
        </w:rPr>
        <w:t>Our by-laws provide that our Chairman or, in the absence of our Chairman, our Lead Director (if there is a Lead Director serving at such tme), or in the absence of both our Chairman and Lead Director, our CEO, calls meetngs of our board of directors to order and acts as the chairman for those board meetngs. In the absence of our Chairman, our Lead Director (if there is a Lead Director serving at such tme), and our CEO, a majority of our directors present may elect as chairman of the meetng any director present. Independent directors meet at least quarterly in executve session without any management directors or members of the Company’s</w:t>
      </w:r>
    </w:p>
    <w:p>
      <w:pPr>
        <w:spacing w:after="0" w:line="96"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Rohit Kapoor</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i w:val="1"/>
          <w:iCs w:val="1"/>
          <w:color w:val="auto"/>
        </w:rPr>
        <w:t>Vice Chairman and CEO</w:t>
      </w:r>
    </w:p>
    <w:p>
      <w:pPr>
        <w:spacing w:after="0" w:line="171" w:lineRule="exact"/>
        <w:rPr>
          <w:sz w:val="20"/>
          <w:szCs w:val="20"/>
          <w:color w:val="auto"/>
        </w:rPr>
      </w:pPr>
    </w:p>
    <w:p>
      <w:pPr>
        <w:sectPr>
          <w:pgSz w:w="11900" w:h="16838" w:orient="portrait"/>
          <w:cols w:equalWidth="0" w:num="2">
            <w:col w:w="2580" w:space="720"/>
            <w:col w:w="7640"/>
          </w:cols>
          <w:pgMar w:left="320" w:top="445" w:right="639" w:bottom="1440" w:gutter="0" w:footer="0" w:header="0"/>
          <w:type w:val="continuous"/>
        </w:sectPr>
      </w:pPr>
    </w:p>
    <w:p>
      <w:pPr>
        <w:ind w:left="320" w:right="300"/>
        <w:spacing w:after="0" w:line="239" w:lineRule="auto"/>
        <w:rPr>
          <w:sz w:val="20"/>
          <w:szCs w:val="20"/>
          <w:color w:val="auto"/>
        </w:rPr>
      </w:pPr>
      <w:r>
        <w:rPr>
          <w:rFonts w:ascii="Calibri" w:cs="Calibri" w:eastAsia="Calibri" w:hAnsi="Calibri"/>
          <w:sz w:val="17"/>
          <w:szCs w:val="17"/>
          <w:color w:val="auto"/>
        </w:rPr>
        <w:t>management present. Our Corporate Governance Guidelines provide that in the absence of our Chairman, our Lead Director (if there is a Lead Director serving at such tme) or, in the absence of the Lead Director, a director chosen by the directors meetng in executve session, presides at all executve sessions.</w:t>
      </w:r>
    </w:p>
    <w:p>
      <w:pPr>
        <w:spacing w:after="0" w:line="317"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Consolidatng the Vice Chairman and CEO positons allows our CEO to contribute his experience and perspectve regarding management and leadership of the Company towards the goals of improved corporate governance and greater management accountability. In additon, the presence of our Chairman ensures that the board can retain sufcient delineaton of responsibilites, such that our Chairman and our Vice Chairman and CEO may each successfully and efectvely perform and discharge their respectve dutes and, as a corollary, enhance our prospects for success. As a result, the Company will beneft from the ability to integrate the collectve leadership and corporate governance experience of our Chairman and our Vice Chairman and CEO, while retaining the ability to facilitate the functoning of the board of directors independently of our management and to focus on our commitment to corporate governance.</w:t>
      </w:r>
    </w:p>
    <w:p>
      <w:pPr>
        <w:spacing w:after="0" w:line="317"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For the foregoing reasons, our board of directors has determined that its leadership structure is appropriate and in the best interests of our stockholders at this tme.</w:t>
      </w:r>
    </w:p>
    <w:p>
      <w:pPr>
        <w:spacing w:after="0" w:line="127"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31</w:t>
            </w:r>
          </w:p>
        </w:tc>
      </w:tr>
    </w:tbl>
    <w:p>
      <w:pPr>
        <w:sectPr>
          <w:pgSz w:w="11900" w:h="16838" w:orient="portrait"/>
          <w:cols w:equalWidth="0" w:num="1">
            <w:col w:w="10940"/>
          </w:cols>
          <w:pgMar w:left="320" w:top="445" w:right="6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ectPr>
          <w:pgSz w:w="11900" w:h="16838" w:orient="portrait"/>
          <w:cols w:equalWidth="0" w:num="1">
            <w:col w:w="10860"/>
          </w:cols>
          <w:pgMar w:left="320" w:top="445" w:right="719" w:bottom="1440" w:gutter="0" w:footer="0" w:header="0"/>
        </w:sectPr>
      </w:pP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Director qualifcatons, refreshment and evaluatons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Director qualifcatons</w:t>
      </w:r>
    </w:p>
    <w:p>
      <w:pPr>
        <w:spacing w:after="0" w:line="12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board of directors considers it paramount to achieving excellence in corporate governance to assemble a board of directors that, taken together, has the breadth of skills, qualifcatons, experience and atributes appropriate for functoning as the board of directors of our Company and working productvely with management. The Nominatng and Governance Commitee of the board is responsible for recommending nominees who are qualifed and bring a diverse set of skills and qualifcatons to oversee the Company efectvely.</w:t>
      </w:r>
    </w:p>
    <w:p>
      <w:pPr>
        <w:spacing w:after="0" w:line="238"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The Nominatng and Governance Commitee has not formally established any minimum qualifcatons for director candidates, but pursuant to our Corporate Governance Guidelines, our board of directors seeks members from diverse professional and personal backgrounds who combine a broad spectrum of experience and expertse with a reputaton for integrity. The Nominatng and Governance Commitee assesses each director candidate's independence, diversity (including age, ethnicity, race and gender, among others), skills and experience in the context of the needs of the board of directors. The Nominatng and Governance Commitee considers a number of factors in selectng director candidates, including, among others: ethical standards and integrity; independence; diversity of professional and personal backgrounds; skills and experience; other public company directorships; and fnancial literacy and expertse; communicaton skills; and ability and willingness to comply with Company policies and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Key skills and atributes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-229870</wp:posOffset>
            </wp:positionV>
            <wp:extent cx="2354580" cy="24041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54580" cy="2404110"/>
                    </a:xfrm>
                    <a:prstGeom prst="rect">
                      <a:avLst/>
                    </a:prstGeom>
                    <a:noFill/>
                  </pic:spPr>
                </pic:pic>
              </a:graphicData>
            </a:graphic>
          </wp:anchor>
        </w:drawing>
      </w:r>
    </w:p>
    <w:p>
      <w:pPr>
        <w:spacing w:after="0"/>
        <w:rPr>
          <w:sz w:val="20"/>
          <w:szCs w:val="20"/>
          <w:color w:val="auto"/>
        </w:rPr>
      </w:pPr>
      <w:r>
        <w:rPr>
          <w:rFonts w:ascii="Calibri" w:cs="Calibri" w:eastAsia="Calibri" w:hAnsi="Calibri"/>
          <w:sz w:val="16"/>
          <w:szCs w:val="16"/>
          <w:b w:val="1"/>
          <w:bCs w:val="1"/>
          <w:color w:val="auto"/>
        </w:rPr>
        <w:t>we look for in board nominees</w:t>
      </w:r>
    </w:p>
    <w:p>
      <w:pPr>
        <w:spacing w:after="0" w:line="88"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 Strategic insight</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 Critcal and innovatve thinking</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 High ethical standards and integrity</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 Mutual respect for other board members</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 Ability to debate constructvely</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 Candid, assertve, open minded</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 Availability and commitment to serve</w:t>
      </w:r>
    </w:p>
    <w:p>
      <w:pPr>
        <w:spacing w:after="0" w:line="83" w:lineRule="exact"/>
        <w:rPr>
          <w:sz w:val="20"/>
          <w:szCs w:val="20"/>
          <w:color w:val="auto"/>
        </w:rPr>
      </w:pPr>
    </w:p>
    <w:p>
      <w:pPr>
        <w:ind w:left="340" w:right="260" w:hanging="346"/>
        <w:spacing w:after="0"/>
        <w:rPr>
          <w:sz w:val="20"/>
          <w:szCs w:val="20"/>
          <w:color w:val="auto"/>
        </w:rPr>
      </w:pPr>
      <w:r>
        <w:rPr>
          <w:sz w:val="1"/>
          <w:szCs w:val="1"/>
          <w:color w:val="auto"/>
        </w:rPr>
        <w:drawing>
          <wp:inline distT="0" distB="0" distL="0" distR="0">
            <wp:extent cx="156845" cy="990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4"/>
          <w:szCs w:val="14"/>
          <w:color w:val="auto"/>
        </w:rPr>
        <w:t xml:space="preserve">    Commitment to accountability, excellence and contnuous improvement</w:t>
      </w:r>
    </w:p>
    <w:p>
      <w:pPr>
        <w:spacing w:after="0" w:line="82" w:lineRule="exact"/>
        <w:rPr>
          <w:sz w:val="20"/>
          <w:szCs w:val="20"/>
          <w:color w:val="auto"/>
        </w:rPr>
      </w:pPr>
    </w:p>
    <w:p>
      <w:pPr>
        <w:spacing w:after="0"/>
        <w:rPr>
          <w:sz w:val="20"/>
          <w:szCs w:val="20"/>
          <w:color w:val="auto"/>
        </w:rPr>
      </w:pPr>
      <w:r>
        <w:rPr>
          <w:sz w:val="1"/>
          <w:szCs w:val="1"/>
          <w:color w:val="auto"/>
        </w:rPr>
        <w:drawing>
          <wp:inline distT="0" distB="0" distL="0" distR="0">
            <wp:extent cx="156845" cy="990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6845" cy="99060"/>
                    </a:xfrm>
                    <a:prstGeom prst="rect">
                      <a:avLst/>
                    </a:prstGeom>
                    <a:noFill/>
                    <a:ln>
                      <a:noFill/>
                    </a:ln>
                  </pic:spPr>
                </pic:pic>
              </a:graphicData>
            </a:graphic>
          </wp:inline>
        </w:drawing>
      </w:r>
      <w:r>
        <w:rPr>
          <w:rFonts w:ascii="Calibri" w:cs="Calibri" w:eastAsia="Calibri" w:hAnsi="Calibri"/>
          <w:sz w:val="13"/>
          <w:szCs w:val="13"/>
          <w:color w:val="auto"/>
        </w:rPr>
        <w:t xml:space="preserve">    Commitment to driving our growth and success</w:t>
      </w:r>
    </w:p>
    <w:p>
      <w:pPr>
        <w:spacing w:after="0" w:line="749" w:lineRule="exact"/>
        <w:rPr>
          <w:sz w:val="20"/>
          <w:szCs w:val="20"/>
          <w:color w:val="auto"/>
        </w:rPr>
      </w:pPr>
    </w:p>
    <w:p>
      <w:pPr>
        <w:sectPr>
          <w:pgSz w:w="11900" w:h="16838" w:orient="portrait"/>
          <w:cols w:equalWidth="0" w:num="2">
            <w:col w:w="7220" w:space="440"/>
            <w:col w:w="3200"/>
          </w:cols>
          <w:pgMar w:left="320" w:top="445" w:right="719" w:bottom="1440" w:gutter="0" w:footer="0" w:header="0"/>
          <w:type w:val="continuous"/>
        </w:sectPr>
      </w:pPr>
    </w:p>
    <w:p>
      <w:pPr>
        <w:spacing w:after="0" w:line="28"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In light of our business, the primary areas of experience, qualifcatons and atributes typically sought and put forward by the Nominatng and Governance Commitee in director candidates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5402580" cy="19742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02580" cy="197421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Executve leadership</w:t>
      </w:r>
    </w:p>
    <w:p>
      <w:pPr>
        <w:spacing w:after="0" w:line="10" w:lineRule="exact"/>
        <w:rPr>
          <w:sz w:val="20"/>
          <w:szCs w:val="20"/>
          <w:color w:val="auto"/>
        </w:rPr>
      </w:pPr>
    </w:p>
    <w:p>
      <w:pPr>
        <w:ind w:left="1380" w:right="2300"/>
        <w:spacing w:after="0" w:line="233" w:lineRule="auto"/>
        <w:rPr>
          <w:sz w:val="20"/>
          <w:szCs w:val="20"/>
          <w:color w:val="auto"/>
        </w:rPr>
      </w:pPr>
      <w:r>
        <w:rPr>
          <w:rFonts w:ascii="Calibri" w:cs="Calibri" w:eastAsia="Calibri" w:hAnsi="Calibri"/>
          <w:sz w:val="16"/>
          <w:szCs w:val="16"/>
          <w:color w:val="auto"/>
        </w:rPr>
        <w:t>Experience holding signifcant leadership positons, including as a CEO or head of a signifcant business, to help us drive business strategy, growth and performance.</w:t>
      </w:r>
    </w:p>
    <w:p>
      <w:pPr>
        <w:spacing w:after="0" w:line="200" w:lineRule="exact"/>
        <w:rPr>
          <w:sz w:val="20"/>
          <w:szCs w:val="20"/>
          <w:color w:val="auto"/>
        </w:rPr>
      </w:pPr>
    </w:p>
    <w:p>
      <w:pPr>
        <w:spacing w:after="0" w:line="308"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Finance and accountng</w:t>
      </w:r>
    </w:p>
    <w:p>
      <w:pPr>
        <w:ind w:left="1380"/>
        <w:spacing w:after="0"/>
        <w:rPr>
          <w:sz w:val="20"/>
          <w:szCs w:val="20"/>
          <w:color w:val="auto"/>
        </w:rPr>
      </w:pPr>
      <w:r>
        <w:rPr>
          <w:rFonts w:ascii="Calibri" w:cs="Calibri" w:eastAsia="Calibri" w:hAnsi="Calibri"/>
          <w:sz w:val="16"/>
          <w:szCs w:val="16"/>
          <w:color w:val="auto"/>
        </w:rPr>
        <w:t>Experience with fnance, accountng or fnancial reportng processes, to help drive fnancial performance.</w:t>
      </w:r>
    </w:p>
    <w:p>
      <w:pPr>
        <w:spacing w:after="0" w:line="200" w:lineRule="exact"/>
        <w:rPr>
          <w:sz w:val="20"/>
          <w:szCs w:val="20"/>
          <w:color w:val="auto"/>
        </w:rPr>
      </w:pPr>
    </w:p>
    <w:p>
      <w:pPr>
        <w:spacing w:after="0" w:line="307"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Global companies</w:t>
      </w:r>
    </w:p>
    <w:p>
      <w:pPr>
        <w:spacing w:after="0" w:line="10" w:lineRule="exact"/>
        <w:rPr>
          <w:sz w:val="20"/>
          <w:szCs w:val="20"/>
          <w:color w:val="auto"/>
        </w:rPr>
      </w:pPr>
    </w:p>
    <w:p>
      <w:pPr>
        <w:ind w:left="1380" w:right="2560"/>
        <w:spacing w:after="0" w:line="233" w:lineRule="auto"/>
        <w:rPr>
          <w:sz w:val="20"/>
          <w:szCs w:val="20"/>
          <w:color w:val="auto"/>
        </w:rPr>
      </w:pPr>
      <w:r>
        <w:rPr>
          <w:rFonts w:ascii="Calibri" w:cs="Calibri" w:eastAsia="Calibri" w:hAnsi="Calibri"/>
          <w:sz w:val="16"/>
          <w:szCs w:val="16"/>
          <w:color w:val="auto"/>
        </w:rPr>
        <w:t>Experience working outside of the United States or with multnatonal companies, to help facilitate our global expansion.</w:t>
      </w:r>
    </w:p>
    <w:p>
      <w:pPr>
        <w:spacing w:after="0" w:line="200" w:lineRule="exact"/>
        <w:rPr>
          <w:sz w:val="20"/>
          <w:szCs w:val="20"/>
          <w:color w:val="auto"/>
        </w:rPr>
      </w:pPr>
    </w:p>
    <w:p>
      <w:pPr>
        <w:spacing w:after="0" w:line="205"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32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860"/>
          </w:cols>
          <w:pgMar w:left="320" w:top="445" w:right="7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102235</wp:posOffset>
            </wp:positionV>
            <wp:extent cx="5402580" cy="64020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02580" cy="6402070"/>
                    </a:xfrm>
                    <a:prstGeom prst="rect">
                      <a:avLst/>
                    </a:prstGeom>
                    <a:noFill/>
                  </pic:spPr>
                </pic:pic>
              </a:graphicData>
            </a:graphic>
          </wp:anchor>
        </w:drawing>
      </w:r>
    </w:p>
    <w:p>
      <w:pPr>
        <w:spacing w:after="0" w:line="400"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Board experience</w:t>
      </w:r>
    </w:p>
    <w:p>
      <w:pPr>
        <w:spacing w:after="0" w:line="10" w:lineRule="exact"/>
        <w:rPr>
          <w:sz w:val="20"/>
          <w:szCs w:val="20"/>
          <w:color w:val="auto"/>
        </w:rPr>
      </w:pPr>
    </w:p>
    <w:p>
      <w:pPr>
        <w:ind w:left="1380" w:right="2380"/>
        <w:spacing w:after="0" w:line="233" w:lineRule="auto"/>
        <w:rPr>
          <w:sz w:val="20"/>
          <w:szCs w:val="20"/>
          <w:color w:val="auto"/>
        </w:rPr>
      </w:pPr>
      <w:r>
        <w:rPr>
          <w:rFonts w:ascii="Calibri" w:cs="Calibri" w:eastAsia="Calibri" w:hAnsi="Calibri"/>
          <w:sz w:val="16"/>
          <w:szCs w:val="16"/>
          <w:color w:val="auto"/>
        </w:rPr>
        <w:t>Understanding of public company board of director and fduciary dutes, to help provide perspectve on corporate governance best practces and related maters.</w:t>
      </w:r>
    </w:p>
    <w:p>
      <w:pPr>
        <w:spacing w:after="0" w:line="200" w:lineRule="exact"/>
        <w:rPr>
          <w:sz w:val="20"/>
          <w:szCs w:val="20"/>
          <w:color w:val="auto"/>
        </w:rPr>
      </w:pPr>
    </w:p>
    <w:p>
      <w:pPr>
        <w:spacing w:after="0" w:line="269"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Digital operatons and solutons</w:t>
      </w:r>
    </w:p>
    <w:p>
      <w:pPr>
        <w:spacing w:after="0" w:line="10" w:lineRule="exact"/>
        <w:rPr>
          <w:sz w:val="20"/>
          <w:szCs w:val="20"/>
          <w:color w:val="auto"/>
        </w:rPr>
      </w:pPr>
    </w:p>
    <w:p>
      <w:pPr>
        <w:ind w:left="1380" w:right="2820"/>
        <w:spacing w:after="0" w:line="233" w:lineRule="auto"/>
        <w:rPr>
          <w:sz w:val="20"/>
          <w:szCs w:val="20"/>
          <w:color w:val="auto"/>
        </w:rPr>
      </w:pPr>
      <w:r>
        <w:rPr>
          <w:rFonts w:ascii="Calibri" w:cs="Calibri" w:eastAsia="Calibri" w:hAnsi="Calibri"/>
          <w:sz w:val="16"/>
          <w:szCs w:val="16"/>
          <w:color w:val="auto"/>
        </w:rPr>
        <w:t>Experience with digital operatons and solutons, artfcial intelligence and machine learning, and other key technologies that are central to our business.</w:t>
      </w:r>
    </w:p>
    <w:p>
      <w:pPr>
        <w:spacing w:after="0" w:line="200" w:lineRule="exact"/>
        <w:rPr>
          <w:sz w:val="20"/>
          <w:szCs w:val="20"/>
          <w:color w:val="auto"/>
        </w:rPr>
      </w:pPr>
    </w:p>
    <w:p>
      <w:pPr>
        <w:spacing w:after="0" w:line="269"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Client and industry knowledge</w:t>
      </w:r>
    </w:p>
    <w:p>
      <w:pPr>
        <w:spacing w:after="0" w:line="10" w:lineRule="exact"/>
        <w:rPr>
          <w:sz w:val="20"/>
          <w:szCs w:val="20"/>
          <w:color w:val="auto"/>
        </w:rPr>
      </w:pPr>
    </w:p>
    <w:p>
      <w:pPr>
        <w:ind w:left="1380" w:right="2580"/>
        <w:spacing w:after="0" w:line="235" w:lineRule="auto"/>
        <w:rPr>
          <w:sz w:val="20"/>
          <w:szCs w:val="20"/>
          <w:color w:val="auto"/>
        </w:rPr>
      </w:pPr>
      <w:r>
        <w:rPr>
          <w:rFonts w:ascii="Calibri" w:cs="Calibri" w:eastAsia="Calibri" w:hAnsi="Calibri"/>
          <w:sz w:val="16"/>
          <w:szCs w:val="16"/>
          <w:color w:val="auto"/>
        </w:rPr>
        <w:t>Experience with our key client industries, including insurance, healthcare, banking and fnancial services, fnance/accountng, and our other capabilites, to help deepen our knowledge of our key industry vertcals and markets in which we do business.</w:t>
      </w:r>
    </w:p>
    <w:p>
      <w:pPr>
        <w:spacing w:after="0" w:line="200" w:lineRule="exact"/>
        <w:rPr>
          <w:sz w:val="20"/>
          <w:szCs w:val="20"/>
          <w:color w:val="auto"/>
        </w:rPr>
      </w:pPr>
    </w:p>
    <w:p>
      <w:pPr>
        <w:spacing w:after="0" w:line="270"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Risk oversight/management</w:t>
      </w:r>
    </w:p>
    <w:p>
      <w:pPr>
        <w:ind w:left="1380"/>
        <w:spacing w:after="0"/>
        <w:rPr>
          <w:sz w:val="20"/>
          <w:szCs w:val="20"/>
          <w:color w:val="auto"/>
        </w:rPr>
      </w:pPr>
      <w:r>
        <w:rPr>
          <w:rFonts w:ascii="Calibri" w:cs="Calibri" w:eastAsia="Calibri" w:hAnsi="Calibri"/>
          <w:sz w:val="16"/>
          <w:szCs w:val="16"/>
          <w:color w:val="auto"/>
        </w:rPr>
        <w:t>Experience assessing and overseeing the overall risk profle of multnatonal public companies.</w:t>
      </w:r>
    </w:p>
    <w:p>
      <w:pPr>
        <w:spacing w:after="0" w:line="200" w:lineRule="exact"/>
        <w:rPr>
          <w:sz w:val="20"/>
          <w:szCs w:val="20"/>
          <w:color w:val="auto"/>
        </w:rPr>
      </w:pPr>
    </w:p>
    <w:p>
      <w:pPr>
        <w:spacing w:after="0" w:line="307"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Human capital management</w:t>
      </w:r>
    </w:p>
    <w:p>
      <w:pPr>
        <w:spacing w:after="0" w:line="10" w:lineRule="exact"/>
        <w:rPr>
          <w:sz w:val="20"/>
          <w:szCs w:val="20"/>
          <w:color w:val="auto"/>
        </w:rPr>
      </w:pPr>
    </w:p>
    <w:p>
      <w:pPr>
        <w:ind w:left="1380" w:right="2140"/>
        <w:spacing w:after="0" w:line="293" w:lineRule="auto"/>
        <w:rPr>
          <w:sz w:val="20"/>
          <w:szCs w:val="20"/>
          <w:color w:val="auto"/>
        </w:rPr>
      </w:pPr>
      <w:r>
        <w:rPr>
          <w:rFonts w:ascii="Calibri" w:cs="Calibri" w:eastAsia="Calibri" w:hAnsi="Calibri"/>
          <w:sz w:val="14"/>
          <w:szCs w:val="14"/>
          <w:color w:val="auto"/>
        </w:rPr>
        <w:t>Experience in management and development of human capital, including management of a large workforce, diversity and inclusion, talent development, workplace health and safety, compensaton and other human capital issues.</w:t>
      </w:r>
    </w:p>
    <w:p>
      <w:pPr>
        <w:spacing w:after="0" w:line="200" w:lineRule="exact"/>
        <w:rPr>
          <w:sz w:val="20"/>
          <w:szCs w:val="20"/>
          <w:color w:val="auto"/>
        </w:rPr>
      </w:pPr>
    </w:p>
    <w:p>
      <w:pPr>
        <w:spacing w:after="0" w:line="231"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Diverse backgrounds</w:t>
      </w:r>
    </w:p>
    <w:p>
      <w:pPr>
        <w:spacing w:after="0" w:line="10" w:lineRule="exact"/>
        <w:rPr>
          <w:sz w:val="20"/>
          <w:szCs w:val="20"/>
          <w:color w:val="auto"/>
        </w:rPr>
      </w:pPr>
    </w:p>
    <w:p>
      <w:pPr>
        <w:ind w:left="1380" w:right="2400"/>
        <w:spacing w:after="0" w:line="233" w:lineRule="auto"/>
        <w:rPr>
          <w:sz w:val="20"/>
          <w:szCs w:val="20"/>
          <w:color w:val="auto"/>
        </w:rPr>
      </w:pPr>
      <w:r>
        <w:rPr>
          <w:rFonts w:ascii="Calibri" w:cs="Calibri" w:eastAsia="Calibri" w:hAnsi="Calibri"/>
          <w:sz w:val="16"/>
          <w:szCs w:val="16"/>
          <w:color w:val="auto"/>
        </w:rPr>
        <w:t>We seek directors with diverse professional and personal backgrounds and perspectves to promote the values of diversity and inclusion from the top and to provide perspectve from varying viewpoints.</w:t>
      </w:r>
    </w:p>
    <w:p>
      <w:pPr>
        <w:spacing w:after="0" w:line="200" w:lineRule="exact"/>
        <w:rPr>
          <w:sz w:val="20"/>
          <w:szCs w:val="20"/>
          <w:color w:val="auto"/>
        </w:rPr>
      </w:pPr>
    </w:p>
    <w:p>
      <w:pPr>
        <w:spacing w:after="0" w:line="269"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Experience in ESG maters</w:t>
      </w:r>
    </w:p>
    <w:p>
      <w:pPr>
        <w:ind w:left="1380"/>
        <w:spacing w:after="0"/>
        <w:rPr>
          <w:sz w:val="20"/>
          <w:szCs w:val="20"/>
          <w:color w:val="auto"/>
        </w:rPr>
      </w:pPr>
      <w:r>
        <w:rPr>
          <w:rFonts w:ascii="Calibri" w:cs="Calibri" w:eastAsia="Calibri" w:hAnsi="Calibri"/>
          <w:sz w:val="16"/>
          <w:szCs w:val="16"/>
          <w:color w:val="auto"/>
        </w:rPr>
        <w:t>Experience in managing ESG maters, incorporatng them into business and strategy and associated risks.</w:t>
      </w:r>
    </w:p>
    <w:p>
      <w:pPr>
        <w:spacing w:after="0" w:line="200" w:lineRule="exact"/>
        <w:rPr>
          <w:sz w:val="20"/>
          <w:szCs w:val="20"/>
          <w:color w:val="auto"/>
        </w:rPr>
      </w:pPr>
    </w:p>
    <w:p>
      <w:pPr>
        <w:spacing w:after="0" w:line="268"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Informaton and cybersecurity</w:t>
      </w:r>
    </w:p>
    <w:p>
      <w:pPr>
        <w:ind w:left="1380"/>
        <w:spacing w:after="0"/>
        <w:rPr>
          <w:sz w:val="20"/>
          <w:szCs w:val="20"/>
          <w:color w:val="auto"/>
        </w:rPr>
      </w:pPr>
      <w:r>
        <w:rPr>
          <w:rFonts w:ascii="Calibri" w:cs="Calibri" w:eastAsia="Calibri" w:hAnsi="Calibri"/>
          <w:sz w:val="16"/>
          <w:szCs w:val="16"/>
          <w:color w:val="auto"/>
        </w:rPr>
        <w:t>Experience in informaton and cybersecurity maters, best practces and associated risks.</w:t>
      </w:r>
    </w:p>
    <w:p>
      <w:pPr>
        <w:spacing w:after="0" w:line="200" w:lineRule="exact"/>
        <w:rPr>
          <w:sz w:val="20"/>
          <w:szCs w:val="20"/>
          <w:color w:val="auto"/>
        </w:rPr>
      </w:pPr>
    </w:p>
    <w:p>
      <w:pPr>
        <w:spacing w:after="0" w:line="346"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Mergers and acquisitons</w:t>
      </w:r>
    </w:p>
    <w:p>
      <w:pPr>
        <w:ind w:left="1380"/>
        <w:spacing w:after="0"/>
        <w:rPr>
          <w:sz w:val="20"/>
          <w:szCs w:val="20"/>
          <w:color w:val="auto"/>
        </w:rPr>
      </w:pPr>
      <w:r>
        <w:rPr>
          <w:rFonts w:ascii="Calibri" w:cs="Calibri" w:eastAsia="Calibri" w:hAnsi="Calibri"/>
          <w:sz w:val="16"/>
          <w:szCs w:val="16"/>
          <w:color w:val="auto"/>
        </w:rPr>
        <w:t>Experience in mergers and acquisitons as a component of business development and strategy.</w:t>
      </w:r>
    </w:p>
    <w:p>
      <w:pPr>
        <w:spacing w:after="0" w:line="200" w:lineRule="exact"/>
        <w:rPr>
          <w:sz w:val="20"/>
          <w:szCs w:val="20"/>
          <w:color w:val="auto"/>
        </w:rPr>
      </w:pPr>
    </w:p>
    <w:p>
      <w:pPr>
        <w:spacing w:after="0" w:line="359" w:lineRule="exact"/>
        <w:rPr>
          <w:sz w:val="20"/>
          <w:szCs w:val="20"/>
          <w:color w:val="auto"/>
        </w:rPr>
      </w:pPr>
    </w:p>
    <w:p>
      <w:pPr>
        <w:ind w:left="1380"/>
        <w:spacing w:after="0"/>
        <w:rPr>
          <w:sz w:val="20"/>
          <w:szCs w:val="20"/>
          <w:color w:val="auto"/>
        </w:rPr>
      </w:pPr>
      <w:r>
        <w:rPr>
          <w:rFonts w:ascii="Calibri" w:cs="Calibri" w:eastAsia="Calibri" w:hAnsi="Calibri"/>
          <w:sz w:val="16"/>
          <w:szCs w:val="16"/>
          <w:b w:val="1"/>
          <w:bCs w:val="1"/>
          <w:color w:val="auto"/>
        </w:rPr>
        <w:t>Marketng</w:t>
      </w:r>
    </w:p>
    <w:p>
      <w:pPr>
        <w:ind w:left="1380"/>
        <w:spacing w:after="0"/>
        <w:rPr>
          <w:sz w:val="20"/>
          <w:szCs w:val="20"/>
          <w:color w:val="auto"/>
        </w:rPr>
      </w:pPr>
      <w:r>
        <w:rPr>
          <w:rFonts w:ascii="Calibri" w:cs="Calibri" w:eastAsia="Calibri" w:hAnsi="Calibri"/>
          <w:sz w:val="16"/>
          <w:szCs w:val="16"/>
          <w:color w:val="auto"/>
        </w:rPr>
        <w:t>Experience in marketng and branding of multnatonal companies.</w:t>
      </w:r>
    </w:p>
    <w:p>
      <w:pPr>
        <w:spacing w:after="0" w:line="200" w:lineRule="exact"/>
        <w:rPr>
          <w:sz w:val="20"/>
          <w:szCs w:val="20"/>
          <w:color w:val="auto"/>
        </w:rPr>
      </w:pPr>
    </w:p>
    <w:p>
      <w:pPr>
        <w:spacing w:after="0" w:line="230"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33</w:t>
            </w:r>
          </w:p>
        </w:tc>
      </w:tr>
    </w:tbl>
    <w:p>
      <w:pPr>
        <w:sectPr>
          <w:pgSz w:w="11900" w:h="16838" w:orient="portrait"/>
          <w:cols w:equalWidth="0" w:num="1">
            <w:col w:w="10940"/>
          </w:cols>
          <w:pgMar w:left="320" w:top="445"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Refreshment</w:t>
      </w:r>
    </w:p>
    <w:p>
      <w:pPr>
        <w:spacing w:after="0" w:line="244"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Our Nominatng and Governance Commitee regularly considers the size and compositon of our board (and its commitees) on a contnual basis with an aim toward creatng a balanced board with extensive experience and insttutonal knowledge, and fresh perspectve and insight.</w:t>
      </w:r>
    </w:p>
    <w:p>
      <w:pPr>
        <w:spacing w:after="0" w:line="369"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Consideratons include whether the compositon of the board of directors (and its commitees) includes sufcient diversity and independent skill sets and background as appropriate for our immediate and long-term strategic needs. These consideratons are also informed by discussions with our investors through stockholder engagement. In terms of diversity, our board is 33% diverse in terms of gender and 44% diverse in terms of ethnic/racial diversity.</w:t>
      </w:r>
    </w:p>
    <w:p>
      <w:pPr>
        <w:spacing w:after="0" w:line="367"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In considering board compositon, our Nominatng and Governance Commitee also considers the length of tenure of the directors as a whole. Following the Annual Meetng, we will have the following balance of tenures: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924560</wp:posOffset>
            </wp:positionV>
            <wp:extent cx="4064000" cy="900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064000" cy="900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80"/>
        <w:spacing w:after="0"/>
        <w:rPr>
          <w:sz w:val="20"/>
          <w:szCs w:val="20"/>
          <w:color w:val="auto"/>
        </w:rPr>
      </w:pPr>
      <w:r>
        <w:rPr>
          <w:rFonts w:ascii="Calibri" w:cs="Calibri" w:eastAsia="Calibri" w:hAnsi="Calibri"/>
          <w:sz w:val="19"/>
          <w:szCs w:val="19"/>
          <w:b w:val="1"/>
          <w:bCs w:val="1"/>
          <w:color w:val="FB4E0B"/>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177165</wp:posOffset>
            </wp:positionV>
            <wp:extent cx="2147570" cy="17265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47570" cy="1726565"/>
                    </a:xfrm>
                    <a:prstGeom prst="rect">
                      <a:avLst/>
                    </a:prstGeom>
                    <a:noFill/>
                  </pic:spPr>
                </pic:pic>
              </a:graphicData>
            </a:graphic>
          </wp:anchor>
        </w:drawing>
      </w:r>
    </w:p>
    <w:p>
      <w:pPr>
        <w:spacing w:after="0" w:line="304" w:lineRule="exact"/>
        <w:rPr>
          <w:sz w:val="20"/>
          <w:szCs w:val="20"/>
          <w:color w:val="auto"/>
        </w:rPr>
      </w:pPr>
    </w:p>
    <w:p>
      <w:pPr>
        <w:ind w:left="580"/>
        <w:spacing w:after="0"/>
        <w:tabs>
          <w:tab w:leader="none" w:pos="2420" w:val="left"/>
        </w:tabs>
        <w:rPr>
          <w:sz w:val="20"/>
          <w:szCs w:val="20"/>
          <w:color w:val="auto"/>
        </w:rPr>
      </w:pPr>
      <w:r>
        <w:rPr>
          <w:rFonts w:ascii="Calibri" w:cs="Calibri" w:eastAsia="Calibri" w:hAnsi="Calibri"/>
          <w:sz w:val="14"/>
          <w:szCs w:val="14"/>
          <w:b w:val="1"/>
          <w:bCs w:val="1"/>
          <w:color w:val="FFFFFF"/>
        </w:rPr>
        <w:t>ADDITIONS</w:t>
      </w:r>
      <w:r>
        <w:rPr>
          <w:sz w:val="20"/>
          <w:szCs w:val="20"/>
          <w:color w:val="auto"/>
        </w:rPr>
        <w:tab/>
      </w:r>
      <w:r>
        <w:rPr>
          <w:rFonts w:ascii="Calibri" w:cs="Calibri" w:eastAsia="Calibri" w:hAnsi="Calibri"/>
          <w:sz w:val="14"/>
          <w:szCs w:val="14"/>
          <w:b w:val="1"/>
          <w:bCs w:val="1"/>
          <w:color w:val="FFFFFF"/>
        </w:rPr>
        <w:t>EXITS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554"/>
        </w:trPr>
        <w:tc>
          <w:tcPr>
            <w:tcW w:w="1700" w:type="dxa"/>
            <w:vAlign w:val="bottom"/>
            <w:shd w:val="clear" w:color="auto" w:fill="B2B2B2"/>
          </w:tcPr>
          <w:p>
            <w:pPr>
              <w:jc w:val="right"/>
              <w:ind w:right="591"/>
              <w:spacing w:after="0"/>
              <w:rPr>
                <w:sz w:val="20"/>
                <w:szCs w:val="20"/>
                <w:color w:val="auto"/>
              </w:rPr>
            </w:pPr>
            <w:r>
              <w:rPr>
                <w:rFonts w:ascii="Calibri" w:cs="Calibri" w:eastAsia="Calibri" w:hAnsi="Calibri"/>
                <w:sz w:val="14"/>
                <w:szCs w:val="14"/>
                <w:b w:val="1"/>
                <w:bCs w:val="1"/>
                <w:color w:val="auto"/>
              </w:rPr>
              <w:t>2021</w:t>
            </w:r>
          </w:p>
        </w:tc>
        <w:tc>
          <w:tcPr>
            <w:tcW w:w="1700" w:type="dxa"/>
            <w:vAlign w:val="bottom"/>
            <w:shd w:val="clear" w:color="auto" w:fill="FEDBCE"/>
          </w:tcPr>
          <w:p>
            <w:pPr>
              <w:jc w:val="center"/>
              <w:ind w:left="31"/>
              <w:spacing w:after="0"/>
              <w:rPr>
                <w:sz w:val="20"/>
                <w:szCs w:val="20"/>
                <w:color w:val="auto"/>
              </w:rPr>
            </w:pPr>
            <w:r>
              <w:rPr>
                <w:rFonts w:ascii="Calibri" w:cs="Calibri" w:eastAsia="Calibri" w:hAnsi="Calibri"/>
                <w:sz w:val="14"/>
                <w:szCs w:val="14"/>
                <w:b w:val="1"/>
                <w:bCs w:val="1"/>
                <w:color w:val="FB4E0B"/>
                <w:w w:val="98"/>
              </w:rPr>
              <w:t>2021</w:t>
            </w:r>
          </w:p>
        </w:tc>
      </w:tr>
      <w:tr>
        <w:trPr>
          <w:trHeight w:val="286"/>
        </w:trPr>
        <w:tc>
          <w:tcPr>
            <w:tcW w:w="1700" w:type="dxa"/>
            <w:vAlign w:val="bottom"/>
            <w:shd w:val="clear" w:color="auto" w:fill="B2B2B2"/>
          </w:tcPr>
          <w:p>
            <w:pPr>
              <w:jc w:val="center"/>
              <w:ind w:left="31"/>
              <w:spacing w:after="0"/>
              <w:rPr>
                <w:sz w:val="20"/>
                <w:szCs w:val="20"/>
                <w:color w:val="auto"/>
              </w:rPr>
            </w:pPr>
            <w:r>
              <w:rPr>
                <w:rFonts w:ascii="Calibri" w:cs="Calibri" w:eastAsia="Calibri" w:hAnsi="Calibri"/>
                <w:sz w:val="14"/>
                <w:szCs w:val="14"/>
                <w:b w:val="1"/>
                <w:bCs w:val="1"/>
                <w:color w:val="auto"/>
              </w:rPr>
              <w:t>Kristy Pipes</w:t>
            </w:r>
          </w:p>
        </w:tc>
        <w:tc>
          <w:tcPr>
            <w:tcW w:w="1700" w:type="dxa"/>
            <w:vAlign w:val="bottom"/>
            <w:shd w:val="clear" w:color="auto" w:fill="FEDBCE"/>
          </w:tcPr>
          <w:p>
            <w:pPr>
              <w:jc w:val="center"/>
              <w:ind w:left="31"/>
              <w:spacing w:after="0"/>
              <w:rPr>
                <w:sz w:val="20"/>
                <w:szCs w:val="20"/>
                <w:color w:val="auto"/>
              </w:rPr>
            </w:pPr>
            <w:r>
              <w:rPr>
                <w:rFonts w:ascii="Calibri" w:cs="Calibri" w:eastAsia="Calibri" w:hAnsi="Calibri"/>
                <w:sz w:val="14"/>
                <w:szCs w:val="14"/>
                <w:b w:val="1"/>
                <w:bCs w:val="1"/>
                <w:color w:val="auto"/>
              </w:rPr>
              <w:t>David Kelso</w:t>
            </w:r>
          </w:p>
        </w:tc>
      </w:tr>
      <w:tr>
        <w:trPr>
          <w:trHeight w:val="169"/>
        </w:trPr>
        <w:tc>
          <w:tcPr>
            <w:tcW w:w="1700" w:type="dxa"/>
            <w:vAlign w:val="bottom"/>
            <w:shd w:val="clear" w:color="auto" w:fill="B2B2B2"/>
          </w:tcPr>
          <w:p>
            <w:pPr>
              <w:spacing w:after="0"/>
              <w:rPr>
                <w:sz w:val="14"/>
                <w:szCs w:val="14"/>
                <w:color w:val="auto"/>
              </w:rPr>
            </w:pPr>
          </w:p>
        </w:tc>
        <w:tc>
          <w:tcPr>
            <w:tcW w:w="1700" w:type="dxa"/>
            <w:vAlign w:val="bottom"/>
            <w:shd w:val="clear" w:color="auto" w:fill="FEDBCE"/>
          </w:tcPr>
          <w:p>
            <w:pPr>
              <w:jc w:val="center"/>
              <w:ind w:left="31"/>
              <w:spacing w:after="0" w:line="169" w:lineRule="exact"/>
              <w:rPr>
                <w:sz w:val="20"/>
                <w:szCs w:val="20"/>
                <w:color w:val="auto"/>
              </w:rPr>
            </w:pPr>
            <w:r>
              <w:rPr>
                <w:rFonts w:ascii="Calibri" w:cs="Calibri" w:eastAsia="Calibri" w:hAnsi="Calibri"/>
                <w:sz w:val="14"/>
                <w:szCs w:val="14"/>
                <w:b w:val="1"/>
                <w:bCs w:val="1"/>
                <w:color w:val="auto"/>
                <w:w w:val="97"/>
              </w:rPr>
              <w:t>Deborah Kerr</w:t>
            </w:r>
          </w:p>
        </w:tc>
      </w:tr>
      <w:tr>
        <w:trPr>
          <w:trHeight w:val="833"/>
        </w:trPr>
        <w:tc>
          <w:tcPr>
            <w:tcW w:w="1700" w:type="dxa"/>
            <w:vAlign w:val="bottom"/>
            <w:shd w:val="clear" w:color="auto" w:fill="B2B2B2"/>
          </w:tcPr>
          <w:p>
            <w:pPr>
              <w:spacing w:after="0"/>
              <w:rPr>
                <w:sz w:val="24"/>
                <w:szCs w:val="24"/>
                <w:color w:val="auto"/>
              </w:rPr>
            </w:pPr>
          </w:p>
        </w:tc>
        <w:tc>
          <w:tcPr>
            <w:tcW w:w="1700" w:type="dxa"/>
            <w:vAlign w:val="bottom"/>
            <w:shd w:val="clear" w:color="auto" w:fill="FEDBCE"/>
          </w:tcPr>
          <w:p>
            <w:pPr>
              <w:jc w:val="center"/>
              <w:ind w:left="31"/>
              <w:spacing w:after="0"/>
              <w:rPr>
                <w:sz w:val="20"/>
                <w:szCs w:val="20"/>
                <w:color w:val="auto"/>
              </w:rPr>
            </w:pPr>
            <w:r>
              <w:rPr>
                <w:rFonts w:ascii="Calibri" w:cs="Calibri" w:eastAsia="Calibri" w:hAnsi="Calibri"/>
                <w:sz w:val="14"/>
                <w:szCs w:val="14"/>
                <w:b w:val="1"/>
                <w:bCs w:val="1"/>
                <w:color w:val="FB4E0B"/>
                <w:w w:val="98"/>
              </w:rPr>
              <w:t>2022</w:t>
            </w:r>
          </w:p>
        </w:tc>
      </w:tr>
      <w:tr>
        <w:trPr>
          <w:trHeight w:val="286"/>
        </w:trPr>
        <w:tc>
          <w:tcPr>
            <w:tcW w:w="1700" w:type="dxa"/>
            <w:vAlign w:val="bottom"/>
            <w:shd w:val="clear" w:color="auto" w:fill="B2B2B2"/>
          </w:tcPr>
          <w:p>
            <w:pPr>
              <w:spacing w:after="0"/>
              <w:rPr>
                <w:sz w:val="24"/>
                <w:szCs w:val="24"/>
                <w:color w:val="auto"/>
              </w:rPr>
            </w:pPr>
          </w:p>
        </w:tc>
        <w:tc>
          <w:tcPr>
            <w:tcW w:w="1700" w:type="dxa"/>
            <w:vAlign w:val="bottom"/>
            <w:shd w:val="clear" w:color="auto" w:fill="FEDBCE"/>
          </w:tcPr>
          <w:p>
            <w:pPr>
              <w:jc w:val="center"/>
              <w:ind w:left="31"/>
              <w:spacing w:after="0"/>
              <w:rPr>
                <w:sz w:val="20"/>
                <w:szCs w:val="20"/>
                <w:color w:val="auto"/>
              </w:rPr>
            </w:pPr>
            <w:r>
              <w:rPr>
                <w:rFonts w:ascii="Calibri" w:cs="Calibri" w:eastAsia="Calibri" w:hAnsi="Calibri"/>
                <w:sz w:val="14"/>
                <w:szCs w:val="14"/>
                <w:b w:val="1"/>
                <w:bCs w:val="1"/>
                <w:color w:val="auto"/>
                <w:w w:val="97"/>
              </w:rPr>
              <w:t>Garen Staglin</w:t>
            </w:r>
          </w:p>
        </w:tc>
      </w:tr>
      <w:tr>
        <w:trPr>
          <w:trHeight w:val="265"/>
        </w:trPr>
        <w:tc>
          <w:tcPr>
            <w:tcW w:w="1700" w:type="dxa"/>
            <w:vAlign w:val="bottom"/>
            <w:shd w:val="clear" w:color="auto" w:fill="B2B2B2"/>
          </w:tcPr>
          <w:p>
            <w:pPr>
              <w:spacing w:after="0"/>
              <w:rPr>
                <w:sz w:val="23"/>
                <w:szCs w:val="23"/>
                <w:color w:val="auto"/>
              </w:rPr>
            </w:pPr>
          </w:p>
        </w:tc>
        <w:tc>
          <w:tcPr>
            <w:tcW w:w="1700" w:type="dxa"/>
            <w:vAlign w:val="bottom"/>
            <w:shd w:val="clear" w:color="auto" w:fill="FEDBCE"/>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2">
            <w:col w:w="7280" w:space="260"/>
            <w:col w:w="340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While the Company does not maintain term limits, our Corporate Governance Guidelines provide that the expectatons for new directors is a maximum term of ten years. The board actvely manages board refreshment and succession planning at the board and commitee level. For example, the board generally expects that each member serve on two commitees, and that each commitee chair serve for a maximum of fve years. The board expects that over the next few years, the commitee and board compositon will contnue to change due to rotaton and retrement. The Nominatng and Governance Commitee will identfy successors based on the goal of maintaining the board’s overall balance of experience and perspectve. A recommendaton regarding board (and commitee) compositon is shared with the full board of directors on an annual basis.</w:t>
      </w:r>
    </w:p>
    <w:p>
      <w:pPr>
        <w:spacing w:after="0" w:line="128"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34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refreshment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168910</wp:posOffset>
            </wp:positionV>
            <wp:extent cx="5815330" cy="64763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15330" cy="6476365"/>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100"/>
        <w:spacing w:after="0"/>
        <w:tabs>
          <w:tab w:leader="none" w:pos="9700" w:val="left"/>
          <w:tab w:leader="none" w:pos="10080" w:val="left"/>
        </w:tabs>
        <w:rPr>
          <w:sz w:val="20"/>
          <w:szCs w:val="20"/>
          <w:color w:val="auto"/>
        </w:rPr>
      </w:pPr>
      <w:r>
        <w:rPr>
          <w:rFonts w:ascii="Calibri" w:cs="Calibri" w:eastAsia="Calibri" w:hAnsi="Calibri"/>
          <w:sz w:val="13"/>
          <w:szCs w:val="13"/>
          <w:color w:val="auto"/>
        </w:rPr>
        <w:t>EXL 2022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35</w:t>
      </w:r>
    </w:p>
    <w:p>
      <w:pPr>
        <w:sectPr>
          <w:pgSz w:w="11900" w:h="16838" w:orient="portrait"/>
          <w:cols w:equalWidth="0" w:num="1">
            <w:col w:w="10940"/>
          </w:cols>
          <w:pgMar w:left="320" w:top="445" w:right="6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Board evaluatons</w:t>
      </w:r>
    </w:p>
    <w:p>
      <w:pPr>
        <w:spacing w:after="0" w:line="11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We consider the contnued efectveness of the board and its commitees as critcal to our long-term success and stockholder value. The board evaluates its performance and the performance of it commitees and each director on an annual basis through the following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238125</wp:posOffset>
            </wp:positionV>
            <wp:extent cx="5815330" cy="4337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15330" cy="433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Succession planning</w:t>
      </w:r>
    </w:p>
    <w:p>
      <w:pPr>
        <w:spacing w:after="0" w:line="218" w:lineRule="exact"/>
        <w:rPr>
          <w:sz w:val="20"/>
          <w:szCs w:val="20"/>
          <w:color w:val="auto"/>
        </w:rPr>
      </w:pPr>
    </w:p>
    <w:p>
      <w:pPr>
        <w:ind w:left="320" w:right="500"/>
        <w:spacing w:after="0" w:line="239" w:lineRule="auto"/>
        <w:rPr>
          <w:sz w:val="20"/>
          <w:szCs w:val="20"/>
          <w:color w:val="auto"/>
        </w:rPr>
      </w:pPr>
      <w:r>
        <w:rPr>
          <w:rFonts w:ascii="Calibri" w:cs="Calibri" w:eastAsia="Calibri" w:hAnsi="Calibri"/>
          <w:sz w:val="17"/>
          <w:szCs w:val="17"/>
          <w:color w:val="auto"/>
        </w:rPr>
        <w:t>Our board of directors is responsible for developing and annually reassessing succession plans for our CEO and other key executve ofcers of the Company, and preparing contngency plans for interim CEO succession in the event of an unexpected occurrence for board review.</w:t>
      </w:r>
    </w:p>
    <w:p>
      <w:pPr>
        <w:spacing w:after="0" w:line="127"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36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740"/>
          </w:cols>
          <w:pgMar w:left="320" w:top="445" w:right="8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Commitees</w:t>
      </w:r>
    </w:p>
    <w:p>
      <w:pPr>
        <w:spacing w:after="0" w:line="218"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Our board of directors currently has three standing commitees: the Audit Commitee, the Nominatng and Governance Commitee and the Compensaton Commitee. As discussed above, our board of directors has determined that each member of the Audit, Nominatng and Governance and Compensaton Commitees meets the independence and experience requirements of the Nasdaq Stock Market and federal securites laws. Copies of our commitee charters can be found on the Investor Relatons page of our website at: htps://ir.exlservice.com/corporate-governance. Informaton on our website referred to in this Proxy Statement does not consttute a part of this Proxy Statement.</w:t>
      </w:r>
    </w:p>
    <w:p>
      <w:pPr>
        <w:spacing w:after="0" w:line="211"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The following table sets forth the current chairs and members of each standing commitee of the board of directors. As an executve director, Mr. Kapoor does not serve on any board commitee.</w:t>
      </w:r>
    </w:p>
    <w:p>
      <w:pPr>
        <w:spacing w:after="0" w:line="353"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4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Calibri" w:cs="Calibri" w:eastAsia="Calibri" w:hAnsi="Calibri"/>
                <w:sz w:val="17"/>
                <w:szCs w:val="17"/>
                <w:b w:val="1"/>
                <w:bCs w:val="1"/>
                <w:color w:val="FB4E0B"/>
              </w:rPr>
              <w:t>Nominatng</w:t>
            </w:r>
          </w:p>
        </w:tc>
        <w:tc>
          <w:tcPr>
            <w:tcW w:w="0" w:type="dxa"/>
            <w:vAlign w:val="bottom"/>
          </w:tcPr>
          <w:p>
            <w:pPr>
              <w:spacing w:after="0"/>
              <w:rPr>
                <w:sz w:val="1"/>
                <w:szCs w:val="1"/>
                <w:color w:val="auto"/>
              </w:rPr>
            </w:pPr>
          </w:p>
        </w:tc>
      </w:tr>
      <w:tr>
        <w:trPr>
          <w:trHeight w:val="208"/>
        </w:trPr>
        <w:tc>
          <w:tcPr>
            <w:tcW w:w="4200" w:type="dxa"/>
            <w:vAlign w:val="bottom"/>
            <w:vMerge w:val="restart"/>
          </w:tcPr>
          <w:p>
            <w:pPr>
              <w:ind w:left="2480"/>
              <w:spacing w:after="0"/>
              <w:rPr>
                <w:sz w:val="20"/>
                <w:szCs w:val="20"/>
                <w:color w:val="auto"/>
              </w:rPr>
            </w:pPr>
            <w:r>
              <w:rPr>
                <w:rFonts w:ascii="Calibri" w:cs="Calibri" w:eastAsia="Calibri" w:hAnsi="Calibri"/>
                <w:sz w:val="17"/>
                <w:szCs w:val="17"/>
                <w:b w:val="1"/>
                <w:bCs w:val="1"/>
                <w:color w:val="FB4E0B"/>
              </w:rPr>
              <w:t>Financial expert</w:t>
            </w:r>
          </w:p>
        </w:tc>
        <w:tc>
          <w:tcPr>
            <w:tcW w:w="204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Audit</w:t>
            </w:r>
          </w:p>
        </w:tc>
        <w:tc>
          <w:tcPr>
            <w:tcW w:w="2200" w:type="dxa"/>
            <w:vAlign w:val="bottom"/>
          </w:tcPr>
          <w:p>
            <w:pPr>
              <w:jc w:val="center"/>
              <w:ind w:left="13"/>
              <w:spacing w:after="0"/>
              <w:rPr>
                <w:sz w:val="20"/>
                <w:szCs w:val="20"/>
                <w:color w:val="auto"/>
              </w:rPr>
            </w:pPr>
            <w:r>
              <w:rPr>
                <w:rFonts w:ascii="Calibri" w:cs="Calibri" w:eastAsia="Calibri" w:hAnsi="Calibri"/>
                <w:sz w:val="17"/>
                <w:szCs w:val="17"/>
                <w:b w:val="1"/>
                <w:bCs w:val="1"/>
                <w:color w:val="FB4E0B"/>
              </w:rPr>
              <w:t>Compensaton</w:t>
            </w:r>
          </w:p>
        </w:tc>
        <w:tc>
          <w:tcPr>
            <w:tcW w:w="218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and Governance</w:t>
            </w:r>
          </w:p>
        </w:tc>
        <w:tc>
          <w:tcPr>
            <w:tcW w:w="0" w:type="dxa"/>
            <w:vAlign w:val="bottom"/>
          </w:tcPr>
          <w:p>
            <w:pPr>
              <w:spacing w:after="0"/>
              <w:rPr>
                <w:sz w:val="1"/>
                <w:szCs w:val="1"/>
                <w:color w:val="auto"/>
              </w:rPr>
            </w:pPr>
          </w:p>
        </w:tc>
      </w:tr>
      <w:tr>
        <w:trPr>
          <w:trHeight w:val="91"/>
        </w:trPr>
        <w:tc>
          <w:tcPr>
            <w:tcW w:w="4200" w:type="dxa"/>
            <w:vAlign w:val="bottom"/>
            <w:vMerge w:val="continue"/>
          </w:tcPr>
          <w:p>
            <w:pPr>
              <w:spacing w:after="0"/>
              <w:rPr>
                <w:sz w:val="7"/>
                <w:szCs w:val="7"/>
                <w:color w:val="auto"/>
              </w:rPr>
            </w:pPr>
          </w:p>
        </w:tc>
        <w:tc>
          <w:tcPr>
            <w:tcW w:w="2040" w:type="dxa"/>
            <w:vAlign w:val="bottom"/>
            <w:vMerge w:val="restart"/>
          </w:tcPr>
          <w:p>
            <w:pPr>
              <w:jc w:val="center"/>
              <w:spacing w:after="0"/>
              <w:rPr>
                <w:sz w:val="20"/>
                <w:szCs w:val="20"/>
                <w:color w:val="auto"/>
              </w:rPr>
            </w:pPr>
            <w:r>
              <w:rPr>
                <w:rFonts w:ascii="Calibri" w:cs="Calibri" w:eastAsia="Calibri" w:hAnsi="Calibri"/>
                <w:sz w:val="17"/>
                <w:szCs w:val="17"/>
                <w:b w:val="1"/>
                <w:bCs w:val="1"/>
                <w:color w:val="FB4E0B"/>
              </w:rPr>
              <w:t>Commitee</w:t>
            </w:r>
          </w:p>
        </w:tc>
        <w:tc>
          <w:tcPr>
            <w:tcW w:w="2200" w:type="dxa"/>
            <w:vAlign w:val="bottom"/>
            <w:vMerge w:val="restart"/>
          </w:tcPr>
          <w:p>
            <w:pPr>
              <w:jc w:val="center"/>
              <w:ind w:left="13"/>
              <w:spacing w:after="0"/>
              <w:rPr>
                <w:sz w:val="20"/>
                <w:szCs w:val="20"/>
                <w:color w:val="auto"/>
              </w:rPr>
            </w:pPr>
            <w:r>
              <w:rPr>
                <w:rFonts w:ascii="Calibri" w:cs="Calibri" w:eastAsia="Calibri" w:hAnsi="Calibri"/>
                <w:sz w:val="17"/>
                <w:szCs w:val="17"/>
                <w:b w:val="1"/>
                <w:bCs w:val="1"/>
                <w:color w:val="FB4E0B"/>
              </w:rPr>
              <w:t>Commitee</w:t>
            </w:r>
          </w:p>
        </w:tc>
        <w:tc>
          <w:tcPr>
            <w:tcW w:w="2180" w:type="dxa"/>
            <w:vAlign w:val="bottom"/>
            <w:vMerge w:val="restart"/>
          </w:tcPr>
          <w:p>
            <w:pPr>
              <w:jc w:val="center"/>
              <w:spacing w:after="0"/>
              <w:rPr>
                <w:sz w:val="20"/>
                <w:szCs w:val="20"/>
                <w:color w:val="auto"/>
              </w:rPr>
            </w:pPr>
            <w:r>
              <w:rPr>
                <w:rFonts w:ascii="Calibri" w:cs="Calibri" w:eastAsia="Calibri" w:hAnsi="Calibri"/>
                <w:sz w:val="17"/>
                <w:szCs w:val="17"/>
                <w:b w:val="1"/>
                <w:bCs w:val="1"/>
                <w:color w:val="FB4E0B"/>
              </w:rPr>
              <w:t>Commitee</w:t>
            </w: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204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200" w:type="dxa"/>
            <w:vAlign w:val="bottom"/>
            <w:tcBorders>
              <w:bottom w:val="single" w:sz="8" w:color="FB4E0B"/>
            </w:tcBorders>
          </w:tcPr>
          <w:p>
            <w:pPr>
              <w:spacing w:after="0"/>
              <w:rPr>
                <w:sz w:val="3"/>
                <w:szCs w:val="3"/>
                <w:color w:val="auto"/>
              </w:rPr>
            </w:pPr>
          </w:p>
        </w:tc>
        <w:tc>
          <w:tcPr>
            <w:tcW w:w="2040" w:type="dxa"/>
            <w:vAlign w:val="bottom"/>
            <w:tcBorders>
              <w:bottom w:val="single" w:sz="8" w:color="FB4E0B"/>
            </w:tcBorders>
          </w:tcPr>
          <w:p>
            <w:pPr>
              <w:spacing w:after="0"/>
              <w:rPr>
                <w:sz w:val="3"/>
                <w:szCs w:val="3"/>
                <w:color w:val="auto"/>
              </w:rPr>
            </w:pPr>
          </w:p>
        </w:tc>
        <w:tc>
          <w:tcPr>
            <w:tcW w:w="2200" w:type="dxa"/>
            <w:vAlign w:val="bottom"/>
            <w:tcBorders>
              <w:bottom w:val="single" w:sz="8" w:color="FB4E0B"/>
            </w:tcBorders>
          </w:tcPr>
          <w:p>
            <w:pPr>
              <w:spacing w:after="0"/>
              <w:rPr>
                <w:sz w:val="3"/>
                <w:szCs w:val="3"/>
                <w:color w:val="auto"/>
              </w:rPr>
            </w:pPr>
          </w:p>
        </w:tc>
        <w:tc>
          <w:tcPr>
            <w:tcW w:w="2180" w:type="dxa"/>
            <w:vAlign w:val="bottom"/>
            <w:tcBorders>
              <w:bottom w:val="single" w:sz="8" w:color="FB4E0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-7620</wp:posOffset>
            </wp:positionV>
            <wp:extent cx="6740525" cy="33953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40525" cy="3395345"/>
                    </a:xfrm>
                    <a:prstGeom prst="rect">
                      <a:avLst/>
                    </a:prstGeom>
                    <a:noFill/>
                  </pic:spPr>
                </pic:pic>
              </a:graphicData>
            </a:graphic>
          </wp:anchor>
        </w:drawing>
      </w:r>
    </w:p>
    <w:p>
      <w:pPr>
        <w:spacing w:after="0" w:line="114"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auto"/>
        </w:rPr>
        <w:t>Vikram Pandit</w:t>
      </w:r>
    </w:p>
    <w:p>
      <w:pPr>
        <w:spacing w:after="0" w:line="200" w:lineRule="exact"/>
        <w:rPr>
          <w:sz w:val="20"/>
          <w:szCs w:val="20"/>
          <w:color w:val="auto"/>
        </w:rPr>
      </w:pPr>
    </w:p>
    <w:p>
      <w:pPr>
        <w:spacing w:after="0" w:line="256"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auto"/>
        </w:rPr>
        <w:t>Anne Minto</w:t>
      </w:r>
    </w:p>
    <w:p>
      <w:pPr>
        <w:spacing w:after="0" w:line="200" w:lineRule="exact"/>
        <w:rPr>
          <w:sz w:val="20"/>
          <w:szCs w:val="20"/>
          <w:color w:val="auto"/>
        </w:rPr>
      </w:pPr>
    </w:p>
    <w:p>
      <w:pPr>
        <w:spacing w:after="0" w:line="230"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auto"/>
        </w:rPr>
        <w:t>Som Mital</w:t>
      </w:r>
    </w:p>
    <w:p>
      <w:pPr>
        <w:spacing w:after="0" w:line="200" w:lineRule="exact"/>
        <w:rPr>
          <w:sz w:val="20"/>
          <w:szCs w:val="20"/>
          <w:color w:val="auto"/>
        </w:rPr>
      </w:pPr>
    </w:p>
    <w:p>
      <w:pPr>
        <w:spacing w:after="0" w:line="243"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auto"/>
        </w:rPr>
        <w:t>Clyde Ostler</w:t>
      </w:r>
    </w:p>
    <w:p>
      <w:pPr>
        <w:spacing w:after="0" w:line="200" w:lineRule="exact"/>
        <w:rPr>
          <w:sz w:val="20"/>
          <w:szCs w:val="20"/>
          <w:color w:val="auto"/>
        </w:rPr>
      </w:pPr>
    </w:p>
    <w:p>
      <w:pPr>
        <w:spacing w:after="0" w:line="269"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auto"/>
        </w:rPr>
        <w:t>Kristy Pipes</w:t>
      </w:r>
    </w:p>
    <w:p>
      <w:pPr>
        <w:spacing w:after="0" w:line="200" w:lineRule="exact"/>
        <w:rPr>
          <w:sz w:val="20"/>
          <w:szCs w:val="20"/>
          <w:color w:val="auto"/>
        </w:rPr>
      </w:pPr>
    </w:p>
    <w:p>
      <w:pPr>
        <w:spacing w:after="0" w:line="256"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auto"/>
        </w:rPr>
        <w:t>Nitn Sahney</w:t>
      </w:r>
    </w:p>
    <w:p>
      <w:pPr>
        <w:spacing w:after="0" w:line="200" w:lineRule="exact"/>
        <w:rPr>
          <w:sz w:val="20"/>
          <w:szCs w:val="20"/>
          <w:color w:val="auto"/>
        </w:rPr>
      </w:pPr>
    </w:p>
    <w:p>
      <w:pPr>
        <w:spacing w:after="0" w:line="295"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auto"/>
        </w:rPr>
        <w:t>Garen Staglin*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auto"/>
        </w:rPr>
        <w:t>Jaynie M. Studenmund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245745</wp:posOffset>
            </wp:positionV>
            <wp:extent cx="6740525" cy="247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40525" cy="2476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 Not standing for reelecton.</w:t>
      </w:r>
    </w:p>
    <w:p>
      <w:pPr>
        <w:spacing w:after="0" w:line="124"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37</w:t>
            </w:r>
          </w:p>
        </w:tc>
      </w:tr>
    </w:tbl>
    <w:p>
      <w:pPr>
        <w:sectPr>
          <w:pgSz w:w="11900" w:h="16838" w:orient="portrait"/>
          <w:cols w:equalWidth="0" w:num="1">
            <w:col w:w="10940"/>
          </w:cols>
          <w:pgMar w:left="320" w:top="445"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 Commitee</w:t>
      </w:r>
    </w:p>
    <w:p>
      <w:pPr>
        <w:spacing w:after="0" w:line="1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Audit Commitee oversees and assists our board of directors in fulflling its oversight responsibilites with respect to our accountng and fnancial reportng processes, including the integrity of the fnancial statements and other fnancial informaton provided by us to our stockholders, the public, stock exchanges and others; our compliance with legal and regulatory requirements; our independent registered public accountng frm’s qualifcatons and independence; the audit of our fnancial statements; the performance of our internal audit functon and independent registered public accountng frm; and the Company’s cyber security program and cyber strategy-related risks; business contnuity and disaster recovery planning; and ESG-related disclosure, processes and controls. Our Audit Commitee’s risk oversight is discussed below beginning on page 41. Our Audit Commitee charter permits the commitee to form and delegate authority to subcommitees when appropriate, provided that the subcommitees are composed entrely of directors who satsfy the applicable requirement of federal securites laws as well as independence requirements of the Nasdaq Stock Market.</w:t>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Audit Commitee has direct responsibility for the appointment, compensaton, retenton (including terminaton) and oversight of our independent registered public accountng frm, and our independent registered public accountng frm reports directly to our Audit Commitee. Our Audit Commitee also reviews and approves specifed related-party transactons as required by the rules of the Nasdaq Stock Market, and oversees the Company’s cyber security program and cyber strategy-related risks. The Audit Commitee was established in accordance with Secton 3(a)(58)(A) of the Securites Exchange Act of 1934 (the “Exchange Act”). Our Audit Commitee annually reviews and assesses the adequacy of the Audit Commitee charter and its own performance.</w:t>
      </w:r>
    </w:p>
    <w:p>
      <w:pPr>
        <w:spacing w:after="0" w:line="319" w:lineRule="exact"/>
        <w:rPr>
          <w:sz w:val="20"/>
          <w:szCs w:val="20"/>
          <w:color w:val="auto"/>
        </w:rPr>
      </w:pPr>
    </w:p>
    <w:p>
      <w:pPr>
        <w:ind w:left="320" w:right="360"/>
        <w:spacing w:after="0" w:line="239" w:lineRule="auto"/>
        <w:rPr>
          <w:sz w:val="20"/>
          <w:szCs w:val="20"/>
          <w:color w:val="auto"/>
        </w:rPr>
      </w:pPr>
      <w:r>
        <w:rPr>
          <w:rFonts w:ascii="Calibri" w:cs="Calibri" w:eastAsia="Calibri" w:hAnsi="Calibri"/>
          <w:sz w:val="17"/>
          <w:szCs w:val="17"/>
          <w:color w:val="auto"/>
        </w:rPr>
        <w:t>The members of our Audit Commitee are appointed by our board of directors. All members of our Audit Commitee must also be recommended by our Nominatng and Governance Commitee.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1740"/>
        <w:spacing w:after="0"/>
        <w:rPr>
          <w:sz w:val="20"/>
          <w:szCs w:val="20"/>
          <w:color w:val="auto"/>
        </w:rPr>
      </w:pPr>
      <w:r>
        <w:rPr>
          <w:rFonts w:ascii="Calibri" w:cs="Calibri" w:eastAsia="Calibri" w:hAnsi="Calibri"/>
          <w:sz w:val="17"/>
          <w:szCs w:val="17"/>
          <w:b w:val="1"/>
          <w:bCs w:val="1"/>
          <w:color w:val="FFFFFF"/>
        </w:rPr>
        <w:t>Audit Commitee profle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-224155</wp:posOffset>
            </wp:positionV>
            <wp:extent cx="3296285" cy="14789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96285" cy="1478915"/>
                    </a:xfrm>
                    <a:prstGeom prst="rect">
                      <a:avLst/>
                    </a:prstGeom>
                    <a:noFill/>
                  </pic:spPr>
                </pic:pic>
              </a:graphicData>
            </a:graphic>
          </wp:anchor>
        </w:drawing>
      </w:r>
    </w:p>
    <w:p>
      <w:pPr>
        <w:spacing w:after="0" w:line="332" w:lineRule="exact"/>
        <w:rPr>
          <w:sz w:val="20"/>
          <w:szCs w:val="20"/>
          <w:color w:val="auto"/>
        </w:rPr>
      </w:pPr>
    </w:p>
    <w:p>
      <w:pPr>
        <w:ind w:left="140"/>
        <w:spacing w:after="0"/>
        <w:rPr>
          <w:sz w:val="20"/>
          <w:szCs w:val="20"/>
          <w:color w:val="auto"/>
        </w:rPr>
      </w:pPr>
      <w:r>
        <w:rPr>
          <w:rFonts w:ascii="Calibri" w:cs="Calibri" w:eastAsia="Calibri" w:hAnsi="Calibri"/>
          <w:sz w:val="17"/>
          <w:szCs w:val="17"/>
          <w:b w:val="1"/>
          <w:bCs w:val="1"/>
          <w:color w:val="auto"/>
        </w:rPr>
        <w:t>Kristy Pipes, Chair*</w:t>
      </w:r>
    </w:p>
    <w:p>
      <w:pPr>
        <w:spacing w:after="0" w:line="126" w:lineRule="exact"/>
        <w:rPr>
          <w:sz w:val="20"/>
          <w:szCs w:val="20"/>
          <w:color w:val="auto"/>
        </w:rPr>
      </w:pPr>
    </w:p>
    <w:p>
      <w:pPr>
        <w:ind w:left="180"/>
        <w:spacing w:after="0"/>
        <w:rPr>
          <w:sz w:val="20"/>
          <w:szCs w:val="20"/>
          <w:color w:val="auto"/>
        </w:rPr>
      </w:pPr>
      <w:r>
        <w:rPr>
          <w:rFonts w:ascii="Calibri" w:cs="Calibri" w:eastAsia="Calibri" w:hAnsi="Calibri"/>
          <w:sz w:val="16"/>
          <w:szCs w:val="16"/>
          <w:color w:val="auto"/>
        </w:rPr>
        <w:t>Clyde Ostler*</w:t>
      </w:r>
    </w:p>
    <w:p>
      <w:pPr>
        <w:ind w:left="180"/>
        <w:spacing w:after="0"/>
        <w:rPr>
          <w:sz w:val="20"/>
          <w:szCs w:val="20"/>
          <w:color w:val="auto"/>
        </w:rPr>
      </w:pPr>
      <w:r>
        <w:rPr>
          <w:rFonts w:ascii="Calibri" w:cs="Calibri" w:eastAsia="Calibri" w:hAnsi="Calibri"/>
          <w:sz w:val="16"/>
          <w:szCs w:val="16"/>
          <w:color w:val="auto"/>
        </w:rPr>
        <w:t>Vikram Pandit*</w:t>
      </w:r>
    </w:p>
    <w:p>
      <w:pPr>
        <w:ind w:left="180"/>
        <w:spacing w:after="0"/>
        <w:rPr>
          <w:sz w:val="20"/>
          <w:szCs w:val="20"/>
          <w:color w:val="auto"/>
        </w:rPr>
      </w:pPr>
      <w:r>
        <w:rPr>
          <w:rFonts w:ascii="Calibri" w:cs="Calibri" w:eastAsia="Calibri" w:hAnsi="Calibri"/>
          <w:sz w:val="16"/>
          <w:szCs w:val="16"/>
          <w:color w:val="auto"/>
        </w:rPr>
        <w:t>Nitn Sahney</w:t>
      </w:r>
    </w:p>
    <w:p>
      <w:pPr>
        <w:ind w:left="180"/>
        <w:spacing w:after="0"/>
        <w:rPr>
          <w:sz w:val="20"/>
          <w:szCs w:val="20"/>
          <w:color w:val="auto"/>
        </w:rPr>
      </w:pPr>
      <w:r>
        <w:rPr>
          <w:rFonts w:ascii="Calibri" w:cs="Calibri" w:eastAsia="Calibri" w:hAnsi="Calibri"/>
          <w:sz w:val="16"/>
          <w:szCs w:val="16"/>
          <w:color w:val="auto"/>
        </w:rPr>
        <w:t>Jaynie Studenmund*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560" w:type="dxa"/>
            <w:vAlign w:val="bottom"/>
            <w:shd w:val="clear" w:color="auto" w:fill="D8D8D8"/>
          </w:tcPr>
          <w:p>
            <w:pPr>
              <w:ind w:left="400"/>
              <w:spacing w:after="0"/>
              <w:rPr>
                <w:sz w:val="20"/>
                <w:szCs w:val="20"/>
                <w:color w:val="auto"/>
              </w:rPr>
            </w:pPr>
            <w:r>
              <w:rPr>
                <w:rFonts w:ascii="Calibri" w:cs="Calibri" w:eastAsia="Calibri" w:hAnsi="Calibri"/>
                <w:sz w:val="13"/>
                <w:szCs w:val="13"/>
                <w:color w:val="auto"/>
                <w:w w:val="71"/>
              </w:rPr>
              <w:t>• </w:t>
            </w:r>
          </w:p>
        </w:tc>
        <w:tc>
          <w:tcPr>
            <w:tcW w:w="464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Accountng and fnancial reportng processes</w:t>
            </w:r>
          </w:p>
        </w:tc>
      </w:tr>
      <w:tr>
        <w:trPr>
          <w:trHeight w:val="325"/>
        </w:trPr>
        <w:tc>
          <w:tcPr>
            <w:tcW w:w="560" w:type="dxa"/>
            <w:vAlign w:val="bottom"/>
            <w:shd w:val="clear" w:color="auto" w:fill="D8D8D8"/>
          </w:tcPr>
          <w:p>
            <w:pPr>
              <w:ind w:left="400"/>
              <w:spacing w:after="0"/>
              <w:rPr>
                <w:sz w:val="20"/>
                <w:szCs w:val="20"/>
                <w:color w:val="auto"/>
              </w:rPr>
            </w:pPr>
            <w:r>
              <w:rPr>
                <w:rFonts w:ascii="Calibri" w:cs="Calibri" w:eastAsia="Calibri" w:hAnsi="Calibri"/>
                <w:sz w:val="13"/>
                <w:szCs w:val="13"/>
                <w:color w:val="auto"/>
                <w:w w:val="71"/>
              </w:rPr>
              <w:t>• </w:t>
            </w:r>
          </w:p>
        </w:tc>
        <w:tc>
          <w:tcPr>
            <w:tcW w:w="464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Our independent registered public accountng frm’s appointment and</w:t>
            </w:r>
          </w:p>
        </w:tc>
      </w:tr>
      <w:tr>
        <w:trPr>
          <w:trHeight w:val="195"/>
        </w:trPr>
        <w:tc>
          <w:tcPr>
            <w:tcW w:w="560" w:type="dxa"/>
            <w:vAlign w:val="bottom"/>
            <w:shd w:val="clear" w:color="auto" w:fill="D8D8D8"/>
          </w:tcPr>
          <w:p>
            <w:pPr>
              <w:spacing w:after="0"/>
              <w:rPr>
                <w:sz w:val="16"/>
                <w:szCs w:val="16"/>
                <w:color w:val="auto"/>
              </w:rPr>
            </w:pPr>
          </w:p>
        </w:tc>
        <w:tc>
          <w:tcPr>
            <w:tcW w:w="4640" w:type="dxa"/>
            <w:vAlign w:val="bottom"/>
            <w:shd w:val="clear" w:color="auto" w:fill="D8D8D8"/>
          </w:tcPr>
          <w:p>
            <w:pPr>
              <w:ind w:left="140"/>
              <w:spacing w:after="0"/>
              <w:rPr>
                <w:sz w:val="20"/>
                <w:szCs w:val="20"/>
                <w:color w:val="auto"/>
              </w:rPr>
            </w:pPr>
            <w:r>
              <w:rPr>
                <w:rFonts w:ascii="Calibri" w:cs="Calibri" w:eastAsia="Calibri" w:hAnsi="Calibri"/>
                <w:sz w:val="16"/>
                <w:szCs w:val="16"/>
                <w:color w:val="auto"/>
              </w:rPr>
              <w:t>independence</w:t>
            </w:r>
          </w:p>
        </w:tc>
      </w:tr>
      <w:tr>
        <w:trPr>
          <w:trHeight w:val="325"/>
        </w:trPr>
        <w:tc>
          <w:tcPr>
            <w:tcW w:w="560" w:type="dxa"/>
            <w:vAlign w:val="bottom"/>
            <w:shd w:val="clear" w:color="auto" w:fill="D8D8D8"/>
          </w:tcPr>
          <w:p>
            <w:pPr>
              <w:ind w:left="400"/>
              <w:spacing w:after="0"/>
              <w:rPr>
                <w:sz w:val="20"/>
                <w:szCs w:val="20"/>
                <w:color w:val="auto"/>
              </w:rPr>
            </w:pPr>
            <w:r>
              <w:rPr>
                <w:rFonts w:ascii="Calibri" w:cs="Calibri" w:eastAsia="Calibri" w:hAnsi="Calibri"/>
                <w:sz w:val="13"/>
                <w:szCs w:val="13"/>
                <w:color w:val="auto"/>
                <w:w w:val="71"/>
              </w:rPr>
              <w:t>• </w:t>
            </w:r>
          </w:p>
        </w:tc>
        <w:tc>
          <w:tcPr>
            <w:tcW w:w="464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The audit of our fnancial statements and internal audit functon</w:t>
            </w:r>
          </w:p>
        </w:tc>
      </w:tr>
      <w:tr>
        <w:trPr>
          <w:trHeight w:val="325"/>
        </w:trPr>
        <w:tc>
          <w:tcPr>
            <w:tcW w:w="560" w:type="dxa"/>
            <w:vAlign w:val="bottom"/>
            <w:shd w:val="clear" w:color="auto" w:fill="D8D8D8"/>
          </w:tcPr>
          <w:p>
            <w:pPr>
              <w:ind w:left="400"/>
              <w:spacing w:after="0"/>
              <w:rPr>
                <w:sz w:val="20"/>
                <w:szCs w:val="20"/>
                <w:color w:val="auto"/>
              </w:rPr>
            </w:pPr>
            <w:r>
              <w:rPr>
                <w:rFonts w:ascii="Calibri" w:cs="Calibri" w:eastAsia="Calibri" w:hAnsi="Calibri"/>
                <w:sz w:val="13"/>
                <w:szCs w:val="13"/>
                <w:color w:val="auto"/>
                <w:w w:val="71"/>
              </w:rPr>
              <w:t>• </w:t>
            </w:r>
          </w:p>
        </w:tc>
        <w:tc>
          <w:tcPr>
            <w:tcW w:w="464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Other key areas including cybersecurity, ESG, litgaton, business</w:t>
            </w:r>
          </w:p>
        </w:tc>
      </w:tr>
      <w:tr>
        <w:trPr>
          <w:trHeight w:val="195"/>
        </w:trPr>
        <w:tc>
          <w:tcPr>
            <w:tcW w:w="560" w:type="dxa"/>
            <w:vAlign w:val="bottom"/>
            <w:shd w:val="clear" w:color="auto" w:fill="D8D8D8"/>
          </w:tcPr>
          <w:p>
            <w:pPr>
              <w:spacing w:after="0"/>
              <w:rPr>
                <w:sz w:val="16"/>
                <w:szCs w:val="16"/>
                <w:color w:val="auto"/>
              </w:rPr>
            </w:pPr>
          </w:p>
        </w:tc>
        <w:tc>
          <w:tcPr>
            <w:tcW w:w="4640" w:type="dxa"/>
            <w:vAlign w:val="bottom"/>
            <w:shd w:val="clear" w:color="auto" w:fill="D8D8D8"/>
          </w:tcPr>
          <w:p>
            <w:pPr>
              <w:ind w:left="140"/>
              <w:spacing w:after="0"/>
              <w:rPr>
                <w:sz w:val="20"/>
                <w:szCs w:val="20"/>
                <w:color w:val="auto"/>
              </w:rPr>
            </w:pPr>
            <w:r>
              <w:rPr>
                <w:rFonts w:ascii="Calibri" w:cs="Calibri" w:eastAsia="Calibri" w:hAnsi="Calibri"/>
                <w:sz w:val="16"/>
                <w:szCs w:val="16"/>
                <w:color w:val="auto"/>
              </w:rPr>
              <w:t>contnuity and disaster recovery, compliance and regulatory</w:t>
            </w:r>
          </w:p>
        </w:tc>
      </w:tr>
      <w:tr>
        <w:trPr>
          <w:trHeight w:val="195"/>
        </w:trPr>
        <w:tc>
          <w:tcPr>
            <w:tcW w:w="560" w:type="dxa"/>
            <w:vAlign w:val="bottom"/>
            <w:shd w:val="clear" w:color="auto" w:fill="D8D8D8"/>
          </w:tcPr>
          <w:p>
            <w:pPr>
              <w:spacing w:after="0"/>
              <w:rPr>
                <w:sz w:val="16"/>
                <w:szCs w:val="16"/>
                <w:color w:val="auto"/>
              </w:rPr>
            </w:pPr>
          </w:p>
        </w:tc>
        <w:tc>
          <w:tcPr>
            <w:tcW w:w="4640" w:type="dxa"/>
            <w:vAlign w:val="bottom"/>
            <w:shd w:val="clear" w:color="auto" w:fill="D8D8D8"/>
          </w:tcPr>
          <w:p>
            <w:pPr>
              <w:ind w:left="140"/>
              <w:spacing w:after="0"/>
              <w:rPr>
                <w:sz w:val="20"/>
                <w:szCs w:val="20"/>
                <w:color w:val="auto"/>
              </w:rPr>
            </w:pPr>
            <w:r>
              <w:rPr>
                <w:rFonts w:ascii="Calibri" w:cs="Calibri" w:eastAsia="Calibri" w:hAnsi="Calibri"/>
                <w:sz w:val="16"/>
                <w:szCs w:val="16"/>
                <w:color w:val="auto"/>
              </w:rPr>
              <w:t>enforcement maters</w:t>
            </w:r>
          </w:p>
        </w:tc>
      </w:tr>
      <w:tr>
        <w:trPr>
          <w:trHeight w:val="170"/>
        </w:trPr>
        <w:tc>
          <w:tcPr>
            <w:tcW w:w="560" w:type="dxa"/>
            <w:vAlign w:val="bottom"/>
            <w:shd w:val="clear" w:color="auto" w:fill="D8D8D8"/>
          </w:tcPr>
          <w:p>
            <w:pPr>
              <w:spacing w:after="0"/>
              <w:rPr>
                <w:sz w:val="14"/>
                <w:szCs w:val="14"/>
                <w:color w:val="auto"/>
              </w:rPr>
            </w:pPr>
          </w:p>
        </w:tc>
        <w:tc>
          <w:tcPr>
            <w:tcW w:w="4640" w:type="dxa"/>
            <w:vAlign w:val="bottom"/>
            <w:shd w:val="clear" w:color="auto" w:fill="D8D8D8"/>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3296285" cy="3797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96285" cy="37973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5380" w:space="360"/>
            <w:col w:w="5200"/>
          </w:cols>
          <w:pgMar w:left="320" w:top="445" w:right="639" w:bottom="1440" w:gutter="0" w:footer="0" w:header="0"/>
          <w:type w:val="continuous"/>
        </w:sectPr>
      </w:pPr>
    </w:p>
    <w:p>
      <w:pPr>
        <w:jc w:val="right"/>
        <w:ind w:right="1000"/>
        <w:spacing w:after="0"/>
        <w:rPr>
          <w:sz w:val="20"/>
          <w:szCs w:val="20"/>
          <w:color w:val="auto"/>
        </w:rPr>
      </w:pPr>
      <w:r>
        <w:rPr>
          <w:rFonts w:ascii="Calibri" w:cs="Calibri" w:eastAsia="Calibri" w:hAnsi="Calibri"/>
          <w:sz w:val="13"/>
          <w:szCs w:val="13"/>
          <w:color w:val="auto"/>
        </w:rPr>
        <w:t>*Audit commitee fnancial expert under applicable SEC rules and regulatons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177800</wp:posOffset>
            </wp:positionV>
            <wp:extent cx="3296285" cy="2806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96285" cy="280670"/>
                    </a:xfrm>
                    <a:prstGeom prst="rect">
                      <a:avLst/>
                    </a:prstGeom>
                    <a:noFill/>
                  </pic:spPr>
                </pic:pic>
              </a:graphicData>
            </a:graphic>
          </wp:anchor>
        </w:drawing>
      </w:r>
    </w:p>
    <w:p>
      <w:pPr>
        <w:spacing w:after="0" w:line="290" w:lineRule="exact"/>
        <w:rPr>
          <w:sz w:val="20"/>
          <w:szCs w:val="20"/>
          <w:color w:val="auto"/>
        </w:rPr>
      </w:pPr>
    </w:p>
    <w:p>
      <w:pPr>
        <w:ind w:left="7280"/>
        <w:spacing w:after="0"/>
        <w:rPr>
          <w:sz w:val="20"/>
          <w:szCs w:val="20"/>
          <w:color w:val="auto"/>
        </w:rPr>
      </w:pPr>
      <w:r>
        <w:rPr>
          <w:rFonts w:ascii="Calibri" w:cs="Calibri" w:eastAsia="Calibri" w:hAnsi="Calibri"/>
          <w:sz w:val="17"/>
          <w:szCs w:val="17"/>
          <w:b w:val="1"/>
          <w:bCs w:val="1"/>
          <w:color w:val="FB4E0B"/>
        </w:rPr>
        <w:t>6 commitee meetngs in 2021</w:t>
      </w:r>
    </w:p>
    <w:p>
      <w:pPr>
        <w:spacing w:after="0" w:line="200" w:lineRule="exact"/>
        <w:rPr>
          <w:sz w:val="20"/>
          <w:szCs w:val="20"/>
          <w:color w:val="auto"/>
        </w:rPr>
      </w:pPr>
    </w:p>
    <w:p>
      <w:pPr>
        <w:spacing w:after="0" w:line="252"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38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Nominatng and Governance Commitee</w:t>
      </w:r>
    </w:p>
    <w:p>
      <w:pPr>
        <w:spacing w:after="0" w:line="17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Nominatng and Governance Commitee is responsible for:</w:t>
      </w:r>
    </w:p>
    <w:p>
      <w:pPr>
        <w:spacing w:after="0" w:line="2" w:lineRule="exact"/>
        <w:rPr>
          <w:sz w:val="20"/>
          <w:szCs w:val="20"/>
          <w:color w:val="auto"/>
        </w:rPr>
      </w:pPr>
    </w:p>
    <w:p>
      <w:pPr>
        <w:ind w:left="320" w:hanging="4"/>
        <w:spacing w:after="0"/>
        <w:tabs>
          <w:tab w:leader="none" w:pos="500" w:val="left"/>
        </w:tabs>
        <w:numPr>
          <w:ilvl w:val="0"/>
          <w:numId w:val="13"/>
        </w:numPr>
        <w:rPr>
          <w:rFonts w:ascii="Calibri" w:cs="Calibri" w:eastAsia="Calibri" w:hAnsi="Calibri"/>
          <w:sz w:val="17"/>
          <w:szCs w:val="17"/>
          <w:color w:val="auto"/>
        </w:rPr>
      </w:pPr>
      <w:r>
        <w:rPr>
          <w:rFonts w:ascii="Calibri" w:cs="Calibri" w:eastAsia="Calibri" w:hAnsi="Calibri"/>
          <w:sz w:val="17"/>
          <w:szCs w:val="17"/>
          <w:color w:val="auto"/>
        </w:rPr>
        <w:t>identfying and recommending candidates for electon to our board of directors using selecton criteria approved by our board of directors, reviewing compositon of the board and commitee membership and overseeing board refreshment and director compensaton and benefts maters, (ii) developing and recommending to our board of directors Corporate Governance Guidelines, including independence standards, and other board procedures or corporate governance policies, as well as any changes to such guidelines, procedures or policies or to any of our organizatonal documents; (iii) overseeing our board of director and management evaluatons and our director educaton program, and</w:t>
      </w:r>
    </w:p>
    <w:p>
      <w:pPr>
        <w:spacing w:after="0" w:line="6" w:lineRule="exact"/>
        <w:rPr>
          <w:rFonts w:ascii="Calibri" w:cs="Calibri" w:eastAsia="Calibri" w:hAnsi="Calibri"/>
          <w:sz w:val="17"/>
          <w:szCs w:val="17"/>
          <w:color w:val="auto"/>
        </w:rPr>
      </w:pPr>
    </w:p>
    <w:p>
      <w:pPr>
        <w:ind w:left="320" w:hanging="4"/>
        <w:spacing w:after="0"/>
        <w:tabs>
          <w:tab w:leader="none" w:pos="576" w:val="left"/>
        </w:tabs>
        <w:numPr>
          <w:ilvl w:val="0"/>
          <w:numId w:val="14"/>
        </w:numPr>
        <w:rPr>
          <w:rFonts w:ascii="Calibri" w:cs="Calibri" w:eastAsia="Calibri" w:hAnsi="Calibri"/>
          <w:sz w:val="17"/>
          <w:szCs w:val="17"/>
          <w:color w:val="auto"/>
        </w:rPr>
      </w:pPr>
      <w:r>
        <w:rPr>
          <w:rFonts w:ascii="Calibri" w:cs="Calibri" w:eastAsia="Calibri" w:hAnsi="Calibri"/>
          <w:sz w:val="17"/>
          <w:szCs w:val="17"/>
          <w:color w:val="auto"/>
        </w:rPr>
        <w:t>overseeing our ESG goals, policies and practces. Our Nominatng and Governance Commitee Charter permits the commitee to form and delegate authority to subcommitees when appropriate, provided that the subcommitees are composed entrely of directors who satsfy the applicable independence requirements of the Nasdaq Stock Market.</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Nominatng and Governance Commitee reviews writen and oral informaton provided by and about candidates and considers any additonal criteria it feels is appropriate to ensure that all director nominees possess appropriate skills and experience to serve as a member of our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3296285" cy="3632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96285" cy="36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940"/>
        <w:spacing w:after="0"/>
        <w:rPr>
          <w:sz w:val="20"/>
          <w:szCs w:val="20"/>
          <w:color w:val="auto"/>
        </w:rPr>
      </w:pPr>
      <w:r>
        <w:rPr>
          <w:rFonts w:ascii="Calibri" w:cs="Calibri" w:eastAsia="Calibri" w:hAnsi="Calibri"/>
          <w:sz w:val="17"/>
          <w:szCs w:val="17"/>
          <w:b w:val="1"/>
          <w:bCs w:val="1"/>
          <w:color w:val="FFFFFF"/>
        </w:rPr>
        <w:t>Nominatng and Governance Commitee profle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146685</wp:posOffset>
            </wp:positionV>
            <wp:extent cx="3296285" cy="10407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96285" cy="1040765"/>
                    </a:xfrm>
                    <a:prstGeom prst="rect">
                      <a:avLst/>
                    </a:prstGeom>
                    <a:noFill/>
                  </pic:spPr>
                </pic:pic>
              </a:graphicData>
            </a:graphic>
          </wp:anchor>
        </w:drawing>
      </w:r>
    </w:p>
    <w:p>
      <w:pPr>
        <w:spacing w:after="0" w:line="306" w:lineRule="exact"/>
        <w:rPr>
          <w:sz w:val="20"/>
          <w:szCs w:val="20"/>
          <w:color w:val="auto"/>
        </w:rPr>
      </w:pPr>
    </w:p>
    <w:p>
      <w:pPr>
        <w:ind w:left="140"/>
        <w:spacing w:after="0"/>
        <w:rPr>
          <w:sz w:val="20"/>
          <w:szCs w:val="20"/>
          <w:color w:val="auto"/>
        </w:rPr>
      </w:pPr>
      <w:r>
        <w:rPr>
          <w:rFonts w:ascii="Calibri" w:cs="Calibri" w:eastAsia="Calibri" w:hAnsi="Calibri"/>
          <w:sz w:val="17"/>
          <w:szCs w:val="17"/>
          <w:b w:val="1"/>
          <w:bCs w:val="1"/>
          <w:color w:val="auto"/>
        </w:rPr>
        <w:t>Nitn Sahney, Chair</w:t>
      </w:r>
    </w:p>
    <w:p>
      <w:pPr>
        <w:spacing w:after="0" w:line="113" w:lineRule="exact"/>
        <w:rPr>
          <w:sz w:val="20"/>
          <w:szCs w:val="20"/>
          <w:color w:val="auto"/>
        </w:rPr>
      </w:pPr>
    </w:p>
    <w:p>
      <w:pPr>
        <w:ind w:left="180"/>
        <w:spacing w:after="0"/>
        <w:rPr>
          <w:sz w:val="20"/>
          <w:szCs w:val="20"/>
          <w:color w:val="auto"/>
        </w:rPr>
      </w:pPr>
      <w:r>
        <w:rPr>
          <w:rFonts w:ascii="Calibri" w:cs="Calibri" w:eastAsia="Calibri" w:hAnsi="Calibri"/>
          <w:sz w:val="16"/>
          <w:szCs w:val="16"/>
          <w:color w:val="auto"/>
        </w:rPr>
        <w:t>Anne Minto</w:t>
      </w:r>
    </w:p>
    <w:p>
      <w:pPr>
        <w:ind w:left="180"/>
        <w:spacing w:after="0"/>
        <w:rPr>
          <w:sz w:val="20"/>
          <w:szCs w:val="20"/>
          <w:color w:val="auto"/>
        </w:rPr>
      </w:pPr>
      <w:r>
        <w:rPr>
          <w:rFonts w:ascii="Calibri" w:cs="Calibri" w:eastAsia="Calibri" w:hAnsi="Calibri"/>
          <w:sz w:val="16"/>
          <w:szCs w:val="16"/>
          <w:color w:val="auto"/>
        </w:rPr>
        <w:t>Som Mital</w:t>
      </w:r>
    </w:p>
    <w:p>
      <w:pPr>
        <w:ind w:left="180"/>
        <w:spacing w:after="0"/>
        <w:rPr>
          <w:sz w:val="20"/>
          <w:szCs w:val="20"/>
          <w:color w:val="auto"/>
        </w:rPr>
      </w:pPr>
      <w:r>
        <w:rPr>
          <w:rFonts w:ascii="Calibri" w:cs="Calibri" w:eastAsia="Calibri" w:hAnsi="Calibri"/>
          <w:sz w:val="16"/>
          <w:szCs w:val="16"/>
          <w:color w:val="auto"/>
        </w:rPr>
        <w:t>Vikram Pandit</w:t>
      </w:r>
    </w:p>
    <w:p>
      <w:pPr>
        <w:ind w:left="180"/>
        <w:spacing w:after="0"/>
        <w:rPr>
          <w:sz w:val="20"/>
          <w:szCs w:val="20"/>
          <w:color w:val="auto"/>
        </w:rPr>
      </w:pPr>
      <w:r>
        <w:rPr>
          <w:rFonts w:ascii="Calibri" w:cs="Calibri" w:eastAsia="Calibri" w:hAnsi="Calibri"/>
          <w:sz w:val="16"/>
          <w:szCs w:val="16"/>
          <w:color w:val="auto"/>
        </w:rPr>
        <w:t>Garen Staglin</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40" w:type="dxa"/>
            <w:vAlign w:val="bottom"/>
            <w:shd w:val="clear" w:color="auto" w:fill="D8D8D8"/>
          </w:tcPr>
          <w:p>
            <w:pPr>
              <w:ind w:left="380"/>
              <w:spacing w:after="0"/>
              <w:rPr>
                <w:sz w:val="20"/>
                <w:szCs w:val="20"/>
                <w:color w:val="auto"/>
              </w:rPr>
            </w:pPr>
            <w:r>
              <w:rPr>
                <w:rFonts w:ascii="Calibri" w:cs="Calibri" w:eastAsia="Calibri" w:hAnsi="Calibri"/>
                <w:sz w:val="13"/>
                <w:szCs w:val="13"/>
                <w:color w:val="auto"/>
                <w:w w:val="71"/>
              </w:rPr>
              <w:t>• </w:t>
            </w:r>
          </w:p>
        </w:tc>
        <w:tc>
          <w:tcPr>
            <w:tcW w:w="466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Reviewing compositon of the board, overseeing board refreshment</w:t>
            </w:r>
          </w:p>
        </w:tc>
      </w:tr>
      <w:tr>
        <w:trPr>
          <w:trHeight w:val="195"/>
        </w:trPr>
        <w:tc>
          <w:tcPr>
            <w:tcW w:w="540" w:type="dxa"/>
            <w:vAlign w:val="bottom"/>
            <w:shd w:val="clear" w:color="auto" w:fill="D8D8D8"/>
          </w:tcPr>
          <w:p>
            <w:pPr>
              <w:spacing w:after="0"/>
              <w:rPr>
                <w:sz w:val="16"/>
                <w:szCs w:val="16"/>
                <w:color w:val="auto"/>
              </w:rPr>
            </w:pPr>
          </w:p>
        </w:tc>
        <w:tc>
          <w:tcPr>
            <w:tcW w:w="4660" w:type="dxa"/>
            <w:vAlign w:val="bottom"/>
            <w:shd w:val="clear" w:color="auto" w:fill="D8D8D8"/>
          </w:tcPr>
          <w:p>
            <w:pPr>
              <w:ind w:left="140"/>
              <w:spacing w:after="0"/>
              <w:rPr>
                <w:sz w:val="20"/>
                <w:szCs w:val="20"/>
                <w:color w:val="auto"/>
              </w:rPr>
            </w:pPr>
            <w:r>
              <w:rPr>
                <w:rFonts w:ascii="Calibri" w:cs="Calibri" w:eastAsia="Calibri" w:hAnsi="Calibri"/>
                <w:sz w:val="16"/>
                <w:szCs w:val="16"/>
                <w:color w:val="auto"/>
              </w:rPr>
              <w:t>and identfying and recommending board candidates</w:t>
            </w:r>
          </w:p>
        </w:tc>
      </w:tr>
      <w:tr>
        <w:trPr>
          <w:trHeight w:val="312"/>
        </w:trPr>
        <w:tc>
          <w:tcPr>
            <w:tcW w:w="540" w:type="dxa"/>
            <w:vAlign w:val="bottom"/>
            <w:shd w:val="clear" w:color="auto" w:fill="D8D8D8"/>
          </w:tcPr>
          <w:p>
            <w:pPr>
              <w:ind w:left="380"/>
              <w:spacing w:after="0"/>
              <w:rPr>
                <w:sz w:val="20"/>
                <w:szCs w:val="20"/>
                <w:color w:val="auto"/>
              </w:rPr>
            </w:pPr>
            <w:r>
              <w:rPr>
                <w:rFonts w:ascii="Calibri" w:cs="Calibri" w:eastAsia="Calibri" w:hAnsi="Calibri"/>
                <w:sz w:val="13"/>
                <w:szCs w:val="13"/>
                <w:color w:val="auto"/>
                <w:w w:val="71"/>
              </w:rPr>
              <w:t>• </w:t>
            </w:r>
          </w:p>
        </w:tc>
        <w:tc>
          <w:tcPr>
            <w:tcW w:w="466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Developing and recommending governance practces, including our</w:t>
            </w:r>
          </w:p>
        </w:tc>
      </w:tr>
      <w:tr>
        <w:trPr>
          <w:trHeight w:val="195"/>
        </w:trPr>
        <w:tc>
          <w:tcPr>
            <w:tcW w:w="540" w:type="dxa"/>
            <w:vAlign w:val="bottom"/>
            <w:shd w:val="clear" w:color="auto" w:fill="D8D8D8"/>
          </w:tcPr>
          <w:p>
            <w:pPr>
              <w:spacing w:after="0"/>
              <w:rPr>
                <w:sz w:val="16"/>
                <w:szCs w:val="16"/>
                <w:color w:val="auto"/>
              </w:rPr>
            </w:pPr>
          </w:p>
        </w:tc>
        <w:tc>
          <w:tcPr>
            <w:tcW w:w="4660" w:type="dxa"/>
            <w:vAlign w:val="bottom"/>
            <w:shd w:val="clear" w:color="auto" w:fill="D8D8D8"/>
          </w:tcPr>
          <w:p>
            <w:pPr>
              <w:ind w:left="140"/>
              <w:spacing w:after="0"/>
              <w:rPr>
                <w:sz w:val="20"/>
                <w:szCs w:val="20"/>
                <w:color w:val="auto"/>
              </w:rPr>
            </w:pPr>
            <w:r>
              <w:rPr>
                <w:rFonts w:ascii="Calibri" w:cs="Calibri" w:eastAsia="Calibri" w:hAnsi="Calibri"/>
                <w:sz w:val="16"/>
                <w:szCs w:val="16"/>
                <w:color w:val="auto"/>
              </w:rPr>
              <w:t>Corporate Governance Guidelines</w:t>
            </w:r>
          </w:p>
        </w:tc>
      </w:tr>
      <w:tr>
        <w:trPr>
          <w:trHeight w:val="312"/>
        </w:trPr>
        <w:tc>
          <w:tcPr>
            <w:tcW w:w="540" w:type="dxa"/>
            <w:vAlign w:val="bottom"/>
            <w:shd w:val="clear" w:color="auto" w:fill="D8D8D8"/>
          </w:tcPr>
          <w:p>
            <w:pPr>
              <w:ind w:left="380"/>
              <w:spacing w:after="0"/>
              <w:rPr>
                <w:sz w:val="20"/>
                <w:szCs w:val="20"/>
                <w:color w:val="auto"/>
              </w:rPr>
            </w:pPr>
            <w:r>
              <w:rPr>
                <w:rFonts w:ascii="Calibri" w:cs="Calibri" w:eastAsia="Calibri" w:hAnsi="Calibri"/>
                <w:sz w:val="13"/>
                <w:szCs w:val="13"/>
                <w:color w:val="auto"/>
                <w:w w:val="71"/>
              </w:rPr>
              <w:t>• </w:t>
            </w:r>
          </w:p>
        </w:tc>
        <w:tc>
          <w:tcPr>
            <w:tcW w:w="466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Overseeing board evaluatons</w:t>
            </w:r>
          </w:p>
        </w:tc>
      </w:tr>
      <w:tr>
        <w:trPr>
          <w:trHeight w:val="312"/>
        </w:trPr>
        <w:tc>
          <w:tcPr>
            <w:tcW w:w="540" w:type="dxa"/>
            <w:vAlign w:val="bottom"/>
            <w:shd w:val="clear" w:color="auto" w:fill="D8D8D8"/>
          </w:tcPr>
          <w:p>
            <w:pPr>
              <w:ind w:left="380"/>
              <w:spacing w:after="0"/>
              <w:rPr>
                <w:sz w:val="20"/>
                <w:szCs w:val="20"/>
                <w:color w:val="auto"/>
              </w:rPr>
            </w:pPr>
            <w:r>
              <w:rPr>
                <w:rFonts w:ascii="Calibri" w:cs="Calibri" w:eastAsia="Calibri" w:hAnsi="Calibri"/>
                <w:sz w:val="13"/>
                <w:szCs w:val="13"/>
                <w:color w:val="auto"/>
                <w:w w:val="71"/>
              </w:rPr>
              <w:t>• </w:t>
            </w:r>
          </w:p>
        </w:tc>
        <w:tc>
          <w:tcPr>
            <w:tcW w:w="466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Overseeing our ESG goals, policies and practces</w:t>
            </w:r>
          </w:p>
        </w:tc>
      </w:tr>
      <w:tr>
        <w:trPr>
          <w:trHeight w:val="241"/>
        </w:trPr>
        <w:tc>
          <w:tcPr>
            <w:tcW w:w="540" w:type="dxa"/>
            <w:vAlign w:val="bottom"/>
            <w:tcBorders>
              <w:bottom w:val="single" w:sz="8" w:color="FB4E0B"/>
            </w:tcBorders>
            <w:shd w:val="clear" w:color="auto" w:fill="D8D8D8"/>
          </w:tcPr>
          <w:p>
            <w:pPr>
              <w:spacing w:after="0"/>
              <w:rPr>
                <w:sz w:val="20"/>
                <w:szCs w:val="20"/>
                <w:color w:val="auto"/>
              </w:rPr>
            </w:pPr>
          </w:p>
        </w:tc>
        <w:tc>
          <w:tcPr>
            <w:tcW w:w="4660" w:type="dxa"/>
            <w:vAlign w:val="bottom"/>
            <w:tcBorders>
              <w:bottom w:val="single" w:sz="8" w:color="FB4E0B"/>
            </w:tcBorders>
            <w:shd w:val="clear" w:color="auto" w:fill="D8D8D8"/>
          </w:tcPr>
          <w:p>
            <w:pPr>
              <w:spacing w:after="0"/>
              <w:rPr>
                <w:sz w:val="20"/>
                <w:szCs w:val="20"/>
                <w:color w:val="auto"/>
              </w:rPr>
            </w:pPr>
          </w:p>
        </w:tc>
      </w:tr>
      <w:tr>
        <w:trPr>
          <w:trHeight w:val="276"/>
        </w:trPr>
        <w:tc>
          <w:tcPr>
            <w:tcW w:w="540" w:type="dxa"/>
            <w:vAlign w:val="bottom"/>
            <w:shd w:val="clear" w:color="auto" w:fill="D8D8D8"/>
          </w:tcPr>
          <w:p>
            <w:pPr>
              <w:spacing w:after="0"/>
              <w:rPr>
                <w:sz w:val="24"/>
                <w:szCs w:val="24"/>
                <w:color w:val="auto"/>
              </w:rPr>
            </w:pPr>
          </w:p>
        </w:tc>
        <w:tc>
          <w:tcPr>
            <w:tcW w:w="4660" w:type="dxa"/>
            <w:vAlign w:val="bottom"/>
            <w:shd w:val="clear" w:color="auto" w:fill="D8D8D8"/>
          </w:tcPr>
          <w:p>
            <w:pPr>
              <w:ind w:left="1000"/>
              <w:spacing w:after="0"/>
              <w:rPr>
                <w:sz w:val="20"/>
                <w:szCs w:val="20"/>
                <w:color w:val="auto"/>
              </w:rPr>
            </w:pPr>
            <w:r>
              <w:rPr>
                <w:rFonts w:ascii="Calibri" w:cs="Calibri" w:eastAsia="Calibri" w:hAnsi="Calibri"/>
                <w:sz w:val="17"/>
                <w:szCs w:val="17"/>
                <w:b w:val="1"/>
                <w:bCs w:val="1"/>
                <w:color w:val="FB4E0B"/>
              </w:rPr>
              <w:t>5 commitee meetngs in 2021</w:t>
            </w:r>
          </w:p>
        </w:tc>
      </w:tr>
      <w:tr>
        <w:trPr>
          <w:trHeight w:val="23"/>
        </w:trPr>
        <w:tc>
          <w:tcPr>
            <w:tcW w:w="540" w:type="dxa"/>
            <w:vAlign w:val="bottom"/>
            <w:shd w:val="clear" w:color="auto" w:fill="D8D8D8"/>
          </w:tcPr>
          <w:p>
            <w:pPr>
              <w:spacing w:after="0"/>
              <w:rPr>
                <w:sz w:val="2"/>
                <w:szCs w:val="2"/>
                <w:color w:val="auto"/>
              </w:rPr>
            </w:pPr>
          </w:p>
        </w:tc>
        <w:tc>
          <w:tcPr>
            <w:tcW w:w="4660" w:type="dxa"/>
            <w:vAlign w:val="bottom"/>
            <w:shd w:val="clear" w:color="auto" w:fill="D8D8D8"/>
          </w:tcPr>
          <w:p>
            <w:pPr>
              <w:spacing w:after="0"/>
              <w:rPr>
                <w:sz w:val="2"/>
                <w:szCs w:val="2"/>
                <w:color w:val="auto"/>
              </w:rPr>
            </w:pPr>
          </w:p>
        </w:tc>
      </w:tr>
    </w:tbl>
    <w:p>
      <w:pPr>
        <w:spacing w:after="0" w:line="371" w:lineRule="exact"/>
        <w:rPr>
          <w:sz w:val="20"/>
          <w:szCs w:val="20"/>
          <w:color w:val="auto"/>
        </w:rPr>
      </w:pPr>
    </w:p>
    <w:p>
      <w:pPr>
        <w:sectPr>
          <w:pgSz w:w="11900" w:h="16838" w:orient="portrait"/>
          <w:cols w:equalWidth="0" w:num="2">
            <w:col w:w="5400" w:space="340"/>
            <w:col w:w="5200"/>
          </w:cols>
          <w:pgMar w:left="320" w:top="445" w:right="639" w:bottom="1440" w:gutter="0" w:footer="0" w:header="0"/>
          <w:type w:val="continuous"/>
        </w:sectPr>
      </w:pPr>
    </w:p>
    <w:p>
      <w:pPr>
        <w:spacing w:after="0" w:line="258"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Aside from its role in assessing the board, its commitees and individual director efectveness described above, our Nominatng and Governance Commitee, together with the Compensaton Commitee, provides annual reports on our CEO’s performance in respect of certain goals and objectves set by the Nominatng and Governance Commitee and the board.</w:t>
      </w:r>
    </w:p>
    <w:p>
      <w:pPr>
        <w:spacing w:after="0" w:line="317" w:lineRule="exact"/>
        <w:rPr>
          <w:sz w:val="20"/>
          <w:szCs w:val="20"/>
          <w:color w:val="auto"/>
        </w:rPr>
      </w:pPr>
    </w:p>
    <w:p>
      <w:pPr>
        <w:ind w:left="320" w:right="440"/>
        <w:spacing w:after="0" w:line="268" w:lineRule="auto"/>
        <w:rPr>
          <w:sz w:val="20"/>
          <w:szCs w:val="20"/>
          <w:color w:val="auto"/>
        </w:rPr>
      </w:pPr>
      <w:r>
        <w:rPr>
          <w:rFonts w:ascii="Calibri" w:cs="Calibri" w:eastAsia="Calibri" w:hAnsi="Calibri"/>
          <w:sz w:val="16"/>
          <w:szCs w:val="16"/>
          <w:color w:val="auto"/>
        </w:rPr>
        <w:t>The Nominatng and Governance Commitee also oversees our director onboarding and training program, which provides new directors with training regarding the Company’s policies and procedures and specifc requirements that may be needed based on the director’s commitee memberships.</w:t>
      </w:r>
    </w:p>
    <w:p>
      <w:pPr>
        <w:spacing w:after="0" w:line="292"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In additon, the Nominatng and Governance Commitee oversees and reviews the Company’s ESG goals, policies and programs and the Company’s corporate governance policies and practces regularly. Our Nominatng and Governance Commitee is responsible for reviewing and assessing the adequacy of our organizatonal documents, and recommending any changes, as well as annually reviewing and assessing the adequacy of the Nominatng and Governance Commitee charter and its own performance. The members of our Nominatng and Governance Commitee are appointed by our board of directors.</w:t>
      </w:r>
    </w:p>
    <w:p>
      <w:pPr>
        <w:spacing w:after="0" w:line="128"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39</w:t>
            </w:r>
          </w:p>
        </w:tc>
      </w:tr>
    </w:tbl>
    <w:p>
      <w:pPr>
        <w:sectPr>
          <w:pgSz w:w="11900" w:h="16838" w:orient="portrait"/>
          <w:cols w:equalWidth="0" w:num="1">
            <w:col w:w="10940"/>
          </w:cols>
          <w:pgMar w:left="320" w:top="445" w:right="6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 Commitee</w:t>
      </w:r>
    </w:p>
    <w:p>
      <w:pPr>
        <w:spacing w:after="0" w:line="1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Compensaton Commitee reviews and recommends policies relatng to compensaton and benefts of our directors, ofcers and employees and is responsible for approving the compensaton of our Vice Chairman and CEO and other executve ofcers, as well as our employee beneft policies, programs and administraton. Our Compensaton Commitee reviews, evaluates and makes recommendatons to our board of directors with respect to our incentve compensaton plans and equity-based plans and administers the issuance of awards under our equity incentve plans. Our Compensaton Commitee also provides oversight with respect to human capital management maters, including diversity, equity and inclusion, and talent and leadership engagement, development, and training. Our Compensaton Commitee Charter permits the commitee to form and delegate authority to subcommitees when appropriate, provided that the subcommitees are composed entrely of directors who satsfy the applicable independence requirements of the Nasdaq Stock Market.</w:t>
      </w:r>
    </w:p>
    <w:p>
      <w:pPr>
        <w:sectPr>
          <w:pgSz w:w="11900" w:h="16838" w:orient="portrait"/>
          <w:cols w:equalWidth="0" w:num="1">
            <w:col w:w="10940"/>
          </w:cols>
          <w:pgMar w:left="320" w:top="445" w:right="639" w:bottom="1440" w:gutter="0" w:footer="0" w:header="0"/>
        </w:sectPr>
      </w:pPr>
    </w:p>
    <w:p>
      <w:pPr>
        <w:spacing w:after="0" w:line="29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Compensaton Commitee charter also permits the commitee to retain advisors, consultants or other professionals to assist the Compensaton Commitee to evaluate director, Vice Chairman and CEO or other senior executve compensaton and to carry out its dutes. For 2021, our Compensaton Commitee retained the services of Farient Advisors LLC (“Farient”), a qualifed and independent compensaton consultant, to aid the Compensaton Commitee in performing its review of executve compensaton including executve compensaton benchmarking and peer group analysis. Our Compensaton Commitee annually reviews and assesses the adequacy of the Compensaton Commitee Charter and its own performance. Additonal informaton regarding our Compensaton Commitee’s processes and procedures for considering executve compensaton are addressed in the Compensaton Discussion and Analysis below.</w:t>
      </w:r>
    </w:p>
    <w:p>
      <w:pPr>
        <w:spacing w:after="0" w:line="217"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The members of our Compensaton Commitee are appointed by our board of directors. All new members of our Compensaton Commitee must be recommended by our Nominatng and Governance Commitee.</w:t>
      </w:r>
    </w:p>
    <w:p>
      <w:pPr>
        <w:spacing w:after="0" w:line="213"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During 2021, none of our executve ofcers served as a member of the board of directors or compensaton commitee of any entty that has one or more executve ofcers who serve on our board of directors or Compensaton Commitee.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1420"/>
        <w:spacing w:after="0"/>
        <w:rPr>
          <w:sz w:val="20"/>
          <w:szCs w:val="20"/>
          <w:color w:val="auto"/>
        </w:rPr>
      </w:pPr>
      <w:r>
        <w:rPr>
          <w:rFonts w:ascii="Calibri" w:cs="Calibri" w:eastAsia="Calibri" w:hAnsi="Calibri"/>
          <w:sz w:val="17"/>
          <w:szCs w:val="17"/>
          <w:b w:val="1"/>
          <w:bCs w:val="1"/>
          <w:color w:val="FFFFFF"/>
        </w:rPr>
        <w:t>Compensaton Commitee profle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-215900</wp:posOffset>
            </wp:positionV>
            <wp:extent cx="3296285" cy="14211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96285" cy="142113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40"/>
        <w:spacing w:after="0"/>
        <w:rPr>
          <w:sz w:val="20"/>
          <w:szCs w:val="20"/>
          <w:color w:val="auto"/>
        </w:rPr>
      </w:pPr>
      <w:r>
        <w:rPr>
          <w:rFonts w:ascii="Calibri" w:cs="Calibri" w:eastAsia="Calibri" w:hAnsi="Calibri"/>
          <w:sz w:val="17"/>
          <w:szCs w:val="17"/>
          <w:b w:val="1"/>
          <w:bCs w:val="1"/>
          <w:color w:val="auto"/>
        </w:rPr>
        <w:t>Jaynie Studenmund, Chair</w:t>
      </w:r>
    </w:p>
    <w:p>
      <w:pPr>
        <w:ind w:left="140"/>
        <w:spacing w:after="0" w:line="234" w:lineRule="auto"/>
        <w:rPr>
          <w:sz w:val="20"/>
          <w:szCs w:val="20"/>
          <w:color w:val="auto"/>
        </w:rPr>
      </w:pPr>
      <w:r>
        <w:rPr>
          <w:rFonts w:ascii="Calibri" w:cs="Calibri" w:eastAsia="Calibri" w:hAnsi="Calibri"/>
          <w:sz w:val="16"/>
          <w:szCs w:val="16"/>
          <w:color w:val="auto"/>
        </w:rPr>
        <w:t>Anne Minto</w:t>
      </w:r>
    </w:p>
    <w:p>
      <w:pPr>
        <w:spacing w:after="0" w:line="1"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Som Mital</w:t>
      </w:r>
    </w:p>
    <w:p>
      <w:pPr>
        <w:ind w:left="140"/>
        <w:spacing w:after="0"/>
        <w:rPr>
          <w:sz w:val="20"/>
          <w:szCs w:val="20"/>
          <w:color w:val="auto"/>
        </w:rPr>
      </w:pPr>
      <w:r>
        <w:rPr>
          <w:rFonts w:ascii="Calibri" w:cs="Calibri" w:eastAsia="Calibri" w:hAnsi="Calibri"/>
          <w:sz w:val="16"/>
          <w:szCs w:val="16"/>
          <w:color w:val="auto"/>
        </w:rPr>
        <w:t>Clyde Ostler</w:t>
      </w:r>
    </w:p>
    <w:p>
      <w:pPr>
        <w:ind w:left="140"/>
        <w:spacing w:after="0"/>
        <w:rPr>
          <w:sz w:val="20"/>
          <w:szCs w:val="20"/>
          <w:color w:val="auto"/>
        </w:rPr>
      </w:pPr>
      <w:r>
        <w:rPr>
          <w:rFonts w:ascii="Calibri" w:cs="Calibri" w:eastAsia="Calibri" w:hAnsi="Calibri"/>
          <w:sz w:val="16"/>
          <w:szCs w:val="16"/>
          <w:color w:val="auto"/>
        </w:rPr>
        <w:t>Kristy Pipes</w:t>
      </w:r>
    </w:p>
    <w:p>
      <w:pPr>
        <w:ind w:left="140"/>
        <w:spacing w:after="0"/>
        <w:rPr>
          <w:sz w:val="20"/>
          <w:szCs w:val="20"/>
          <w:color w:val="auto"/>
        </w:rPr>
      </w:pPr>
      <w:r>
        <w:rPr>
          <w:rFonts w:ascii="Calibri" w:cs="Calibri" w:eastAsia="Calibri" w:hAnsi="Calibri"/>
          <w:sz w:val="16"/>
          <w:szCs w:val="16"/>
          <w:color w:val="auto"/>
        </w:rPr>
        <w:t>Garen Staglin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 w:type="dxa"/>
            <w:vAlign w:val="bottom"/>
            <w:shd w:val="clear" w:color="auto" w:fill="D8D8D8"/>
          </w:tcPr>
          <w:p>
            <w:pPr>
              <w:ind w:left="240"/>
              <w:spacing w:after="0"/>
              <w:rPr>
                <w:sz w:val="20"/>
                <w:szCs w:val="20"/>
                <w:color w:val="auto"/>
              </w:rPr>
            </w:pPr>
            <w:r>
              <w:rPr>
                <w:rFonts w:ascii="Calibri" w:cs="Calibri" w:eastAsia="Calibri" w:hAnsi="Calibri"/>
                <w:sz w:val="14"/>
                <w:szCs w:val="14"/>
                <w:color w:val="auto"/>
                <w:w w:val="76"/>
              </w:rPr>
              <w:t>• </w:t>
            </w:r>
          </w:p>
        </w:tc>
        <w:tc>
          <w:tcPr>
            <w:tcW w:w="478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 Overall compensaton risk management, including recommending</w:t>
            </w:r>
          </w:p>
        </w:tc>
      </w:tr>
      <w:tr>
        <w:trPr>
          <w:trHeight w:val="185"/>
        </w:trPr>
        <w:tc>
          <w:tcPr>
            <w:tcW w:w="420" w:type="dxa"/>
            <w:vAlign w:val="bottom"/>
            <w:shd w:val="clear" w:color="auto" w:fill="D8D8D8"/>
          </w:tcPr>
          <w:p>
            <w:pPr>
              <w:spacing w:after="0"/>
              <w:rPr>
                <w:sz w:val="16"/>
                <w:szCs w:val="16"/>
                <w:color w:val="auto"/>
              </w:rPr>
            </w:pPr>
          </w:p>
        </w:tc>
        <w:tc>
          <w:tcPr>
            <w:tcW w:w="4780" w:type="dxa"/>
            <w:vAlign w:val="bottom"/>
            <w:shd w:val="clear" w:color="auto" w:fill="D8D8D8"/>
          </w:tcPr>
          <w:p>
            <w:pPr>
              <w:ind w:left="140"/>
              <w:spacing w:after="0" w:line="185" w:lineRule="exact"/>
              <w:rPr>
                <w:sz w:val="20"/>
                <w:szCs w:val="20"/>
                <w:color w:val="auto"/>
              </w:rPr>
            </w:pPr>
            <w:r>
              <w:rPr>
                <w:rFonts w:ascii="Calibri" w:cs="Calibri" w:eastAsia="Calibri" w:hAnsi="Calibri"/>
                <w:sz w:val="16"/>
                <w:szCs w:val="16"/>
                <w:color w:val="auto"/>
              </w:rPr>
              <w:t>incentve compensaton plans</w:t>
            </w:r>
          </w:p>
        </w:tc>
      </w:tr>
      <w:tr>
        <w:trPr>
          <w:trHeight w:val="312"/>
        </w:trPr>
        <w:tc>
          <w:tcPr>
            <w:tcW w:w="420" w:type="dxa"/>
            <w:vAlign w:val="bottom"/>
            <w:shd w:val="clear" w:color="auto" w:fill="D8D8D8"/>
          </w:tcPr>
          <w:p>
            <w:pPr>
              <w:ind w:left="240"/>
              <w:spacing w:after="0"/>
              <w:rPr>
                <w:sz w:val="20"/>
                <w:szCs w:val="20"/>
                <w:color w:val="auto"/>
              </w:rPr>
            </w:pPr>
            <w:r>
              <w:rPr>
                <w:rFonts w:ascii="Calibri" w:cs="Calibri" w:eastAsia="Calibri" w:hAnsi="Calibri"/>
                <w:sz w:val="14"/>
                <w:szCs w:val="14"/>
                <w:color w:val="auto"/>
                <w:w w:val="76"/>
              </w:rPr>
              <w:t>• </w:t>
            </w:r>
          </w:p>
        </w:tc>
        <w:tc>
          <w:tcPr>
            <w:tcW w:w="478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 Retenton of advisors or other compensaton consultants</w:t>
            </w:r>
          </w:p>
        </w:tc>
      </w:tr>
      <w:tr>
        <w:trPr>
          <w:trHeight w:val="312"/>
        </w:trPr>
        <w:tc>
          <w:tcPr>
            <w:tcW w:w="420" w:type="dxa"/>
            <w:vAlign w:val="bottom"/>
            <w:shd w:val="clear" w:color="auto" w:fill="D8D8D8"/>
          </w:tcPr>
          <w:p>
            <w:pPr>
              <w:ind w:left="240"/>
              <w:spacing w:after="0"/>
              <w:rPr>
                <w:sz w:val="20"/>
                <w:szCs w:val="20"/>
                <w:color w:val="auto"/>
              </w:rPr>
            </w:pPr>
            <w:r>
              <w:rPr>
                <w:rFonts w:ascii="Calibri" w:cs="Calibri" w:eastAsia="Calibri" w:hAnsi="Calibri"/>
                <w:sz w:val="14"/>
                <w:szCs w:val="14"/>
                <w:color w:val="auto"/>
                <w:w w:val="76"/>
              </w:rPr>
              <w:t>• </w:t>
            </w:r>
          </w:p>
        </w:tc>
        <w:tc>
          <w:tcPr>
            <w:tcW w:w="478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 Oversight of human capital management maters, including diversity,</w:t>
            </w:r>
          </w:p>
        </w:tc>
      </w:tr>
      <w:tr>
        <w:trPr>
          <w:trHeight w:val="195"/>
        </w:trPr>
        <w:tc>
          <w:tcPr>
            <w:tcW w:w="420" w:type="dxa"/>
            <w:vAlign w:val="bottom"/>
            <w:shd w:val="clear" w:color="auto" w:fill="D8D8D8"/>
          </w:tcPr>
          <w:p>
            <w:pPr>
              <w:spacing w:after="0"/>
              <w:rPr>
                <w:sz w:val="16"/>
                <w:szCs w:val="16"/>
                <w:color w:val="auto"/>
              </w:rPr>
            </w:pPr>
          </w:p>
        </w:tc>
        <w:tc>
          <w:tcPr>
            <w:tcW w:w="4780" w:type="dxa"/>
            <w:vAlign w:val="bottom"/>
            <w:shd w:val="clear" w:color="auto" w:fill="D8D8D8"/>
          </w:tcPr>
          <w:p>
            <w:pPr>
              <w:ind w:left="140"/>
              <w:spacing w:after="0"/>
              <w:rPr>
                <w:sz w:val="20"/>
                <w:szCs w:val="20"/>
                <w:color w:val="auto"/>
              </w:rPr>
            </w:pPr>
            <w:r>
              <w:rPr>
                <w:rFonts w:ascii="Calibri" w:cs="Calibri" w:eastAsia="Calibri" w:hAnsi="Calibri"/>
                <w:sz w:val="16"/>
                <w:szCs w:val="16"/>
                <w:color w:val="auto"/>
              </w:rPr>
              <w:t>equity and inclusion</w:t>
            </w:r>
          </w:p>
        </w:tc>
      </w:tr>
      <w:tr>
        <w:trPr>
          <w:trHeight w:val="312"/>
        </w:trPr>
        <w:tc>
          <w:tcPr>
            <w:tcW w:w="420" w:type="dxa"/>
            <w:vAlign w:val="bottom"/>
            <w:shd w:val="clear" w:color="auto" w:fill="D8D8D8"/>
          </w:tcPr>
          <w:p>
            <w:pPr>
              <w:ind w:left="240"/>
              <w:spacing w:after="0"/>
              <w:rPr>
                <w:sz w:val="20"/>
                <w:szCs w:val="20"/>
                <w:color w:val="auto"/>
              </w:rPr>
            </w:pPr>
            <w:r>
              <w:rPr>
                <w:rFonts w:ascii="Calibri" w:cs="Calibri" w:eastAsia="Calibri" w:hAnsi="Calibri"/>
                <w:sz w:val="14"/>
                <w:szCs w:val="14"/>
                <w:color w:val="auto"/>
                <w:w w:val="76"/>
              </w:rPr>
              <w:t>• </w:t>
            </w:r>
          </w:p>
        </w:tc>
        <w:tc>
          <w:tcPr>
            <w:tcW w:w="478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 No interlocks or insider partcipaton</w:t>
            </w:r>
          </w:p>
        </w:tc>
      </w:tr>
      <w:tr>
        <w:trPr>
          <w:trHeight w:val="280"/>
        </w:trPr>
        <w:tc>
          <w:tcPr>
            <w:tcW w:w="420" w:type="dxa"/>
            <w:vAlign w:val="bottom"/>
            <w:tcBorders>
              <w:bottom w:val="single" w:sz="8" w:color="FB4E0B"/>
            </w:tcBorders>
            <w:shd w:val="clear" w:color="auto" w:fill="D8D8D8"/>
          </w:tcPr>
          <w:p>
            <w:pPr>
              <w:spacing w:after="0"/>
              <w:rPr>
                <w:sz w:val="24"/>
                <w:szCs w:val="24"/>
                <w:color w:val="auto"/>
              </w:rPr>
            </w:pPr>
          </w:p>
        </w:tc>
        <w:tc>
          <w:tcPr>
            <w:tcW w:w="4780" w:type="dxa"/>
            <w:vAlign w:val="bottom"/>
            <w:tcBorders>
              <w:bottom w:val="single" w:sz="8" w:color="FB4E0B"/>
            </w:tcBorders>
            <w:shd w:val="clear" w:color="auto" w:fill="D8D8D8"/>
          </w:tcPr>
          <w:p>
            <w:pPr>
              <w:spacing w:after="0"/>
              <w:rPr>
                <w:sz w:val="24"/>
                <w:szCs w:val="24"/>
                <w:color w:val="auto"/>
              </w:rPr>
            </w:pPr>
          </w:p>
        </w:tc>
      </w:tr>
      <w:tr>
        <w:trPr>
          <w:trHeight w:val="276"/>
        </w:trPr>
        <w:tc>
          <w:tcPr>
            <w:tcW w:w="420" w:type="dxa"/>
            <w:vAlign w:val="bottom"/>
            <w:shd w:val="clear" w:color="auto" w:fill="D8D8D8"/>
          </w:tcPr>
          <w:p>
            <w:pPr>
              <w:spacing w:after="0"/>
              <w:rPr>
                <w:sz w:val="24"/>
                <w:szCs w:val="24"/>
                <w:color w:val="auto"/>
              </w:rPr>
            </w:pPr>
          </w:p>
        </w:tc>
        <w:tc>
          <w:tcPr>
            <w:tcW w:w="4780" w:type="dxa"/>
            <w:vAlign w:val="bottom"/>
            <w:shd w:val="clear" w:color="auto" w:fill="D8D8D8"/>
          </w:tcPr>
          <w:p>
            <w:pPr>
              <w:ind w:left="1120"/>
              <w:spacing w:after="0"/>
              <w:rPr>
                <w:sz w:val="20"/>
                <w:szCs w:val="20"/>
                <w:color w:val="auto"/>
              </w:rPr>
            </w:pPr>
            <w:r>
              <w:rPr>
                <w:rFonts w:ascii="Calibri" w:cs="Calibri" w:eastAsia="Calibri" w:hAnsi="Calibri"/>
                <w:sz w:val="17"/>
                <w:szCs w:val="17"/>
                <w:b w:val="1"/>
                <w:bCs w:val="1"/>
                <w:color w:val="FB4E0B"/>
              </w:rPr>
              <w:t>7 commitee meetngs in 2021</w:t>
            </w:r>
          </w:p>
        </w:tc>
      </w:tr>
      <w:tr>
        <w:trPr>
          <w:trHeight w:val="23"/>
        </w:trPr>
        <w:tc>
          <w:tcPr>
            <w:tcW w:w="420" w:type="dxa"/>
            <w:vAlign w:val="bottom"/>
            <w:shd w:val="clear" w:color="auto" w:fill="D8D8D8"/>
          </w:tcPr>
          <w:p>
            <w:pPr>
              <w:spacing w:after="0"/>
              <w:rPr>
                <w:sz w:val="2"/>
                <w:szCs w:val="2"/>
                <w:color w:val="auto"/>
              </w:rPr>
            </w:pPr>
          </w:p>
        </w:tc>
        <w:tc>
          <w:tcPr>
            <w:tcW w:w="4780" w:type="dxa"/>
            <w:vAlign w:val="bottom"/>
            <w:shd w:val="clear" w:color="auto" w:fill="D8D8D8"/>
          </w:tcPr>
          <w:p>
            <w:pPr>
              <w:spacing w:after="0"/>
              <w:rPr>
                <w:sz w:val="2"/>
                <w:szCs w:val="2"/>
                <w:color w:val="auto"/>
              </w:rPr>
            </w:pPr>
          </w:p>
        </w:tc>
      </w:tr>
    </w:tbl>
    <w:p>
      <w:pPr>
        <w:spacing w:after="0" w:line="631" w:lineRule="exact"/>
        <w:rPr>
          <w:sz w:val="20"/>
          <w:szCs w:val="20"/>
          <w:color w:val="auto"/>
        </w:rPr>
      </w:pPr>
    </w:p>
    <w:p>
      <w:pPr>
        <w:sectPr>
          <w:pgSz w:w="11900" w:h="16838" w:orient="portrait"/>
          <w:cols w:equalWidth="0" w:num="2">
            <w:col w:w="5400" w:space="340"/>
            <w:col w:w="5200"/>
          </w:cols>
          <w:pgMar w:left="320" w:top="445" w:right="639" w:bottom="1440" w:gutter="0" w:footer="0" w:header="0"/>
          <w:type w:val="continuous"/>
        </w:sectPr>
      </w:pPr>
    </w:p>
    <w:p>
      <w:pPr>
        <w:spacing w:after="0" w:line="304"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40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Board and commitee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242570</wp:posOffset>
            </wp:positionV>
            <wp:extent cx="6740525" cy="47498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40525" cy="474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00"/>
        <w:spacing w:after="0"/>
        <w:rPr>
          <w:sz w:val="20"/>
          <w:szCs w:val="20"/>
          <w:color w:val="auto"/>
        </w:rPr>
      </w:pPr>
      <w:r>
        <w:rPr>
          <w:rFonts w:ascii="Calibri" w:cs="Calibri" w:eastAsia="Calibri" w:hAnsi="Calibri"/>
          <w:sz w:val="17"/>
          <w:szCs w:val="17"/>
          <w:b w:val="1"/>
          <w:bCs w:val="1"/>
          <w:color w:val="auto"/>
        </w:rPr>
        <w:t>Full board oversight</w:t>
      </w:r>
    </w:p>
    <w:p>
      <w:pPr>
        <w:spacing w:after="0" w:line="105"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Our board of directors is ultmately responsible for overseeing EXL’s risk management actvites as a whole.</w:t>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20"/>
        <w:spacing w:after="0" w:line="277" w:lineRule="auto"/>
        <w:rPr>
          <w:sz w:val="20"/>
          <w:szCs w:val="20"/>
          <w:color w:val="auto"/>
        </w:rPr>
      </w:pPr>
      <w:r>
        <w:rPr>
          <w:rFonts w:ascii="Calibri" w:cs="Calibri" w:eastAsia="Calibri" w:hAnsi="Calibri"/>
          <w:sz w:val="14"/>
          <w:szCs w:val="14"/>
          <w:color w:val="auto"/>
        </w:rPr>
        <w:t>Our management is responsible for development of our risk management framework and methodological guidelines. Management is responsible for our day-to-day risks, and, because we are exposed to fnancial risks in multple areas of our business, day-to-day risk management actvites and processes are performed by multple members of our senior and other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line="278" w:lineRule="auto"/>
        <w:rPr>
          <w:sz w:val="20"/>
          <w:szCs w:val="20"/>
          <w:color w:val="auto"/>
        </w:rPr>
      </w:pPr>
      <w:r>
        <w:rPr>
          <w:rFonts w:ascii="Calibri" w:cs="Calibri" w:eastAsia="Calibri" w:hAnsi="Calibri"/>
          <w:sz w:val="14"/>
          <w:szCs w:val="14"/>
          <w:color w:val="auto"/>
        </w:rPr>
        <w:t>Our management assists the board in identfying strategic and operatng risks that could afect the achievement of our business goals and objectves, assessing the likelihood and potental impact of these risks and proposing courses of acton to mitgate and/or respond to these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right="300"/>
        <w:spacing w:after="0" w:line="238" w:lineRule="auto"/>
        <w:rPr>
          <w:sz w:val="20"/>
          <w:szCs w:val="20"/>
          <w:color w:val="auto"/>
        </w:rPr>
      </w:pPr>
      <w:r>
        <w:rPr>
          <w:rFonts w:ascii="Calibri" w:cs="Calibri" w:eastAsia="Calibri" w:hAnsi="Calibri"/>
          <w:sz w:val="16"/>
          <w:szCs w:val="16"/>
          <w:color w:val="auto"/>
        </w:rPr>
        <w:t>We maintain Risk Appette Guidelines that describe certain categories of risk and qualitatve and quanttatve thresholds considered by the Company to be consistent with its strategic objectves. These guidelines are designed to serve as a reference in assessing and implementng strategy, and to be actonable by management such that they are meaningful from an operatonal perspectve.</w:t>
      </w:r>
    </w:p>
    <w:p>
      <w:pPr>
        <w:spacing w:after="0" w:line="134" w:lineRule="exact"/>
        <w:rPr>
          <w:sz w:val="20"/>
          <w:szCs w:val="20"/>
          <w:color w:val="auto"/>
        </w:rPr>
      </w:pPr>
    </w:p>
    <w:p>
      <w:pPr>
        <w:sectPr>
          <w:pgSz w:w="11900" w:h="16838" w:orient="portrait"/>
          <w:cols w:equalWidth="0" w:num="3">
            <w:col w:w="3460" w:space="560"/>
            <w:col w:w="3080" w:space="440"/>
            <w:col w:w="3400"/>
          </w:cols>
          <w:pgMar w:left="320" w:top="445" w:right="639" w:bottom="1440" w:gutter="0" w:footer="0" w:header="0"/>
          <w:type w:val="continuous"/>
        </w:sectPr>
      </w:pPr>
    </w:p>
    <w:tbl>
      <w:tblPr>
        <w:tblLayout w:type="fixed"/>
        <w:tblInd w:w="320" w:type="dxa"/>
        <w:tblCellMar>
          <w:top w:w="0" w:type="dxa"/>
          <w:left w:w="0" w:type="dxa"/>
          <w:bottom w:w="0" w:type="dxa"/>
          <w:right w:w="0" w:type="dxa"/>
        </w:tblCellMar>
      </w:tblPr>
      <w:tr>
        <w:trPr>
          <w:trHeight w:val="182"/>
        </w:trPr>
        <w:tc>
          <w:tcPr>
            <w:tcW w:w="80" w:type="dxa"/>
            <w:vAlign w:val="bottom"/>
            <w:shd w:val="clear" w:color="auto" w:fill="D8D8D8"/>
          </w:tcPr>
          <w:p>
            <w:pPr>
              <w:spacing w:after="0"/>
              <w:rPr>
                <w:sz w:val="15"/>
                <w:szCs w:val="15"/>
                <w:color w:val="auto"/>
              </w:rPr>
            </w:pPr>
          </w:p>
        </w:tc>
        <w:tc>
          <w:tcPr>
            <w:tcW w:w="3280" w:type="dxa"/>
            <w:vAlign w:val="bottom"/>
            <w:vMerge w:val="restart"/>
            <w:shd w:val="clear" w:color="auto" w:fill="D8D8D8"/>
          </w:tcPr>
          <w:p>
            <w:pPr>
              <w:ind w:left="120"/>
              <w:spacing w:after="0"/>
              <w:rPr>
                <w:sz w:val="20"/>
                <w:szCs w:val="20"/>
                <w:color w:val="auto"/>
              </w:rPr>
            </w:pPr>
            <w:r>
              <w:rPr>
                <w:rFonts w:ascii="Calibri" w:cs="Calibri" w:eastAsia="Calibri" w:hAnsi="Calibri"/>
                <w:sz w:val="16"/>
                <w:szCs w:val="16"/>
                <w:b w:val="1"/>
                <w:bCs w:val="1"/>
                <w:color w:val="auto"/>
              </w:rPr>
              <w:t>Audit Commitee</w:t>
            </w:r>
          </w:p>
        </w:tc>
        <w:tc>
          <w:tcPr>
            <w:tcW w:w="3600" w:type="dxa"/>
            <w:vAlign w:val="bottom"/>
            <w:vMerge w:val="restart"/>
            <w:shd w:val="clear" w:color="auto" w:fill="D8D8D8"/>
          </w:tcPr>
          <w:p>
            <w:pPr>
              <w:ind w:left="340"/>
              <w:spacing w:after="0"/>
              <w:rPr>
                <w:sz w:val="20"/>
                <w:szCs w:val="20"/>
                <w:color w:val="auto"/>
              </w:rPr>
            </w:pPr>
            <w:r>
              <w:rPr>
                <w:rFonts w:ascii="Calibri" w:cs="Calibri" w:eastAsia="Calibri" w:hAnsi="Calibri"/>
                <w:sz w:val="16"/>
                <w:szCs w:val="16"/>
                <w:b w:val="1"/>
                <w:bCs w:val="1"/>
                <w:color w:val="auto"/>
              </w:rPr>
              <w:t>Nominatng and Governance</w:t>
            </w:r>
          </w:p>
        </w:tc>
        <w:tc>
          <w:tcPr>
            <w:tcW w:w="3660" w:type="dxa"/>
            <w:vAlign w:val="bottom"/>
            <w:vMerge w:val="restart"/>
            <w:shd w:val="clear" w:color="auto" w:fill="D8D8D8"/>
          </w:tcPr>
          <w:p>
            <w:pPr>
              <w:ind w:left="260"/>
              <w:spacing w:after="0"/>
              <w:rPr>
                <w:sz w:val="20"/>
                <w:szCs w:val="20"/>
                <w:color w:val="auto"/>
              </w:rPr>
            </w:pPr>
            <w:r>
              <w:rPr>
                <w:rFonts w:ascii="Calibri" w:cs="Calibri" w:eastAsia="Calibri" w:hAnsi="Calibri"/>
                <w:sz w:val="16"/>
                <w:szCs w:val="16"/>
                <w:b w:val="1"/>
                <w:bCs w:val="1"/>
                <w:color w:val="auto"/>
              </w:rPr>
              <w:t>Compensaton Commitee</w:t>
            </w:r>
          </w:p>
        </w:tc>
        <w:tc>
          <w:tcPr>
            <w:tcW w:w="0" w:type="dxa"/>
            <w:vAlign w:val="bottom"/>
          </w:tcPr>
          <w:p>
            <w:pPr>
              <w:spacing w:after="0"/>
              <w:rPr>
                <w:sz w:val="1"/>
                <w:szCs w:val="1"/>
                <w:color w:val="auto"/>
              </w:rPr>
            </w:pPr>
          </w:p>
        </w:tc>
      </w:tr>
      <w:tr>
        <w:trPr>
          <w:trHeight w:val="363"/>
        </w:trPr>
        <w:tc>
          <w:tcPr>
            <w:tcW w:w="80" w:type="dxa"/>
            <w:vAlign w:val="bottom"/>
          </w:tcPr>
          <w:p>
            <w:pPr>
              <w:spacing w:after="0"/>
              <w:rPr>
                <w:sz w:val="24"/>
                <w:szCs w:val="24"/>
                <w:color w:val="auto"/>
              </w:rPr>
            </w:pPr>
          </w:p>
        </w:tc>
        <w:tc>
          <w:tcPr>
            <w:tcW w:w="3280" w:type="dxa"/>
            <w:vAlign w:val="bottom"/>
            <w:vMerge w:val="continue"/>
            <w:shd w:val="clear" w:color="auto" w:fill="D8D8D8"/>
          </w:tcPr>
          <w:p>
            <w:pPr>
              <w:spacing w:after="0"/>
              <w:rPr>
                <w:sz w:val="24"/>
                <w:szCs w:val="24"/>
                <w:color w:val="auto"/>
              </w:rPr>
            </w:pPr>
          </w:p>
        </w:tc>
        <w:tc>
          <w:tcPr>
            <w:tcW w:w="3600" w:type="dxa"/>
            <w:vAlign w:val="bottom"/>
            <w:vMerge w:val="continue"/>
            <w:shd w:val="clear" w:color="auto" w:fill="D8D8D8"/>
          </w:tcPr>
          <w:p>
            <w:pPr>
              <w:spacing w:after="0"/>
              <w:rPr>
                <w:sz w:val="24"/>
                <w:szCs w:val="24"/>
                <w:color w:val="auto"/>
              </w:rPr>
            </w:pPr>
          </w:p>
        </w:tc>
        <w:tc>
          <w:tcPr>
            <w:tcW w:w="3660" w:type="dxa"/>
            <w:vAlign w:val="bottom"/>
            <w:vMerge w:val="continue"/>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Responsible for primary oversight of our risk</w:t>
            </w:r>
          </w:p>
        </w:tc>
        <w:tc>
          <w:tcPr>
            <w:tcW w:w="3600" w:type="dxa"/>
            <w:vAlign w:val="bottom"/>
            <w:shd w:val="clear" w:color="auto" w:fill="D8D8D8"/>
          </w:tcPr>
          <w:p>
            <w:pPr>
              <w:ind w:left="340"/>
              <w:spacing w:after="0"/>
              <w:rPr>
                <w:sz w:val="20"/>
                <w:szCs w:val="20"/>
                <w:color w:val="auto"/>
              </w:rPr>
            </w:pPr>
            <w:r>
              <w:rPr>
                <w:rFonts w:ascii="Calibri" w:cs="Calibri" w:eastAsia="Calibri" w:hAnsi="Calibri"/>
                <w:sz w:val="16"/>
                <w:szCs w:val="16"/>
                <w:b w:val="1"/>
                <w:bCs w:val="1"/>
                <w:color w:val="auto"/>
              </w:rPr>
              <w:t>Commitee</w:t>
            </w:r>
          </w:p>
        </w:tc>
        <w:tc>
          <w:tcPr>
            <w:tcW w:w="3660" w:type="dxa"/>
            <w:vAlign w:val="bottom"/>
            <w:shd w:val="clear" w:color="auto" w:fill="D8D8D8"/>
          </w:tcPr>
          <w:p>
            <w:pPr>
              <w:ind w:left="260"/>
              <w:spacing w:after="0"/>
              <w:rPr>
                <w:sz w:val="20"/>
                <w:szCs w:val="20"/>
                <w:color w:val="auto"/>
              </w:rPr>
            </w:pPr>
            <w:r>
              <w:rPr>
                <w:rFonts w:ascii="Calibri" w:cs="Calibri" w:eastAsia="Calibri" w:hAnsi="Calibri"/>
                <w:sz w:val="16"/>
                <w:szCs w:val="16"/>
                <w:color w:val="auto"/>
              </w:rPr>
              <w:t>Responsible for executve and employee</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management, fnancial and cyber security risk,</w:t>
            </w:r>
          </w:p>
        </w:tc>
        <w:tc>
          <w:tcPr>
            <w:tcW w:w="3600" w:type="dxa"/>
            <w:vAlign w:val="bottom"/>
            <w:shd w:val="clear" w:color="auto" w:fill="D8D8D8"/>
          </w:tcPr>
          <w:p>
            <w:pPr>
              <w:ind w:left="340"/>
              <w:spacing w:after="0"/>
              <w:rPr>
                <w:sz w:val="20"/>
                <w:szCs w:val="20"/>
                <w:color w:val="auto"/>
              </w:rPr>
            </w:pPr>
            <w:r>
              <w:rPr>
                <w:rFonts w:ascii="Calibri" w:cs="Calibri" w:eastAsia="Calibri" w:hAnsi="Calibri"/>
                <w:sz w:val="16"/>
                <w:szCs w:val="16"/>
                <w:color w:val="auto"/>
              </w:rPr>
              <w:t>Responsible for risk relatng to environmental,</w:t>
            </w:r>
          </w:p>
        </w:tc>
        <w:tc>
          <w:tcPr>
            <w:tcW w:w="3660" w:type="dxa"/>
            <w:vAlign w:val="bottom"/>
            <w:shd w:val="clear" w:color="auto" w:fill="D8D8D8"/>
          </w:tcPr>
          <w:p>
            <w:pPr>
              <w:ind w:left="260"/>
              <w:spacing w:after="0"/>
              <w:rPr>
                <w:sz w:val="20"/>
                <w:szCs w:val="20"/>
                <w:color w:val="auto"/>
              </w:rPr>
            </w:pPr>
            <w:r>
              <w:rPr>
                <w:rFonts w:ascii="Calibri" w:cs="Calibri" w:eastAsia="Calibri" w:hAnsi="Calibri"/>
                <w:sz w:val="16"/>
                <w:szCs w:val="16"/>
                <w:color w:val="auto"/>
              </w:rPr>
              <w:t>compensaton and retenton-related risk, as well</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risk relatng to environmental, social and</w:t>
            </w:r>
          </w:p>
        </w:tc>
        <w:tc>
          <w:tcPr>
            <w:tcW w:w="3600" w:type="dxa"/>
            <w:vAlign w:val="bottom"/>
            <w:shd w:val="clear" w:color="auto" w:fill="D8D8D8"/>
          </w:tcPr>
          <w:p>
            <w:pPr>
              <w:ind w:left="340"/>
              <w:spacing w:after="0"/>
              <w:rPr>
                <w:sz w:val="20"/>
                <w:szCs w:val="20"/>
                <w:color w:val="auto"/>
              </w:rPr>
            </w:pPr>
            <w:r>
              <w:rPr>
                <w:rFonts w:ascii="Calibri" w:cs="Calibri" w:eastAsia="Calibri" w:hAnsi="Calibri"/>
                <w:sz w:val="16"/>
                <w:szCs w:val="16"/>
                <w:color w:val="auto"/>
              </w:rPr>
              <w:t>social and governance maters, conficts of</w:t>
            </w:r>
          </w:p>
        </w:tc>
        <w:tc>
          <w:tcPr>
            <w:tcW w:w="3660" w:type="dxa"/>
            <w:vAlign w:val="bottom"/>
            <w:shd w:val="clear" w:color="auto" w:fill="D8D8D8"/>
          </w:tcPr>
          <w:p>
            <w:pPr>
              <w:ind w:left="260"/>
              <w:spacing w:after="0"/>
              <w:rPr>
                <w:sz w:val="20"/>
                <w:szCs w:val="20"/>
                <w:color w:val="auto"/>
              </w:rPr>
            </w:pPr>
            <w:r>
              <w:rPr>
                <w:rFonts w:ascii="Calibri" w:cs="Calibri" w:eastAsia="Calibri" w:hAnsi="Calibri"/>
                <w:sz w:val="16"/>
                <w:szCs w:val="16"/>
                <w:color w:val="auto"/>
              </w:rPr>
              <w:t>as other human capital management-related</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governance controls and reportng internal and</w:t>
            </w:r>
          </w:p>
        </w:tc>
        <w:tc>
          <w:tcPr>
            <w:tcW w:w="3600" w:type="dxa"/>
            <w:vAlign w:val="bottom"/>
            <w:shd w:val="clear" w:color="auto" w:fill="D8D8D8"/>
          </w:tcPr>
          <w:p>
            <w:pPr>
              <w:ind w:left="340"/>
              <w:spacing w:after="0"/>
              <w:rPr>
                <w:sz w:val="20"/>
                <w:szCs w:val="20"/>
                <w:color w:val="auto"/>
              </w:rPr>
            </w:pPr>
            <w:r>
              <w:rPr>
                <w:rFonts w:ascii="Calibri" w:cs="Calibri" w:eastAsia="Calibri" w:hAnsi="Calibri"/>
                <w:sz w:val="16"/>
                <w:szCs w:val="16"/>
                <w:color w:val="auto"/>
              </w:rPr>
              <w:t>interest, and oversight of corporate governance</w:t>
            </w:r>
          </w:p>
        </w:tc>
        <w:tc>
          <w:tcPr>
            <w:tcW w:w="3660" w:type="dxa"/>
            <w:vAlign w:val="bottom"/>
            <w:shd w:val="clear" w:color="auto" w:fill="D8D8D8"/>
          </w:tcPr>
          <w:p>
            <w:pPr>
              <w:ind w:left="260"/>
              <w:spacing w:after="0"/>
              <w:rPr>
                <w:sz w:val="20"/>
                <w:szCs w:val="20"/>
                <w:color w:val="auto"/>
              </w:rPr>
            </w:pPr>
            <w:r>
              <w:rPr>
                <w:rFonts w:ascii="Calibri" w:cs="Calibri" w:eastAsia="Calibri" w:hAnsi="Calibri"/>
                <w:sz w:val="16"/>
                <w:szCs w:val="16"/>
                <w:color w:val="auto"/>
              </w:rPr>
              <w:t>risk.</w:t>
            </w: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external audit controls and regulatory</w:t>
            </w:r>
          </w:p>
        </w:tc>
        <w:tc>
          <w:tcPr>
            <w:tcW w:w="3600" w:type="dxa"/>
            <w:vAlign w:val="bottom"/>
            <w:shd w:val="clear" w:color="auto" w:fill="D8D8D8"/>
          </w:tcPr>
          <w:p>
            <w:pPr>
              <w:ind w:left="340"/>
              <w:spacing w:after="0"/>
              <w:rPr>
                <w:sz w:val="20"/>
                <w:szCs w:val="20"/>
                <w:color w:val="auto"/>
              </w:rPr>
            </w:pPr>
            <w:r>
              <w:rPr>
                <w:rFonts w:ascii="Calibri" w:cs="Calibri" w:eastAsia="Calibri" w:hAnsi="Calibri"/>
                <w:sz w:val="16"/>
                <w:szCs w:val="16"/>
                <w:color w:val="auto"/>
              </w:rPr>
              <w:t>policies and practces as a risk- steps</w:t>
            </w:r>
          </w:p>
        </w:tc>
        <w:tc>
          <w:tcPr>
            <w:tcW w:w="36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requirements. Reviews and discusses with</w:t>
            </w:r>
          </w:p>
        </w:tc>
        <w:tc>
          <w:tcPr>
            <w:tcW w:w="3600" w:type="dxa"/>
            <w:vAlign w:val="bottom"/>
            <w:shd w:val="clear" w:color="auto" w:fill="D8D8D8"/>
          </w:tcPr>
          <w:p>
            <w:pPr>
              <w:ind w:left="340"/>
              <w:spacing w:after="0"/>
              <w:rPr>
                <w:sz w:val="20"/>
                <w:szCs w:val="20"/>
                <w:color w:val="auto"/>
              </w:rPr>
            </w:pPr>
            <w:r>
              <w:rPr>
                <w:rFonts w:ascii="Calibri" w:cs="Calibri" w:eastAsia="Calibri" w:hAnsi="Calibri"/>
                <w:sz w:val="16"/>
                <w:szCs w:val="16"/>
                <w:color w:val="auto"/>
              </w:rPr>
              <w:t>management-related measure.</w:t>
            </w:r>
          </w:p>
        </w:tc>
        <w:tc>
          <w:tcPr>
            <w:tcW w:w="36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management our major fnancial risk and cyber</w:t>
            </w:r>
          </w:p>
        </w:tc>
        <w:tc>
          <w:tcPr>
            <w:tcW w:w="3600" w:type="dxa"/>
            <w:vAlign w:val="bottom"/>
            <w:shd w:val="clear" w:color="auto" w:fill="D8D8D8"/>
          </w:tcPr>
          <w:p>
            <w:pPr>
              <w:spacing w:after="0"/>
              <w:rPr>
                <w:sz w:val="16"/>
                <w:szCs w:val="16"/>
                <w:color w:val="auto"/>
              </w:rPr>
            </w:pPr>
          </w:p>
        </w:tc>
        <w:tc>
          <w:tcPr>
            <w:tcW w:w="36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security exposures and the management has</w:t>
            </w:r>
          </w:p>
        </w:tc>
        <w:tc>
          <w:tcPr>
            <w:tcW w:w="3600" w:type="dxa"/>
            <w:vAlign w:val="bottom"/>
            <w:shd w:val="clear" w:color="auto" w:fill="D8D8D8"/>
          </w:tcPr>
          <w:p>
            <w:pPr>
              <w:spacing w:after="0"/>
              <w:rPr>
                <w:sz w:val="16"/>
                <w:szCs w:val="16"/>
                <w:color w:val="auto"/>
              </w:rPr>
            </w:pPr>
          </w:p>
        </w:tc>
        <w:tc>
          <w:tcPr>
            <w:tcW w:w="36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taken to monitor, control and manage such</w:t>
            </w:r>
          </w:p>
        </w:tc>
        <w:tc>
          <w:tcPr>
            <w:tcW w:w="3600" w:type="dxa"/>
            <w:vAlign w:val="bottom"/>
            <w:shd w:val="clear" w:color="auto" w:fill="D8D8D8"/>
          </w:tcPr>
          <w:p>
            <w:pPr>
              <w:spacing w:after="0"/>
              <w:rPr>
                <w:sz w:val="16"/>
                <w:szCs w:val="16"/>
                <w:color w:val="auto"/>
              </w:rPr>
            </w:pPr>
          </w:p>
        </w:tc>
        <w:tc>
          <w:tcPr>
            <w:tcW w:w="36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exposures, including our risk assessment and</w:t>
            </w:r>
          </w:p>
        </w:tc>
        <w:tc>
          <w:tcPr>
            <w:tcW w:w="3600" w:type="dxa"/>
            <w:vAlign w:val="bottom"/>
            <w:shd w:val="clear" w:color="auto" w:fill="D8D8D8"/>
          </w:tcPr>
          <w:p>
            <w:pPr>
              <w:spacing w:after="0"/>
              <w:rPr>
                <w:sz w:val="16"/>
                <w:szCs w:val="16"/>
                <w:color w:val="auto"/>
              </w:rPr>
            </w:pPr>
          </w:p>
        </w:tc>
        <w:tc>
          <w:tcPr>
            <w:tcW w:w="36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risk management guidelines and policies.</w:t>
            </w:r>
          </w:p>
        </w:tc>
        <w:tc>
          <w:tcPr>
            <w:tcW w:w="3600" w:type="dxa"/>
            <w:vAlign w:val="bottom"/>
            <w:shd w:val="clear" w:color="auto" w:fill="D8D8D8"/>
          </w:tcPr>
          <w:p>
            <w:pPr>
              <w:spacing w:after="0"/>
              <w:rPr>
                <w:sz w:val="16"/>
                <w:szCs w:val="16"/>
                <w:color w:val="auto"/>
              </w:rPr>
            </w:pPr>
          </w:p>
        </w:tc>
        <w:tc>
          <w:tcPr>
            <w:tcW w:w="36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Reviews and discusses with other board</w:t>
            </w:r>
          </w:p>
        </w:tc>
        <w:tc>
          <w:tcPr>
            <w:tcW w:w="3600" w:type="dxa"/>
            <w:vAlign w:val="bottom"/>
            <w:shd w:val="clear" w:color="auto" w:fill="D8D8D8"/>
          </w:tcPr>
          <w:p>
            <w:pPr>
              <w:spacing w:after="0"/>
              <w:rPr>
                <w:sz w:val="16"/>
                <w:szCs w:val="16"/>
                <w:color w:val="auto"/>
              </w:rPr>
            </w:pPr>
          </w:p>
        </w:tc>
        <w:tc>
          <w:tcPr>
            <w:tcW w:w="36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commitees our environmental, social and</w:t>
            </w:r>
          </w:p>
        </w:tc>
        <w:tc>
          <w:tcPr>
            <w:tcW w:w="3600" w:type="dxa"/>
            <w:vAlign w:val="bottom"/>
            <w:shd w:val="clear" w:color="auto" w:fill="D8D8D8"/>
          </w:tcPr>
          <w:p>
            <w:pPr>
              <w:spacing w:after="0"/>
              <w:rPr>
                <w:sz w:val="16"/>
                <w:szCs w:val="16"/>
                <w:color w:val="auto"/>
              </w:rPr>
            </w:pPr>
          </w:p>
        </w:tc>
        <w:tc>
          <w:tcPr>
            <w:tcW w:w="36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280" w:type="dxa"/>
            <w:vAlign w:val="bottom"/>
            <w:shd w:val="clear" w:color="auto" w:fill="D8D8D8"/>
          </w:tcPr>
          <w:p>
            <w:pPr>
              <w:ind w:left="120"/>
              <w:spacing w:after="0"/>
              <w:rPr>
                <w:sz w:val="20"/>
                <w:szCs w:val="20"/>
                <w:color w:val="auto"/>
              </w:rPr>
            </w:pPr>
            <w:r>
              <w:rPr>
                <w:rFonts w:ascii="Calibri" w:cs="Calibri" w:eastAsia="Calibri" w:hAnsi="Calibri"/>
                <w:sz w:val="16"/>
                <w:szCs w:val="16"/>
                <w:color w:val="auto"/>
              </w:rPr>
              <w:t>governance programs and related maters.</w:t>
            </w:r>
          </w:p>
        </w:tc>
        <w:tc>
          <w:tcPr>
            <w:tcW w:w="3600" w:type="dxa"/>
            <w:vAlign w:val="bottom"/>
            <w:shd w:val="clear" w:color="auto" w:fill="D8D8D8"/>
          </w:tcPr>
          <w:p>
            <w:pPr>
              <w:spacing w:after="0"/>
              <w:rPr>
                <w:sz w:val="16"/>
                <w:szCs w:val="16"/>
                <w:color w:val="auto"/>
              </w:rPr>
            </w:pPr>
          </w:p>
        </w:tc>
        <w:tc>
          <w:tcPr>
            <w:tcW w:w="36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80" w:type="dxa"/>
            <w:vAlign w:val="bottom"/>
          </w:tcPr>
          <w:p>
            <w:pPr>
              <w:spacing w:after="0"/>
              <w:rPr>
                <w:sz w:val="24"/>
                <w:szCs w:val="24"/>
                <w:color w:val="auto"/>
              </w:rPr>
            </w:pPr>
          </w:p>
        </w:tc>
        <w:tc>
          <w:tcPr>
            <w:tcW w:w="3280" w:type="dxa"/>
            <w:vAlign w:val="bottom"/>
            <w:shd w:val="clear" w:color="auto" w:fill="D8D8D8"/>
          </w:tcPr>
          <w:p>
            <w:pPr>
              <w:spacing w:after="0"/>
              <w:rPr>
                <w:sz w:val="24"/>
                <w:szCs w:val="24"/>
                <w:color w:val="auto"/>
              </w:rPr>
            </w:pPr>
          </w:p>
        </w:tc>
        <w:tc>
          <w:tcPr>
            <w:tcW w:w="3600" w:type="dxa"/>
            <w:vAlign w:val="bottom"/>
            <w:shd w:val="clear" w:color="auto" w:fill="D8D8D8"/>
          </w:tcPr>
          <w:p>
            <w:pPr>
              <w:spacing w:after="0"/>
              <w:rPr>
                <w:sz w:val="24"/>
                <w:szCs w:val="24"/>
                <w:color w:val="auto"/>
              </w:rPr>
            </w:pPr>
          </w:p>
        </w:tc>
        <w:tc>
          <w:tcPr>
            <w:tcW w:w="366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520" w:right="440"/>
        <w:spacing w:after="0" w:line="233" w:lineRule="auto"/>
        <w:rPr>
          <w:sz w:val="20"/>
          <w:szCs w:val="20"/>
          <w:color w:val="auto"/>
        </w:rPr>
      </w:pPr>
      <w:r>
        <w:rPr>
          <w:rFonts w:ascii="Calibri" w:cs="Calibri" w:eastAsia="Calibri" w:hAnsi="Calibri"/>
          <w:sz w:val="16"/>
          <w:szCs w:val="16"/>
          <w:color w:val="auto"/>
        </w:rPr>
        <w:t>Our management maintains, as part of our disclosure controls and procedures, a separate disclosure commitee that, as part of its review of our quarterly and annual reports, helps facilitate understanding by the Audit Commitee and our full board of directors of new or changing risks afectng us.</w:t>
      </w:r>
    </w:p>
    <w:p>
      <w:pPr>
        <w:spacing w:after="0" w:line="327"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41</w:t>
            </w:r>
          </w:p>
        </w:tc>
      </w:tr>
    </w:tbl>
    <w:p>
      <w:pPr>
        <w:sectPr>
          <w:pgSz w:w="11900" w:h="16838" w:orient="portrait"/>
          <w:cols w:equalWidth="0" w:num="1">
            <w:col w:w="10940"/>
          </w:cols>
          <w:pgMar w:left="320" w:top="445" w:right="6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Cybersecurity risk management</w:t>
      </w:r>
    </w:p>
    <w:p>
      <w:pPr>
        <w:spacing w:after="0" w:line="115"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Given the nature of our business, EXL is highly focused on maintaining a robust and comprehensive program that identfes and manages a broad range of cybersecurity risks on behalf of our clients and their customers, as well as our employees, contractors and any relevant third partes. Our Audit Commitee has primary oversight and receives regular briefngs throughout the year on all identfed and possible cybersecurity-related risks, vulnerabilites and strategic policies and practces from management. At least once a year, our board receives a report from management on the Company’s readiness and capability to reduce the risk of, detect and respond to a cyber-atack. Our cybersecurity team consists of privacy atorneys, qualifed technical cybersecurity professionals and business contnuity specialists. We also periodically engage third party experts to review and assess our cybersecurity governance and management.</w:t>
      </w:r>
    </w:p>
    <w:p>
      <w:pPr>
        <w:spacing w:after="0" w:line="31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have invested in our informaton security posture and protocols to support compliance with our contractual obligatons and the laws and regulatons governing our actvites, as well as best practces for organizatonal resiliency. These investments include people, processes and technology intended to protect informaton throughout its life cycle. Each of our employees receives knowledge and awareness training on risk mitgaton and management and controls and procedures relatng to informaton security, cybersecurity and data privacy on a regular basis. Our cybersecurity team partcipates in an annual risk-based audit program, and we also undergo more than 70 external, internal and client audits annually, in part to enable our compliance with the ISO27001, PCI DSS 3.2, HITRUST and SOX 404 standards, among others. We carry out test runs of audits and simulated atacks regularly.</w:t>
      </w:r>
    </w:p>
    <w:p>
      <w:pPr>
        <w:spacing w:after="0" w:line="316"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EXL focuses on implementng and maintaining cybersecurity capabilites to identfy, protect, detect, respond and recover from cyber threats, incidents and atacks; reduce vulnerabilites and minimize the impact of cyber incidents. We emphasize compliance and insttutonal governance built upon and supported by policies and processes, tools and technologies, and knowledge and awareness training. EXL takes into account guidance from relevant regulatory and governance bodies, including, among others, the Cyber Security Framework of the Natonal Insttute of Standards and Technology and local supervisory authorites in the US, UK and Europe. We are also focusing on recent and proposed regulatons in India and recent regulatons in South Africa. For more details on our cybersecurity program, see “Sustainability – Cybersecurity at EXL” on page 54.</w:t>
      </w:r>
    </w:p>
    <w:p>
      <w:pPr>
        <w:spacing w:after="0" w:line="307"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Environmental, social and governance (“ESG”) risk management</w:t>
      </w:r>
    </w:p>
    <w:p>
      <w:pPr>
        <w:spacing w:after="0" w:line="115"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Our board reviews and receives regular reports on ESG and sustainability risks, including those relatng to employee safety, environmental-related eforts, human capital management maters, and corporate governance trends and best practces.</w:t>
      </w:r>
    </w:p>
    <w:p>
      <w:pPr>
        <w:spacing w:after="0" w:line="315"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Each of our board Commitees is involved in oversight over ESG-related risks as relate to maters within their purview. The Nominatng and Governance Commitee is responsible for overseeing ESG maters generally, including as relates to polices and goals and targets and metrics. The Compensaton Commitee deals with human capital management maters relatng to talent and leadership engagement, development and training, employee compensaton and benefts, and diversity, equity and inclusion, among others, and the Audit Commitee oversees risks relatng to ESG-related disclosure, processes and controls. The full board is regularly briefed on the maters overseen by each Commitee.</w:t>
      </w:r>
    </w:p>
    <w:p>
      <w:pPr>
        <w:spacing w:after="0" w:line="128"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42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Corporate governance</w:t>
      </w:r>
    </w:p>
    <w:p>
      <w:pPr>
        <w:spacing w:after="0" w:line="140"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In 2021, we established a new management-level ESG steering commitee, which is responsible for setng our sustainability/ESG strategy and risk management, keeping our management and board up-to-date on ESG-related developments, overseeing our internal and external disclosure on ESG maters, and providing implementaton support across our Company. The ESG steering commitee works in close coordinaton with the board, and provides the board with advice and assistance in its oversight of ESG risks and other maters. For more details on our ESG and sustainability-related eforts, see “Sustainability” on page 45.</w:t>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Stockholder engagement</w:t>
      </w:r>
    </w:p>
    <w:p>
      <w:pPr>
        <w:spacing w:after="0" w:line="127" w:lineRule="exact"/>
        <w:rPr>
          <w:sz w:val="20"/>
          <w:szCs w:val="20"/>
          <w:color w:val="auto"/>
        </w:rPr>
      </w:pPr>
    </w:p>
    <w:p>
      <w:pPr>
        <w:ind w:left="320" w:right="4160"/>
        <w:spacing w:after="0"/>
        <w:rPr>
          <w:sz w:val="20"/>
          <w:szCs w:val="20"/>
          <w:color w:val="auto"/>
        </w:rPr>
      </w:pPr>
      <w:r>
        <w:rPr>
          <w:rFonts w:ascii="Calibri" w:cs="Calibri" w:eastAsia="Calibri" w:hAnsi="Calibri"/>
          <w:sz w:val="17"/>
          <w:szCs w:val="17"/>
          <w:color w:val="auto"/>
        </w:rPr>
        <w:t>In late 2021, we contnued to expand our formal governance-focused stockholder outreach program by ofering to meet with stockholders representng approximately 80% of shares outstanding for discussions focusing on governance topics, and engaged with all stockholders that accepted our invitaton, representng over 43% of shares outstanding, nearly doubling the percentage of investors engaged by shares outstanding compared to 2020. EXL was represented by our management, members of our legal and investor relatonships teams, and board members at these meetngs. Two of our independent directors, Ms. Studenmund and Mr. Sahney, each atended certain meetngs with stockholders, collectvely representng more than 22%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-1172210</wp:posOffset>
            </wp:positionV>
            <wp:extent cx="2172335" cy="13963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72335" cy="139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Topics discussed included:</w:t>
      </w:r>
    </w:p>
    <w:p>
      <w:pPr>
        <w:spacing w:after="0" w:line="118" w:lineRule="exact"/>
        <w:rPr>
          <w:sz w:val="20"/>
          <w:szCs w:val="20"/>
          <w:color w:val="auto"/>
        </w:rPr>
      </w:pPr>
    </w:p>
    <w:p>
      <w:pPr>
        <w:ind w:left="1140" w:hanging="407"/>
        <w:spacing w:after="0"/>
        <w:tabs>
          <w:tab w:leader="none" w:pos="114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Board compositon and structure</w:t>
      </w:r>
    </w:p>
    <w:p>
      <w:pPr>
        <w:ind w:left="1140" w:hanging="407"/>
        <w:spacing w:after="0"/>
        <w:tabs>
          <w:tab w:leader="none" w:pos="114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Executve compensaton</w:t>
      </w:r>
    </w:p>
    <w:p>
      <w:pPr>
        <w:ind w:left="1140" w:hanging="407"/>
        <w:spacing w:after="0"/>
        <w:tabs>
          <w:tab w:leader="none" w:pos="114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Risk oversight</w:t>
      </w:r>
    </w:p>
    <w:p>
      <w:pPr>
        <w:ind w:left="1140" w:hanging="407"/>
        <w:spacing w:after="0"/>
        <w:tabs>
          <w:tab w:leader="none" w:pos="114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Human capital management and company culture</w:t>
      </w:r>
    </w:p>
    <w:p>
      <w:pPr>
        <w:ind w:left="1140" w:hanging="407"/>
        <w:spacing w:after="0"/>
        <w:tabs>
          <w:tab w:leader="none" w:pos="114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Diversity, equity and inclusion eforts</w:t>
      </w:r>
    </w:p>
    <w:p>
      <w:pPr>
        <w:ind w:left="1140" w:hanging="407"/>
        <w:spacing w:after="0"/>
        <w:tabs>
          <w:tab w:leader="none" w:pos="1140"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Environmental, social and governance eforts</w:t>
      </w:r>
    </w:p>
    <w:p>
      <w:pPr>
        <w:spacing w:after="0" w:line="210" w:lineRule="exact"/>
        <w:rPr>
          <w:sz w:val="20"/>
          <w:szCs w:val="20"/>
          <w:color w:val="auto"/>
        </w:rPr>
      </w:pPr>
    </w:p>
    <w:p>
      <w:pPr>
        <w:ind w:left="320" w:right="780"/>
        <w:spacing w:after="0" w:line="239" w:lineRule="auto"/>
        <w:rPr>
          <w:sz w:val="20"/>
          <w:szCs w:val="20"/>
          <w:color w:val="auto"/>
        </w:rPr>
      </w:pPr>
      <w:r>
        <w:rPr>
          <w:rFonts w:ascii="Calibri" w:cs="Calibri" w:eastAsia="Calibri" w:hAnsi="Calibri"/>
          <w:sz w:val="17"/>
          <w:szCs w:val="17"/>
          <w:color w:val="auto"/>
        </w:rPr>
        <w:t>EXL also regularly interacts and shares informaton with our stockholders through our quarterly earnings calls, investor meetngs, SEC flings and publicatons on our website, among others.</w:t>
      </w:r>
    </w:p>
    <w:p>
      <w:pPr>
        <w:spacing w:after="0" w:line="315" w:lineRule="exact"/>
        <w:rPr>
          <w:sz w:val="20"/>
          <w:szCs w:val="20"/>
          <w:color w:val="auto"/>
        </w:rPr>
      </w:pPr>
    </w:p>
    <w:p>
      <w:pPr>
        <w:ind w:left="320" w:right="320"/>
        <w:spacing w:after="0" w:line="239" w:lineRule="auto"/>
        <w:rPr>
          <w:sz w:val="20"/>
          <w:szCs w:val="20"/>
          <w:color w:val="auto"/>
        </w:rPr>
      </w:pPr>
      <w:r>
        <w:rPr>
          <w:rFonts w:ascii="Calibri" w:cs="Calibri" w:eastAsia="Calibri" w:hAnsi="Calibri"/>
          <w:sz w:val="17"/>
          <w:szCs w:val="17"/>
          <w:color w:val="auto"/>
        </w:rPr>
        <w:t>The feedback received from our stockholders is shared with and reviewed by our board, which is used to inform and focus our decisions relatng to our governance and sustainability practces and to improve our disclosure.</w:t>
      </w:r>
    </w:p>
    <w:p>
      <w:pPr>
        <w:spacing w:after="0" w:line="127"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43</w:t>
            </w:r>
          </w:p>
        </w:tc>
      </w:tr>
    </w:tbl>
    <w:p>
      <w:pPr>
        <w:sectPr>
          <w:pgSz w:w="11900" w:h="16838" w:orient="portrait"/>
          <w:cols w:equalWidth="0" w:num="1">
            <w:col w:w="10940"/>
          </w:cols>
          <w:pgMar w:left="320" w:top="445"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Corporate governance</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Communicatons with the board</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Stockholders interested in contactng our board of directors, our Chairman or any individual director are invited to do so by writng to:</w:t>
      </w:r>
    </w:p>
    <w:p>
      <w:pPr>
        <w:spacing w:after="0" w:line="31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Board of Directors of ExlService Holdings, Inc.</w:t>
      </w:r>
    </w:p>
    <w:p>
      <w:pPr>
        <w:spacing w:after="0" w:line="53" w:lineRule="exact"/>
        <w:rPr>
          <w:sz w:val="20"/>
          <w:szCs w:val="20"/>
          <w:color w:val="auto"/>
        </w:rPr>
      </w:pPr>
    </w:p>
    <w:p>
      <w:pPr>
        <w:ind w:left="4780"/>
        <w:spacing w:after="0"/>
        <w:rPr>
          <w:sz w:val="20"/>
          <w:szCs w:val="20"/>
          <w:color w:val="auto"/>
        </w:rPr>
      </w:pPr>
      <w:r>
        <w:rPr>
          <w:rFonts w:ascii="Calibri" w:cs="Calibri" w:eastAsia="Calibri" w:hAnsi="Calibri"/>
          <w:sz w:val="17"/>
          <w:szCs w:val="17"/>
          <w:b w:val="1"/>
          <w:bCs w:val="1"/>
          <w:color w:val="auto"/>
        </w:rPr>
        <w:t>c/o Corporate Secretary</w:t>
      </w:r>
    </w:p>
    <w:p>
      <w:pPr>
        <w:spacing w:after="0" w:line="53" w:lineRule="exact"/>
        <w:rPr>
          <w:sz w:val="20"/>
          <w:szCs w:val="20"/>
          <w:color w:val="auto"/>
        </w:rPr>
      </w:pPr>
    </w:p>
    <w:p>
      <w:pPr>
        <w:ind w:left="4780"/>
        <w:spacing w:after="0"/>
        <w:rPr>
          <w:sz w:val="20"/>
          <w:szCs w:val="20"/>
          <w:color w:val="auto"/>
        </w:rPr>
      </w:pPr>
      <w:r>
        <w:rPr>
          <w:rFonts w:ascii="Calibri" w:cs="Calibri" w:eastAsia="Calibri" w:hAnsi="Calibri"/>
          <w:sz w:val="17"/>
          <w:szCs w:val="17"/>
          <w:b w:val="1"/>
          <w:bCs w:val="1"/>
          <w:color w:val="auto"/>
        </w:rPr>
        <w:t>ExlService Holdings, Inc.</w:t>
      </w:r>
    </w:p>
    <w:p>
      <w:pPr>
        <w:ind w:left="4640"/>
        <w:spacing w:after="0" w:line="236" w:lineRule="auto"/>
        <w:rPr>
          <w:sz w:val="20"/>
          <w:szCs w:val="20"/>
          <w:color w:val="auto"/>
        </w:rPr>
      </w:pPr>
      <w:r>
        <w:rPr>
          <w:rFonts w:ascii="Calibri" w:cs="Calibri" w:eastAsia="Calibri" w:hAnsi="Calibri"/>
          <w:sz w:val="17"/>
          <w:szCs w:val="17"/>
          <w:b w:val="1"/>
          <w:bCs w:val="1"/>
          <w:color w:val="auto"/>
        </w:rPr>
        <w:t>320 Park Avenue, 29</w:t>
      </w:r>
      <w:r>
        <w:rPr>
          <w:rFonts w:ascii="Calibri" w:cs="Calibri" w:eastAsia="Calibri" w:hAnsi="Calibri"/>
          <w:sz w:val="29"/>
          <w:szCs w:val="29"/>
          <w:b w:val="1"/>
          <w:bCs w:val="1"/>
          <w:color w:val="auto"/>
          <w:vertAlign w:val="superscript"/>
        </w:rPr>
        <w:t>th</w:t>
      </w:r>
      <w:r>
        <w:rPr>
          <w:rFonts w:ascii="Calibri" w:cs="Calibri" w:eastAsia="Calibri" w:hAnsi="Calibri"/>
          <w:sz w:val="17"/>
          <w:szCs w:val="17"/>
          <w:b w:val="1"/>
          <w:bCs w:val="1"/>
          <w:color w:val="auto"/>
        </w:rPr>
        <w:t xml:space="preserve"> Floor</w:t>
      </w:r>
    </w:p>
    <w:p>
      <w:pPr>
        <w:ind w:left="4680"/>
        <w:spacing w:after="0" w:line="199" w:lineRule="auto"/>
        <w:rPr>
          <w:sz w:val="20"/>
          <w:szCs w:val="20"/>
          <w:color w:val="auto"/>
        </w:rPr>
      </w:pPr>
      <w:r>
        <w:rPr>
          <w:rFonts w:ascii="Calibri" w:cs="Calibri" w:eastAsia="Calibri" w:hAnsi="Calibri"/>
          <w:sz w:val="17"/>
          <w:szCs w:val="17"/>
          <w:b w:val="1"/>
          <w:bCs w:val="1"/>
          <w:color w:val="auto"/>
        </w:rPr>
        <w:t>New York, New York 10022</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All other stockholder communicatons addressed to our board of directors will be referred to our Chairman and tracked by our Corporate Secretary.</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Stockholder communicatons specifcally addressed to a partcular director will be referred to that director.</w:t>
      </w:r>
    </w:p>
    <w:p>
      <w:pPr>
        <w:spacing w:after="0" w:line="314"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Complaints and concerns relatng to our accountng, internal accountng controls or auditng maters should be communicated to our Audit Commitee, which consists solely of non-employee directors. Any such communicaton may be anonymous and may be reported to our Audit Commitee through our General Counsel by writng to:</w:t>
      </w:r>
    </w:p>
    <w:p>
      <w:pPr>
        <w:spacing w:after="0" w:line="315"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Audit Commitee of the Board of Directors</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ExlService Holdings, Inc.</w:t>
      </w:r>
    </w:p>
    <w:p>
      <w:pPr>
        <w:jc w:val="center"/>
        <w:ind w:right="-319"/>
        <w:spacing w:after="0" w:line="236" w:lineRule="auto"/>
        <w:rPr>
          <w:sz w:val="20"/>
          <w:szCs w:val="20"/>
          <w:color w:val="auto"/>
        </w:rPr>
      </w:pPr>
      <w:r>
        <w:rPr>
          <w:rFonts w:ascii="Calibri" w:cs="Calibri" w:eastAsia="Calibri" w:hAnsi="Calibri"/>
          <w:sz w:val="17"/>
          <w:szCs w:val="17"/>
          <w:b w:val="1"/>
          <w:bCs w:val="1"/>
          <w:color w:val="auto"/>
        </w:rPr>
        <w:t>320 Park Avenue, 29</w:t>
      </w:r>
      <w:r>
        <w:rPr>
          <w:rFonts w:ascii="Calibri" w:cs="Calibri" w:eastAsia="Calibri" w:hAnsi="Calibri"/>
          <w:sz w:val="29"/>
          <w:szCs w:val="29"/>
          <w:b w:val="1"/>
          <w:bCs w:val="1"/>
          <w:color w:val="auto"/>
          <w:vertAlign w:val="superscript"/>
        </w:rPr>
        <w:t>th</w:t>
      </w:r>
      <w:r>
        <w:rPr>
          <w:rFonts w:ascii="Calibri" w:cs="Calibri" w:eastAsia="Calibri" w:hAnsi="Calibri"/>
          <w:sz w:val="17"/>
          <w:szCs w:val="17"/>
          <w:b w:val="1"/>
          <w:bCs w:val="1"/>
          <w:color w:val="auto"/>
        </w:rPr>
        <w:t xml:space="preserve"> Floor</w:t>
      </w:r>
    </w:p>
    <w:p>
      <w:pPr>
        <w:jc w:val="center"/>
        <w:ind w:right="-319"/>
        <w:spacing w:after="0" w:line="199" w:lineRule="auto"/>
        <w:rPr>
          <w:sz w:val="20"/>
          <w:szCs w:val="20"/>
          <w:color w:val="auto"/>
        </w:rPr>
      </w:pPr>
      <w:r>
        <w:rPr>
          <w:rFonts w:ascii="Calibri" w:cs="Calibri" w:eastAsia="Calibri" w:hAnsi="Calibri"/>
          <w:sz w:val="17"/>
          <w:szCs w:val="17"/>
          <w:b w:val="1"/>
          <w:bCs w:val="1"/>
          <w:color w:val="auto"/>
        </w:rPr>
        <w:t>New York, New York 10022</w:t>
      </w:r>
    </w:p>
    <w:p>
      <w:pPr>
        <w:spacing w:after="0" w:line="53" w:lineRule="exact"/>
        <w:rPr>
          <w:sz w:val="20"/>
          <w:szCs w:val="20"/>
          <w:color w:val="auto"/>
        </w:rPr>
      </w:pPr>
    </w:p>
    <w:p>
      <w:pPr>
        <w:jc w:val="center"/>
        <w:ind w:right="-319"/>
        <w:spacing w:after="0"/>
        <w:rPr>
          <w:sz w:val="20"/>
          <w:szCs w:val="20"/>
          <w:color w:val="auto"/>
        </w:rPr>
      </w:pPr>
      <w:r>
        <w:rPr>
          <w:rFonts w:ascii="Calibri" w:cs="Calibri" w:eastAsia="Calibri" w:hAnsi="Calibri"/>
          <w:sz w:val="17"/>
          <w:szCs w:val="17"/>
          <w:b w:val="1"/>
          <w:bCs w:val="1"/>
          <w:color w:val="auto"/>
        </w:rPr>
        <w:t>Atn: General Counsel</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All such concerns will be reviewed under Audit Commitee directon and oversight by our General Counsel, our Head of Internal Audit or such other persons as our Audit Commitee determines to be appropriate. Confdentality will be maintained to the fullest extent possible, consistent with the need to conduct an adequate review. Prompt and appropriate correctve acton will be taken when and as warranted in the judgment of our Audit Commitee. We prepare periodic summary reports of all such communicatons for our Audit Commitee.</w:t>
      </w:r>
    </w:p>
    <w:p>
      <w:pPr>
        <w:spacing w:after="0" w:line="127"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44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20"/>
          </w:cols>
          <w:pgMar w:left="320" w:top="445" w:right="6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160"/>
        <w:spacing w:after="0"/>
        <w:rPr>
          <w:sz w:val="20"/>
          <w:szCs w:val="20"/>
          <w:color w:val="auto"/>
        </w:rPr>
      </w:pPr>
      <w:r>
        <w:rPr>
          <w:rFonts w:ascii="Calibri" w:cs="Calibri" w:eastAsia="Calibri" w:hAnsi="Calibri"/>
          <w:sz w:val="13"/>
          <w:szCs w:val="13"/>
          <w:b w:val="1"/>
          <w:bCs w:val="1"/>
          <w:color w:val="D8D8D8"/>
        </w:rPr>
        <w:t>Sustainability</w:t>
      </w:r>
    </w:p>
    <w:p>
      <w:pPr>
        <w:spacing w:after="0" w:line="128"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Sustainability</w:t>
      </w:r>
    </w:p>
    <w:p>
      <w:pPr>
        <w:spacing w:after="0" w:line="330"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In line with our mission of looking deeper to fnd a beter way for our clients, at EXL we are commited to doing our part as a global citzen to build a beter future for us all by operatng in a responsible and sustainable manner. We believe that by integratng sustainable practces into our business model, working toward positve social change, and providing transparent reportng on those practces and our progress, we will best able to deliver long-term value to our stockholders while promotng and developing our business, people, communites and the world around us. We refer to these actvites as “sustainability” and “environmental, social and governance” or “ESG” throughout this Proxy Statement.</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Recent actvites</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In 2021 and contnuing into 2022, we have taken a number of steps to contnue improving our sustainability program. These recent actvites include:</w:t>
      </w:r>
    </w:p>
    <w:p>
      <w:pPr>
        <w:spacing w:after="0" w:line="237" w:lineRule="exact"/>
        <w:rPr>
          <w:sz w:val="20"/>
          <w:szCs w:val="20"/>
          <w:color w:val="auto"/>
        </w:rPr>
      </w:pPr>
    </w:p>
    <w:tbl>
      <w:tblPr>
        <w:tblLayout w:type="fixed"/>
        <w:tblInd w:w="330" w:type="dxa"/>
        <w:tblCellMar>
          <w:top w:w="0" w:type="dxa"/>
          <w:left w:w="0" w:type="dxa"/>
          <w:bottom w:w="0" w:type="dxa"/>
          <w:right w:w="0" w:type="dxa"/>
        </w:tblCellMar>
      </w:tblPr>
      <w:tr>
        <w:trPr>
          <w:trHeight w:val="289"/>
        </w:trPr>
        <w:tc>
          <w:tcPr>
            <w:tcW w:w="1620" w:type="dxa"/>
            <w:vAlign w:val="bottom"/>
            <w:tcBorders>
              <w:top w:val="single" w:sz="8" w:color="B2B2B2"/>
              <w:left w:val="single" w:sz="8" w:color="B2B2B2"/>
            </w:tcBorders>
            <w:vMerge w:val="restart"/>
          </w:tcPr>
          <w:p>
            <w:pPr>
              <w:jc w:val="right"/>
              <w:ind w:right="315"/>
              <w:spacing w:after="0"/>
              <w:rPr>
                <w:sz w:val="20"/>
                <w:szCs w:val="20"/>
                <w:color w:val="auto"/>
              </w:rPr>
            </w:pPr>
            <w:r>
              <w:rPr>
                <w:rFonts w:ascii="Calibri" w:cs="Calibri" w:eastAsia="Calibri" w:hAnsi="Calibri"/>
                <w:sz w:val="45"/>
                <w:szCs w:val="45"/>
                <w:b w:val="1"/>
                <w:bCs w:val="1"/>
                <w:color w:val="FB4E0B"/>
              </w:rPr>
              <w:t>1</w:t>
            </w:r>
          </w:p>
        </w:tc>
        <w:tc>
          <w:tcPr>
            <w:tcW w:w="9020" w:type="dxa"/>
            <w:vAlign w:val="bottom"/>
            <w:tcBorders>
              <w:top w:val="single" w:sz="8" w:color="B2B2B2"/>
              <w:right w:val="single" w:sz="8" w:color="B2B2B2"/>
            </w:tcBorders>
            <w:gridSpan w:val="2"/>
          </w:tcPr>
          <w:p>
            <w:pPr>
              <w:ind w:left="540"/>
              <w:spacing w:after="0"/>
              <w:rPr>
                <w:sz w:val="20"/>
                <w:szCs w:val="20"/>
                <w:color w:val="auto"/>
              </w:rPr>
            </w:pPr>
            <w:r>
              <w:rPr>
                <w:rFonts w:ascii="Calibri" w:cs="Calibri" w:eastAsia="Calibri" w:hAnsi="Calibri"/>
                <w:sz w:val="17"/>
                <w:szCs w:val="17"/>
                <w:color w:val="auto"/>
              </w:rPr>
              <w:t>Forming a cross-functonal management level ESG (Environmental, Social and Governance) steering commitee that is</w:t>
            </w:r>
          </w:p>
        </w:tc>
        <w:tc>
          <w:tcPr>
            <w:tcW w:w="0" w:type="dxa"/>
            <w:vAlign w:val="bottom"/>
          </w:tcPr>
          <w:p>
            <w:pPr>
              <w:spacing w:after="0"/>
              <w:rPr>
                <w:sz w:val="1"/>
                <w:szCs w:val="1"/>
                <w:color w:val="auto"/>
              </w:rPr>
            </w:pPr>
          </w:p>
        </w:tc>
      </w:tr>
      <w:tr>
        <w:trPr>
          <w:trHeight w:val="208"/>
        </w:trPr>
        <w:tc>
          <w:tcPr>
            <w:tcW w:w="1620" w:type="dxa"/>
            <w:vAlign w:val="bottom"/>
            <w:tcBorders>
              <w:left w:val="single" w:sz="8" w:color="B2B2B2"/>
            </w:tcBorders>
            <w:vMerge w:val="continue"/>
          </w:tcPr>
          <w:p>
            <w:pPr>
              <w:spacing w:after="0"/>
              <w:rPr>
                <w:sz w:val="18"/>
                <w:szCs w:val="18"/>
                <w:color w:val="auto"/>
              </w:rPr>
            </w:pPr>
          </w:p>
        </w:tc>
        <w:tc>
          <w:tcPr>
            <w:tcW w:w="9020" w:type="dxa"/>
            <w:vAlign w:val="bottom"/>
            <w:tcBorders>
              <w:right w:val="single" w:sz="8" w:color="B2B2B2"/>
            </w:tcBorders>
            <w:gridSpan w:val="2"/>
          </w:tcPr>
          <w:p>
            <w:pPr>
              <w:ind w:left="540"/>
              <w:spacing w:after="0"/>
              <w:rPr>
                <w:sz w:val="20"/>
                <w:szCs w:val="20"/>
                <w:color w:val="auto"/>
              </w:rPr>
            </w:pPr>
            <w:r>
              <w:rPr>
                <w:rFonts w:ascii="Calibri" w:cs="Calibri" w:eastAsia="Calibri" w:hAnsi="Calibri"/>
                <w:sz w:val="17"/>
                <w:szCs w:val="17"/>
                <w:color w:val="auto"/>
              </w:rPr>
              <w:t>responsible for setng our sustainability/ESG strategy and risk management, keeping our management and board up-to-</w:t>
            </w:r>
          </w:p>
        </w:tc>
        <w:tc>
          <w:tcPr>
            <w:tcW w:w="0" w:type="dxa"/>
            <w:vAlign w:val="bottom"/>
          </w:tcPr>
          <w:p>
            <w:pPr>
              <w:spacing w:after="0"/>
              <w:rPr>
                <w:sz w:val="1"/>
                <w:szCs w:val="1"/>
                <w:color w:val="auto"/>
              </w:rPr>
            </w:pPr>
          </w:p>
        </w:tc>
      </w:tr>
      <w:tr>
        <w:trPr>
          <w:trHeight w:val="210"/>
        </w:trPr>
        <w:tc>
          <w:tcPr>
            <w:tcW w:w="1620" w:type="dxa"/>
            <w:vAlign w:val="bottom"/>
            <w:tcBorders>
              <w:left w:val="single" w:sz="8" w:color="B2B2B2"/>
            </w:tcBorders>
            <w:vMerge w:val="continue"/>
          </w:tcPr>
          <w:p>
            <w:pPr>
              <w:spacing w:after="0"/>
              <w:rPr>
                <w:sz w:val="18"/>
                <w:szCs w:val="18"/>
                <w:color w:val="auto"/>
              </w:rPr>
            </w:pPr>
          </w:p>
        </w:tc>
        <w:tc>
          <w:tcPr>
            <w:tcW w:w="9020" w:type="dxa"/>
            <w:vAlign w:val="bottom"/>
            <w:tcBorders>
              <w:right w:val="single" w:sz="8" w:color="B2B2B2"/>
            </w:tcBorders>
            <w:gridSpan w:val="2"/>
          </w:tcPr>
          <w:p>
            <w:pPr>
              <w:ind w:left="540"/>
              <w:spacing w:after="0"/>
              <w:rPr>
                <w:sz w:val="20"/>
                <w:szCs w:val="20"/>
                <w:color w:val="auto"/>
              </w:rPr>
            </w:pPr>
            <w:r>
              <w:rPr>
                <w:rFonts w:ascii="Calibri" w:cs="Calibri" w:eastAsia="Calibri" w:hAnsi="Calibri"/>
                <w:sz w:val="17"/>
                <w:szCs w:val="17"/>
                <w:color w:val="auto"/>
              </w:rPr>
              <w:t>date on ESG-related developments, overseeing our internal and external disclosure on ESG maters, and providing</w:t>
            </w:r>
          </w:p>
        </w:tc>
        <w:tc>
          <w:tcPr>
            <w:tcW w:w="0" w:type="dxa"/>
            <w:vAlign w:val="bottom"/>
          </w:tcPr>
          <w:p>
            <w:pPr>
              <w:spacing w:after="0"/>
              <w:rPr>
                <w:sz w:val="1"/>
                <w:szCs w:val="1"/>
                <w:color w:val="auto"/>
              </w:rPr>
            </w:pPr>
          </w:p>
        </w:tc>
      </w:tr>
      <w:tr>
        <w:trPr>
          <w:trHeight w:val="206"/>
        </w:trPr>
        <w:tc>
          <w:tcPr>
            <w:tcW w:w="1620" w:type="dxa"/>
            <w:vAlign w:val="bottom"/>
            <w:tcBorders>
              <w:left w:val="single" w:sz="8" w:color="B2B2B2"/>
            </w:tcBorders>
          </w:tcPr>
          <w:p>
            <w:pPr>
              <w:spacing w:after="0"/>
              <w:rPr>
                <w:sz w:val="17"/>
                <w:szCs w:val="17"/>
                <w:color w:val="auto"/>
              </w:rPr>
            </w:pPr>
          </w:p>
        </w:tc>
        <w:tc>
          <w:tcPr>
            <w:tcW w:w="9020" w:type="dxa"/>
            <w:vAlign w:val="bottom"/>
            <w:tcBorders>
              <w:right w:val="single" w:sz="8" w:color="B2B2B2"/>
            </w:tcBorders>
            <w:gridSpan w:val="2"/>
          </w:tcPr>
          <w:p>
            <w:pPr>
              <w:ind w:left="540"/>
              <w:spacing w:after="0" w:line="206" w:lineRule="exact"/>
              <w:rPr>
                <w:sz w:val="20"/>
                <w:szCs w:val="20"/>
                <w:color w:val="auto"/>
              </w:rPr>
            </w:pPr>
            <w:r>
              <w:rPr>
                <w:rFonts w:ascii="Calibri" w:cs="Calibri" w:eastAsia="Calibri" w:hAnsi="Calibri"/>
                <w:sz w:val="17"/>
                <w:szCs w:val="17"/>
                <w:color w:val="auto"/>
              </w:rPr>
              <w:t>implementaton support across our Company.</w:t>
            </w:r>
          </w:p>
        </w:tc>
        <w:tc>
          <w:tcPr>
            <w:tcW w:w="0" w:type="dxa"/>
            <w:vAlign w:val="bottom"/>
          </w:tcPr>
          <w:p>
            <w:pPr>
              <w:spacing w:after="0"/>
              <w:rPr>
                <w:sz w:val="1"/>
                <w:szCs w:val="1"/>
                <w:color w:val="auto"/>
              </w:rPr>
            </w:pPr>
          </w:p>
        </w:tc>
      </w:tr>
      <w:tr>
        <w:trPr>
          <w:trHeight w:val="270"/>
        </w:trPr>
        <w:tc>
          <w:tcPr>
            <w:tcW w:w="1620" w:type="dxa"/>
            <w:vAlign w:val="bottom"/>
            <w:tcBorders>
              <w:left w:val="single" w:sz="8" w:color="B2B2B2"/>
              <w:bottom w:val="single" w:sz="8" w:color="B2B2B2"/>
            </w:tcBorders>
          </w:tcPr>
          <w:p>
            <w:pPr>
              <w:spacing w:after="0"/>
              <w:rPr>
                <w:sz w:val="23"/>
                <w:szCs w:val="23"/>
                <w:color w:val="auto"/>
              </w:rPr>
            </w:pPr>
          </w:p>
        </w:tc>
        <w:tc>
          <w:tcPr>
            <w:tcW w:w="9020" w:type="dxa"/>
            <w:vAlign w:val="bottom"/>
            <w:tcBorders>
              <w:bottom w:val="single" w:sz="8" w:color="B2B2B2"/>
              <w:right w:val="single" w:sz="8" w:color="B2B2B2"/>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23"/>
        </w:trPr>
        <w:tc>
          <w:tcPr>
            <w:tcW w:w="1620" w:type="dxa"/>
            <w:vAlign w:val="bottom"/>
            <w:tcBorders>
              <w:bottom w:val="single" w:sz="8" w:color="B2B2B2"/>
            </w:tcBorders>
          </w:tcPr>
          <w:p>
            <w:pPr>
              <w:spacing w:after="0"/>
              <w:rPr>
                <w:sz w:val="10"/>
                <w:szCs w:val="10"/>
                <w:color w:val="auto"/>
              </w:rPr>
            </w:pPr>
          </w:p>
        </w:tc>
        <w:tc>
          <w:tcPr>
            <w:tcW w:w="740" w:type="dxa"/>
            <w:vAlign w:val="bottom"/>
            <w:tcBorders>
              <w:bottom w:val="single" w:sz="8" w:color="B2B2B2"/>
            </w:tcBorders>
          </w:tcPr>
          <w:p>
            <w:pPr>
              <w:spacing w:after="0"/>
              <w:rPr>
                <w:sz w:val="10"/>
                <w:szCs w:val="10"/>
                <w:color w:val="auto"/>
              </w:rPr>
            </w:pPr>
          </w:p>
        </w:tc>
        <w:tc>
          <w:tcPr>
            <w:tcW w:w="8280" w:type="dxa"/>
            <w:vAlign w:val="bottom"/>
            <w:tcBorders>
              <w:bottom w:val="single" w:sz="8" w:color="B2B2B2"/>
            </w:tcBorders>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1620" w:type="dxa"/>
            <w:vAlign w:val="bottom"/>
            <w:tcBorders>
              <w:left w:val="single" w:sz="8" w:color="B2B2B2"/>
            </w:tcBorders>
          </w:tcPr>
          <w:p>
            <w:pPr>
              <w:spacing w:after="0"/>
              <w:rPr>
                <w:sz w:val="17"/>
                <w:szCs w:val="17"/>
                <w:color w:val="auto"/>
              </w:rPr>
            </w:pPr>
          </w:p>
        </w:tc>
        <w:tc>
          <w:tcPr>
            <w:tcW w:w="9020" w:type="dxa"/>
            <w:vAlign w:val="bottom"/>
            <w:tcBorders>
              <w:right w:val="single" w:sz="8" w:color="B2B2B2"/>
            </w:tcBorders>
            <w:gridSpan w:val="2"/>
          </w:tcPr>
          <w:p>
            <w:pPr>
              <w:ind w:left="540"/>
              <w:spacing w:after="0" w:line="199" w:lineRule="exact"/>
              <w:rPr>
                <w:sz w:val="20"/>
                <w:szCs w:val="20"/>
                <w:color w:val="auto"/>
              </w:rPr>
            </w:pPr>
            <w:r>
              <w:rPr>
                <w:rFonts w:ascii="Calibri" w:cs="Calibri" w:eastAsia="Calibri" w:hAnsi="Calibri"/>
                <w:sz w:val="17"/>
                <w:szCs w:val="17"/>
                <w:color w:val="auto"/>
              </w:rPr>
              <w:t>Increasing our ESG engagement, including by:</w:t>
            </w:r>
          </w:p>
        </w:tc>
        <w:tc>
          <w:tcPr>
            <w:tcW w:w="0" w:type="dxa"/>
            <w:vAlign w:val="bottom"/>
          </w:tcPr>
          <w:p>
            <w:pPr>
              <w:spacing w:after="0"/>
              <w:rPr>
                <w:sz w:val="1"/>
                <w:szCs w:val="1"/>
                <w:color w:val="auto"/>
              </w:rPr>
            </w:pPr>
          </w:p>
        </w:tc>
      </w:tr>
      <w:tr>
        <w:trPr>
          <w:trHeight w:val="304"/>
        </w:trPr>
        <w:tc>
          <w:tcPr>
            <w:tcW w:w="1620" w:type="dxa"/>
            <w:vAlign w:val="bottom"/>
            <w:tcBorders>
              <w:left w:val="single" w:sz="8" w:color="B2B2B2"/>
            </w:tcBorders>
            <w:vMerge w:val="restart"/>
          </w:tcPr>
          <w:p>
            <w:pPr>
              <w:jc w:val="right"/>
              <w:ind w:right="315"/>
              <w:spacing w:after="0"/>
              <w:rPr>
                <w:sz w:val="20"/>
                <w:szCs w:val="20"/>
                <w:color w:val="auto"/>
              </w:rPr>
            </w:pPr>
            <w:r>
              <w:rPr>
                <w:rFonts w:ascii="Calibri" w:cs="Calibri" w:eastAsia="Calibri" w:hAnsi="Calibri"/>
                <w:sz w:val="45"/>
                <w:szCs w:val="45"/>
                <w:b w:val="1"/>
                <w:bCs w:val="1"/>
                <w:color w:val="FB4E0B"/>
              </w:rPr>
              <w:t>2</w:t>
            </w:r>
          </w:p>
        </w:tc>
        <w:tc>
          <w:tcPr>
            <w:tcW w:w="740" w:type="dxa"/>
            <w:vAlign w:val="bottom"/>
          </w:tcPr>
          <w:p>
            <w:pPr>
              <w:ind w:left="540"/>
              <w:spacing w:after="0"/>
              <w:rPr>
                <w:sz w:val="20"/>
                <w:szCs w:val="20"/>
                <w:color w:val="auto"/>
              </w:rPr>
            </w:pPr>
            <w:r>
              <w:rPr>
                <w:rFonts w:ascii="Calibri" w:cs="Calibri" w:eastAsia="Calibri" w:hAnsi="Calibri"/>
                <w:sz w:val="17"/>
                <w:szCs w:val="17"/>
                <w:color w:val="auto"/>
                <w:w w:val="70"/>
              </w:rPr>
              <w:t>• </w:t>
            </w:r>
          </w:p>
        </w:tc>
        <w:tc>
          <w:tcPr>
            <w:tcW w:w="8280" w:type="dxa"/>
            <w:vAlign w:val="bottom"/>
            <w:tcBorders>
              <w:right w:val="single" w:sz="8" w:color="B2B2B2"/>
            </w:tcBorders>
          </w:tcPr>
          <w:p>
            <w:pPr>
              <w:ind w:left="60"/>
              <w:spacing w:after="0"/>
              <w:rPr>
                <w:sz w:val="20"/>
                <w:szCs w:val="20"/>
                <w:color w:val="auto"/>
              </w:rPr>
            </w:pPr>
            <w:r>
              <w:rPr>
                <w:rFonts w:ascii="Calibri" w:cs="Calibri" w:eastAsia="Calibri" w:hAnsi="Calibri"/>
                <w:sz w:val="17"/>
                <w:szCs w:val="17"/>
                <w:color w:val="auto"/>
              </w:rPr>
              <w:t> Becoming a partcipant in the United Natons Global Compact, a voluntary initatve of more than 13,000 companies</w:t>
            </w:r>
          </w:p>
        </w:tc>
        <w:tc>
          <w:tcPr>
            <w:tcW w:w="0" w:type="dxa"/>
            <w:vAlign w:val="bottom"/>
          </w:tcPr>
          <w:p>
            <w:pPr>
              <w:spacing w:after="0"/>
              <w:rPr>
                <w:sz w:val="1"/>
                <w:szCs w:val="1"/>
                <w:color w:val="auto"/>
              </w:rPr>
            </w:pPr>
          </w:p>
        </w:tc>
      </w:tr>
      <w:tr>
        <w:trPr>
          <w:trHeight w:val="208"/>
        </w:trPr>
        <w:tc>
          <w:tcPr>
            <w:tcW w:w="1620" w:type="dxa"/>
            <w:vAlign w:val="bottom"/>
            <w:tcBorders>
              <w:left w:val="single" w:sz="8" w:color="B2B2B2"/>
            </w:tcBorders>
            <w:vMerge w:val="continue"/>
          </w:tcPr>
          <w:p>
            <w:pPr>
              <w:spacing w:after="0"/>
              <w:rPr>
                <w:sz w:val="18"/>
                <w:szCs w:val="18"/>
                <w:color w:val="auto"/>
              </w:rPr>
            </w:pPr>
          </w:p>
        </w:tc>
        <w:tc>
          <w:tcPr>
            <w:tcW w:w="740" w:type="dxa"/>
            <w:vAlign w:val="bottom"/>
          </w:tcPr>
          <w:p>
            <w:pPr>
              <w:spacing w:after="0"/>
              <w:rPr>
                <w:sz w:val="18"/>
                <w:szCs w:val="18"/>
                <w:color w:val="auto"/>
              </w:rPr>
            </w:pPr>
          </w:p>
        </w:tc>
        <w:tc>
          <w:tcPr>
            <w:tcW w:w="828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whose CEOs have commited to implementng universal sustainability principles and to take steps toward meetng the</w:t>
            </w:r>
          </w:p>
        </w:tc>
        <w:tc>
          <w:tcPr>
            <w:tcW w:w="0" w:type="dxa"/>
            <w:vAlign w:val="bottom"/>
          </w:tcPr>
          <w:p>
            <w:pPr>
              <w:spacing w:after="0"/>
              <w:rPr>
                <w:sz w:val="1"/>
                <w:szCs w:val="1"/>
                <w:color w:val="auto"/>
              </w:rPr>
            </w:pPr>
          </w:p>
        </w:tc>
      </w:tr>
      <w:tr>
        <w:trPr>
          <w:trHeight w:val="208"/>
        </w:trPr>
        <w:tc>
          <w:tcPr>
            <w:tcW w:w="1620" w:type="dxa"/>
            <w:vAlign w:val="bottom"/>
            <w:tcBorders>
              <w:left w:val="single" w:sz="8" w:color="B2B2B2"/>
            </w:tcBorders>
            <w:vMerge w:val="continue"/>
          </w:tcPr>
          <w:p>
            <w:pPr>
              <w:spacing w:after="0"/>
              <w:rPr>
                <w:sz w:val="18"/>
                <w:szCs w:val="18"/>
                <w:color w:val="auto"/>
              </w:rPr>
            </w:pPr>
          </w:p>
        </w:tc>
        <w:tc>
          <w:tcPr>
            <w:tcW w:w="740" w:type="dxa"/>
            <w:vAlign w:val="bottom"/>
          </w:tcPr>
          <w:p>
            <w:pPr>
              <w:spacing w:after="0"/>
              <w:rPr>
                <w:sz w:val="18"/>
                <w:szCs w:val="18"/>
                <w:color w:val="auto"/>
              </w:rPr>
            </w:pPr>
          </w:p>
        </w:tc>
        <w:tc>
          <w:tcPr>
            <w:tcW w:w="828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United Natons Sustainable Development Goals.</w:t>
            </w:r>
          </w:p>
        </w:tc>
        <w:tc>
          <w:tcPr>
            <w:tcW w:w="0" w:type="dxa"/>
            <w:vAlign w:val="bottom"/>
          </w:tcPr>
          <w:p>
            <w:pPr>
              <w:spacing w:after="0"/>
              <w:rPr>
                <w:sz w:val="1"/>
                <w:szCs w:val="1"/>
                <w:color w:val="auto"/>
              </w:rPr>
            </w:pPr>
          </w:p>
        </w:tc>
      </w:tr>
      <w:tr>
        <w:trPr>
          <w:trHeight w:val="208"/>
        </w:trPr>
        <w:tc>
          <w:tcPr>
            <w:tcW w:w="1620" w:type="dxa"/>
            <w:vAlign w:val="bottom"/>
            <w:tcBorders>
              <w:left w:val="single" w:sz="8" w:color="B2B2B2"/>
            </w:tcBorders>
          </w:tcPr>
          <w:p>
            <w:pPr>
              <w:spacing w:after="0"/>
              <w:rPr>
                <w:sz w:val="18"/>
                <w:szCs w:val="18"/>
                <w:color w:val="auto"/>
              </w:rPr>
            </w:pPr>
          </w:p>
        </w:tc>
        <w:tc>
          <w:tcPr>
            <w:tcW w:w="740" w:type="dxa"/>
            <w:vAlign w:val="bottom"/>
          </w:tcPr>
          <w:p>
            <w:pPr>
              <w:ind w:left="540"/>
              <w:spacing w:after="0"/>
              <w:rPr>
                <w:sz w:val="20"/>
                <w:szCs w:val="20"/>
                <w:color w:val="auto"/>
              </w:rPr>
            </w:pPr>
            <w:r>
              <w:rPr>
                <w:rFonts w:ascii="Calibri" w:cs="Calibri" w:eastAsia="Calibri" w:hAnsi="Calibri"/>
                <w:sz w:val="17"/>
                <w:szCs w:val="17"/>
                <w:color w:val="auto"/>
                <w:w w:val="70"/>
              </w:rPr>
              <w:t>• </w:t>
            </w:r>
          </w:p>
        </w:tc>
        <w:tc>
          <w:tcPr>
            <w:tcW w:w="8280" w:type="dxa"/>
            <w:vAlign w:val="bottom"/>
            <w:tcBorders>
              <w:right w:val="single" w:sz="8" w:color="B2B2B2"/>
            </w:tcBorders>
          </w:tcPr>
          <w:p>
            <w:pPr>
              <w:ind w:left="60"/>
              <w:spacing w:after="0"/>
              <w:rPr>
                <w:sz w:val="20"/>
                <w:szCs w:val="20"/>
                <w:color w:val="auto"/>
              </w:rPr>
            </w:pPr>
            <w:r>
              <w:rPr>
                <w:rFonts w:ascii="Calibri" w:cs="Calibri" w:eastAsia="Calibri" w:hAnsi="Calibri"/>
                <w:sz w:val="17"/>
                <w:szCs w:val="17"/>
                <w:color w:val="auto"/>
              </w:rPr>
              <w:t> Becoming a member of The Conference Board and joining its ESG Center.</w:t>
            </w:r>
          </w:p>
        </w:tc>
        <w:tc>
          <w:tcPr>
            <w:tcW w:w="0" w:type="dxa"/>
            <w:vAlign w:val="bottom"/>
          </w:tcPr>
          <w:p>
            <w:pPr>
              <w:spacing w:after="0"/>
              <w:rPr>
                <w:sz w:val="1"/>
                <w:szCs w:val="1"/>
                <w:color w:val="auto"/>
              </w:rPr>
            </w:pPr>
          </w:p>
        </w:tc>
      </w:tr>
      <w:tr>
        <w:trPr>
          <w:trHeight w:val="270"/>
        </w:trPr>
        <w:tc>
          <w:tcPr>
            <w:tcW w:w="1620" w:type="dxa"/>
            <w:vAlign w:val="bottom"/>
            <w:tcBorders>
              <w:left w:val="single" w:sz="8" w:color="B2B2B2"/>
              <w:bottom w:val="single" w:sz="8" w:color="B2B2B2"/>
            </w:tcBorders>
          </w:tcPr>
          <w:p>
            <w:pPr>
              <w:spacing w:after="0"/>
              <w:rPr>
                <w:sz w:val="23"/>
                <w:szCs w:val="23"/>
                <w:color w:val="auto"/>
              </w:rPr>
            </w:pPr>
          </w:p>
        </w:tc>
        <w:tc>
          <w:tcPr>
            <w:tcW w:w="9020" w:type="dxa"/>
            <w:vAlign w:val="bottom"/>
            <w:tcBorders>
              <w:bottom w:val="single" w:sz="8" w:color="B2B2B2"/>
              <w:right w:val="single" w:sz="8" w:color="B2B2B2"/>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23"/>
        </w:trPr>
        <w:tc>
          <w:tcPr>
            <w:tcW w:w="1620" w:type="dxa"/>
            <w:vAlign w:val="bottom"/>
            <w:tcBorders>
              <w:bottom w:val="single" w:sz="8" w:color="B2B2B2"/>
            </w:tcBorders>
          </w:tcPr>
          <w:p>
            <w:pPr>
              <w:spacing w:after="0"/>
              <w:rPr>
                <w:sz w:val="10"/>
                <w:szCs w:val="10"/>
                <w:color w:val="auto"/>
              </w:rPr>
            </w:pPr>
          </w:p>
        </w:tc>
        <w:tc>
          <w:tcPr>
            <w:tcW w:w="740" w:type="dxa"/>
            <w:vAlign w:val="bottom"/>
            <w:tcBorders>
              <w:bottom w:val="single" w:sz="8" w:color="B2B2B2"/>
            </w:tcBorders>
          </w:tcPr>
          <w:p>
            <w:pPr>
              <w:spacing w:after="0"/>
              <w:rPr>
                <w:sz w:val="10"/>
                <w:szCs w:val="10"/>
                <w:color w:val="auto"/>
              </w:rPr>
            </w:pPr>
          </w:p>
        </w:tc>
        <w:tc>
          <w:tcPr>
            <w:tcW w:w="8280" w:type="dxa"/>
            <w:vAlign w:val="bottom"/>
            <w:tcBorders>
              <w:bottom w:val="single" w:sz="8" w:color="B2B2B2"/>
            </w:tcBorders>
          </w:tcPr>
          <w:p>
            <w:pPr>
              <w:spacing w:after="0"/>
              <w:rPr>
                <w:sz w:val="10"/>
                <w:szCs w:val="10"/>
                <w:color w:val="auto"/>
              </w:rPr>
            </w:pPr>
          </w:p>
        </w:tc>
        <w:tc>
          <w:tcPr>
            <w:tcW w:w="0" w:type="dxa"/>
            <w:vAlign w:val="bottom"/>
          </w:tcPr>
          <w:p>
            <w:pPr>
              <w:spacing w:after="0"/>
              <w:rPr>
                <w:sz w:val="1"/>
                <w:szCs w:val="1"/>
                <w:color w:val="auto"/>
              </w:rPr>
            </w:pPr>
          </w:p>
        </w:tc>
      </w:tr>
      <w:tr>
        <w:trPr>
          <w:trHeight w:val="373"/>
        </w:trPr>
        <w:tc>
          <w:tcPr>
            <w:tcW w:w="1620" w:type="dxa"/>
            <w:vAlign w:val="bottom"/>
            <w:tcBorders>
              <w:left w:val="single" w:sz="8" w:color="B2B2B2"/>
            </w:tcBorders>
          </w:tcPr>
          <w:p>
            <w:pPr>
              <w:spacing w:after="0"/>
              <w:rPr>
                <w:sz w:val="24"/>
                <w:szCs w:val="24"/>
                <w:color w:val="auto"/>
              </w:rPr>
            </w:pPr>
          </w:p>
        </w:tc>
        <w:tc>
          <w:tcPr>
            <w:tcW w:w="9020" w:type="dxa"/>
            <w:vAlign w:val="bottom"/>
            <w:tcBorders>
              <w:right w:val="single" w:sz="8" w:color="B2B2B2"/>
            </w:tcBorders>
            <w:gridSpan w:val="2"/>
          </w:tcPr>
          <w:p>
            <w:pPr>
              <w:ind w:left="540"/>
              <w:spacing w:after="0"/>
              <w:rPr>
                <w:sz w:val="20"/>
                <w:szCs w:val="20"/>
                <w:color w:val="auto"/>
              </w:rPr>
            </w:pPr>
            <w:r>
              <w:rPr>
                <w:rFonts w:ascii="Calibri" w:cs="Calibri" w:eastAsia="Calibri" w:hAnsi="Calibri"/>
                <w:sz w:val="17"/>
                <w:szCs w:val="17"/>
                <w:color w:val="auto"/>
              </w:rPr>
              <w:t>Demonstratng our commitment to providing transparency and meaningful disclosure on ESG-related informaton,</w:t>
            </w:r>
          </w:p>
        </w:tc>
        <w:tc>
          <w:tcPr>
            <w:tcW w:w="0" w:type="dxa"/>
            <w:vAlign w:val="bottom"/>
          </w:tcPr>
          <w:p>
            <w:pPr>
              <w:spacing w:after="0"/>
              <w:rPr>
                <w:sz w:val="1"/>
                <w:szCs w:val="1"/>
                <w:color w:val="auto"/>
              </w:rPr>
            </w:pPr>
          </w:p>
        </w:tc>
      </w:tr>
      <w:tr>
        <w:trPr>
          <w:trHeight w:val="208"/>
        </w:trPr>
        <w:tc>
          <w:tcPr>
            <w:tcW w:w="1620" w:type="dxa"/>
            <w:vAlign w:val="bottom"/>
            <w:tcBorders>
              <w:left w:val="single" w:sz="8" w:color="B2B2B2"/>
            </w:tcBorders>
          </w:tcPr>
          <w:p>
            <w:pPr>
              <w:spacing w:after="0"/>
              <w:rPr>
                <w:sz w:val="18"/>
                <w:szCs w:val="18"/>
                <w:color w:val="auto"/>
              </w:rPr>
            </w:pPr>
          </w:p>
        </w:tc>
        <w:tc>
          <w:tcPr>
            <w:tcW w:w="9020" w:type="dxa"/>
            <w:vAlign w:val="bottom"/>
            <w:tcBorders>
              <w:right w:val="single" w:sz="8" w:color="B2B2B2"/>
            </w:tcBorders>
            <w:gridSpan w:val="2"/>
          </w:tcPr>
          <w:p>
            <w:pPr>
              <w:ind w:left="540"/>
              <w:spacing w:after="0"/>
              <w:rPr>
                <w:sz w:val="20"/>
                <w:szCs w:val="20"/>
                <w:color w:val="auto"/>
              </w:rPr>
            </w:pPr>
            <w:r>
              <w:rPr>
                <w:rFonts w:ascii="Calibri" w:cs="Calibri" w:eastAsia="Calibri" w:hAnsi="Calibri"/>
                <w:sz w:val="17"/>
                <w:szCs w:val="17"/>
                <w:color w:val="auto"/>
              </w:rPr>
              <w:t>including through:</w:t>
            </w:r>
          </w:p>
        </w:tc>
        <w:tc>
          <w:tcPr>
            <w:tcW w:w="0" w:type="dxa"/>
            <w:vAlign w:val="bottom"/>
          </w:tcPr>
          <w:p>
            <w:pPr>
              <w:spacing w:after="0"/>
              <w:rPr>
                <w:sz w:val="1"/>
                <w:szCs w:val="1"/>
                <w:color w:val="auto"/>
              </w:rPr>
            </w:pPr>
          </w:p>
        </w:tc>
      </w:tr>
      <w:tr>
        <w:trPr>
          <w:trHeight w:val="325"/>
        </w:trPr>
        <w:tc>
          <w:tcPr>
            <w:tcW w:w="1620" w:type="dxa"/>
            <w:vAlign w:val="bottom"/>
            <w:tcBorders>
              <w:left w:val="single" w:sz="8" w:color="B2B2B2"/>
            </w:tcBorders>
          </w:tcPr>
          <w:p>
            <w:pPr>
              <w:spacing w:after="0"/>
              <w:rPr>
                <w:sz w:val="24"/>
                <w:szCs w:val="24"/>
                <w:color w:val="auto"/>
              </w:rPr>
            </w:pPr>
          </w:p>
        </w:tc>
        <w:tc>
          <w:tcPr>
            <w:tcW w:w="740" w:type="dxa"/>
            <w:vAlign w:val="bottom"/>
          </w:tcPr>
          <w:p>
            <w:pPr>
              <w:ind w:left="540"/>
              <w:spacing w:after="0"/>
              <w:rPr>
                <w:sz w:val="20"/>
                <w:szCs w:val="20"/>
                <w:color w:val="auto"/>
              </w:rPr>
            </w:pPr>
            <w:r>
              <w:rPr>
                <w:rFonts w:ascii="Calibri" w:cs="Calibri" w:eastAsia="Calibri" w:hAnsi="Calibri"/>
                <w:sz w:val="17"/>
                <w:szCs w:val="17"/>
                <w:color w:val="auto"/>
                <w:w w:val="70"/>
              </w:rPr>
              <w:t>• </w:t>
            </w:r>
          </w:p>
        </w:tc>
        <w:tc>
          <w:tcPr>
            <w:tcW w:w="8280" w:type="dxa"/>
            <w:vAlign w:val="bottom"/>
            <w:tcBorders>
              <w:right w:val="single" w:sz="8" w:color="B2B2B2"/>
            </w:tcBorders>
          </w:tcPr>
          <w:p>
            <w:pPr>
              <w:ind w:left="60"/>
              <w:spacing w:after="0"/>
              <w:rPr>
                <w:sz w:val="20"/>
                <w:szCs w:val="20"/>
                <w:color w:val="auto"/>
              </w:rPr>
            </w:pPr>
            <w:r>
              <w:rPr>
                <w:rFonts w:ascii="Calibri" w:cs="Calibri" w:eastAsia="Calibri" w:hAnsi="Calibri"/>
                <w:sz w:val="17"/>
                <w:szCs w:val="17"/>
                <w:color w:val="auto"/>
              </w:rPr>
              <w:t> Publishing on our website a Sustainability landing page, which highlights all of our relevant sustainability-related</w:t>
            </w:r>
          </w:p>
        </w:tc>
        <w:tc>
          <w:tcPr>
            <w:tcW w:w="0" w:type="dxa"/>
            <w:vAlign w:val="bottom"/>
          </w:tcPr>
          <w:p>
            <w:pPr>
              <w:spacing w:after="0"/>
              <w:rPr>
                <w:sz w:val="1"/>
                <w:szCs w:val="1"/>
                <w:color w:val="auto"/>
              </w:rPr>
            </w:pPr>
          </w:p>
        </w:tc>
      </w:tr>
      <w:tr>
        <w:trPr>
          <w:trHeight w:val="208"/>
        </w:trPr>
        <w:tc>
          <w:tcPr>
            <w:tcW w:w="1620" w:type="dxa"/>
            <w:vAlign w:val="bottom"/>
            <w:tcBorders>
              <w:left w:val="single" w:sz="8" w:color="B2B2B2"/>
            </w:tcBorders>
            <w:vMerge w:val="restart"/>
          </w:tcPr>
          <w:p>
            <w:pPr>
              <w:jc w:val="right"/>
              <w:ind w:right="315"/>
              <w:spacing w:after="0"/>
              <w:rPr>
                <w:sz w:val="20"/>
                <w:szCs w:val="20"/>
                <w:color w:val="auto"/>
              </w:rPr>
            </w:pPr>
            <w:r>
              <w:rPr>
                <w:rFonts w:ascii="Calibri" w:cs="Calibri" w:eastAsia="Calibri" w:hAnsi="Calibri"/>
                <w:sz w:val="45"/>
                <w:szCs w:val="45"/>
                <w:b w:val="1"/>
                <w:bCs w:val="1"/>
                <w:color w:val="FB4E0B"/>
              </w:rPr>
              <w:t>3</w:t>
            </w:r>
          </w:p>
        </w:tc>
        <w:tc>
          <w:tcPr>
            <w:tcW w:w="740" w:type="dxa"/>
            <w:vAlign w:val="bottom"/>
          </w:tcPr>
          <w:p>
            <w:pPr>
              <w:spacing w:after="0"/>
              <w:rPr>
                <w:sz w:val="18"/>
                <w:szCs w:val="18"/>
                <w:color w:val="auto"/>
              </w:rPr>
            </w:pPr>
          </w:p>
        </w:tc>
        <w:tc>
          <w:tcPr>
            <w:tcW w:w="828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policies, reports, certfcatons and awards, targets and actvites, and is updated on a regular basis, available at</w:t>
            </w:r>
          </w:p>
        </w:tc>
        <w:tc>
          <w:tcPr>
            <w:tcW w:w="0" w:type="dxa"/>
            <w:vAlign w:val="bottom"/>
          </w:tcPr>
          <w:p>
            <w:pPr>
              <w:spacing w:after="0"/>
              <w:rPr>
                <w:sz w:val="1"/>
                <w:szCs w:val="1"/>
                <w:color w:val="auto"/>
              </w:rPr>
            </w:pPr>
          </w:p>
        </w:tc>
      </w:tr>
      <w:tr>
        <w:trPr>
          <w:trHeight w:val="208"/>
        </w:trPr>
        <w:tc>
          <w:tcPr>
            <w:tcW w:w="1620" w:type="dxa"/>
            <w:vAlign w:val="bottom"/>
            <w:tcBorders>
              <w:left w:val="single" w:sz="8" w:color="B2B2B2"/>
            </w:tcBorders>
            <w:vMerge w:val="continue"/>
          </w:tcPr>
          <w:p>
            <w:pPr>
              <w:spacing w:after="0"/>
              <w:rPr>
                <w:sz w:val="18"/>
                <w:szCs w:val="18"/>
                <w:color w:val="auto"/>
              </w:rPr>
            </w:pPr>
          </w:p>
        </w:tc>
        <w:tc>
          <w:tcPr>
            <w:tcW w:w="740" w:type="dxa"/>
            <w:vAlign w:val="bottom"/>
          </w:tcPr>
          <w:p>
            <w:pPr>
              <w:spacing w:after="0"/>
              <w:rPr>
                <w:sz w:val="18"/>
                <w:szCs w:val="18"/>
                <w:color w:val="auto"/>
              </w:rPr>
            </w:pPr>
          </w:p>
        </w:tc>
        <w:tc>
          <w:tcPr>
            <w:tcW w:w="828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www.exlservice.com/about/sustainability.</w:t>
            </w:r>
          </w:p>
        </w:tc>
        <w:tc>
          <w:tcPr>
            <w:tcW w:w="0" w:type="dxa"/>
            <w:vAlign w:val="bottom"/>
          </w:tcPr>
          <w:p>
            <w:pPr>
              <w:spacing w:after="0"/>
              <w:rPr>
                <w:sz w:val="1"/>
                <w:szCs w:val="1"/>
                <w:color w:val="auto"/>
              </w:rPr>
            </w:pPr>
          </w:p>
        </w:tc>
      </w:tr>
      <w:tr>
        <w:trPr>
          <w:trHeight w:val="210"/>
        </w:trPr>
        <w:tc>
          <w:tcPr>
            <w:tcW w:w="1620" w:type="dxa"/>
            <w:vAlign w:val="bottom"/>
            <w:tcBorders>
              <w:left w:val="single" w:sz="8" w:color="B2B2B2"/>
            </w:tcBorders>
            <w:vMerge w:val="continue"/>
          </w:tcPr>
          <w:p>
            <w:pPr>
              <w:spacing w:after="0"/>
              <w:rPr>
                <w:sz w:val="18"/>
                <w:szCs w:val="18"/>
                <w:color w:val="auto"/>
              </w:rPr>
            </w:pPr>
          </w:p>
        </w:tc>
        <w:tc>
          <w:tcPr>
            <w:tcW w:w="740" w:type="dxa"/>
            <w:vAlign w:val="bottom"/>
          </w:tcPr>
          <w:p>
            <w:pPr>
              <w:ind w:left="540"/>
              <w:spacing w:after="0"/>
              <w:rPr>
                <w:sz w:val="20"/>
                <w:szCs w:val="20"/>
                <w:color w:val="auto"/>
              </w:rPr>
            </w:pPr>
            <w:r>
              <w:rPr>
                <w:rFonts w:ascii="Calibri" w:cs="Calibri" w:eastAsia="Calibri" w:hAnsi="Calibri"/>
                <w:sz w:val="17"/>
                <w:szCs w:val="17"/>
                <w:color w:val="auto"/>
                <w:w w:val="70"/>
              </w:rPr>
              <w:t>• </w:t>
            </w:r>
          </w:p>
        </w:tc>
        <w:tc>
          <w:tcPr>
            <w:tcW w:w="8280" w:type="dxa"/>
            <w:vAlign w:val="bottom"/>
            <w:tcBorders>
              <w:right w:val="single" w:sz="8" w:color="B2B2B2"/>
            </w:tcBorders>
          </w:tcPr>
          <w:p>
            <w:pPr>
              <w:ind w:left="60"/>
              <w:spacing w:after="0"/>
              <w:rPr>
                <w:sz w:val="20"/>
                <w:szCs w:val="20"/>
                <w:color w:val="auto"/>
              </w:rPr>
            </w:pPr>
            <w:r>
              <w:rPr>
                <w:rFonts w:ascii="Calibri" w:cs="Calibri" w:eastAsia="Calibri" w:hAnsi="Calibri"/>
                <w:sz w:val="17"/>
                <w:szCs w:val="17"/>
                <w:color w:val="auto"/>
              </w:rPr>
              <w:t> Publishing our second Annual Sustainability Report developed in accordance with the Global Reportng Initatve (GRI)</w:t>
            </w:r>
          </w:p>
        </w:tc>
        <w:tc>
          <w:tcPr>
            <w:tcW w:w="0" w:type="dxa"/>
            <w:vAlign w:val="bottom"/>
          </w:tcPr>
          <w:p>
            <w:pPr>
              <w:spacing w:after="0"/>
              <w:rPr>
                <w:sz w:val="1"/>
                <w:szCs w:val="1"/>
                <w:color w:val="auto"/>
              </w:rPr>
            </w:pPr>
          </w:p>
        </w:tc>
      </w:tr>
      <w:tr>
        <w:trPr>
          <w:trHeight w:val="206"/>
        </w:trPr>
        <w:tc>
          <w:tcPr>
            <w:tcW w:w="1620" w:type="dxa"/>
            <w:vAlign w:val="bottom"/>
            <w:tcBorders>
              <w:left w:val="single" w:sz="8" w:color="B2B2B2"/>
            </w:tcBorders>
          </w:tcPr>
          <w:p>
            <w:pPr>
              <w:spacing w:after="0"/>
              <w:rPr>
                <w:sz w:val="17"/>
                <w:szCs w:val="17"/>
                <w:color w:val="auto"/>
              </w:rPr>
            </w:pPr>
          </w:p>
        </w:tc>
        <w:tc>
          <w:tcPr>
            <w:tcW w:w="740" w:type="dxa"/>
            <w:vAlign w:val="bottom"/>
          </w:tcPr>
          <w:p>
            <w:pPr>
              <w:spacing w:after="0"/>
              <w:rPr>
                <w:sz w:val="17"/>
                <w:szCs w:val="17"/>
                <w:color w:val="auto"/>
              </w:rPr>
            </w:pPr>
          </w:p>
        </w:tc>
        <w:tc>
          <w:tcPr>
            <w:tcW w:w="8280" w:type="dxa"/>
            <w:vAlign w:val="bottom"/>
            <w:tcBorders>
              <w:right w:val="single" w:sz="8" w:color="B2B2B2"/>
            </w:tcBorders>
          </w:tcPr>
          <w:p>
            <w:pPr>
              <w:ind w:left="120"/>
              <w:spacing w:after="0" w:line="206" w:lineRule="exact"/>
              <w:rPr>
                <w:sz w:val="20"/>
                <w:szCs w:val="20"/>
                <w:color w:val="auto"/>
              </w:rPr>
            </w:pPr>
            <w:r>
              <w:rPr>
                <w:rFonts w:ascii="Calibri" w:cs="Calibri" w:eastAsia="Calibri" w:hAnsi="Calibri"/>
                <w:sz w:val="17"/>
                <w:szCs w:val="17"/>
                <w:color w:val="auto"/>
              </w:rPr>
              <w:t>Standards: Core Opton and aligned to the Sustainability Accountng Standards Board (SASB) Sofware and IT Services</w:t>
            </w:r>
          </w:p>
        </w:tc>
        <w:tc>
          <w:tcPr>
            <w:tcW w:w="0" w:type="dxa"/>
            <w:vAlign w:val="bottom"/>
          </w:tcPr>
          <w:p>
            <w:pPr>
              <w:spacing w:after="0"/>
              <w:rPr>
                <w:sz w:val="1"/>
                <w:szCs w:val="1"/>
                <w:color w:val="auto"/>
              </w:rPr>
            </w:pPr>
          </w:p>
        </w:tc>
      </w:tr>
      <w:tr>
        <w:trPr>
          <w:trHeight w:val="208"/>
        </w:trPr>
        <w:tc>
          <w:tcPr>
            <w:tcW w:w="1620" w:type="dxa"/>
            <w:vAlign w:val="bottom"/>
            <w:tcBorders>
              <w:left w:val="single" w:sz="8" w:color="B2B2B2"/>
            </w:tcBorders>
          </w:tcPr>
          <w:p>
            <w:pPr>
              <w:spacing w:after="0"/>
              <w:rPr>
                <w:sz w:val="18"/>
                <w:szCs w:val="18"/>
                <w:color w:val="auto"/>
              </w:rPr>
            </w:pPr>
          </w:p>
        </w:tc>
        <w:tc>
          <w:tcPr>
            <w:tcW w:w="740" w:type="dxa"/>
            <w:vAlign w:val="bottom"/>
          </w:tcPr>
          <w:p>
            <w:pPr>
              <w:spacing w:after="0"/>
              <w:rPr>
                <w:sz w:val="18"/>
                <w:szCs w:val="18"/>
                <w:color w:val="auto"/>
              </w:rPr>
            </w:pPr>
          </w:p>
        </w:tc>
        <w:tc>
          <w:tcPr>
            <w:tcW w:w="828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Standard (2018), available on the Sustainability page of our website.</w:t>
            </w:r>
          </w:p>
        </w:tc>
        <w:tc>
          <w:tcPr>
            <w:tcW w:w="0" w:type="dxa"/>
            <w:vAlign w:val="bottom"/>
          </w:tcPr>
          <w:p>
            <w:pPr>
              <w:spacing w:after="0"/>
              <w:rPr>
                <w:sz w:val="1"/>
                <w:szCs w:val="1"/>
                <w:color w:val="auto"/>
              </w:rPr>
            </w:pPr>
          </w:p>
        </w:tc>
      </w:tr>
      <w:tr>
        <w:trPr>
          <w:trHeight w:val="208"/>
        </w:trPr>
        <w:tc>
          <w:tcPr>
            <w:tcW w:w="1620" w:type="dxa"/>
            <w:vAlign w:val="bottom"/>
            <w:tcBorders>
              <w:left w:val="single" w:sz="8" w:color="B2B2B2"/>
            </w:tcBorders>
          </w:tcPr>
          <w:p>
            <w:pPr>
              <w:spacing w:after="0"/>
              <w:rPr>
                <w:sz w:val="18"/>
                <w:szCs w:val="18"/>
                <w:color w:val="auto"/>
              </w:rPr>
            </w:pPr>
          </w:p>
        </w:tc>
        <w:tc>
          <w:tcPr>
            <w:tcW w:w="740" w:type="dxa"/>
            <w:vAlign w:val="bottom"/>
          </w:tcPr>
          <w:p>
            <w:pPr>
              <w:ind w:left="540"/>
              <w:spacing w:after="0"/>
              <w:rPr>
                <w:sz w:val="20"/>
                <w:szCs w:val="20"/>
                <w:color w:val="auto"/>
              </w:rPr>
            </w:pPr>
            <w:r>
              <w:rPr>
                <w:rFonts w:ascii="Calibri" w:cs="Calibri" w:eastAsia="Calibri" w:hAnsi="Calibri"/>
                <w:sz w:val="17"/>
                <w:szCs w:val="17"/>
                <w:color w:val="auto"/>
                <w:w w:val="70"/>
              </w:rPr>
              <w:t>• </w:t>
            </w:r>
          </w:p>
        </w:tc>
        <w:tc>
          <w:tcPr>
            <w:tcW w:w="8280" w:type="dxa"/>
            <w:vAlign w:val="bottom"/>
            <w:tcBorders>
              <w:right w:val="single" w:sz="8" w:color="B2B2B2"/>
            </w:tcBorders>
          </w:tcPr>
          <w:p>
            <w:pPr>
              <w:ind w:left="60"/>
              <w:spacing w:after="0"/>
              <w:rPr>
                <w:sz w:val="20"/>
                <w:szCs w:val="20"/>
                <w:color w:val="auto"/>
              </w:rPr>
            </w:pPr>
            <w:r>
              <w:rPr>
                <w:rFonts w:ascii="Calibri" w:cs="Calibri" w:eastAsia="Calibri" w:hAnsi="Calibri"/>
                <w:sz w:val="17"/>
                <w:szCs w:val="17"/>
                <w:color w:val="auto"/>
              </w:rPr>
              <w:t> Publishing a comprehensive Human Capital Report, including detailed disclosure on our recruitment, training,</w:t>
            </w:r>
          </w:p>
        </w:tc>
        <w:tc>
          <w:tcPr>
            <w:tcW w:w="0" w:type="dxa"/>
            <w:vAlign w:val="bottom"/>
          </w:tcPr>
          <w:p>
            <w:pPr>
              <w:spacing w:after="0"/>
              <w:rPr>
                <w:sz w:val="1"/>
                <w:szCs w:val="1"/>
                <w:color w:val="auto"/>
              </w:rPr>
            </w:pPr>
          </w:p>
        </w:tc>
      </w:tr>
      <w:tr>
        <w:trPr>
          <w:trHeight w:val="208"/>
        </w:trPr>
        <w:tc>
          <w:tcPr>
            <w:tcW w:w="1620" w:type="dxa"/>
            <w:vAlign w:val="bottom"/>
            <w:tcBorders>
              <w:left w:val="single" w:sz="8" w:color="B2B2B2"/>
            </w:tcBorders>
          </w:tcPr>
          <w:p>
            <w:pPr>
              <w:spacing w:after="0"/>
              <w:rPr>
                <w:sz w:val="18"/>
                <w:szCs w:val="18"/>
                <w:color w:val="auto"/>
              </w:rPr>
            </w:pPr>
          </w:p>
        </w:tc>
        <w:tc>
          <w:tcPr>
            <w:tcW w:w="740" w:type="dxa"/>
            <w:vAlign w:val="bottom"/>
          </w:tcPr>
          <w:p>
            <w:pPr>
              <w:spacing w:after="0"/>
              <w:rPr>
                <w:sz w:val="18"/>
                <w:szCs w:val="18"/>
                <w:color w:val="auto"/>
              </w:rPr>
            </w:pPr>
          </w:p>
        </w:tc>
        <w:tc>
          <w:tcPr>
            <w:tcW w:w="8280" w:type="dxa"/>
            <w:vAlign w:val="bottom"/>
            <w:tcBorders>
              <w:right w:val="single" w:sz="8" w:color="B2B2B2"/>
            </w:tcBorders>
          </w:tcPr>
          <w:p>
            <w:pPr>
              <w:ind w:left="120"/>
              <w:spacing w:after="0"/>
              <w:rPr>
                <w:sz w:val="20"/>
                <w:szCs w:val="20"/>
                <w:color w:val="auto"/>
              </w:rPr>
            </w:pPr>
            <w:r>
              <w:rPr>
                <w:rFonts w:ascii="Calibri" w:cs="Calibri" w:eastAsia="Calibri" w:hAnsi="Calibri"/>
                <w:sz w:val="17"/>
                <w:szCs w:val="17"/>
                <w:color w:val="auto"/>
              </w:rPr>
              <w:t>retenton and promoton, diversity, equity and inclusion eforts and community engagement and giving eforts.</w:t>
            </w:r>
          </w:p>
        </w:tc>
        <w:tc>
          <w:tcPr>
            <w:tcW w:w="0" w:type="dxa"/>
            <w:vAlign w:val="bottom"/>
          </w:tcPr>
          <w:p>
            <w:pPr>
              <w:spacing w:after="0"/>
              <w:rPr>
                <w:sz w:val="1"/>
                <w:szCs w:val="1"/>
                <w:color w:val="auto"/>
              </w:rPr>
            </w:pPr>
          </w:p>
        </w:tc>
      </w:tr>
      <w:tr>
        <w:trPr>
          <w:trHeight w:val="270"/>
        </w:trPr>
        <w:tc>
          <w:tcPr>
            <w:tcW w:w="1620" w:type="dxa"/>
            <w:vAlign w:val="bottom"/>
            <w:tcBorders>
              <w:left w:val="single" w:sz="8" w:color="B2B2B2"/>
              <w:bottom w:val="single" w:sz="8" w:color="B2B2B2"/>
            </w:tcBorders>
          </w:tcPr>
          <w:p>
            <w:pPr>
              <w:spacing w:after="0"/>
              <w:rPr>
                <w:sz w:val="23"/>
                <w:szCs w:val="23"/>
                <w:color w:val="auto"/>
              </w:rPr>
            </w:pPr>
          </w:p>
        </w:tc>
        <w:tc>
          <w:tcPr>
            <w:tcW w:w="740" w:type="dxa"/>
            <w:vAlign w:val="bottom"/>
            <w:tcBorders>
              <w:bottom w:val="single" w:sz="8" w:color="B2B2B2"/>
            </w:tcBorders>
          </w:tcPr>
          <w:p>
            <w:pPr>
              <w:spacing w:after="0"/>
              <w:rPr>
                <w:sz w:val="23"/>
                <w:szCs w:val="23"/>
                <w:color w:val="auto"/>
              </w:rPr>
            </w:pPr>
          </w:p>
        </w:tc>
        <w:tc>
          <w:tcPr>
            <w:tcW w:w="8280" w:type="dxa"/>
            <w:vAlign w:val="bottom"/>
            <w:tcBorders>
              <w:bottom w:val="single" w:sz="8" w:color="B2B2B2"/>
              <w:right w:val="single" w:sz="8" w:color="B2B2B2"/>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82550</wp:posOffset>
            </wp:positionV>
            <wp:extent cx="6748780" cy="6280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48780" cy="628015"/>
                    </a:xfrm>
                    <a:prstGeom prst="rect">
                      <a:avLst/>
                    </a:prstGeom>
                    <a:noFill/>
                  </pic:spPr>
                </pic:pic>
              </a:graphicData>
            </a:graphic>
          </wp:anchor>
        </w:drawing>
      </w:r>
    </w:p>
    <w:p>
      <w:pPr>
        <w:spacing w:after="0" w:line="150" w:lineRule="exact"/>
        <w:rPr>
          <w:sz w:val="20"/>
          <w:szCs w:val="20"/>
          <w:color w:val="auto"/>
        </w:rPr>
      </w:pPr>
    </w:p>
    <w:p>
      <w:pPr>
        <w:ind w:left="2480"/>
        <w:spacing w:after="0"/>
        <w:rPr>
          <w:sz w:val="20"/>
          <w:szCs w:val="20"/>
          <w:color w:val="auto"/>
        </w:rPr>
      </w:pPr>
      <w:r>
        <w:rPr>
          <w:rFonts w:ascii="Calibri" w:cs="Calibri" w:eastAsia="Calibri" w:hAnsi="Calibri"/>
          <w:sz w:val="17"/>
          <w:szCs w:val="17"/>
          <w:color w:val="auto"/>
        </w:rPr>
        <w:t>Launching a new community engagement focus in 2022 that aims to bring science and technology skills, with a partcular</w:t>
      </w:r>
    </w:p>
    <w:p>
      <w:pPr>
        <w:spacing w:after="0" w:line="44" w:lineRule="exact"/>
        <w:rPr>
          <w:sz w:val="20"/>
          <w:szCs w:val="20"/>
          <w:color w:val="auto"/>
        </w:rPr>
      </w:pPr>
    </w:p>
    <w:p>
      <w:pPr>
        <w:ind w:left="2480" w:right="280" w:hanging="1312"/>
        <w:spacing w:after="0" w:line="180" w:lineRule="auto"/>
        <w:tabs>
          <w:tab w:leader="none" w:pos="2480" w:val="left"/>
        </w:tabs>
        <w:numPr>
          <w:ilvl w:val="0"/>
          <w:numId w:val="16"/>
        </w:numPr>
        <w:rPr>
          <w:rFonts w:ascii="Calibri" w:cs="Calibri" w:eastAsia="Calibri" w:hAnsi="Calibri"/>
          <w:sz w:val="31"/>
          <w:szCs w:val="31"/>
          <w:b w:val="1"/>
          <w:bCs w:val="1"/>
          <w:color w:val="FB4E0B"/>
        </w:rPr>
      </w:pPr>
      <w:r>
        <w:rPr>
          <w:rFonts w:ascii="Calibri" w:cs="Calibri" w:eastAsia="Calibri" w:hAnsi="Calibri"/>
          <w:sz w:val="14"/>
          <w:szCs w:val="14"/>
          <w:color w:val="auto"/>
        </w:rPr>
        <w:t>emphasis on coding, to women and girls in the communites in which we operate in partnership with various non-proft organizatons, in additon to our existng educaton and skill building initatves.</w:t>
      </w:r>
    </w:p>
    <w:p>
      <w:pPr>
        <w:spacing w:after="0" w:line="389"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45</w:t>
            </w:r>
          </w:p>
        </w:tc>
      </w:tr>
    </w:tbl>
    <w:p>
      <w:pPr>
        <w:sectPr>
          <w:pgSz w:w="11900" w:h="16838" w:orient="portrait"/>
          <w:cols w:equalWidth="0" w:num="1">
            <w:col w:w="10940"/>
          </w:cols>
          <w:pgMar w:left="320" w:top="445"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Community Engagement</w:t>
      </w:r>
    </w:p>
    <w:p>
      <w:pPr>
        <w:spacing w:after="0" w:line="244" w:lineRule="exact"/>
        <w:rPr>
          <w:sz w:val="20"/>
          <w:szCs w:val="20"/>
          <w:color w:val="auto"/>
        </w:rPr>
      </w:pPr>
    </w:p>
    <w:p>
      <w:pPr>
        <w:ind w:left="660" w:right="1080"/>
        <w:spacing w:after="0" w:line="239" w:lineRule="auto"/>
        <w:rPr>
          <w:sz w:val="20"/>
          <w:szCs w:val="20"/>
          <w:color w:val="auto"/>
        </w:rPr>
      </w:pPr>
      <w:r>
        <w:rPr>
          <w:rFonts w:ascii="Calibri" w:cs="Calibri" w:eastAsia="Calibri" w:hAnsi="Calibri"/>
          <w:sz w:val="17"/>
          <w:szCs w:val="17"/>
          <w:color w:val="auto"/>
        </w:rPr>
        <w:t>EXL is focused on assistng the members of the communites in which we live and work to develop market-relevant skills. We provide programming on skills development for adults and children within our communites: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-248285</wp:posOffset>
            </wp:positionV>
            <wp:extent cx="6740525" cy="30810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40525" cy="3081020"/>
                    </a:xfrm>
                    <a:prstGeom prst="rect">
                      <a:avLst/>
                    </a:prstGeom>
                    <a:noFill/>
                  </pic:spPr>
                </pic:pic>
              </a:graphicData>
            </a:graphic>
          </wp:anchor>
        </w:drawing>
      </w:r>
    </w:p>
    <w:p>
      <w:pPr>
        <w:sectPr>
          <w:pgSz w:w="11900" w:h="16838" w:orient="portrait"/>
          <w:cols w:equalWidth="0" w:num="1">
            <w:col w:w="10800"/>
          </w:cols>
          <w:pgMar w:left="320" w:top="445" w:right="779" w:bottom="1440" w:gutter="0" w:footer="0" w:header="0"/>
        </w:sectPr>
      </w:pPr>
    </w:p>
    <w:p>
      <w:pPr>
        <w:spacing w:after="0" w:line="371" w:lineRule="exact"/>
        <w:rPr>
          <w:sz w:val="20"/>
          <w:szCs w:val="20"/>
          <w:color w:val="auto"/>
        </w:rPr>
      </w:pPr>
    </w:p>
    <w:p>
      <w:pPr>
        <w:ind w:left="1000"/>
        <w:spacing w:after="0"/>
        <w:rPr>
          <w:sz w:val="20"/>
          <w:szCs w:val="20"/>
          <w:color w:val="auto"/>
        </w:rPr>
      </w:pPr>
      <w:r>
        <w:rPr>
          <w:rFonts w:ascii="Calibri" w:cs="Calibri" w:eastAsia="Calibri" w:hAnsi="Calibri"/>
          <w:sz w:val="19"/>
          <w:szCs w:val="19"/>
          <w:b w:val="1"/>
          <w:bCs w:val="1"/>
          <w:color w:val="FB4E0B"/>
        </w:rPr>
        <w:t>Skills to Win Initatve</w:t>
      </w:r>
    </w:p>
    <w:p>
      <w:pPr>
        <w:spacing w:after="0" w:line="145" w:lineRule="exact"/>
        <w:rPr>
          <w:sz w:val="20"/>
          <w:szCs w:val="20"/>
          <w:color w:val="auto"/>
        </w:rPr>
      </w:pPr>
    </w:p>
    <w:p>
      <w:pPr>
        <w:ind w:left="1000" w:right="400"/>
        <w:spacing w:after="0" w:line="276" w:lineRule="auto"/>
        <w:rPr>
          <w:sz w:val="20"/>
          <w:szCs w:val="20"/>
          <w:color w:val="auto"/>
        </w:rPr>
      </w:pPr>
      <w:r>
        <w:rPr>
          <w:rFonts w:ascii="Calibri" w:cs="Calibri" w:eastAsia="Calibri" w:hAnsi="Calibri"/>
          <w:sz w:val="14"/>
          <w:szCs w:val="14"/>
          <w:color w:val="auto"/>
        </w:rPr>
        <w:t>This initatve focuses on equipping people in our communites with the skills that the market demands. We provide training on employability skills for back-ofce roles, fnance and accountng, and data and analytcs and digital capabilites, all coupled with life and workplace skills. In 2021, we moved to a virtual format, and by virtue of our new online delivery, were able to scale the Skills to Win Initatve to have an even broader reach. Skills to Win is opening new doors for employment and earnings for partcipants in the United States, the Philippines, India, United Kingdom and South Africa. Over the past fve years, we have contnued to evolve this initatve to refect new and emerging skills and strengthen the portolio of courses ofered.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680"/>
        <w:spacing w:after="0"/>
        <w:rPr>
          <w:sz w:val="20"/>
          <w:szCs w:val="20"/>
          <w:color w:val="auto"/>
        </w:rPr>
      </w:pPr>
      <w:r>
        <w:rPr>
          <w:rFonts w:ascii="Calibri" w:cs="Calibri" w:eastAsia="Calibri" w:hAnsi="Calibri"/>
          <w:sz w:val="14"/>
          <w:szCs w:val="14"/>
          <w:b w:val="1"/>
          <w:bCs w:val="1"/>
          <w:color w:val="auto"/>
        </w:rPr>
        <w:t>In 2021, we brought this program to nearly 1,100 people in our</w:t>
      </w:r>
    </w:p>
    <w:p>
      <w:pPr>
        <w:spacing w:after="0" w:line="14" w:lineRule="exact"/>
        <w:rPr>
          <w:sz w:val="20"/>
          <w:szCs w:val="20"/>
          <w:color w:val="auto"/>
        </w:rPr>
      </w:pPr>
    </w:p>
    <w:p>
      <w:pPr>
        <w:jc w:val="center"/>
        <w:ind w:left="680"/>
        <w:spacing w:after="0"/>
        <w:rPr>
          <w:sz w:val="20"/>
          <w:szCs w:val="20"/>
          <w:color w:val="auto"/>
        </w:rPr>
      </w:pPr>
      <w:r>
        <w:rPr>
          <w:rFonts w:ascii="Calibri" w:cs="Calibri" w:eastAsia="Calibri" w:hAnsi="Calibri"/>
          <w:sz w:val="16"/>
          <w:szCs w:val="16"/>
          <w:b w:val="1"/>
          <w:bCs w:val="1"/>
          <w:color w:val="auto"/>
        </w:rPr>
        <w:t>communites across the globe.</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FB4E0B"/>
        </w:rPr>
        <w:t>Educaton as a Foundaton Initatve</w:t>
      </w:r>
    </w:p>
    <w:p>
      <w:pPr>
        <w:spacing w:after="0" w:line="145" w:lineRule="exact"/>
        <w:rPr>
          <w:sz w:val="20"/>
          <w:szCs w:val="20"/>
          <w:color w:val="auto"/>
        </w:rPr>
      </w:pPr>
    </w:p>
    <w:p>
      <w:pPr>
        <w:ind w:right="540"/>
        <w:spacing w:after="0" w:line="238" w:lineRule="auto"/>
        <w:rPr>
          <w:sz w:val="20"/>
          <w:szCs w:val="20"/>
          <w:color w:val="auto"/>
        </w:rPr>
      </w:pPr>
      <w:r>
        <w:rPr>
          <w:rFonts w:ascii="Calibri" w:cs="Calibri" w:eastAsia="Calibri" w:hAnsi="Calibri"/>
          <w:sz w:val="16"/>
          <w:szCs w:val="16"/>
          <w:color w:val="auto"/>
        </w:rPr>
        <w:t>This initatve provides school-aged children with a foundaton in data and analytcs skills, as well as extracurricular actvites such as art, music, ftness, and languages, all of which will enable them to positon themselves as future leaders. In 2021, we adapted our Educaton as a Foundaton Initatve’s programming to account for new challenges arising from the COVID-19 pandemic. In partcular, we transitoned to a blend of online and ofine learning platorms, expanded the role of our students’ parents as co-educators, and added a new focus in our content on the physical and mental wellbeing of our students and their families. Like our Skills to Win Initatve, in 2021, we were able to scale this program to reach even more students than we had in the in-person only format.</w:t>
      </w:r>
    </w:p>
    <w:p>
      <w:pPr>
        <w:spacing w:after="0" w:line="200" w:lineRule="exact"/>
        <w:rPr>
          <w:sz w:val="20"/>
          <w:szCs w:val="20"/>
          <w:color w:val="auto"/>
        </w:rPr>
      </w:pPr>
    </w:p>
    <w:p>
      <w:pPr>
        <w:spacing w:after="0" w:line="261" w:lineRule="exact"/>
        <w:rPr>
          <w:sz w:val="20"/>
          <w:szCs w:val="20"/>
          <w:color w:val="auto"/>
        </w:rPr>
      </w:pPr>
    </w:p>
    <w:p>
      <w:pPr>
        <w:jc w:val="center"/>
        <w:ind w:right="500"/>
        <w:spacing w:after="0"/>
        <w:rPr>
          <w:sz w:val="20"/>
          <w:szCs w:val="20"/>
          <w:color w:val="auto"/>
        </w:rPr>
      </w:pPr>
      <w:r>
        <w:rPr>
          <w:rFonts w:ascii="Calibri" w:cs="Calibri" w:eastAsia="Calibri" w:hAnsi="Calibri"/>
          <w:sz w:val="14"/>
          <w:szCs w:val="14"/>
          <w:b w:val="1"/>
          <w:bCs w:val="1"/>
          <w:color w:val="auto"/>
        </w:rPr>
        <w:t>In 2021, we brought this program to more than 2,700 students</w:t>
      </w:r>
    </w:p>
    <w:p>
      <w:pPr>
        <w:spacing w:after="0" w:line="14" w:lineRule="exact"/>
        <w:rPr>
          <w:sz w:val="20"/>
          <w:szCs w:val="20"/>
          <w:color w:val="auto"/>
        </w:rPr>
      </w:pPr>
    </w:p>
    <w:p>
      <w:pPr>
        <w:jc w:val="center"/>
        <w:ind w:right="500"/>
        <w:spacing w:after="0"/>
        <w:rPr>
          <w:sz w:val="20"/>
          <w:szCs w:val="20"/>
          <w:color w:val="auto"/>
        </w:rPr>
      </w:pPr>
      <w:r>
        <w:rPr>
          <w:rFonts w:ascii="Calibri" w:cs="Calibri" w:eastAsia="Calibri" w:hAnsi="Calibri"/>
          <w:sz w:val="16"/>
          <w:szCs w:val="16"/>
          <w:b w:val="1"/>
          <w:bCs w:val="1"/>
          <w:color w:val="auto"/>
        </w:rPr>
        <w:t>worldwide.</w:t>
      </w:r>
    </w:p>
    <w:p>
      <w:pPr>
        <w:spacing w:after="0" w:line="200" w:lineRule="exact"/>
        <w:rPr>
          <w:sz w:val="20"/>
          <w:szCs w:val="20"/>
          <w:color w:val="auto"/>
        </w:rPr>
      </w:pPr>
    </w:p>
    <w:p>
      <w:pPr>
        <w:sectPr>
          <w:pgSz w:w="11900" w:h="16838" w:orient="portrait"/>
          <w:cols w:equalWidth="0" w:num="2">
            <w:col w:w="5460" w:space="720"/>
            <w:col w:w="4620"/>
          </w:cols>
          <w:pgMar w:left="320" w:top="445"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employees are an integral part of our community strategy, sharing their skills and experience working on advanced digital technologies through volunteering. We also support our employees’ charitable eforts by enabling payroll giving with company matching and recognizing social impact through individual, geography and business unit awards. Our shif to virtual volunteering in response to COVID-19 has made volunteering even easier for our employees, and has enabled us to reach more people through our programming.</w:t>
      </w:r>
    </w:p>
    <w:p>
      <w:pPr>
        <w:spacing w:after="0" w:line="200" w:lineRule="exact"/>
        <w:rPr>
          <w:sz w:val="20"/>
          <w:szCs w:val="20"/>
          <w:color w:val="auto"/>
        </w:rPr>
      </w:pPr>
    </w:p>
    <w:p>
      <w:pPr>
        <w:spacing w:after="0" w:line="323"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As in all aspects of our business, the COVID-19 pandemic had an immediate impact on our approach to community engagement. As we learned more about how COVID-19 was impactng our communites, we reassessed the needs and recalibrated our programs to meet them. For example, in 2020 and 2021, we temporarily routed a porton of our community engagement funding toward COVID-19-related relief eforts, including working with partner organizatons to provide access to food and supportng frontline healthcare workers and vulnerable members of society. This initatve reached approximately 131,000 benefciaries in India in 2021.</w:t>
      </w:r>
    </w:p>
    <w:p>
      <w:pPr>
        <w:spacing w:after="0" w:line="200" w:lineRule="exact"/>
        <w:rPr>
          <w:sz w:val="20"/>
          <w:szCs w:val="20"/>
          <w:color w:val="auto"/>
        </w:rPr>
      </w:pPr>
    </w:p>
    <w:p>
      <w:pPr>
        <w:spacing w:after="0" w:line="323"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Looking forward to 2022, we have added a new area of focus to our Skills to Win Initatve, which is focused on bringing STEM skills- and in partcular, coding skills – to women and non-binary people in our communites. As of the date hereof, we have partnered with GirlCode in South Africa, Code First Girls in the United Kingdom, and Women Who Code in the United States.</w:t>
      </w:r>
    </w:p>
    <w:p>
      <w:pPr>
        <w:spacing w:after="0" w:line="129"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46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800"/>
          </w:cols>
          <w:pgMar w:left="320" w:top="445" w:right="77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102235</wp:posOffset>
            </wp:positionV>
            <wp:extent cx="1982470" cy="398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982470" cy="3989705"/>
                    </a:xfrm>
                    <a:prstGeom prst="rect">
                      <a:avLst/>
                    </a:prstGeom>
                    <a:noFill/>
                  </pic:spPr>
                </pic:pic>
              </a:graphicData>
            </a:graphic>
          </wp:anchor>
        </w:drawing>
      </w:r>
    </w:p>
    <w:p>
      <w:pPr>
        <w:spacing w:after="0" w:line="24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Protectng our planet</w:t>
      </w:r>
    </w:p>
    <w:p>
      <w:pPr>
        <w:spacing w:after="0" w:line="270" w:lineRule="exact"/>
        <w:rPr>
          <w:sz w:val="20"/>
          <w:szCs w:val="20"/>
          <w:color w:val="auto"/>
        </w:rPr>
      </w:pPr>
    </w:p>
    <w:p>
      <w:pPr>
        <w:ind w:left="320" w:right="3920"/>
        <w:spacing w:after="0"/>
        <w:rPr>
          <w:sz w:val="20"/>
          <w:szCs w:val="20"/>
          <w:color w:val="auto"/>
        </w:rPr>
      </w:pPr>
      <w:r>
        <w:rPr>
          <w:rFonts w:ascii="Calibri" w:cs="Calibri" w:eastAsia="Calibri" w:hAnsi="Calibri"/>
          <w:sz w:val="17"/>
          <w:szCs w:val="17"/>
          <w:color w:val="auto"/>
        </w:rPr>
        <w:t>At EXL, we prioritze environmental stewardship and endeavor to minimize the environmental impact of our operatons. We focus on conserving energy, minimizing waste, reducing water and one-tme plastcs use and developing efcient infrastructure and operatons, all in order to reduce our environmental footprint across our global operatons.</w:t>
      </w:r>
    </w:p>
    <w:p>
      <w:pPr>
        <w:spacing w:after="0" w:line="133" w:lineRule="exact"/>
        <w:rPr>
          <w:sz w:val="20"/>
          <w:szCs w:val="20"/>
          <w:color w:val="auto"/>
        </w:rPr>
      </w:pPr>
    </w:p>
    <w:p>
      <w:pPr>
        <w:ind w:left="320" w:right="3960"/>
        <w:spacing w:after="0" w:line="239" w:lineRule="auto"/>
        <w:rPr>
          <w:sz w:val="20"/>
          <w:szCs w:val="20"/>
          <w:color w:val="auto"/>
        </w:rPr>
      </w:pPr>
      <w:r>
        <w:rPr>
          <w:rFonts w:ascii="Calibri" w:cs="Calibri" w:eastAsia="Calibri" w:hAnsi="Calibri"/>
          <w:sz w:val="17"/>
          <w:szCs w:val="17"/>
          <w:color w:val="auto"/>
        </w:rPr>
        <w:t>We provide informaton relatng to greenhouse gas emissions and climate impact in our Sustainability Report. We have partcipated in the CDP’s Climate Change disclosure program since 2018 and are working to reduce our emissions.</w:t>
      </w:r>
    </w:p>
    <w:p>
      <w:pPr>
        <w:spacing w:after="0" w:line="135" w:lineRule="exact"/>
        <w:rPr>
          <w:sz w:val="20"/>
          <w:szCs w:val="20"/>
          <w:color w:val="auto"/>
        </w:rPr>
      </w:pPr>
    </w:p>
    <w:p>
      <w:pPr>
        <w:ind w:left="320" w:right="3760"/>
        <w:spacing w:after="0"/>
        <w:rPr>
          <w:sz w:val="20"/>
          <w:szCs w:val="20"/>
          <w:color w:val="auto"/>
        </w:rPr>
      </w:pPr>
      <w:r>
        <w:rPr>
          <w:rFonts w:ascii="Calibri" w:cs="Calibri" w:eastAsia="Calibri" w:hAnsi="Calibri"/>
          <w:sz w:val="17"/>
          <w:szCs w:val="17"/>
          <w:color w:val="auto"/>
        </w:rPr>
        <w:t>Given that our energy consumpton is primarily from our ofce facilites, we have taken measures to improve energy efciency including, for example, an enterprise-level retroft program to transform existng delivery centers into highly efcient buildings with smart automaton, using technology such as modular power supplies to conserve energy and optmizing our use of real estate in light of the shif to working from home. Additonally, we have adopted a hybrid in-person and remote work operatng model, which will help us to reduce greenhouse gas emissions by decreasing commutng-related travel.</w:t>
      </w:r>
    </w:p>
    <w:p>
      <w:pPr>
        <w:spacing w:after="0" w:line="134" w:lineRule="exact"/>
        <w:rPr>
          <w:sz w:val="20"/>
          <w:szCs w:val="20"/>
          <w:color w:val="auto"/>
        </w:rPr>
      </w:pPr>
    </w:p>
    <w:p>
      <w:pPr>
        <w:ind w:left="320" w:right="3900"/>
        <w:spacing w:after="0" w:line="239" w:lineRule="auto"/>
        <w:rPr>
          <w:sz w:val="20"/>
          <w:szCs w:val="20"/>
          <w:color w:val="auto"/>
        </w:rPr>
      </w:pPr>
      <w:r>
        <w:rPr>
          <w:rFonts w:ascii="Calibri" w:cs="Calibri" w:eastAsia="Calibri" w:hAnsi="Calibri"/>
          <w:sz w:val="17"/>
          <w:szCs w:val="17"/>
          <w:color w:val="auto"/>
        </w:rPr>
        <w:t>For more informaton on eforts toward protectng our planet, please refer to our Sustainability Report, available on our website at www.exlservice.com/about/sustainability. We expect to report our 2021 progress in our 2021 Annual Sustainability Report to be published during 2022.</w:t>
      </w:r>
    </w:p>
    <w:p>
      <w:pPr>
        <w:spacing w:after="0" w:line="378"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Human rights and sustainable supply chain</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Human rights</w:t>
      </w:r>
    </w:p>
    <w:p>
      <w:pPr>
        <w:spacing w:after="0" w:line="271" w:lineRule="exact"/>
        <w:rPr>
          <w:sz w:val="20"/>
          <w:szCs w:val="20"/>
          <w:color w:val="auto"/>
        </w:rPr>
      </w:pPr>
    </w:p>
    <w:p>
      <w:pPr>
        <w:jc w:val="both"/>
        <w:ind w:left="320" w:right="3740"/>
        <w:spacing w:after="0" w:line="239" w:lineRule="auto"/>
        <w:rPr>
          <w:sz w:val="20"/>
          <w:szCs w:val="20"/>
          <w:color w:val="auto"/>
        </w:rPr>
      </w:pPr>
      <w:r>
        <w:rPr>
          <w:rFonts w:ascii="Calibri" w:cs="Calibri" w:eastAsia="Calibri" w:hAnsi="Calibri"/>
          <w:sz w:val="17"/>
          <w:szCs w:val="17"/>
          <w:color w:val="auto"/>
        </w:rPr>
        <w:t>Our Human Rights Policy details our commitment to human rights and our zero tolerance policy with respect to workplace harassment and discriminaton and preventng forced labor and trafcking and other abuses.</w:t>
      </w:r>
    </w:p>
    <w:p>
      <w:pPr>
        <w:spacing w:after="0" w:line="373"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Sustainable supply chain</w:t>
      </w:r>
    </w:p>
    <w:p>
      <w:pPr>
        <w:spacing w:after="0" w:line="271" w:lineRule="exact"/>
        <w:rPr>
          <w:sz w:val="20"/>
          <w:szCs w:val="20"/>
          <w:color w:val="auto"/>
        </w:rPr>
      </w:pPr>
    </w:p>
    <w:p>
      <w:pPr>
        <w:ind w:left="320" w:right="3760"/>
        <w:spacing w:after="0"/>
        <w:rPr>
          <w:sz w:val="20"/>
          <w:szCs w:val="20"/>
          <w:color w:val="auto"/>
        </w:rPr>
      </w:pPr>
      <w:r>
        <w:rPr>
          <w:rFonts w:ascii="Calibri" w:cs="Calibri" w:eastAsia="Calibri" w:hAnsi="Calibri"/>
          <w:sz w:val="17"/>
          <w:szCs w:val="17"/>
          <w:color w:val="auto"/>
        </w:rPr>
        <w:t>In order to ensure that our suppliers’ business conduct aligns with our expectatons, we conduct background investgatons of new suppliers to collect informaton on their policies and performance relatng to economic and environmental maters, and human rights, data privacy, product safety and working conditons. In 2021 we began the process of rolling out Supplier Standards of Conduct to suppliers, which sets out</w:t>
      </w:r>
    </w:p>
    <w:p>
      <w:pPr>
        <w:spacing w:after="0" w:line="141"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47</w:t>
            </w:r>
          </w:p>
        </w:tc>
      </w:tr>
    </w:tbl>
    <w:p>
      <w:pPr>
        <w:sectPr>
          <w:pgSz w:w="11900" w:h="16838" w:orient="portrait"/>
          <w:cols w:equalWidth="0" w:num="1">
            <w:col w:w="10940"/>
          </w:cols>
          <w:pgMar w:left="320" w:top="445" w:right="6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140"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commitments relatng to creatng a more sustainable and responsible world through addressing human rights, labor rights and environmental issues, and ask suppliers to atest to their compliance. We maintain the right to review our suppliers’ practces in the future.</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seek to procure our materials from local suppliers, to the extent feasible.</w:t>
      </w:r>
    </w:p>
    <w:p>
      <w:pPr>
        <w:spacing w:after="0" w:line="314"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Our supplier diversity programs encourage the engagement of supplier of diverse backgrounds, including, without limitaton, suppliers owned by people belonging to minority groups, women, the gay, lesbian, bisexual and transgender community, and veterans, specially-abled people, and small business enterprises.</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Supportng and developing our people</w:t>
      </w:r>
    </w:p>
    <w:p>
      <w:pPr>
        <w:spacing w:after="0" w:line="1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people are our primary assets. The world we work and live in is full of diversity and powered by innovaton. We believe success in such a world will come through an environment that embraces diversity of thought. In line with our core values, one of our principal priorites is promotng the talent of our employees while creatng an inclusive work environment to permit us to leverage our employees’ diversity and to deliver exceptonal results for our clients. We have an actve employee relatons functon to ensure that we regularly communicate with and understand our employees, and are able to swifly respond to specifc needs and concerns as they arise. We periodically conduct employee surveys to monitor our employee satsfacton and engagement.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Headquartered in New York, as of March 31, 2022, we are made up of over 39,000 professionals, with more than 50 ofces spanning six contnents.</w:t>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Calibri" w:cs="Calibri" w:eastAsia="Calibri" w:hAnsi="Calibri"/>
          <w:sz w:val="35"/>
          <w:szCs w:val="35"/>
          <w:b w:val="1"/>
          <w:bCs w:val="1"/>
          <w:color w:val="auto"/>
        </w:rPr>
        <w:t>EXL locatons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176530</wp:posOffset>
            </wp:positionV>
            <wp:extent cx="5774055" cy="25196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74055" cy="251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48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20"/>
          </w:cols>
          <w:pgMar w:left="320" w:top="445" w:right="6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Sustainability</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Diversity, equity and inclusion</w:t>
      </w:r>
    </w:p>
    <w:p>
      <w:pPr>
        <w:spacing w:after="0" w:line="115"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Diversity, equity and inclusion (“DEI”) is a focus at EXL, as we believe that our employees’ diversity of thought and experience are key to our ability to innovate on a global scale, in line with our long-term corporate strategy. Our DEI program is led by our Chief Human Resources Ofcer, together with our Diversity and Inclusion Council, and is ultmately overseen by our board. Our Diversity and Inclusion Council consists of a global, diverse mix of leaders, provides inputs to the design of our diversity and inclusion program to bring in diverse perspectves, collaborates with external partners for customizaton inputs, conducts periodic reviews of the progress of our program and provides executon leadership for specifc diversity initatves.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549"/>
        </w:trPr>
        <w:tc>
          <w:tcPr>
            <w:tcW w:w="1620" w:type="dxa"/>
            <w:vAlign w:val="bottom"/>
          </w:tcPr>
          <w:p>
            <w:pPr>
              <w:jc w:val="center"/>
              <w:ind w:right="413"/>
              <w:spacing w:after="0"/>
              <w:rPr>
                <w:sz w:val="20"/>
                <w:szCs w:val="20"/>
                <w:color w:val="auto"/>
              </w:rPr>
            </w:pPr>
            <w:r>
              <w:rPr>
                <w:rFonts w:ascii="Calibri" w:cs="Calibri" w:eastAsia="Calibri" w:hAnsi="Calibri"/>
                <w:sz w:val="45"/>
                <w:szCs w:val="45"/>
                <w:b w:val="1"/>
                <w:bCs w:val="1"/>
                <w:color w:val="auto"/>
                <w:w w:val="99"/>
              </w:rPr>
              <w:t>41%*</w:t>
            </w:r>
          </w:p>
        </w:tc>
        <w:tc>
          <w:tcPr>
            <w:tcW w:w="2140" w:type="dxa"/>
            <w:vAlign w:val="bottom"/>
          </w:tcPr>
          <w:p>
            <w:pPr>
              <w:jc w:val="center"/>
              <w:ind w:left="85"/>
              <w:spacing w:after="0"/>
              <w:rPr>
                <w:sz w:val="20"/>
                <w:szCs w:val="20"/>
                <w:color w:val="auto"/>
              </w:rPr>
            </w:pPr>
            <w:r>
              <w:rPr>
                <w:rFonts w:ascii="Calibri" w:cs="Calibri" w:eastAsia="Calibri" w:hAnsi="Calibri"/>
                <w:sz w:val="45"/>
                <w:szCs w:val="45"/>
                <w:b w:val="1"/>
                <w:bCs w:val="1"/>
                <w:color w:val="auto"/>
              </w:rPr>
              <w:t>18%*</w:t>
            </w:r>
          </w:p>
        </w:tc>
        <w:tc>
          <w:tcPr>
            <w:tcW w:w="2180" w:type="dxa"/>
            <w:vAlign w:val="bottom"/>
          </w:tcPr>
          <w:p>
            <w:pPr>
              <w:jc w:val="center"/>
              <w:spacing w:after="0"/>
              <w:rPr>
                <w:sz w:val="20"/>
                <w:szCs w:val="20"/>
                <w:color w:val="auto"/>
              </w:rPr>
            </w:pPr>
            <w:r>
              <w:rPr>
                <w:rFonts w:ascii="Calibri" w:cs="Calibri" w:eastAsia="Calibri" w:hAnsi="Calibri"/>
                <w:sz w:val="45"/>
                <w:szCs w:val="45"/>
                <w:b w:val="1"/>
                <w:bCs w:val="1"/>
                <w:color w:val="auto"/>
              </w:rPr>
              <w:t>25%*</w:t>
            </w:r>
          </w:p>
        </w:tc>
        <w:tc>
          <w:tcPr>
            <w:tcW w:w="2180" w:type="dxa"/>
            <w:vAlign w:val="bottom"/>
          </w:tcPr>
          <w:p>
            <w:pPr>
              <w:jc w:val="center"/>
              <w:spacing w:after="0"/>
              <w:rPr>
                <w:sz w:val="20"/>
                <w:szCs w:val="20"/>
                <w:color w:val="auto"/>
              </w:rPr>
            </w:pPr>
            <w:r>
              <w:rPr>
                <w:rFonts w:ascii="Calibri" w:cs="Calibri" w:eastAsia="Calibri" w:hAnsi="Calibri"/>
                <w:sz w:val="45"/>
                <w:szCs w:val="45"/>
                <w:b w:val="1"/>
                <w:bCs w:val="1"/>
                <w:color w:val="auto"/>
                <w:w w:val="99"/>
              </w:rPr>
              <w:t>45%*</w:t>
            </w:r>
          </w:p>
        </w:tc>
        <w:tc>
          <w:tcPr>
            <w:tcW w:w="1540" w:type="dxa"/>
            <w:vAlign w:val="bottom"/>
          </w:tcPr>
          <w:p>
            <w:pPr>
              <w:jc w:val="center"/>
              <w:ind w:left="125"/>
              <w:spacing w:after="0"/>
              <w:rPr>
                <w:sz w:val="20"/>
                <w:szCs w:val="20"/>
                <w:color w:val="auto"/>
              </w:rPr>
            </w:pPr>
            <w:r>
              <w:rPr>
                <w:rFonts w:ascii="Calibri" w:cs="Calibri" w:eastAsia="Calibri" w:hAnsi="Calibri"/>
                <w:sz w:val="45"/>
                <w:szCs w:val="45"/>
                <w:b w:val="1"/>
                <w:bCs w:val="1"/>
                <w:color w:val="auto"/>
              </w:rPr>
              <w:t>65%*</w:t>
            </w:r>
          </w:p>
        </w:tc>
      </w:tr>
      <w:tr>
        <w:trPr>
          <w:trHeight w:val="329"/>
        </w:trPr>
        <w:tc>
          <w:tcPr>
            <w:tcW w:w="1620" w:type="dxa"/>
            <w:vAlign w:val="bottom"/>
          </w:tcPr>
          <w:p>
            <w:pPr>
              <w:jc w:val="center"/>
              <w:ind w:right="413"/>
              <w:spacing w:after="0"/>
              <w:rPr>
                <w:sz w:val="20"/>
                <w:szCs w:val="20"/>
                <w:color w:val="auto"/>
              </w:rPr>
            </w:pPr>
            <w:r>
              <w:rPr>
                <w:rFonts w:ascii="Calibri" w:cs="Calibri" w:eastAsia="Calibri" w:hAnsi="Calibri"/>
                <w:sz w:val="16"/>
                <w:szCs w:val="16"/>
                <w:b w:val="1"/>
                <w:bCs w:val="1"/>
                <w:color w:val="auto"/>
                <w:w w:val="96"/>
              </w:rPr>
              <w:t>Gender Diversity</w:t>
            </w:r>
          </w:p>
        </w:tc>
        <w:tc>
          <w:tcPr>
            <w:tcW w:w="2140" w:type="dxa"/>
            <w:vAlign w:val="bottom"/>
          </w:tcPr>
          <w:p>
            <w:pPr>
              <w:jc w:val="center"/>
              <w:ind w:left="65"/>
              <w:spacing w:after="0"/>
              <w:rPr>
                <w:sz w:val="20"/>
                <w:szCs w:val="20"/>
                <w:color w:val="auto"/>
              </w:rPr>
            </w:pPr>
            <w:r>
              <w:rPr>
                <w:rFonts w:ascii="Calibri" w:cs="Calibri" w:eastAsia="Calibri" w:hAnsi="Calibri"/>
                <w:sz w:val="16"/>
                <w:szCs w:val="16"/>
                <w:b w:val="1"/>
                <w:bCs w:val="1"/>
                <w:color w:val="auto"/>
                <w:w w:val="96"/>
              </w:rPr>
              <w:t>Gender Diversity</w:t>
            </w:r>
          </w:p>
        </w:tc>
        <w:tc>
          <w:tcPr>
            <w:tcW w:w="2180" w:type="dxa"/>
            <w:vAlign w:val="bottom"/>
          </w:tcPr>
          <w:p>
            <w:pPr>
              <w:jc w:val="center"/>
              <w:spacing w:after="0"/>
              <w:rPr>
                <w:sz w:val="20"/>
                <w:szCs w:val="20"/>
                <w:color w:val="auto"/>
              </w:rPr>
            </w:pPr>
            <w:r>
              <w:rPr>
                <w:rFonts w:ascii="Calibri" w:cs="Calibri" w:eastAsia="Calibri" w:hAnsi="Calibri"/>
                <w:sz w:val="16"/>
                <w:szCs w:val="16"/>
                <w:b w:val="1"/>
                <w:bCs w:val="1"/>
                <w:color w:val="auto"/>
                <w:w w:val="96"/>
              </w:rPr>
              <w:t>Gender Diversity</w:t>
            </w:r>
          </w:p>
        </w:tc>
        <w:tc>
          <w:tcPr>
            <w:tcW w:w="2180" w:type="dxa"/>
            <w:vAlign w:val="bottom"/>
          </w:tcPr>
          <w:p>
            <w:pPr>
              <w:jc w:val="center"/>
              <w:spacing w:after="0"/>
              <w:rPr>
                <w:sz w:val="20"/>
                <w:szCs w:val="20"/>
                <w:color w:val="auto"/>
              </w:rPr>
            </w:pPr>
            <w:r>
              <w:rPr>
                <w:rFonts w:ascii="Calibri" w:cs="Calibri" w:eastAsia="Calibri" w:hAnsi="Calibri"/>
                <w:sz w:val="16"/>
                <w:szCs w:val="16"/>
                <w:b w:val="1"/>
                <w:bCs w:val="1"/>
                <w:color w:val="auto"/>
                <w:w w:val="95"/>
              </w:rPr>
              <w:t>Racial and Ethnic</w:t>
            </w:r>
          </w:p>
        </w:tc>
        <w:tc>
          <w:tcPr>
            <w:tcW w:w="1540" w:type="dxa"/>
            <w:vAlign w:val="bottom"/>
          </w:tcPr>
          <w:p>
            <w:pPr>
              <w:jc w:val="center"/>
              <w:ind w:left="125"/>
              <w:spacing w:after="0"/>
              <w:rPr>
                <w:sz w:val="20"/>
                <w:szCs w:val="20"/>
                <w:color w:val="auto"/>
              </w:rPr>
            </w:pPr>
            <w:r>
              <w:rPr>
                <w:rFonts w:ascii="Calibri" w:cs="Calibri" w:eastAsia="Calibri" w:hAnsi="Calibri"/>
                <w:sz w:val="16"/>
                <w:szCs w:val="16"/>
                <w:b w:val="1"/>
                <w:bCs w:val="1"/>
                <w:color w:val="auto"/>
                <w:w w:val="96"/>
              </w:rPr>
              <w:t>Racial and</w:t>
            </w:r>
          </w:p>
        </w:tc>
      </w:tr>
      <w:tr>
        <w:trPr>
          <w:trHeight w:val="195"/>
        </w:trPr>
        <w:tc>
          <w:tcPr>
            <w:tcW w:w="1620" w:type="dxa"/>
            <w:vAlign w:val="bottom"/>
          </w:tcPr>
          <w:p>
            <w:pPr>
              <w:jc w:val="center"/>
              <w:ind w:right="413"/>
              <w:spacing w:after="0"/>
              <w:rPr>
                <w:sz w:val="20"/>
                <w:szCs w:val="20"/>
                <w:color w:val="auto"/>
              </w:rPr>
            </w:pPr>
            <w:r>
              <w:rPr>
                <w:rFonts w:ascii="Calibri" w:cs="Calibri" w:eastAsia="Calibri" w:hAnsi="Calibri"/>
                <w:sz w:val="16"/>
                <w:szCs w:val="16"/>
                <w:b w:val="1"/>
                <w:bCs w:val="1"/>
                <w:color w:val="auto"/>
                <w:w w:val="95"/>
              </w:rPr>
              <w:t>Company-wide</w:t>
            </w:r>
          </w:p>
        </w:tc>
        <w:tc>
          <w:tcPr>
            <w:tcW w:w="2140" w:type="dxa"/>
            <w:vAlign w:val="bottom"/>
          </w:tcPr>
          <w:p>
            <w:pPr>
              <w:jc w:val="center"/>
              <w:ind w:left="65"/>
              <w:spacing w:after="0"/>
              <w:rPr>
                <w:sz w:val="20"/>
                <w:szCs w:val="20"/>
                <w:color w:val="auto"/>
              </w:rPr>
            </w:pPr>
            <w:r>
              <w:rPr>
                <w:rFonts w:ascii="Calibri" w:cs="Calibri" w:eastAsia="Calibri" w:hAnsi="Calibri"/>
                <w:sz w:val="16"/>
                <w:szCs w:val="16"/>
                <w:b w:val="1"/>
                <w:bCs w:val="1"/>
                <w:color w:val="auto"/>
                <w:w w:val="97"/>
              </w:rPr>
              <w:t>Company-wide Vice</w:t>
            </w:r>
          </w:p>
        </w:tc>
        <w:tc>
          <w:tcPr>
            <w:tcW w:w="2180" w:type="dxa"/>
            <w:vAlign w:val="bottom"/>
          </w:tcPr>
          <w:p>
            <w:pPr>
              <w:jc w:val="center"/>
              <w:spacing w:after="0"/>
              <w:rPr>
                <w:sz w:val="20"/>
                <w:szCs w:val="20"/>
                <w:color w:val="auto"/>
              </w:rPr>
            </w:pPr>
            <w:r>
              <w:rPr>
                <w:rFonts w:ascii="Calibri" w:cs="Calibri" w:eastAsia="Calibri" w:hAnsi="Calibri"/>
                <w:sz w:val="16"/>
                <w:szCs w:val="16"/>
                <w:b w:val="1"/>
                <w:bCs w:val="1"/>
                <w:color w:val="auto"/>
                <w:w w:val="96"/>
              </w:rPr>
              <w:t>Senior Management***</w:t>
            </w:r>
          </w:p>
        </w:tc>
        <w:tc>
          <w:tcPr>
            <w:tcW w:w="2180" w:type="dxa"/>
            <w:vAlign w:val="bottom"/>
          </w:tcPr>
          <w:p>
            <w:pPr>
              <w:jc w:val="center"/>
              <w:spacing w:after="0"/>
              <w:rPr>
                <w:sz w:val="20"/>
                <w:szCs w:val="20"/>
                <w:color w:val="auto"/>
              </w:rPr>
            </w:pPr>
            <w:r>
              <w:rPr>
                <w:rFonts w:ascii="Calibri" w:cs="Calibri" w:eastAsia="Calibri" w:hAnsi="Calibri"/>
                <w:sz w:val="16"/>
                <w:szCs w:val="16"/>
                <w:b w:val="1"/>
                <w:bCs w:val="1"/>
                <w:color w:val="auto"/>
                <w:w w:val="96"/>
              </w:rPr>
              <w:t>Diversity**</w:t>
            </w:r>
          </w:p>
        </w:tc>
        <w:tc>
          <w:tcPr>
            <w:tcW w:w="1540" w:type="dxa"/>
            <w:vAlign w:val="bottom"/>
          </w:tcPr>
          <w:p>
            <w:pPr>
              <w:jc w:val="center"/>
              <w:ind w:left="145"/>
              <w:spacing w:after="0"/>
              <w:rPr>
                <w:sz w:val="20"/>
                <w:szCs w:val="20"/>
                <w:color w:val="auto"/>
              </w:rPr>
            </w:pPr>
            <w:r>
              <w:rPr>
                <w:rFonts w:ascii="Calibri" w:cs="Calibri" w:eastAsia="Calibri" w:hAnsi="Calibri"/>
                <w:sz w:val="16"/>
                <w:szCs w:val="16"/>
                <w:b w:val="1"/>
                <w:bCs w:val="1"/>
                <w:color w:val="auto"/>
                <w:w w:val="97"/>
              </w:rPr>
              <w:t>Ethnic Diversity**</w:t>
            </w:r>
          </w:p>
        </w:tc>
      </w:tr>
      <w:tr>
        <w:trPr>
          <w:trHeight w:val="195"/>
        </w:trPr>
        <w:tc>
          <w:tcPr>
            <w:tcW w:w="1620" w:type="dxa"/>
            <w:vAlign w:val="bottom"/>
          </w:tcPr>
          <w:p>
            <w:pPr>
              <w:spacing w:after="0"/>
              <w:rPr>
                <w:sz w:val="16"/>
                <w:szCs w:val="16"/>
                <w:color w:val="auto"/>
              </w:rPr>
            </w:pPr>
          </w:p>
        </w:tc>
        <w:tc>
          <w:tcPr>
            <w:tcW w:w="2140" w:type="dxa"/>
            <w:vAlign w:val="bottom"/>
          </w:tcPr>
          <w:p>
            <w:pPr>
              <w:jc w:val="center"/>
              <w:ind w:left="65"/>
              <w:spacing w:after="0"/>
              <w:rPr>
                <w:sz w:val="20"/>
                <w:szCs w:val="20"/>
                <w:color w:val="auto"/>
              </w:rPr>
            </w:pPr>
            <w:r>
              <w:rPr>
                <w:rFonts w:ascii="Calibri" w:cs="Calibri" w:eastAsia="Calibri" w:hAnsi="Calibri"/>
                <w:sz w:val="16"/>
                <w:szCs w:val="16"/>
                <w:b w:val="1"/>
                <w:bCs w:val="1"/>
                <w:color w:val="auto"/>
                <w:w w:val="97"/>
              </w:rPr>
              <w:t>President and Up</w:t>
            </w:r>
          </w:p>
        </w:tc>
        <w:tc>
          <w:tcPr>
            <w:tcW w:w="21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Calibri" w:cs="Calibri" w:eastAsia="Calibri" w:hAnsi="Calibri"/>
                <w:sz w:val="16"/>
                <w:szCs w:val="16"/>
                <w:b w:val="1"/>
                <w:bCs w:val="1"/>
                <w:color w:val="auto"/>
              </w:rPr>
              <w:t>U.S. Reportng Employees</w:t>
            </w:r>
          </w:p>
        </w:tc>
        <w:tc>
          <w:tcPr>
            <w:tcW w:w="1540" w:type="dxa"/>
            <w:vAlign w:val="bottom"/>
          </w:tcPr>
          <w:p>
            <w:pPr>
              <w:jc w:val="center"/>
              <w:ind w:left="125"/>
              <w:spacing w:after="0"/>
              <w:rPr>
                <w:sz w:val="20"/>
                <w:szCs w:val="20"/>
                <w:color w:val="auto"/>
              </w:rPr>
            </w:pPr>
            <w:r>
              <w:rPr>
                <w:rFonts w:ascii="Calibri" w:cs="Calibri" w:eastAsia="Calibri" w:hAnsi="Calibri"/>
                <w:sz w:val="16"/>
                <w:szCs w:val="16"/>
                <w:b w:val="1"/>
                <w:bCs w:val="1"/>
                <w:color w:val="auto"/>
                <w:w w:val="96"/>
              </w:rPr>
              <w:t>Senior Management</w:t>
            </w:r>
          </w:p>
        </w:tc>
      </w:tr>
    </w:tbl>
    <w:p>
      <w:pPr>
        <w:spacing w:after="0" w:line="2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of December 31, 2021.</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**Any group other than White, Non-Hispanic</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***Executve Commitee and Operatng Commitee</w:t>
      </w:r>
    </w:p>
    <w:p>
      <w:pPr>
        <w:spacing w:after="0" w:line="210" w:lineRule="exact"/>
        <w:rPr>
          <w:sz w:val="20"/>
          <w:szCs w:val="20"/>
          <w:color w:val="auto"/>
        </w:rPr>
      </w:pPr>
    </w:p>
    <w:p>
      <w:pPr>
        <w:ind w:left="320" w:right="580"/>
        <w:spacing w:after="0" w:line="239" w:lineRule="auto"/>
        <w:rPr>
          <w:sz w:val="20"/>
          <w:szCs w:val="20"/>
          <w:color w:val="auto"/>
        </w:rPr>
      </w:pPr>
      <w:r>
        <w:rPr>
          <w:rFonts w:ascii="Calibri" w:cs="Calibri" w:eastAsia="Calibri" w:hAnsi="Calibri"/>
          <w:sz w:val="17"/>
          <w:szCs w:val="17"/>
          <w:color w:val="auto"/>
        </w:rPr>
        <w:t>Our DEI program is designed around three pillars: capability development, communicaton and recruitment. Key features of our DEI program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163830</wp:posOffset>
            </wp:positionV>
            <wp:extent cx="6344285" cy="3714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44285" cy="37147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080"/>
        <w:spacing w:after="0"/>
        <w:rPr>
          <w:sz w:val="20"/>
          <w:szCs w:val="20"/>
          <w:color w:val="auto"/>
        </w:rPr>
      </w:pPr>
      <w:r>
        <w:rPr>
          <w:rFonts w:ascii="Calibri" w:cs="Calibri" w:eastAsia="Calibri" w:hAnsi="Calibri"/>
          <w:sz w:val="16"/>
          <w:szCs w:val="16"/>
          <w:color w:val="auto"/>
        </w:rPr>
        <w:t>We seek to improve diversity and inclusion through ofering a blend of in-person workshops, virtual sessions, and e-learning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207010</wp:posOffset>
            </wp:positionV>
            <wp:extent cx="6344285" cy="801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344285" cy="80137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-114300</wp:posOffset>
            </wp:positionV>
            <wp:extent cx="247650" cy="156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7650" cy="156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080" w:right="200"/>
        <w:spacing w:after="0" w:line="233" w:lineRule="auto"/>
        <w:rPr>
          <w:sz w:val="20"/>
          <w:szCs w:val="20"/>
          <w:color w:val="auto"/>
        </w:rPr>
      </w:pPr>
      <w:r>
        <w:rPr>
          <w:rFonts w:ascii="Calibri" w:cs="Calibri" w:eastAsia="Calibri" w:hAnsi="Calibri"/>
          <w:sz w:val="16"/>
          <w:szCs w:val="16"/>
          <w:color w:val="auto"/>
        </w:rPr>
        <w:t>We are commited to hiring a diverse workforce and to improving diversity in our senior leadership, and include diversity equity, and inclusion among the guiding principles in our talent acquisiton, training and retenton practces.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-187960</wp:posOffset>
            </wp:positionV>
            <wp:extent cx="247650" cy="156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47650" cy="156845"/>
                    </a:xfrm>
                    <a:prstGeom prst="rect">
                      <a:avLst/>
                    </a:prstGeom>
                    <a:noFill/>
                  </pic:spPr>
                </pic:pic>
              </a:graphicData>
            </a:graphic>
          </wp:anchor>
        </w:drawing>
      </w:r>
    </w:p>
    <w:p>
      <w:pPr>
        <w:spacing w:after="0" w:line="160" w:lineRule="exact"/>
        <w:rPr>
          <w:sz w:val="20"/>
          <w:szCs w:val="20"/>
          <w:color w:val="auto"/>
        </w:rPr>
      </w:pPr>
    </w:p>
    <w:p>
      <w:pPr>
        <w:ind w:left="1080" w:right="80"/>
        <w:spacing w:after="0" w:line="233" w:lineRule="auto"/>
        <w:rPr>
          <w:sz w:val="20"/>
          <w:szCs w:val="20"/>
          <w:color w:val="auto"/>
        </w:rPr>
      </w:pPr>
      <w:r>
        <w:rPr>
          <w:rFonts w:ascii="Calibri" w:cs="Calibri" w:eastAsia="Calibri" w:hAnsi="Calibri"/>
          <w:sz w:val="16"/>
          <w:szCs w:val="16"/>
          <w:color w:val="auto"/>
        </w:rPr>
        <w:t>We expect drive greater diversity within our workforce through a combinaton of promoton within our organizaton and external hiring, accountng for any atriton of existng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182880</wp:posOffset>
            </wp:positionV>
            <wp:extent cx="6344285" cy="5949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344285" cy="59499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80" w:right="80"/>
        <w:spacing w:after="0" w:line="235" w:lineRule="auto"/>
        <w:rPr>
          <w:sz w:val="20"/>
          <w:szCs w:val="20"/>
          <w:color w:val="auto"/>
        </w:rPr>
      </w:pPr>
      <w:r>
        <w:rPr>
          <w:rFonts w:ascii="Calibri" w:cs="Calibri" w:eastAsia="Calibri" w:hAnsi="Calibri"/>
          <w:sz w:val="16"/>
          <w:szCs w:val="16"/>
          <w:color w:val="auto"/>
        </w:rPr>
        <w:t>Pay equity is an important tenet of our long-term strategy. We completed a pay equity study in 2021 through a third party consultant to review pay variatons among our employees, and identfy whether any gaps exist that are atributable to factors that are contrary to our mission of Company-wide pay equity, including gender or racial/ethnic group. Our assessments did not reveal any systematc pay inequity.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282575</wp:posOffset>
            </wp:positionV>
            <wp:extent cx="6344285" cy="1553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344285" cy="155321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-336550</wp:posOffset>
            </wp:positionV>
            <wp:extent cx="247650" cy="156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47650" cy="15684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1080" w:right="420"/>
        <w:spacing w:after="0" w:line="233" w:lineRule="auto"/>
        <w:rPr>
          <w:sz w:val="20"/>
          <w:szCs w:val="20"/>
          <w:color w:val="auto"/>
        </w:rPr>
      </w:pPr>
      <w:r>
        <w:rPr>
          <w:rFonts w:ascii="Calibri" w:cs="Calibri" w:eastAsia="Calibri" w:hAnsi="Calibri"/>
          <w:sz w:val="16"/>
          <w:szCs w:val="16"/>
          <w:color w:val="auto"/>
        </w:rPr>
        <w:t>We have several Company-wide initatves aimed at promotng diversity, equity and inclusion and leadership opportunites for our diverse employees, including several initatves that are focused specifcally on supportng and developing women at EXL: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-196215</wp:posOffset>
            </wp:positionV>
            <wp:extent cx="247650" cy="156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47650" cy="156845"/>
                    </a:xfrm>
                    <a:prstGeom prst="rect">
                      <a:avLst/>
                    </a:prstGeom>
                    <a:noFill/>
                  </pic:spPr>
                </pic:pic>
              </a:graphicData>
            </a:graphic>
          </wp:anchor>
        </w:drawing>
      </w:r>
    </w:p>
    <w:p>
      <w:pPr>
        <w:spacing w:after="0" w:line="150" w:lineRule="exact"/>
        <w:rPr>
          <w:sz w:val="20"/>
          <w:szCs w:val="20"/>
          <w:color w:val="auto"/>
        </w:rPr>
      </w:pPr>
    </w:p>
    <w:tbl>
      <w:tblPr>
        <w:tblLayout w:type="fixed"/>
        <w:tblInd w:w="960" w:type="dxa"/>
        <w:tblCellMar>
          <w:top w:w="0" w:type="dxa"/>
          <w:left w:w="0" w:type="dxa"/>
          <w:bottom w:w="0" w:type="dxa"/>
          <w:right w:w="0" w:type="dxa"/>
        </w:tblCellMar>
      </w:tblPr>
      <w:tr>
        <w:trPr>
          <w:trHeight w:val="195"/>
        </w:trPr>
        <w:tc>
          <w:tcPr>
            <w:tcW w:w="600" w:type="dxa"/>
            <w:vAlign w:val="bottom"/>
          </w:tcPr>
          <w:p>
            <w:pPr>
              <w:ind w:left="420"/>
              <w:spacing w:after="0"/>
              <w:rPr>
                <w:sz w:val="20"/>
                <w:szCs w:val="20"/>
                <w:color w:val="auto"/>
              </w:rPr>
            </w:pPr>
            <w:r>
              <w:rPr>
                <w:rFonts w:ascii="Calibri" w:cs="Calibri" w:eastAsia="Calibri" w:hAnsi="Calibri"/>
                <w:sz w:val="14"/>
                <w:szCs w:val="14"/>
                <w:color w:val="auto"/>
                <w:w w:val="76"/>
              </w:rPr>
              <w:t>• </w:t>
            </w:r>
          </w:p>
        </w:tc>
        <w:tc>
          <w:tcPr>
            <w:tcW w:w="9380" w:type="dxa"/>
            <w:vAlign w:val="bottom"/>
            <w:gridSpan w:val="2"/>
          </w:tcPr>
          <w:p>
            <w:pPr>
              <w:ind w:left="60"/>
              <w:spacing w:after="0"/>
              <w:rPr>
                <w:sz w:val="20"/>
                <w:szCs w:val="20"/>
                <w:color w:val="auto"/>
              </w:rPr>
            </w:pPr>
            <w:r>
              <w:rPr>
                <w:rFonts w:ascii="Calibri" w:cs="Calibri" w:eastAsia="Calibri" w:hAnsi="Calibri"/>
                <w:sz w:val="16"/>
                <w:szCs w:val="16"/>
                <w:color w:val="auto"/>
                <w:w w:val="97"/>
              </w:rPr>
              <w:t xml:space="preserve">   </w:t>
            </w:r>
            <w:r>
              <w:rPr>
                <w:rFonts w:ascii="Calibri" w:cs="Calibri" w:eastAsia="Calibri" w:hAnsi="Calibri"/>
                <w:sz w:val="16"/>
                <w:szCs w:val="16"/>
                <w:b w:val="1"/>
                <w:bCs w:val="1"/>
                <w:color w:val="auto"/>
                <w:w w:val="97"/>
              </w:rPr>
              <w:t>Managing Unconscious Bias Training,</w:t>
            </w:r>
            <w:r>
              <w:rPr>
                <w:rFonts w:ascii="Calibri" w:cs="Calibri" w:eastAsia="Calibri" w:hAnsi="Calibri"/>
                <w:sz w:val="16"/>
                <w:szCs w:val="16"/>
                <w:color w:val="auto"/>
                <w:w w:val="97"/>
              </w:rPr>
              <w:t xml:space="preserve"> Company-wide, mandatory training for all employees to bring awareness to and address unconscious bias</w:t>
            </w:r>
          </w:p>
        </w:tc>
      </w:tr>
      <w:tr>
        <w:trPr>
          <w:trHeight w:val="195"/>
        </w:trPr>
        <w:tc>
          <w:tcPr>
            <w:tcW w:w="600" w:type="dxa"/>
            <w:vAlign w:val="bottom"/>
          </w:tcPr>
          <w:p>
            <w:pPr>
              <w:spacing w:after="0"/>
              <w:rPr>
                <w:sz w:val="16"/>
                <w:szCs w:val="16"/>
                <w:color w:val="auto"/>
              </w:rPr>
            </w:pPr>
          </w:p>
        </w:tc>
        <w:tc>
          <w:tcPr>
            <w:tcW w:w="8420" w:type="dxa"/>
            <w:vAlign w:val="bottom"/>
          </w:tcPr>
          <w:p>
            <w:pPr>
              <w:ind w:left="140"/>
              <w:spacing w:after="0"/>
              <w:rPr>
                <w:sz w:val="20"/>
                <w:szCs w:val="20"/>
                <w:color w:val="auto"/>
              </w:rPr>
            </w:pPr>
            <w:r>
              <w:rPr>
                <w:rFonts w:ascii="Calibri" w:cs="Calibri" w:eastAsia="Calibri" w:hAnsi="Calibri"/>
                <w:sz w:val="16"/>
                <w:szCs w:val="16"/>
                <w:color w:val="auto"/>
              </w:rPr>
              <w:t>in the workplace to create a more inclusive workplace</w:t>
            </w:r>
          </w:p>
        </w:tc>
        <w:tc>
          <w:tcPr>
            <w:tcW w:w="960" w:type="dxa"/>
            <w:vAlign w:val="bottom"/>
          </w:tcPr>
          <w:p>
            <w:pPr>
              <w:spacing w:after="0"/>
              <w:rPr>
                <w:sz w:val="16"/>
                <w:szCs w:val="16"/>
                <w:color w:val="auto"/>
              </w:rPr>
            </w:pPr>
          </w:p>
        </w:tc>
      </w:tr>
      <w:tr>
        <w:trPr>
          <w:trHeight w:val="299"/>
        </w:trPr>
        <w:tc>
          <w:tcPr>
            <w:tcW w:w="600" w:type="dxa"/>
            <w:vAlign w:val="bottom"/>
          </w:tcPr>
          <w:p>
            <w:pPr>
              <w:ind w:left="420"/>
              <w:spacing w:after="0"/>
              <w:rPr>
                <w:sz w:val="20"/>
                <w:szCs w:val="20"/>
                <w:color w:val="auto"/>
              </w:rPr>
            </w:pPr>
            <w:r>
              <w:rPr>
                <w:rFonts w:ascii="Calibri" w:cs="Calibri" w:eastAsia="Calibri" w:hAnsi="Calibri"/>
                <w:sz w:val="14"/>
                <w:szCs w:val="14"/>
                <w:color w:val="auto"/>
                <w:w w:val="76"/>
              </w:rPr>
              <w:t>• </w:t>
            </w:r>
          </w:p>
        </w:tc>
        <w:tc>
          <w:tcPr>
            <w:tcW w:w="9380" w:type="dxa"/>
            <w:vAlign w:val="bottom"/>
            <w:gridSpan w:val="2"/>
          </w:tcPr>
          <w:p>
            <w:pPr>
              <w:ind w:left="60"/>
              <w:spacing w:after="0"/>
              <w:rPr>
                <w:sz w:val="20"/>
                <w:szCs w:val="20"/>
                <w:color w:val="auto"/>
              </w:rPr>
            </w:pPr>
            <w:r>
              <w:rPr>
                <w:rFonts w:ascii="Calibri" w:cs="Calibri" w:eastAsia="Calibri" w:hAnsi="Calibri"/>
                <w:sz w:val="16"/>
                <w:szCs w:val="16"/>
                <w:color w:val="auto"/>
              </w:rPr>
              <w:t xml:space="preserve">   </w:t>
            </w:r>
            <w:r>
              <w:rPr>
                <w:rFonts w:ascii="Calibri" w:cs="Calibri" w:eastAsia="Calibri" w:hAnsi="Calibri"/>
                <w:sz w:val="16"/>
                <w:szCs w:val="16"/>
                <w:b w:val="1"/>
                <w:bCs w:val="1"/>
                <w:color w:val="auto"/>
              </w:rPr>
              <w:t>Executve Women VP Development Program,</w:t>
            </w:r>
            <w:r>
              <w:rPr>
                <w:rFonts w:ascii="Calibri" w:cs="Calibri" w:eastAsia="Calibri" w:hAnsi="Calibri"/>
                <w:sz w:val="16"/>
                <w:szCs w:val="16"/>
                <w:color w:val="auto"/>
              </w:rPr>
              <w:t xml:space="preserve"> a nine-month leadership development program ofered to all of our women vice presidents in</w:t>
            </w:r>
          </w:p>
        </w:tc>
      </w:tr>
      <w:tr>
        <w:trPr>
          <w:trHeight w:val="195"/>
        </w:trPr>
        <w:tc>
          <w:tcPr>
            <w:tcW w:w="600" w:type="dxa"/>
            <w:vAlign w:val="bottom"/>
          </w:tcPr>
          <w:p>
            <w:pPr>
              <w:spacing w:after="0"/>
              <w:rPr>
                <w:sz w:val="16"/>
                <w:szCs w:val="16"/>
                <w:color w:val="auto"/>
              </w:rPr>
            </w:pPr>
          </w:p>
        </w:tc>
        <w:tc>
          <w:tcPr>
            <w:tcW w:w="9380" w:type="dxa"/>
            <w:vAlign w:val="bottom"/>
            <w:gridSpan w:val="2"/>
          </w:tcPr>
          <w:p>
            <w:pPr>
              <w:ind w:left="140"/>
              <w:spacing w:after="0"/>
              <w:rPr>
                <w:sz w:val="20"/>
                <w:szCs w:val="20"/>
                <w:color w:val="auto"/>
              </w:rPr>
            </w:pPr>
            <w:r>
              <w:rPr>
                <w:rFonts w:ascii="Calibri" w:cs="Calibri" w:eastAsia="Calibri" w:hAnsi="Calibri"/>
                <w:sz w:val="16"/>
                <w:szCs w:val="16"/>
                <w:color w:val="auto"/>
              </w:rPr>
              <w:t>2021 that includes virtual courses and workshops on executve leadership ofered through Cornell University’s eCornell platorm, coaching and</w:t>
            </w:r>
          </w:p>
        </w:tc>
      </w:tr>
      <w:tr>
        <w:trPr>
          <w:trHeight w:val="195"/>
        </w:trPr>
        <w:tc>
          <w:tcPr>
            <w:tcW w:w="600" w:type="dxa"/>
            <w:vAlign w:val="bottom"/>
          </w:tcPr>
          <w:p>
            <w:pPr>
              <w:spacing w:after="0"/>
              <w:rPr>
                <w:sz w:val="16"/>
                <w:szCs w:val="16"/>
                <w:color w:val="auto"/>
              </w:rPr>
            </w:pPr>
          </w:p>
        </w:tc>
        <w:tc>
          <w:tcPr>
            <w:tcW w:w="9380" w:type="dxa"/>
            <w:vAlign w:val="bottom"/>
            <w:gridSpan w:val="2"/>
          </w:tcPr>
          <w:p>
            <w:pPr>
              <w:ind w:left="140"/>
              <w:spacing w:after="0"/>
              <w:rPr>
                <w:sz w:val="20"/>
                <w:szCs w:val="20"/>
                <w:color w:val="auto"/>
              </w:rPr>
            </w:pPr>
            <w:r>
              <w:rPr>
                <w:rFonts w:ascii="Calibri" w:cs="Calibri" w:eastAsia="Calibri" w:hAnsi="Calibri"/>
                <w:sz w:val="16"/>
                <w:szCs w:val="16"/>
                <w:color w:val="auto"/>
              </w:rPr>
              <w:t>mentoring for strategic leadership capability development and leadership conversatons between partcipants and our executve and operatng</w:t>
            </w:r>
          </w:p>
        </w:tc>
      </w:tr>
      <w:tr>
        <w:trPr>
          <w:trHeight w:val="195"/>
        </w:trPr>
        <w:tc>
          <w:tcPr>
            <w:tcW w:w="600" w:type="dxa"/>
            <w:vAlign w:val="bottom"/>
          </w:tcPr>
          <w:p>
            <w:pPr>
              <w:spacing w:after="0"/>
              <w:rPr>
                <w:sz w:val="16"/>
                <w:szCs w:val="16"/>
                <w:color w:val="auto"/>
              </w:rPr>
            </w:pPr>
          </w:p>
        </w:tc>
        <w:tc>
          <w:tcPr>
            <w:tcW w:w="8420" w:type="dxa"/>
            <w:vAlign w:val="bottom"/>
          </w:tcPr>
          <w:p>
            <w:pPr>
              <w:ind w:left="140"/>
              <w:spacing w:after="0"/>
              <w:rPr>
                <w:sz w:val="20"/>
                <w:szCs w:val="20"/>
                <w:color w:val="auto"/>
              </w:rPr>
            </w:pPr>
            <w:r>
              <w:rPr>
                <w:rFonts w:ascii="Calibri" w:cs="Calibri" w:eastAsia="Calibri" w:hAnsi="Calibri"/>
                <w:sz w:val="16"/>
                <w:szCs w:val="16"/>
                <w:color w:val="auto"/>
              </w:rPr>
              <w:t>commitee members on DEI issues</w:t>
            </w:r>
          </w:p>
        </w:tc>
        <w:tc>
          <w:tcPr>
            <w:tcW w:w="960" w:type="dxa"/>
            <w:vAlign w:val="bottom"/>
          </w:tcPr>
          <w:p>
            <w:pPr>
              <w:spacing w:after="0"/>
              <w:rPr>
                <w:sz w:val="16"/>
                <w:szCs w:val="16"/>
                <w:color w:val="auto"/>
              </w:rPr>
            </w:pPr>
          </w:p>
        </w:tc>
      </w:tr>
      <w:tr>
        <w:trPr>
          <w:trHeight w:val="299"/>
        </w:trPr>
        <w:tc>
          <w:tcPr>
            <w:tcW w:w="600" w:type="dxa"/>
            <w:vAlign w:val="bottom"/>
          </w:tcPr>
          <w:p>
            <w:pPr>
              <w:ind w:left="420"/>
              <w:spacing w:after="0"/>
              <w:rPr>
                <w:sz w:val="20"/>
                <w:szCs w:val="20"/>
                <w:color w:val="auto"/>
              </w:rPr>
            </w:pPr>
            <w:r>
              <w:rPr>
                <w:rFonts w:ascii="Calibri" w:cs="Calibri" w:eastAsia="Calibri" w:hAnsi="Calibri"/>
                <w:sz w:val="14"/>
                <w:szCs w:val="14"/>
                <w:color w:val="auto"/>
                <w:w w:val="76"/>
              </w:rPr>
              <w:t>• </w:t>
            </w:r>
          </w:p>
        </w:tc>
        <w:tc>
          <w:tcPr>
            <w:tcW w:w="9380" w:type="dxa"/>
            <w:vAlign w:val="bottom"/>
            <w:gridSpan w:val="2"/>
          </w:tcPr>
          <w:p>
            <w:pPr>
              <w:ind w:left="60"/>
              <w:spacing w:after="0"/>
              <w:rPr>
                <w:sz w:val="20"/>
                <w:szCs w:val="20"/>
                <w:color w:val="auto"/>
              </w:rPr>
            </w:pPr>
            <w:r>
              <w:rPr>
                <w:rFonts w:ascii="Calibri" w:cs="Calibri" w:eastAsia="Calibri" w:hAnsi="Calibri"/>
                <w:sz w:val="16"/>
                <w:szCs w:val="16"/>
                <w:color w:val="auto"/>
                <w:w w:val="97"/>
              </w:rPr>
              <w:t xml:space="preserve">   </w:t>
            </w:r>
            <w:r>
              <w:rPr>
                <w:rFonts w:ascii="Calibri" w:cs="Calibri" w:eastAsia="Calibri" w:hAnsi="Calibri"/>
                <w:sz w:val="16"/>
                <w:szCs w:val="16"/>
                <w:b w:val="1"/>
                <w:bCs w:val="1"/>
                <w:color w:val="auto"/>
                <w:w w:val="97"/>
              </w:rPr>
              <w:t>Employee Resource Groups,</w:t>
            </w:r>
            <w:r>
              <w:rPr>
                <w:rFonts w:ascii="Calibri" w:cs="Calibri" w:eastAsia="Calibri" w:hAnsi="Calibri"/>
                <w:sz w:val="16"/>
                <w:szCs w:val="16"/>
                <w:color w:val="auto"/>
                <w:w w:val="97"/>
              </w:rPr>
              <w:t xml:space="preserve"> focus groups of select employee-communites aimed at supportng diverse groups and interests within the Company</w:t>
            </w:r>
          </w:p>
        </w:tc>
      </w:tr>
      <w:tr>
        <w:trPr>
          <w:trHeight w:val="157"/>
        </w:trPr>
        <w:tc>
          <w:tcPr>
            <w:tcW w:w="600" w:type="dxa"/>
            <w:vAlign w:val="bottom"/>
            <w:tcBorders>
              <w:bottom w:val="single" w:sz="8" w:color="B2B2B2"/>
            </w:tcBorders>
          </w:tcPr>
          <w:p>
            <w:pPr>
              <w:spacing w:after="0"/>
              <w:rPr>
                <w:sz w:val="13"/>
                <w:szCs w:val="13"/>
                <w:color w:val="auto"/>
              </w:rPr>
            </w:pPr>
          </w:p>
        </w:tc>
        <w:tc>
          <w:tcPr>
            <w:tcW w:w="8420" w:type="dxa"/>
            <w:vAlign w:val="bottom"/>
            <w:tcBorders>
              <w:bottom w:val="single" w:sz="8" w:color="B2B2B2"/>
            </w:tcBorders>
          </w:tcPr>
          <w:p>
            <w:pPr>
              <w:spacing w:after="0"/>
              <w:rPr>
                <w:sz w:val="13"/>
                <w:szCs w:val="13"/>
                <w:color w:val="auto"/>
              </w:rPr>
            </w:pPr>
          </w:p>
        </w:tc>
        <w:tc>
          <w:tcPr>
            <w:tcW w:w="960" w:type="dxa"/>
            <w:vAlign w:val="bottom"/>
            <w:tcBorders>
              <w:bottom w:val="single" w:sz="8" w:color="B2B2B2"/>
            </w:tcBorders>
          </w:tcPr>
          <w:p>
            <w:pPr>
              <w:spacing w:after="0"/>
              <w:rPr>
                <w:sz w:val="13"/>
                <w:szCs w:val="13"/>
                <w:color w:val="auto"/>
              </w:rPr>
            </w:pPr>
          </w:p>
        </w:tc>
      </w:tr>
      <w:tr>
        <w:trPr>
          <w:trHeight w:val="438"/>
        </w:trPr>
        <w:tc>
          <w:tcPr>
            <w:tcW w:w="600" w:type="dxa"/>
            <w:vAlign w:val="bottom"/>
          </w:tcPr>
          <w:p>
            <w:pPr>
              <w:spacing w:after="0"/>
              <w:rPr>
                <w:sz w:val="24"/>
                <w:szCs w:val="24"/>
                <w:color w:val="auto"/>
              </w:rPr>
            </w:pPr>
          </w:p>
        </w:tc>
        <w:tc>
          <w:tcPr>
            <w:tcW w:w="8420" w:type="dxa"/>
            <w:vAlign w:val="bottom"/>
          </w:tcPr>
          <w:p>
            <w:pPr>
              <w:ind w:left="6540"/>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960" w:type="dxa"/>
            <w:vAlign w:val="bottom"/>
          </w:tcPr>
          <w:p>
            <w:pPr>
              <w:jc w:val="right"/>
              <w:ind w:right="573"/>
              <w:spacing w:after="0"/>
              <w:rPr>
                <w:sz w:val="20"/>
                <w:szCs w:val="20"/>
                <w:color w:val="auto"/>
              </w:rPr>
            </w:pPr>
            <w:r>
              <w:rPr>
                <w:rFonts w:ascii="Calibri" w:cs="Calibri" w:eastAsia="Calibri" w:hAnsi="Calibri"/>
                <w:sz w:val="17"/>
                <w:szCs w:val="17"/>
                <w:b w:val="1"/>
                <w:bCs w:val="1"/>
                <w:color w:val="auto"/>
              </w:rPr>
              <w:t>49</w:t>
            </w:r>
          </w:p>
        </w:tc>
      </w:tr>
    </w:tbl>
    <w:p>
      <w:pPr>
        <w:sectPr>
          <w:pgSz w:w="11900" w:h="16838" w:orient="portrait"/>
          <w:cols w:equalWidth="0" w:num="1">
            <w:col w:w="10940"/>
          </w:cols>
          <w:pgMar w:left="320" w:top="445" w:right="6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141" w:lineRule="exact"/>
        <w:rPr>
          <w:sz w:val="20"/>
          <w:szCs w:val="20"/>
          <w:color w:val="auto"/>
        </w:rPr>
      </w:pPr>
    </w:p>
    <w:tbl>
      <w:tblPr>
        <w:tblLayout w:type="fixed"/>
        <w:tblInd w:w="970" w:type="dxa"/>
        <w:tblCellMar>
          <w:top w:w="0" w:type="dxa"/>
          <w:left w:w="0" w:type="dxa"/>
          <w:bottom w:w="0" w:type="dxa"/>
          <w:right w:w="0" w:type="dxa"/>
        </w:tblCellMar>
      </w:tblPr>
      <w:tr>
        <w:trPr>
          <w:trHeight w:val="272"/>
        </w:trPr>
        <w:tc>
          <w:tcPr>
            <w:tcW w:w="600" w:type="dxa"/>
            <w:vAlign w:val="bottom"/>
            <w:tcBorders>
              <w:top w:val="single" w:sz="8" w:color="D8D8D8"/>
              <w:left w:val="single" w:sz="8" w:color="B2B2B2"/>
            </w:tcBorders>
          </w:tcPr>
          <w:p>
            <w:pPr>
              <w:ind w:left="420"/>
              <w:spacing w:after="0"/>
              <w:rPr>
                <w:sz w:val="20"/>
                <w:szCs w:val="20"/>
                <w:color w:val="auto"/>
              </w:rPr>
            </w:pPr>
            <w:r>
              <w:rPr>
                <w:rFonts w:ascii="Calibri" w:cs="Calibri" w:eastAsia="Calibri" w:hAnsi="Calibri"/>
                <w:sz w:val="14"/>
                <w:szCs w:val="14"/>
                <w:color w:val="auto"/>
                <w:w w:val="76"/>
              </w:rPr>
              <w:t>• </w:t>
            </w:r>
          </w:p>
        </w:tc>
        <w:tc>
          <w:tcPr>
            <w:tcW w:w="9400" w:type="dxa"/>
            <w:vAlign w:val="bottom"/>
            <w:tcBorders>
              <w:top w:val="single" w:sz="8" w:color="D8D8D8"/>
              <w:right w:val="single" w:sz="8" w:color="B2B2B2"/>
            </w:tcBorders>
          </w:tcPr>
          <w:p>
            <w:pPr>
              <w:ind w:left="60"/>
              <w:spacing w:after="0"/>
              <w:rPr>
                <w:sz w:val="20"/>
                <w:szCs w:val="20"/>
                <w:color w:val="auto"/>
              </w:rPr>
            </w:pPr>
            <w:r>
              <w:rPr>
                <w:rFonts w:ascii="Calibri" w:cs="Calibri" w:eastAsia="Calibri" w:hAnsi="Calibri"/>
                <w:sz w:val="16"/>
                <w:szCs w:val="16"/>
                <w:color w:val="auto"/>
                <w:w w:val="97"/>
              </w:rPr>
              <w:t xml:space="preserve">   </w:t>
            </w:r>
            <w:r>
              <w:rPr>
                <w:rFonts w:ascii="Calibri" w:cs="Calibri" w:eastAsia="Calibri" w:hAnsi="Calibri"/>
                <w:sz w:val="16"/>
                <w:szCs w:val="16"/>
                <w:b w:val="1"/>
                <w:bCs w:val="1"/>
                <w:color w:val="auto"/>
                <w:w w:val="97"/>
              </w:rPr>
              <w:t>Diversity and Inclusion Springboard – Make your Mark,</w:t>
            </w:r>
            <w:r>
              <w:rPr>
                <w:rFonts w:ascii="Calibri" w:cs="Calibri" w:eastAsia="Calibri" w:hAnsi="Calibri"/>
                <w:sz w:val="16"/>
                <w:szCs w:val="16"/>
                <w:color w:val="auto"/>
                <w:w w:val="97"/>
              </w:rPr>
              <w:t xml:space="preserve"> a six-month certfcaton program for women at the mid- to senior-level for personal and</w:t>
            </w:r>
          </w:p>
        </w:tc>
      </w:tr>
      <w:tr>
        <w:trPr>
          <w:trHeight w:val="195"/>
        </w:trPr>
        <w:tc>
          <w:tcPr>
            <w:tcW w:w="600" w:type="dxa"/>
            <w:vAlign w:val="bottom"/>
            <w:tcBorders>
              <w:left w:val="single" w:sz="8" w:color="B2B2B2"/>
            </w:tcBorders>
          </w:tcPr>
          <w:p>
            <w:pPr>
              <w:spacing w:after="0"/>
              <w:rPr>
                <w:sz w:val="16"/>
                <w:szCs w:val="16"/>
                <w:color w:val="auto"/>
              </w:rPr>
            </w:pPr>
          </w:p>
        </w:tc>
        <w:tc>
          <w:tcPr>
            <w:tcW w:w="9400" w:type="dxa"/>
            <w:vAlign w:val="bottom"/>
            <w:tcBorders>
              <w:right w:val="single" w:sz="8" w:color="B2B2B2"/>
            </w:tcBorders>
          </w:tcPr>
          <w:p>
            <w:pPr>
              <w:ind w:left="140"/>
              <w:spacing w:after="0"/>
              <w:rPr>
                <w:sz w:val="20"/>
                <w:szCs w:val="20"/>
                <w:color w:val="auto"/>
              </w:rPr>
            </w:pPr>
            <w:r>
              <w:rPr>
                <w:rFonts w:ascii="Calibri" w:cs="Calibri" w:eastAsia="Calibri" w:hAnsi="Calibri"/>
                <w:sz w:val="16"/>
                <w:szCs w:val="16"/>
                <w:color w:val="auto"/>
              </w:rPr>
              <w:t>professional advancement</w:t>
            </w:r>
          </w:p>
        </w:tc>
      </w:tr>
      <w:tr>
        <w:trPr>
          <w:trHeight w:val="299"/>
        </w:trPr>
        <w:tc>
          <w:tcPr>
            <w:tcW w:w="600" w:type="dxa"/>
            <w:vAlign w:val="bottom"/>
            <w:tcBorders>
              <w:left w:val="single" w:sz="8" w:color="B2B2B2"/>
            </w:tcBorders>
          </w:tcPr>
          <w:p>
            <w:pPr>
              <w:ind w:left="420"/>
              <w:spacing w:after="0"/>
              <w:rPr>
                <w:sz w:val="20"/>
                <w:szCs w:val="20"/>
                <w:color w:val="auto"/>
              </w:rPr>
            </w:pPr>
            <w:r>
              <w:rPr>
                <w:rFonts w:ascii="Calibri" w:cs="Calibri" w:eastAsia="Calibri" w:hAnsi="Calibri"/>
                <w:sz w:val="14"/>
                <w:szCs w:val="14"/>
                <w:color w:val="auto"/>
                <w:w w:val="76"/>
              </w:rPr>
              <w:t>• </w:t>
            </w:r>
          </w:p>
        </w:tc>
        <w:tc>
          <w:tcPr>
            <w:tcW w:w="9400" w:type="dxa"/>
            <w:vAlign w:val="bottom"/>
            <w:tcBorders>
              <w:right w:val="single" w:sz="8" w:color="B2B2B2"/>
            </w:tcBorders>
          </w:tcPr>
          <w:p>
            <w:pPr>
              <w:ind w:left="60"/>
              <w:spacing w:after="0"/>
              <w:rPr>
                <w:sz w:val="20"/>
                <w:szCs w:val="20"/>
                <w:color w:val="auto"/>
              </w:rPr>
            </w:pPr>
            <w:r>
              <w:rPr>
                <w:rFonts w:ascii="Calibri" w:cs="Calibri" w:eastAsia="Calibri" w:hAnsi="Calibri"/>
                <w:sz w:val="16"/>
                <w:szCs w:val="16"/>
                <w:color w:val="auto"/>
              </w:rPr>
              <w:t xml:space="preserve">   </w:t>
            </w:r>
            <w:r>
              <w:rPr>
                <w:rFonts w:ascii="Calibri" w:cs="Calibri" w:eastAsia="Calibri" w:hAnsi="Calibri"/>
                <w:sz w:val="16"/>
                <w:szCs w:val="16"/>
                <w:b w:val="1"/>
                <w:bCs w:val="1"/>
                <w:color w:val="auto"/>
              </w:rPr>
              <w:t>“Super Mom,”</w:t>
            </w:r>
            <w:r>
              <w:rPr>
                <w:rFonts w:ascii="Calibri" w:cs="Calibri" w:eastAsia="Calibri" w:hAnsi="Calibri"/>
                <w:sz w:val="16"/>
                <w:szCs w:val="16"/>
                <w:color w:val="auto"/>
              </w:rPr>
              <w:t xml:space="preserve"> a program to improve retenton and engagement of new mothers through employee-friendly parental leave policies, fexible /</w:t>
            </w:r>
          </w:p>
        </w:tc>
      </w:tr>
      <w:tr>
        <w:trPr>
          <w:trHeight w:val="195"/>
        </w:trPr>
        <w:tc>
          <w:tcPr>
            <w:tcW w:w="600" w:type="dxa"/>
            <w:vAlign w:val="bottom"/>
            <w:tcBorders>
              <w:left w:val="single" w:sz="8" w:color="B2B2B2"/>
            </w:tcBorders>
          </w:tcPr>
          <w:p>
            <w:pPr>
              <w:spacing w:after="0"/>
              <w:rPr>
                <w:sz w:val="16"/>
                <w:szCs w:val="16"/>
                <w:color w:val="auto"/>
              </w:rPr>
            </w:pPr>
          </w:p>
        </w:tc>
        <w:tc>
          <w:tcPr>
            <w:tcW w:w="9400" w:type="dxa"/>
            <w:vAlign w:val="bottom"/>
            <w:tcBorders>
              <w:right w:val="single" w:sz="8" w:color="B2B2B2"/>
            </w:tcBorders>
          </w:tcPr>
          <w:p>
            <w:pPr>
              <w:ind w:left="140"/>
              <w:spacing w:after="0"/>
              <w:rPr>
                <w:sz w:val="20"/>
                <w:szCs w:val="20"/>
                <w:color w:val="auto"/>
              </w:rPr>
            </w:pPr>
            <w:r>
              <w:rPr>
                <w:rFonts w:ascii="Calibri" w:cs="Calibri" w:eastAsia="Calibri" w:hAnsi="Calibri"/>
                <w:sz w:val="16"/>
                <w:szCs w:val="16"/>
                <w:color w:val="auto"/>
              </w:rPr>
              <w:t>reduced working hours for pre- and post-maternity, reorientaton afer long leave, extended leave, nursing statons and employee care, among</w:t>
            </w:r>
          </w:p>
        </w:tc>
      </w:tr>
      <w:tr>
        <w:trPr>
          <w:trHeight w:val="195"/>
        </w:trPr>
        <w:tc>
          <w:tcPr>
            <w:tcW w:w="600" w:type="dxa"/>
            <w:vAlign w:val="bottom"/>
            <w:tcBorders>
              <w:left w:val="single" w:sz="8" w:color="B2B2B2"/>
            </w:tcBorders>
          </w:tcPr>
          <w:p>
            <w:pPr>
              <w:spacing w:after="0"/>
              <w:rPr>
                <w:sz w:val="16"/>
                <w:szCs w:val="16"/>
                <w:color w:val="auto"/>
              </w:rPr>
            </w:pPr>
          </w:p>
        </w:tc>
        <w:tc>
          <w:tcPr>
            <w:tcW w:w="9400" w:type="dxa"/>
            <w:vAlign w:val="bottom"/>
            <w:tcBorders>
              <w:right w:val="single" w:sz="8" w:color="B2B2B2"/>
            </w:tcBorders>
          </w:tcPr>
          <w:p>
            <w:pPr>
              <w:ind w:left="140"/>
              <w:spacing w:after="0"/>
              <w:rPr>
                <w:sz w:val="20"/>
                <w:szCs w:val="20"/>
                <w:color w:val="auto"/>
              </w:rPr>
            </w:pPr>
            <w:r>
              <w:rPr>
                <w:rFonts w:ascii="Calibri" w:cs="Calibri" w:eastAsia="Calibri" w:hAnsi="Calibri"/>
                <w:sz w:val="16"/>
                <w:szCs w:val="16"/>
                <w:color w:val="auto"/>
              </w:rPr>
              <w:t>others</w:t>
            </w:r>
          </w:p>
        </w:tc>
      </w:tr>
      <w:tr>
        <w:trPr>
          <w:trHeight w:val="299"/>
        </w:trPr>
        <w:tc>
          <w:tcPr>
            <w:tcW w:w="600" w:type="dxa"/>
            <w:vAlign w:val="bottom"/>
            <w:tcBorders>
              <w:left w:val="single" w:sz="8" w:color="B2B2B2"/>
            </w:tcBorders>
          </w:tcPr>
          <w:p>
            <w:pPr>
              <w:ind w:left="420"/>
              <w:spacing w:after="0"/>
              <w:rPr>
                <w:sz w:val="20"/>
                <w:szCs w:val="20"/>
                <w:color w:val="auto"/>
              </w:rPr>
            </w:pPr>
            <w:r>
              <w:rPr>
                <w:rFonts w:ascii="Calibri" w:cs="Calibri" w:eastAsia="Calibri" w:hAnsi="Calibri"/>
                <w:sz w:val="14"/>
                <w:szCs w:val="14"/>
                <w:color w:val="auto"/>
                <w:w w:val="76"/>
              </w:rPr>
              <w:t>• </w:t>
            </w:r>
          </w:p>
        </w:tc>
        <w:tc>
          <w:tcPr>
            <w:tcW w:w="9400" w:type="dxa"/>
            <w:vAlign w:val="bottom"/>
            <w:tcBorders>
              <w:right w:val="single" w:sz="8" w:color="B2B2B2"/>
            </w:tcBorders>
          </w:tcPr>
          <w:p>
            <w:pPr>
              <w:ind w:left="60"/>
              <w:spacing w:after="0"/>
              <w:rPr>
                <w:sz w:val="20"/>
                <w:szCs w:val="20"/>
                <w:color w:val="auto"/>
              </w:rPr>
            </w:pPr>
            <w:r>
              <w:rPr>
                <w:rFonts w:ascii="Calibri" w:cs="Calibri" w:eastAsia="Calibri" w:hAnsi="Calibri"/>
                <w:sz w:val="16"/>
                <w:szCs w:val="16"/>
                <w:color w:val="auto"/>
                <w:w w:val="99"/>
              </w:rPr>
              <w:t xml:space="preserve">   </w:t>
            </w:r>
            <w:r>
              <w:rPr>
                <w:rFonts w:ascii="Calibri" w:cs="Calibri" w:eastAsia="Calibri" w:hAnsi="Calibri"/>
                <w:sz w:val="16"/>
                <w:szCs w:val="16"/>
                <w:b w:val="1"/>
                <w:bCs w:val="1"/>
                <w:color w:val="auto"/>
                <w:w w:val="99"/>
              </w:rPr>
              <w:t>WE (Women at EXL),</w:t>
            </w:r>
            <w:r>
              <w:rPr>
                <w:rFonts w:ascii="Calibri" w:cs="Calibri" w:eastAsia="Calibri" w:hAnsi="Calibri"/>
                <w:sz w:val="16"/>
                <w:szCs w:val="16"/>
                <w:color w:val="auto"/>
                <w:w w:val="99"/>
              </w:rPr>
              <w:t xml:space="preserve"> a platorm with initatves such as Employee Resource Groups, a mentoring program (WE NURTURE), inner circles, women</w:t>
            </w:r>
          </w:p>
        </w:tc>
      </w:tr>
      <w:tr>
        <w:trPr>
          <w:trHeight w:val="195"/>
        </w:trPr>
        <w:tc>
          <w:tcPr>
            <w:tcW w:w="600" w:type="dxa"/>
            <w:vAlign w:val="bottom"/>
            <w:tcBorders>
              <w:left w:val="single" w:sz="8" w:color="B2B2B2"/>
            </w:tcBorders>
          </w:tcPr>
          <w:p>
            <w:pPr>
              <w:spacing w:after="0"/>
              <w:rPr>
                <w:sz w:val="16"/>
                <w:szCs w:val="16"/>
                <w:color w:val="auto"/>
              </w:rPr>
            </w:pPr>
          </w:p>
        </w:tc>
        <w:tc>
          <w:tcPr>
            <w:tcW w:w="9400" w:type="dxa"/>
            <w:vAlign w:val="bottom"/>
            <w:tcBorders>
              <w:right w:val="single" w:sz="8" w:color="B2B2B2"/>
            </w:tcBorders>
          </w:tcPr>
          <w:p>
            <w:pPr>
              <w:ind w:left="140"/>
              <w:spacing w:after="0"/>
              <w:rPr>
                <w:sz w:val="20"/>
                <w:szCs w:val="20"/>
                <w:color w:val="auto"/>
              </w:rPr>
            </w:pPr>
            <w:r>
              <w:rPr>
                <w:rFonts w:ascii="Calibri" w:cs="Calibri" w:eastAsia="Calibri" w:hAnsi="Calibri"/>
                <w:sz w:val="16"/>
                <w:szCs w:val="16"/>
                <w:color w:val="auto"/>
              </w:rPr>
              <w:t>back to work, web chat series and face-to-face talks</w:t>
            </w:r>
          </w:p>
        </w:tc>
      </w:tr>
      <w:tr>
        <w:trPr>
          <w:trHeight w:val="299"/>
        </w:trPr>
        <w:tc>
          <w:tcPr>
            <w:tcW w:w="600" w:type="dxa"/>
            <w:vAlign w:val="bottom"/>
            <w:tcBorders>
              <w:left w:val="single" w:sz="8" w:color="B2B2B2"/>
            </w:tcBorders>
          </w:tcPr>
          <w:p>
            <w:pPr>
              <w:ind w:left="420"/>
              <w:spacing w:after="0"/>
              <w:rPr>
                <w:sz w:val="20"/>
                <w:szCs w:val="20"/>
                <w:color w:val="auto"/>
              </w:rPr>
            </w:pPr>
            <w:r>
              <w:rPr>
                <w:rFonts w:ascii="Calibri" w:cs="Calibri" w:eastAsia="Calibri" w:hAnsi="Calibri"/>
                <w:sz w:val="14"/>
                <w:szCs w:val="14"/>
                <w:color w:val="auto"/>
                <w:w w:val="76"/>
              </w:rPr>
              <w:t>• </w:t>
            </w:r>
          </w:p>
        </w:tc>
        <w:tc>
          <w:tcPr>
            <w:tcW w:w="9400" w:type="dxa"/>
            <w:vAlign w:val="bottom"/>
            <w:tcBorders>
              <w:right w:val="single" w:sz="8" w:color="B2B2B2"/>
            </w:tcBorders>
          </w:tcPr>
          <w:p>
            <w:pPr>
              <w:ind w:left="60"/>
              <w:spacing w:after="0"/>
              <w:rPr>
                <w:sz w:val="20"/>
                <w:szCs w:val="20"/>
                <w:color w:val="auto"/>
              </w:rPr>
            </w:pPr>
            <w:r>
              <w:rPr>
                <w:rFonts w:ascii="Calibri" w:cs="Calibri" w:eastAsia="Calibri" w:hAnsi="Calibri"/>
                <w:sz w:val="16"/>
                <w:szCs w:val="16"/>
                <w:color w:val="auto"/>
              </w:rPr>
              <w:t xml:space="preserve">   In 2021 we </w:t>
            </w:r>
            <w:r>
              <w:rPr>
                <w:rFonts w:ascii="Calibri" w:cs="Calibri" w:eastAsia="Calibri" w:hAnsi="Calibri"/>
                <w:sz w:val="16"/>
                <w:szCs w:val="16"/>
                <w:b w:val="1"/>
                <w:bCs w:val="1"/>
                <w:color w:val="auto"/>
              </w:rPr>
              <w:t>expanded our U.S. paid parental leave</w:t>
            </w:r>
            <w:r>
              <w:rPr>
                <w:rFonts w:ascii="Calibri" w:cs="Calibri" w:eastAsia="Calibri" w:hAnsi="Calibri"/>
                <w:sz w:val="16"/>
                <w:szCs w:val="16"/>
                <w:color w:val="auto"/>
              </w:rPr>
              <w:t xml:space="preserve"> beneft</w:t>
            </w:r>
          </w:p>
        </w:tc>
      </w:tr>
      <w:tr>
        <w:trPr>
          <w:trHeight w:val="118"/>
        </w:trPr>
        <w:tc>
          <w:tcPr>
            <w:tcW w:w="600" w:type="dxa"/>
            <w:vAlign w:val="bottom"/>
            <w:tcBorders>
              <w:left w:val="single" w:sz="8" w:color="B2B2B2"/>
              <w:bottom w:val="single" w:sz="8" w:color="B2B2B2"/>
            </w:tcBorders>
          </w:tcPr>
          <w:p>
            <w:pPr>
              <w:spacing w:after="0"/>
              <w:rPr>
                <w:sz w:val="10"/>
                <w:szCs w:val="10"/>
                <w:color w:val="auto"/>
              </w:rPr>
            </w:pPr>
          </w:p>
        </w:tc>
        <w:tc>
          <w:tcPr>
            <w:tcW w:w="9400" w:type="dxa"/>
            <w:vAlign w:val="bottom"/>
            <w:tcBorders>
              <w:bottom w:val="single" w:sz="8" w:color="B2B2B2"/>
              <w:right w:val="single" w:sz="8" w:color="B2B2B2"/>
            </w:tcBorders>
          </w:tcPr>
          <w:p>
            <w:pPr>
              <w:spacing w:after="0"/>
              <w:rPr>
                <w:sz w:val="10"/>
                <w:szCs w:val="10"/>
                <w:color w:val="auto"/>
              </w:rPr>
            </w:pPr>
          </w:p>
        </w:tc>
      </w:tr>
    </w:tbl>
    <w:p>
      <w:pPr>
        <w:spacing w:after="0" w:line="28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Talent recruitment, development and retenton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168910</wp:posOffset>
            </wp:positionV>
            <wp:extent cx="6848475" cy="1833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48475" cy="1833880"/>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auto"/>
        </w:rPr>
        <w:t>Talent-frst</w:t>
      </w:r>
    </w:p>
    <w:p>
      <w:pPr>
        <w:spacing w:after="0" w:line="1" w:lineRule="exact"/>
        <w:rPr>
          <w:sz w:val="20"/>
          <w:szCs w:val="20"/>
          <w:color w:val="auto"/>
        </w:rPr>
      </w:pPr>
    </w:p>
    <w:p>
      <w:pPr>
        <w:ind w:left="540"/>
        <w:spacing w:after="0"/>
        <w:rPr>
          <w:sz w:val="20"/>
          <w:szCs w:val="20"/>
          <w:color w:val="auto"/>
        </w:rPr>
      </w:pPr>
      <w:r>
        <w:rPr>
          <w:rFonts w:ascii="Calibri" w:cs="Calibri" w:eastAsia="Calibri" w:hAnsi="Calibri"/>
          <w:sz w:val="17"/>
          <w:szCs w:val="17"/>
          <w:b w:val="1"/>
          <w:bCs w:val="1"/>
          <w:color w:val="auto"/>
        </w:rPr>
        <w:t>mindset</w:t>
      </w:r>
    </w:p>
    <w:p>
      <w:pPr>
        <w:spacing w:after="0" w:line="314" w:lineRule="exact"/>
        <w:rPr>
          <w:sz w:val="20"/>
          <w:szCs w:val="20"/>
          <w:color w:val="auto"/>
        </w:rPr>
      </w:pPr>
    </w:p>
    <w:p>
      <w:pPr>
        <w:ind w:left="540"/>
        <w:spacing w:after="0"/>
        <w:rPr>
          <w:sz w:val="20"/>
          <w:szCs w:val="20"/>
          <w:color w:val="auto"/>
        </w:rPr>
      </w:pPr>
      <w:r>
        <w:rPr>
          <w:rFonts w:ascii="Calibri" w:cs="Calibri" w:eastAsia="Calibri" w:hAnsi="Calibri"/>
          <w:sz w:val="17"/>
          <w:szCs w:val="17"/>
          <w:color w:val="auto"/>
        </w:rPr>
        <w:t>We view talent as a diferentator for our Company’s compettve advantage and, under the leadership of our board of directors and senior executves, are commited to a talent-frst mindset.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Integrated talent</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management</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framework</w:t>
      </w:r>
    </w:p>
    <w:p>
      <w:pPr>
        <w:spacing w:after="0" w:line="249" w:lineRule="exact"/>
        <w:rPr>
          <w:sz w:val="20"/>
          <w:szCs w:val="20"/>
          <w:color w:val="auto"/>
        </w:rPr>
      </w:pPr>
    </w:p>
    <w:p>
      <w:pPr>
        <w:spacing w:after="0"/>
        <w:rPr>
          <w:sz w:val="20"/>
          <w:szCs w:val="20"/>
          <w:color w:val="auto"/>
        </w:rPr>
      </w:pPr>
      <w:r>
        <w:rPr>
          <w:rFonts w:ascii="Calibri" w:cs="Calibri" w:eastAsia="Calibri" w:hAnsi="Calibri"/>
          <w:sz w:val="17"/>
          <w:szCs w:val="17"/>
          <w:color w:val="auto"/>
        </w:rPr>
        <w:t>We maintain an integrated talent management framework, employing actve collaboraton between our recruitment, capability development and human resource functons.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-1918335</wp:posOffset>
            </wp:positionH>
            <wp:positionV relativeFrom="paragraph">
              <wp:posOffset>280035</wp:posOffset>
            </wp:positionV>
            <wp:extent cx="6848475" cy="1238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48475" cy="123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0"/>
        <w:spacing w:after="0" w:line="239" w:lineRule="auto"/>
        <w:rPr>
          <w:sz w:val="20"/>
          <w:szCs w:val="20"/>
          <w:color w:val="auto"/>
        </w:rPr>
      </w:pPr>
      <w:r>
        <w:rPr>
          <w:rFonts w:ascii="Calibri" w:cs="Calibri" w:eastAsia="Calibri" w:hAnsi="Calibri"/>
          <w:sz w:val="17"/>
          <w:szCs w:val="17"/>
          <w:b w:val="1"/>
          <w:bCs w:val="1"/>
          <w:color w:val="auto"/>
        </w:rPr>
        <w:t>Actve role for senior leadership</w:t>
      </w:r>
    </w:p>
    <w:p>
      <w:pPr>
        <w:spacing w:after="0" w:line="315" w:lineRule="exact"/>
        <w:rPr>
          <w:sz w:val="20"/>
          <w:szCs w:val="20"/>
          <w:color w:val="auto"/>
        </w:rPr>
      </w:pPr>
    </w:p>
    <w:p>
      <w:pPr>
        <w:spacing w:after="0"/>
        <w:rPr>
          <w:sz w:val="20"/>
          <w:szCs w:val="20"/>
          <w:color w:val="auto"/>
        </w:rPr>
      </w:pPr>
      <w:r>
        <w:rPr>
          <w:rFonts w:ascii="Calibri" w:cs="Calibri" w:eastAsia="Calibri" w:hAnsi="Calibri"/>
          <w:sz w:val="17"/>
          <w:szCs w:val="17"/>
          <w:color w:val="auto"/>
        </w:rPr>
        <w:t>Our senior leadership team and board of directors play a critcal role in defning our talent priorites to align with our strategic vision for each of our business units, as well as with our clients’ priorites.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60"/>
        <w:spacing w:after="0" w:line="239" w:lineRule="auto"/>
        <w:rPr>
          <w:sz w:val="20"/>
          <w:szCs w:val="20"/>
          <w:color w:val="auto"/>
        </w:rPr>
      </w:pPr>
      <w:r>
        <w:rPr>
          <w:rFonts w:ascii="Calibri" w:cs="Calibri" w:eastAsia="Calibri" w:hAnsi="Calibri"/>
          <w:sz w:val="17"/>
          <w:szCs w:val="17"/>
          <w:b w:val="1"/>
          <w:bCs w:val="1"/>
          <w:color w:val="auto"/>
        </w:rPr>
        <w:t>Contnuous employee development</w:t>
      </w:r>
    </w:p>
    <w:p>
      <w:pPr>
        <w:spacing w:after="0" w:line="315" w:lineRule="exact"/>
        <w:rPr>
          <w:sz w:val="20"/>
          <w:szCs w:val="20"/>
          <w:color w:val="auto"/>
        </w:rPr>
      </w:pPr>
    </w:p>
    <w:p>
      <w:pPr>
        <w:ind w:right="180"/>
        <w:spacing w:after="0"/>
        <w:rPr>
          <w:sz w:val="20"/>
          <w:szCs w:val="20"/>
          <w:color w:val="auto"/>
        </w:rPr>
      </w:pPr>
      <w:r>
        <w:rPr>
          <w:rFonts w:ascii="Calibri" w:cs="Calibri" w:eastAsia="Calibri" w:hAnsi="Calibri"/>
          <w:sz w:val="17"/>
          <w:szCs w:val="17"/>
          <w:color w:val="auto"/>
        </w:rPr>
        <w:t>We focus contnuously developing our employees through our rigorous promoton standards, client and industry-specifc training and compettve compensaton packages that include incentve- based compensaton.</w:t>
      </w:r>
    </w:p>
    <w:p>
      <w:pPr>
        <w:spacing w:after="0" w:line="200" w:lineRule="exact"/>
        <w:rPr>
          <w:sz w:val="20"/>
          <w:szCs w:val="20"/>
          <w:color w:val="auto"/>
        </w:rPr>
      </w:pPr>
    </w:p>
    <w:p>
      <w:pPr>
        <w:sectPr>
          <w:pgSz w:w="11900" w:h="16838" w:orient="portrait"/>
          <w:cols w:equalWidth="0" w:num="4">
            <w:col w:w="3060" w:space="200"/>
            <w:col w:w="2440" w:space="200"/>
            <w:col w:w="2460" w:space="180"/>
            <w:col w:w="2400"/>
          </w:cols>
          <w:pgMar w:left="320" w:top="445" w:right="6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ind w:left="320" w:right="480"/>
        <w:spacing w:after="0" w:line="268" w:lineRule="auto"/>
        <w:rPr>
          <w:sz w:val="20"/>
          <w:szCs w:val="20"/>
          <w:color w:val="auto"/>
        </w:rPr>
      </w:pPr>
      <w:r>
        <w:rPr>
          <w:rFonts w:ascii="Calibri" w:cs="Calibri" w:eastAsia="Calibri" w:hAnsi="Calibri"/>
          <w:sz w:val="16"/>
          <w:szCs w:val="16"/>
          <w:color w:val="auto"/>
        </w:rPr>
        <w:t>We consider EXL to be a “learning” company, and promote a strong self-learning culture. We have insttutonalized a comprehensive set of practces, processes and programs to create an actve learning culture and to proactvely build market-relevant talent within our Company in four stages:</w:t>
      </w:r>
    </w:p>
    <w:p>
      <w:pPr>
        <w:spacing w:after="0" w:line="330" w:lineRule="exact"/>
        <w:rPr>
          <w:sz w:val="20"/>
          <w:szCs w:val="20"/>
          <w:color w:val="auto"/>
        </w:rPr>
      </w:pPr>
    </w:p>
    <w:p>
      <w:pPr>
        <w:ind w:left="1140" w:hanging="407"/>
        <w:spacing w:after="0"/>
        <w:tabs>
          <w:tab w:leader="none" w:pos="1140" w:val="left"/>
        </w:tabs>
        <w:numPr>
          <w:ilvl w:val="0"/>
          <w:numId w:val="17"/>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Prejoining: </w:t>
      </w:r>
      <w:r>
        <w:rPr>
          <w:rFonts w:ascii="Calibri" w:cs="Calibri" w:eastAsia="Calibri" w:hAnsi="Calibri"/>
          <w:sz w:val="17"/>
          <w:szCs w:val="17"/>
          <w:color w:val="auto"/>
        </w:rPr>
        <w:t>Assessments, development on online learning platorms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7"/>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Onboarding: </w:t>
      </w:r>
      <w:r>
        <w:rPr>
          <w:rFonts w:ascii="Calibri" w:cs="Calibri" w:eastAsia="Calibri" w:hAnsi="Calibri"/>
          <w:sz w:val="17"/>
          <w:szCs w:val="17"/>
          <w:color w:val="auto"/>
        </w:rPr>
        <w:t>Company orientaton, trainings and informal team meetngs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7"/>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Job readiness: </w:t>
      </w:r>
      <w:r>
        <w:rPr>
          <w:rFonts w:ascii="Calibri" w:cs="Calibri" w:eastAsia="Calibri" w:hAnsi="Calibri"/>
          <w:sz w:val="17"/>
          <w:szCs w:val="17"/>
          <w:color w:val="auto"/>
        </w:rPr>
        <w:t>Educaton on client processes, tools and technologies, communicaton efectveness and cultural sensitvity</w:t>
      </w:r>
    </w:p>
    <w:p>
      <w:pPr>
        <w:spacing w:after="0" w:line="119" w:lineRule="exact"/>
        <w:rPr>
          <w:rFonts w:ascii="Calibri" w:cs="Calibri" w:eastAsia="Calibri" w:hAnsi="Calibri"/>
          <w:sz w:val="17"/>
          <w:szCs w:val="17"/>
          <w:color w:val="auto"/>
        </w:rPr>
      </w:pPr>
    </w:p>
    <w:p>
      <w:pPr>
        <w:ind w:left="1140" w:right="200" w:hanging="407"/>
        <w:spacing w:after="0" w:line="239" w:lineRule="auto"/>
        <w:tabs>
          <w:tab w:leader="none" w:pos="1140" w:val="left"/>
        </w:tabs>
        <w:numPr>
          <w:ilvl w:val="0"/>
          <w:numId w:val="17"/>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Ongoing development: </w:t>
      </w:r>
      <w:r>
        <w:rPr>
          <w:rFonts w:ascii="Calibri" w:cs="Calibri" w:eastAsia="Calibri" w:hAnsi="Calibri"/>
          <w:sz w:val="17"/>
          <w:szCs w:val="17"/>
          <w:color w:val="auto"/>
        </w:rPr>
        <w:t>Contnued formal learning actvites, on the job, supervisor feedback and coaching, regular talent reviews and talent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inventory succession, leadership training to identfy and develop new leaders</w:t>
      </w:r>
    </w:p>
    <w:p>
      <w:pPr>
        <w:spacing w:after="0" w:line="107"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Our capability development framework is focused on developing our employees’ digital and domain expertse and leadership as a means to develop our talent internally. We do this through our learning academies, and through partnerships with industry organizatons, insttutes, business schools and consultng frms. In 2021, we contnued to use our capability ecosystem that permits our employees to engage in self-directed learning by partcipatng in collaboratve trainings that are personalized to their interests and positons and are delivered virtually from any locaton, at any tme.</w:t>
      </w:r>
    </w:p>
    <w:p>
      <w:pPr>
        <w:spacing w:after="0" w:line="127"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50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Sustainability</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Academies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168910</wp:posOffset>
            </wp:positionV>
            <wp:extent cx="5815330" cy="13881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15330" cy="138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2021 Training</w:t>
      </w:r>
    </w:p>
    <w:p>
      <w:pPr>
        <w:spacing w:after="0" w:line="127" w:lineRule="exact"/>
        <w:rPr>
          <w:sz w:val="20"/>
          <w:szCs w:val="20"/>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31,400+ </w:t>
      </w:r>
      <w:r>
        <w:rPr>
          <w:rFonts w:ascii="Calibri" w:cs="Calibri" w:eastAsia="Calibri" w:hAnsi="Calibri"/>
          <w:sz w:val="17"/>
          <w:szCs w:val="17"/>
          <w:color w:val="auto"/>
        </w:rPr>
        <w:t>employees completed one or more trainings in digital, domain, functonal and/or leadership capabilites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27,200+ </w:t>
      </w:r>
      <w:r>
        <w:rPr>
          <w:rFonts w:ascii="Calibri" w:cs="Calibri" w:eastAsia="Calibri" w:hAnsi="Calibri"/>
          <w:sz w:val="17"/>
          <w:szCs w:val="17"/>
          <w:color w:val="auto"/>
        </w:rPr>
        <w:t>employees trained in digital methodologies and domain capabilites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570,800+ </w:t>
      </w:r>
      <w:r>
        <w:rPr>
          <w:rFonts w:ascii="Calibri" w:cs="Calibri" w:eastAsia="Calibri" w:hAnsi="Calibri"/>
          <w:sz w:val="17"/>
          <w:szCs w:val="17"/>
          <w:color w:val="auto"/>
        </w:rPr>
        <w:t>learning hours invested by our employees on their professional development</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15.1 hours </w:t>
      </w:r>
      <w:r>
        <w:rPr>
          <w:rFonts w:ascii="Calibri" w:cs="Calibri" w:eastAsia="Calibri" w:hAnsi="Calibri"/>
          <w:sz w:val="17"/>
          <w:szCs w:val="17"/>
          <w:color w:val="auto"/>
        </w:rPr>
        <w:t>average tme per employee spent on reskilling for critcal digital, domain, functonal and leadership capabilites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219,350+ </w:t>
      </w:r>
      <w:r>
        <w:rPr>
          <w:rFonts w:ascii="Calibri" w:cs="Calibri" w:eastAsia="Calibri" w:hAnsi="Calibri"/>
          <w:sz w:val="17"/>
          <w:szCs w:val="17"/>
          <w:color w:val="auto"/>
        </w:rPr>
        <w:t>courses and certfcatons completed by our employees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1,000+ </w:t>
      </w:r>
      <w:r>
        <w:rPr>
          <w:rFonts w:ascii="Calibri" w:cs="Calibri" w:eastAsia="Calibri" w:hAnsi="Calibri"/>
          <w:sz w:val="17"/>
          <w:szCs w:val="17"/>
          <w:color w:val="auto"/>
        </w:rPr>
        <w:t>managers trained and certfed in “Leading in a virtual environment”</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1,100+ </w:t>
      </w:r>
      <w:r>
        <w:rPr>
          <w:rFonts w:ascii="Calibri" w:cs="Calibri" w:eastAsia="Calibri" w:hAnsi="Calibri"/>
          <w:sz w:val="17"/>
          <w:szCs w:val="17"/>
          <w:color w:val="auto"/>
        </w:rPr>
        <w:t>employees partcipated in the “Be the Leader who maters” leadership program</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1,400+ </w:t>
      </w:r>
      <w:r>
        <w:rPr>
          <w:rFonts w:ascii="Calibri" w:cs="Calibri" w:eastAsia="Calibri" w:hAnsi="Calibri"/>
          <w:sz w:val="17"/>
          <w:szCs w:val="17"/>
          <w:color w:val="auto"/>
        </w:rPr>
        <w:t>managers partcipated in a leadership course ttled “Why should anyone be led by you”</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17.2 </w:t>
      </w:r>
      <w:r>
        <w:rPr>
          <w:rFonts w:ascii="Calibri" w:cs="Calibri" w:eastAsia="Calibri" w:hAnsi="Calibri"/>
          <w:sz w:val="17"/>
          <w:szCs w:val="17"/>
          <w:color w:val="auto"/>
        </w:rPr>
        <w:t>training hours completed by 80% of our employees on the digital ecosystem</w:t>
      </w:r>
    </w:p>
    <w:p>
      <w:pPr>
        <w:spacing w:after="0" w:line="119" w:lineRule="exact"/>
        <w:rPr>
          <w:rFonts w:ascii="Calibri" w:cs="Calibri" w:eastAsia="Calibri" w:hAnsi="Calibri"/>
          <w:sz w:val="17"/>
          <w:szCs w:val="17"/>
          <w:color w:val="auto"/>
        </w:rPr>
      </w:pPr>
    </w:p>
    <w:p>
      <w:pPr>
        <w:ind w:left="1140" w:right="820" w:hanging="407"/>
        <w:spacing w:after="0" w:line="239" w:lineRule="auto"/>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3,200+ </w:t>
      </w:r>
      <w:r>
        <w:rPr>
          <w:rFonts w:ascii="Calibri" w:cs="Calibri" w:eastAsia="Calibri" w:hAnsi="Calibri"/>
          <w:sz w:val="17"/>
          <w:szCs w:val="17"/>
          <w:color w:val="auto"/>
        </w:rPr>
        <w:t>specializatons in cloud, analytcs, artfcial intelligence soluton architecture, product &amp; data management, and other digital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technologies/methodologies.</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100+ Vice Presidents </w:t>
      </w:r>
      <w:r>
        <w:rPr>
          <w:rFonts w:ascii="Calibri" w:cs="Calibri" w:eastAsia="Calibri" w:hAnsi="Calibri"/>
          <w:sz w:val="17"/>
          <w:szCs w:val="17"/>
          <w:color w:val="auto"/>
        </w:rPr>
        <w:t>completed an artfcial intelligence masterclass learning series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6,200+ </w:t>
      </w:r>
      <w:r>
        <w:rPr>
          <w:rFonts w:ascii="Calibri" w:cs="Calibri" w:eastAsia="Calibri" w:hAnsi="Calibri"/>
          <w:sz w:val="17"/>
          <w:szCs w:val="17"/>
          <w:color w:val="auto"/>
        </w:rPr>
        <w:t>employees trained in domain capabilites across industry vertcals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1,581 </w:t>
      </w:r>
      <w:r>
        <w:rPr>
          <w:rFonts w:ascii="Calibri" w:cs="Calibri" w:eastAsia="Calibri" w:hAnsi="Calibri"/>
          <w:sz w:val="17"/>
          <w:szCs w:val="17"/>
          <w:color w:val="auto"/>
        </w:rPr>
        <w:t>analysts trained in using analytcs tools and technologies (data visualizaton, artfcial intelligence, data science)</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2,481 </w:t>
      </w:r>
      <w:r>
        <w:rPr>
          <w:rFonts w:ascii="Calibri" w:cs="Calibri" w:eastAsia="Calibri" w:hAnsi="Calibri"/>
          <w:sz w:val="17"/>
          <w:szCs w:val="17"/>
          <w:color w:val="auto"/>
        </w:rPr>
        <w:t>employees trained in agile and design thinking</w:t>
      </w:r>
    </w:p>
    <w:p>
      <w:pPr>
        <w:spacing w:after="0" w:line="119" w:lineRule="exact"/>
        <w:rPr>
          <w:rFonts w:ascii="Calibri" w:cs="Calibri" w:eastAsia="Calibri" w:hAnsi="Calibri"/>
          <w:sz w:val="17"/>
          <w:szCs w:val="17"/>
          <w:color w:val="auto"/>
        </w:rPr>
      </w:pPr>
    </w:p>
    <w:p>
      <w:pPr>
        <w:ind w:left="1140" w:right="60" w:hanging="407"/>
        <w:spacing w:after="0" w:line="239" w:lineRule="auto"/>
        <w:tabs>
          <w:tab w:leader="none" w:pos="1140" w:val="left"/>
        </w:tabs>
        <w:numPr>
          <w:ilvl w:val="0"/>
          <w:numId w:val="18"/>
        </w:numPr>
        <w:rPr>
          <w:rFonts w:ascii="Calibri" w:cs="Calibri" w:eastAsia="Calibri" w:hAnsi="Calibri"/>
          <w:sz w:val="17"/>
          <w:szCs w:val="17"/>
          <w:color w:val="auto"/>
        </w:rPr>
      </w:pPr>
      <w:r>
        <w:rPr>
          <w:rFonts w:ascii="Calibri" w:cs="Calibri" w:eastAsia="Calibri" w:hAnsi="Calibri"/>
          <w:sz w:val="17"/>
          <w:szCs w:val="17"/>
          <w:color w:val="auto"/>
        </w:rPr>
        <w:t>Some of our employees, including some of our managers, have partcipated in other trainings (including one ttled “Leading high-performance teams”) and received certfcatons such as the CX transformaton professional certfcaton.</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Employee engagement and communicaton</w:t>
      </w:r>
    </w:p>
    <w:p>
      <w:pPr>
        <w:spacing w:after="0" w:line="1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consider communicaton and engagement with our more than 39,000 employees distributed throughout more than 50 ofces worldwide to be important to our ability to promote our ONE EXL culture that prioritzes inclusivity and collaboraton. This was especially true in 2021, when 93% of our employees worked remotely. We contnued to rely on, and improve, our digital communicaton and collaboraton platorms and mult-channel approach to keeping our employees informed that we built out in 2020</w:t>
      </w:r>
    </w:p>
    <w:p>
      <w:pPr>
        <w:spacing w:after="0" w:line="127"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51</w:t>
            </w:r>
          </w:p>
        </w:tc>
      </w:tr>
    </w:tbl>
    <w:p>
      <w:pPr>
        <w:sectPr>
          <w:pgSz w:w="11900" w:h="16838" w:orient="portrait"/>
          <w:cols w:equalWidth="0" w:num="1">
            <w:col w:w="10940"/>
          </w:cols>
          <w:pgMar w:left="320" w:top="445"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140"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in response to COVID-19, including virtual town halls on leadership and employee-wide levels and using EXL Social, our app-based employee-exclusive communicatons platorm to provide comprehensive informaton and updates on status, actons and key decisions.</w:t>
      </w:r>
    </w:p>
    <w:p>
      <w:pPr>
        <w:spacing w:after="0" w:line="107"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We also conducted confdental digital employee engagement surveys in 2021, with more than 90% partcipaton among our employees. These surveys included questons relatng to remote work productvity and support, manager support, career growth and overall employee satsfacton and engagement. The results of these surveys were shared with management by business unit and geography.</w:t>
      </w:r>
    </w:p>
    <w:p>
      <w:pPr>
        <w:spacing w:after="0" w:line="30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Benefts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276225</wp:posOffset>
            </wp:positionV>
            <wp:extent cx="222885" cy="2228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Enhanced leave for employees impacted by COVID-19 and for employees receiving COVID-19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171450</wp:posOffset>
            </wp:positionV>
            <wp:extent cx="222885" cy="2146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93"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Paid leave for new parents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163195</wp:posOffset>
            </wp:positionV>
            <wp:extent cx="222885" cy="2311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22885" cy="231140"/>
                    </a:xfrm>
                    <a:prstGeom prst="rect">
                      <a:avLst/>
                    </a:prstGeom>
                    <a:noFill/>
                  </pic:spPr>
                </pic:pic>
              </a:graphicData>
            </a:graphic>
          </wp:anchor>
        </w:drawing>
      </w:r>
    </w:p>
    <w:p>
      <w:pPr>
        <w:spacing w:after="0" w:line="293"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Excused days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171450</wp:posOffset>
            </wp:positionV>
            <wp:extent cx="222885" cy="2393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22885" cy="239395"/>
                    </a:xfrm>
                    <a:prstGeom prst="rect">
                      <a:avLst/>
                    </a:prstGeom>
                    <a:noFill/>
                  </pic:spPr>
                </pic:pic>
              </a:graphicData>
            </a:graphic>
          </wp:anchor>
        </w:drawing>
      </w:r>
    </w:p>
    <w:p>
      <w:pPr>
        <w:spacing w:after="0" w:line="306"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Generous vacaton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179705</wp:posOffset>
            </wp:positionV>
            <wp:extent cx="222885" cy="165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22885" cy="165100"/>
                    </a:xfrm>
                    <a:prstGeom prst="rect">
                      <a:avLst/>
                    </a:prstGeom>
                    <a:noFill/>
                  </pic:spPr>
                </pic:pic>
              </a:graphicData>
            </a:graphic>
          </wp:anchor>
        </w:drawing>
      </w:r>
    </w:p>
    <w:p>
      <w:pPr>
        <w:spacing w:after="0" w:line="267"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Paid holidays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138430</wp:posOffset>
            </wp:positionV>
            <wp:extent cx="206375" cy="255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06375" cy="255905"/>
                    </a:xfrm>
                    <a:prstGeom prst="rect">
                      <a:avLst/>
                    </a:prstGeom>
                    <a:noFill/>
                  </pic:spPr>
                </pic:pic>
              </a:graphicData>
            </a:graphic>
          </wp:anchor>
        </w:drawing>
      </w:r>
    </w:p>
    <w:p>
      <w:pPr>
        <w:spacing w:after="0" w:line="267"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Employee assistance program providing confdental counseling services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employees also partcipate in our success:</w:t>
      </w:r>
    </w:p>
    <w:p>
      <w:pPr>
        <w:spacing w:after="0" w:line="235"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Annual bonuses or incentves: 100% of our employees are eligible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-116840</wp:posOffset>
            </wp:positionV>
            <wp:extent cx="222885" cy="2228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254000</wp:posOffset>
            </wp:positionV>
            <wp:extent cx="222885" cy="2476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22885" cy="2476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960"/>
        <w:spacing w:after="0"/>
        <w:rPr>
          <w:sz w:val="20"/>
          <w:szCs w:val="20"/>
          <w:color w:val="auto"/>
        </w:rPr>
      </w:pPr>
      <w:r>
        <w:rPr>
          <w:rFonts w:ascii="Calibri" w:cs="Calibri" w:eastAsia="Calibri" w:hAnsi="Calibri"/>
          <w:sz w:val="17"/>
          <w:szCs w:val="17"/>
          <w:color w:val="auto"/>
        </w:rPr>
        <w:t>401K plans with Company match: 100% of our U.S. employees are eligible to enroll within three months of their employment at EXL</w:t>
      </w:r>
    </w:p>
    <w:p>
      <w:pPr>
        <w:spacing w:after="0" w:line="270"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52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880"/>
          </w:cols>
          <w:pgMar w:left="320" w:top="445" w:right="6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Sustainability</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Employee health, safety and wellbeing</w:t>
      </w:r>
    </w:p>
    <w:p>
      <w:pPr>
        <w:spacing w:after="0" w:line="219"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Because our people are so important to us, we have always viewed employee health, safety and wellbeing as one of our top commitments. We periodically provide trainings on health and safety to our employees, suppliers and partners. In 2021, 90% of our employees completed our health and safety training e-module. We also conduct a risk assessment every six months with the aim of minimizing risk in the working environment.</w:t>
      </w:r>
    </w:p>
    <w:p>
      <w:pPr>
        <w:spacing w:after="0" w:line="213"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Over the past two years, given COVID-19, our commitment to employee health, safety and wellbeing has become even more important. In 2021, we took actons that focused on supportng our employees’ health, safety and wellness,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5906135" cy="55676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06135" cy="5567680"/>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100"/>
        <w:spacing w:after="0"/>
        <w:tabs>
          <w:tab w:leader="none" w:pos="9700" w:val="left"/>
          <w:tab w:leader="none" w:pos="10080" w:val="left"/>
        </w:tabs>
        <w:rPr>
          <w:sz w:val="20"/>
          <w:szCs w:val="20"/>
          <w:color w:val="auto"/>
        </w:rPr>
      </w:pPr>
      <w:r>
        <w:rPr>
          <w:rFonts w:ascii="Calibri" w:cs="Calibri" w:eastAsia="Calibri" w:hAnsi="Calibri"/>
          <w:sz w:val="13"/>
          <w:szCs w:val="13"/>
          <w:color w:val="auto"/>
        </w:rPr>
        <w:t>EXL 2022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53</w:t>
      </w:r>
    </w:p>
    <w:p>
      <w:pPr>
        <w:sectPr>
          <w:pgSz w:w="11900" w:h="16838" w:orient="portrait"/>
          <w:cols w:equalWidth="0" w:num="1">
            <w:col w:w="10940"/>
          </w:cols>
          <w:pgMar w:left="320" w:top="445" w:right="6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Cybersecurity at EXL</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are commited to protectng the confdentality, integrity, availability and privacy of the informaton assets of our clients and their customers, as well as our employees, vendors and any other third partes, that are shared with us and for which we are responsible and have developed robust informaton security and cybersecurity and data privacy controls, safeguards and enabling measures in accordance with applicable laws, regulatons and informaton security standards.</w:t>
      </w:r>
    </w:p>
    <w:p>
      <w:pPr>
        <w:spacing w:after="0" w:line="21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We have implemented and maintain, and regularly improve upon, tools and capabilites to identfy, protect, detect, respond and recover from cyber threats, incidents and atacks; reduce vulnerabilites; and minimize the impact from cyber incidents. We have an established culture of compliance around cybersecurity maters, and have a strong governance program built upon and supported by policies and processes, tools and technologies, and periodic knowledge and awareness training. Each of our employees receives periodic knowledge and awareness training on risk mitgaton and management and controls and procedures relatng to informaton security, cybersecurity and data privacy.</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comply with and/or are certfed in the following standards:</w:t>
      </w:r>
    </w:p>
    <w:p>
      <w:pPr>
        <w:spacing w:after="0" w:line="230" w:lineRule="exact"/>
        <w:rPr>
          <w:sz w:val="20"/>
          <w:szCs w:val="20"/>
          <w:color w:val="auto"/>
        </w:rPr>
      </w:pPr>
    </w:p>
    <w:tbl>
      <w:tblPr>
        <w:tblLayout w:type="fixed"/>
        <w:tblInd w:w="900" w:type="dxa"/>
        <w:tblCellMar>
          <w:top w:w="0" w:type="dxa"/>
          <w:left w:w="0" w:type="dxa"/>
          <w:bottom w:w="0" w:type="dxa"/>
          <w:right w:w="0" w:type="dxa"/>
        </w:tblCellMar>
      </w:tblPr>
      <w:tr>
        <w:trPr>
          <w:trHeight w:val="195"/>
        </w:trPr>
        <w:tc>
          <w:tcPr>
            <w:tcW w:w="2260" w:type="dxa"/>
            <w:vAlign w:val="bottom"/>
            <w:gridSpan w:val="2"/>
          </w:tcPr>
          <w:p>
            <w:pPr>
              <w:jc w:val="center"/>
              <w:ind w:right="861"/>
              <w:spacing w:after="0"/>
              <w:rPr>
                <w:sz w:val="20"/>
                <w:szCs w:val="20"/>
                <w:color w:val="auto"/>
              </w:rPr>
            </w:pPr>
            <w:r>
              <w:rPr>
                <w:rFonts w:ascii="Calibri" w:cs="Calibri" w:eastAsia="Calibri" w:hAnsi="Calibri"/>
                <w:sz w:val="16"/>
                <w:szCs w:val="16"/>
                <w:b w:val="1"/>
                <w:bCs w:val="1"/>
                <w:color w:val="auto"/>
                <w:w w:val="98"/>
              </w:rPr>
              <w:t>ISO 27001:2013</w:t>
            </w:r>
          </w:p>
        </w:tc>
        <w:tc>
          <w:tcPr>
            <w:tcW w:w="1860" w:type="dxa"/>
            <w:vAlign w:val="bottom"/>
          </w:tcPr>
          <w:p>
            <w:pPr>
              <w:jc w:val="center"/>
              <w:ind w:right="302"/>
              <w:spacing w:after="0"/>
              <w:rPr>
                <w:sz w:val="20"/>
                <w:szCs w:val="20"/>
                <w:color w:val="auto"/>
              </w:rPr>
            </w:pPr>
            <w:r>
              <w:rPr>
                <w:rFonts w:ascii="Calibri" w:cs="Calibri" w:eastAsia="Calibri" w:hAnsi="Calibri"/>
                <w:sz w:val="16"/>
                <w:szCs w:val="16"/>
                <w:b w:val="1"/>
                <w:bCs w:val="1"/>
                <w:color w:val="auto"/>
                <w:w w:val="98"/>
              </w:rPr>
              <w:t>PCI DSS 3.2.1 Credit</w:t>
            </w:r>
          </w:p>
        </w:tc>
        <w:tc>
          <w:tcPr>
            <w:tcW w:w="2120" w:type="dxa"/>
            <w:vAlign w:val="bottom"/>
          </w:tcPr>
          <w:p>
            <w:pPr>
              <w:jc w:val="center"/>
              <w:spacing w:after="0"/>
              <w:rPr>
                <w:sz w:val="20"/>
                <w:szCs w:val="20"/>
                <w:color w:val="auto"/>
              </w:rPr>
            </w:pPr>
            <w:r>
              <w:rPr>
                <w:rFonts w:ascii="Calibri" w:cs="Calibri" w:eastAsia="Calibri" w:hAnsi="Calibri"/>
                <w:sz w:val="16"/>
                <w:szCs w:val="16"/>
                <w:b w:val="1"/>
                <w:bCs w:val="1"/>
                <w:color w:val="auto"/>
                <w:w w:val="96"/>
              </w:rPr>
              <w:t>SOX 404 / SSAE 16,</w:t>
            </w:r>
          </w:p>
        </w:tc>
        <w:tc>
          <w:tcPr>
            <w:tcW w:w="2060" w:type="dxa"/>
            <w:vAlign w:val="bottom"/>
          </w:tcPr>
          <w:p>
            <w:pPr>
              <w:ind w:left="460"/>
              <w:spacing w:after="0"/>
              <w:rPr>
                <w:sz w:val="20"/>
                <w:szCs w:val="20"/>
                <w:color w:val="auto"/>
              </w:rPr>
            </w:pPr>
            <w:r>
              <w:rPr>
                <w:rFonts w:ascii="Calibri" w:cs="Calibri" w:eastAsia="Calibri" w:hAnsi="Calibri"/>
                <w:sz w:val="16"/>
                <w:szCs w:val="16"/>
                <w:b w:val="1"/>
                <w:bCs w:val="1"/>
                <w:color w:val="auto"/>
              </w:rPr>
              <w:t>Hitrust Certfcaton –</w:t>
            </w:r>
          </w:p>
        </w:tc>
        <w:tc>
          <w:tcPr>
            <w:tcW w:w="160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8"/>
              </w:rPr>
              <w:t>ISO22301 Business</w:t>
            </w:r>
          </w:p>
        </w:tc>
      </w:tr>
      <w:tr>
        <w:trPr>
          <w:trHeight w:val="195"/>
        </w:trPr>
        <w:tc>
          <w:tcPr>
            <w:tcW w:w="2260" w:type="dxa"/>
            <w:vAlign w:val="bottom"/>
            <w:gridSpan w:val="2"/>
          </w:tcPr>
          <w:p>
            <w:pPr>
              <w:jc w:val="center"/>
              <w:ind w:right="861"/>
              <w:spacing w:after="0"/>
              <w:rPr>
                <w:sz w:val="20"/>
                <w:szCs w:val="20"/>
                <w:color w:val="auto"/>
              </w:rPr>
            </w:pPr>
            <w:r>
              <w:rPr>
                <w:rFonts w:ascii="Calibri" w:cs="Calibri" w:eastAsia="Calibri" w:hAnsi="Calibri"/>
                <w:sz w:val="16"/>
                <w:szCs w:val="16"/>
                <w:b w:val="1"/>
                <w:bCs w:val="1"/>
                <w:color w:val="auto"/>
                <w:w w:val="99"/>
              </w:rPr>
              <w:t>Global Informaton</w:t>
            </w:r>
          </w:p>
        </w:tc>
        <w:tc>
          <w:tcPr>
            <w:tcW w:w="1860" w:type="dxa"/>
            <w:vAlign w:val="bottom"/>
          </w:tcPr>
          <w:p>
            <w:pPr>
              <w:jc w:val="center"/>
              <w:ind w:right="302"/>
              <w:spacing w:after="0"/>
              <w:rPr>
                <w:sz w:val="20"/>
                <w:szCs w:val="20"/>
                <w:color w:val="auto"/>
              </w:rPr>
            </w:pPr>
            <w:r>
              <w:rPr>
                <w:rFonts w:ascii="Calibri" w:cs="Calibri" w:eastAsia="Calibri" w:hAnsi="Calibri"/>
                <w:sz w:val="16"/>
                <w:szCs w:val="16"/>
                <w:b w:val="1"/>
                <w:bCs w:val="1"/>
                <w:color w:val="auto"/>
                <w:w w:val="98"/>
              </w:rPr>
              <w:t>Card and Payment</w:t>
            </w:r>
          </w:p>
        </w:tc>
        <w:tc>
          <w:tcPr>
            <w:tcW w:w="212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SOC 1 and SOC 2 –</w:t>
            </w:r>
          </w:p>
        </w:tc>
        <w:tc>
          <w:tcPr>
            <w:tcW w:w="2060" w:type="dxa"/>
            <w:vAlign w:val="bottom"/>
          </w:tcPr>
          <w:p>
            <w:pPr>
              <w:ind w:left="440"/>
              <w:spacing w:after="0"/>
              <w:rPr>
                <w:sz w:val="20"/>
                <w:szCs w:val="20"/>
                <w:color w:val="auto"/>
              </w:rPr>
            </w:pPr>
            <w:r>
              <w:rPr>
                <w:rFonts w:ascii="Calibri" w:cs="Calibri" w:eastAsia="Calibri" w:hAnsi="Calibri"/>
                <w:sz w:val="16"/>
                <w:szCs w:val="16"/>
                <w:b w:val="1"/>
                <w:bCs w:val="1"/>
                <w:color w:val="auto"/>
              </w:rPr>
              <w:t>healthcare operatons</w:t>
            </w:r>
          </w:p>
        </w:tc>
        <w:tc>
          <w:tcPr>
            <w:tcW w:w="1600" w:type="dxa"/>
            <w:vAlign w:val="bottom"/>
          </w:tcPr>
          <w:p>
            <w:pPr>
              <w:jc w:val="center"/>
              <w:ind w:left="82"/>
              <w:spacing w:after="0"/>
              <w:rPr>
                <w:sz w:val="20"/>
                <w:szCs w:val="20"/>
                <w:color w:val="auto"/>
              </w:rPr>
            </w:pPr>
            <w:r>
              <w:rPr>
                <w:rFonts w:ascii="Calibri" w:cs="Calibri" w:eastAsia="Calibri" w:hAnsi="Calibri"/>
                <w:sz w:val="16"/>
                <w:szCs w:val="16"/>
                <w:b w:val="1"/>
                <w:bCs w:val="1"/>
                <w:color w:val="auto"/>
                <w:w w:val="96"/>
              </w:rPr>
              <w:t>Resiliency</w:t>
            </w:r>
          </w:p>
        </w:tc>
      </w:tr>
      <w:tr>
        <w:trPr>
          <w:trHeight w:val="195"/>
        </w:trPr>
        <w:tc>
          <w:tcPr>
            <w:tcW w:w="2260" w:type="dxa"/>
            <w:vAlign w:val="bottom"/>
            <w:gridSpan w:val="2"/>
          </w:tcPr>
          <w:p>
            <w:pPr>
              <w:jc w:val="center"/>
              <w:ind w:right="861"/>
              <w:spacing w:after="0"/>
              <w:rPr>
                <w:sz w:val="20"/>
                <w:szCs w:val="20"/>
                <w:color w:val="auto"/>
              </w:rPr>
            </w:pPr>
            <w:r>
              <w:rPr>
                <w:rFonts w:ascii="Calibri" w:cs="Calibri" w:eastAsia="Calibri" w:hAnsi="Calibri"/>
                <w:sz w:val="16"/>
                <w:szCs w:val="16"/>
                <w:b w:val="1"/>
                <w:bCs w:val="1"/>
                <w:color w:val="auto"/>
                <w:w w:val="97"/>
              </w:rPr>
              <w:t>Security Standard –</w:t>
            </w:r>
          </w:p>
        </w:tc>
        <w:tc>
          <w:tcPr>
            <w:tcW w:w="1860" w:type="dxa"/>
            <w:vAlign w:val="bottom"/>
          </w:tcPr>
          <w:p>
            <w:pPr>
              <w:jc w:val="center"/>
              <w:ind w:right="302"/>
              <w:spacing w:after="0"/>
              <w:rPr>
                <w:sz w:val="20"/>
                <w:szCs w:val="20"/>
                <w:color w:val="auto"/>
              </w:rPr>
            </w:pPr>
            <w:r>
              <w:rPr>
                <w:rFonts w:ascii="Calibri" w:cs="Calibri" w:eastAsia="Calibri" w:hAnsi="Calibri"/>
                <w:sz w:val="16"/>
                <w:szCs w:val="16"/>
                <w:b w:val="1"/>
                <w:bCs w:val="1"/>
                <w:color w:val="auto"/>
              </w:rPr>
              <w:t>Industry Certfcaton</w:t>
            </w:r>
          </w:p>
        </w:tc>
        <w:tc>
          <w:tcPr>
            <w:tcW w:w="212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Company-wide</w:t>
            </w:r>
          </w:p>
        </w:tc>
        <w:tc>
          <w:tcPr>
            <w:tcW w:w="2060" w:type="dxa"/>
            <w:vAlign w:val="bottom"/>
          </w:tcPr>
          <w:p>
            <w:pPr>
              <w:spacing w:after="0"/>
              <w:rPr>
                <w:sz w:val="16"/>
                <w:szCs w:val="16"/>
                <w:color w:val="auto"/>
              </w:rPr>
            </w:pPr>
          </w:p>
        </w:tc>
        <w:tc>
          <w:tcPr>
            <w:tcW w:w="1600" w:type="dxa"/>
            <w:vAlign w:val="bottom"/>
          </w:tcPr>
          <w:p>
            <w:pPr>
              <w:jc w:val="center"/>
              <w:ind w:left="102"/>
              <w:spacing w:after="0"/>
              <w:rPr>
                <w:sz w:val="20"/>
                <w:szCs w:val="20"/>
                <w:color w:val="auto"/>
              </w:rPr>
            </w:pPr>
            <w:r>
              <w:rPr>
                <w:rFonts w:ascii="Calibri" w:cs="Calibri" w:eastAsia="Calibri" w:hAnsi="Calibri"/>
                <w:sz w:val="16"/>
                <w:szCs w:val="16"/>
                <w:b w:val="1"/>
                <w:bCs w:val="1"/>
                <w:color w:val="auto"/>
              </w:rPr>
              <w:t>Certfcaton – India,</w:t>
            </w:r>
          </w:p>
        </w:tc>
      </w:tr>
      <w:tr>
        <w:trPr>
          <w:trHeight w:val="195"/>
        </w:trPr>
        <w:tc>
          <w:tcPr>
            <w:tcW w:w="2260" w:type="dxa"/>
            <w:vAlign w:val="bottom"/>
            <w:gridSpan w:val="2"/>
          </w:tcPr>
          <w:p>
            <w:pPr>
              <w:jc w:val="center"/>
              <w:ind w:right="861"/>
              <w:spacing w:after="0"/>
              <w:rPr>
                <w:sz w:val="20"/>
                <w:szCs w:val="20"/>
                <w:color w:val="auto"/>
              </w:rPr>
            </w:pPr>
            <w:r>
              <w:rPr>
                <w:rFonts w:ascii="Calibri" w:cs="Calibri" w:eastAsia="Calibri" w:hAnsi="Calibri"/>
                <w:sz w:val="16"/>
                <w:szCs w:val="16"/>
                <w:b w:val="1"/>
                <w:bCs w:val="1"/>
                <w:color w:val="auto"/>
                <w:w w:val="97"/>
              </w:rPr>
              <w:t>Company-wide</w:t>
            </w:r>
          </w:p>
        </w:tc>
        <w:tc>
          <w:tcPr>
            <w:tcW w:w="1860" w:type="dxa"/>
            <w:vAlign w:val="bottom"/>
          </w:tcPr>
          <w:p>
            <w:pPr>
              <w:jc w:val="center"/>
              <w:ind w:right="302"/>
              <w:spacing w:after="0"/>
              <w:rPr>
                <w:sz w:val="20"/>
                <w:szCs w:val="20"/>
                <w:color w:val="auto"/>
              </w:rPr>
            </w:pPr>
            <w:r>
              <w:rPr>
                <w:rFonts w:ascii="Calibri" w:cs="Calibri" w:eastAsia="Calibri" w:hAnsi="Calibri"/>
                <w:sz w:val="16"/>
                <w:szCs w:val="16"/>
                <w:b w:val="1"/>
                <w:bCs w:val="1"/>
                <w:color w:val="auto"/>
                <w:w w:val="98"/>
              </w:rPr>
              <w:t>– India, Philippines</w:t>
            </w:r>
          </w:p>
        </w:tc>
        <w:tc>
          <w:tcPr>
            <w:tcW w:w="2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8"/>
              </w:rPr>
              <w:t>Philippines and South</w:t>
            </w:r>
          </w:p>
        </w:tc>
      </w:tr>
      <w:tr>
        <w:trPr>
          <w:trHeight w:val="195"/>
        </w:trPr>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60" w:type="dxa"/>
            <w:vAlign w:val="bottom"/>
          </w:tcPr>
          <w:p>
            <w:pPr>
              <w:jc w:val="center"/>
              <w:ind w:right="302"/>
              <w:spacing w:after="0"/>
              <w:rPr>
                <w:sz w:val="20"/>
                <w:szCs w:val="20"/>
                <w:color w:val="auto"/>
              </w:rPr>
            </w:pPr>
            <w:r>
              <w:rPr>
                <w:rFonts w:ascii="Calibri" w:cs="Calibri" w:eastAsia="Calibri" w:hAnsi="Calibri"/>
                <w:sz w:val="16"/>
                <w:szCs w:val="16"/>
                <w:b w:val="1"/>
                <w:bCs w:val="1"/>
                <w:color w:val="auto"/>
                <w:w w:val="97"/>
              </w:rPr>
              <w:t>and South Africa</w:t>
            </w:r>
          </w:p>
        </w:tc>
        <w:tc>
          <w:tcPr>
            <w:tcW w:w="2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0" w:type="dxa"/>
            <w:vAlign w:val="bottom"/>
          </w:tcPr>
          <w:p>
            <w:pPr>
              <w:jc w:val="center"/>
              <w:ind w:left="102"/>
              <w:spacing w:after="0"/>
              <w:rPr>
                <w:sz w:val="20"/>
                <w:szCs w:val="20"/>
                <w:color w:val="auto"/>
              </w:rPr>
            </w:pPr>
            <w:r>
              <w:rPr>
                <w:rFonts w:ascii="Calibri" w:cs="Calibri" w:eastAsia="Calibri" w:hAnsi="Calibri"/>
                <w:sz w:val="16"/>
                <w:szCs w:val="16"/>
                <w:b w:val="1"/>
                <w:bCs w:val="1"/>
                <w:color w:val="auto"/>
                <w:w w:val="99"/>
              </w:rPr>
              <w:t>Africa operatons</w:t>
            </w:r>
          </w:p>
        </w:tc>
      </w:tr>
      <w:tr>
        <w:trPr>
          <w:trHeight w:val="195"/>
        </w:trPr>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60" w:type="dxa"/>
            <w:vAlign w:val="bottom"/>
          </w:tcPr>
          <w:p>
            <w:pPr>
              <w:jc w:val="center"/>
              <w:ind w:right="302"/>
              <w:spacing w:after="0"/>
              <w:rPr>
                <w:sz w:val="20"/>
                <w:szCs w:val="20"/>
                <w:color w:val="auto"/>
              </w:rPr>
            </w:pPr>
            <w:r>
              <w:rPr>
                <w:rFonts w:ascii="Calibri" w:cs="Calibri" w:eastAsia="Calibri" w:hAnsi="Calibri"/>
                <w:sz w:val="16"/>
                <w:szCs w:val="16"/>
                <w:b w:val="1"/>
                <w:bCs w:val="1"/>
                <w:color w:val="auto"/>
                <w:w w:val="99"/>
              </w:rPr>
              <w:t>operatons</w:t>
            </w:r>
          </w:p>
        </w:tc>
        <w:tc>
          <w:tcPr>
            <w:tcW w:w="2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485"/>
        </w:trPr>
        <w:tc>
          <w:tcPr>
            <w:tcW w:w="360" w:type="dxa"/>
            <w:vAlign w:val="bottom"/>
          </w:tcPr>
          <w:p>
            <w:pPr>
              <w:jc w:val="right"/>
              <w:ind w:right="60"/>
              <w:spacing w:after="0"/>
              <w:rPr>
                <w:sz w:val="20"/>
                <w:szCs w:val="20"/>
                <w:color w:val="auto"/>
              </w:rPr>
            </w:pPr>
            <w:r>
              <w:rPr>
                <w:rFonts w:ascii="Calibri" w:cs="Calibri" w:eastAsia="Calibri" w:hAnsi="Calibri"/>
                <w:sz w:val="17"/>
                <w:szCs w:val="17"/>
                <w:b w:val="1"/>
                <w:bCs w:val="1"/>
                <w:color w:val="auto"/>
              </w:rPr>
              <w:t>54</w:t>
            </w:r>
          </w:p>
        </w:tc>
        <w:tc>
          <w:tcPr>
            <w:tcW w:w="1900" w:type="dxa"/>
            <w:vAlign w:val="bottom"/>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2022 Proxy Statement</w:t>
            </w:r>
          </w:p>
        </w:tc>
        <w:tc>
          <w:tcPr>
            <w:tcW w:w="1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900"/>
          </w:cols>
          <w:pgMar w:left="320" w:top="445" w:right="6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Sustainability</w:t>
      </w:r>
    </w:p>
    <w:p>
      <w:pPr>
        <w:spacing w:after="0" w:line="140" w:lineRule="exact"/>
        <w:rPr>
          <w:sz w:val="20"/>
          <w:szCs w:val="20"/>
          <w:color w:val="auto"/>
        </w:rPr>
      </w:pPr>
    </w:p>
    <w:p>
      <w:pPr>
        <w:ind w:left="320" w:right="480"/>
        <w:spacing w:after="0" w:line="239" w:lineRule="auto"/>
        <w:rPr>
          <w:sz w:val="20"/>
          <w:szCs w:val="20"/>
          <w:color w:val="auto"/>
        </w:rPr>
      </w:pPr>
      <w:r>
        <w:rPr>
          <w:rFonts w:ascii="Calibri" w:cs="Calibri" w:eastAsia="Calibri" w:hAnsi="Calibri"/>
          <w:sz w:val="17"/>
          <w:szCs w:val="17"/>
          <w:color w:val="auto"/>
        </w:rPr>
        <w:t>For more informaton on our cybersecurity risk management, please see “Cybersecurity risk management” on page 42. For more informaton on our informaton security and data privacy procedures, please refer to our Sustainability Report, which is available on our website at www.exlservice.com/corporate-sustainability.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Responsible artfcial intelligence</w:t>
      </w:r>
    </w:p>
    <w:p>
      <w:pPr>
        <w:spacing w:after="0" w:line="114"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We seek to ensuring that our use of artfcial intelligence (including in machine learning processes and deep learning processes) in our business and operatons is ethical and trustworthy. We emphasize data integrity as key to eliminate bias in the applicaton of AI. In 2021, we created a new global AI Governance Policy and framework, and a new cross-functonal AI Governance Commitee that oversees and governs our use of AI, with the overall aim of vetng and minimizing potental unethical or unlawful biases in AI processes. Pursuant to our AI Governance Policy, for each deployment of AI deployments, our business teams are guided by our AI bias policies and, in many cases, include a risk assessment exercise. Applicable employees also partcipate in trainings to identfy and reduce bias in AI.</w:t>
      </w:r>
    </w:p>
    <w:p>
      <w:pPr>
        <w:spacing w:after="0" w:line="128"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55</w:t>
            </w:r>
          </w:p>
        </w:tc>
      </w:tr>
    </w:tbl>
    <w:p>
      <w:pPr>
        <w:sectPr>
          <w:pgSz w:w="11900" w:h="16838" w:orient="portrait"/>
          <w:cols w:equalWidth="0" w:num="1">
            <w:col w:w="10940"/>
          </w:cols>
          <w:pgMar w:left="320" w:top="445"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Sustainability</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Achievements, certfcatons and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333375</wp:posOffset>
            </wp:positionV>
            <wp:extent cx="6740525" cy="545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40525" cy="54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660"/>
        <w:spacing w:after="0" w:line="239" w:lineRule="auto"/>
        <w:rPr>
          <w:sz w:val="20"/>
          <w:szCs w:val="20"/>
          <w:color w:val="auto"/>
        </w:rPr>
      </w:pPr>
      <w:r>
        <w:rPr>
          <w:rFonts w:ascii="Calibri" w:cs="Calibri" w:eastAsia="Calibri" w:hAnsi="Calibri"/>
          <w:sz w:val="17"/>
          <w:szCs w:val="17"/>
          <w:b w:val="1"/>
          <w:bCs w:val="1"/>
          <w:color w:val="auto"/>
        </w:rPr>
        <w:t>Health and safety management system</w:t>
      </w:r>
      <w:r>
        <w:rPr>
          <w:rFonts w:ascii="Calibri" w:cs="Calibri" w:eastAsia="Calibri" w:hAnsi="Calibri"/>
          <w:sz w:val="17"/>
          <w:szCs w:val="17"/>
          <w:color w:val="auto"/>
        </w:rPr>
        <w:t>, and</w:t>
      </w:r>
      <w:r>
        <w:rPr>
          <w:rFonts w:ascii="Calibri" w:cs="Calibri" w:eastAsia="Calibri" w:hAnsi="Calibri"/>
          <w:sz w:val="17"/>
          <w:szCs w:val="17"/>
          <w:b w:val="1"/>
          <w:bCs w:val="1"/>
          <w:color w:val="auto"/>
        </w:rPr>
        <w:t xml:space="preserve"> 72% of our delivery centers </w:t>
      </w:r>
      <w:r>
        <w:rPr>
          <w:rFonts w:ascii="Calibri" w:cs="Calibri" w:eastAsia="Calibri" w:hAnsi="Calibri"/>
          <w:sz w:val="17"/>
          <w:szCs w:val="17"/>
          <w:color w:val="auto"/>
        </w:rPr>
        <w:t>as of December 31, 2021, are certfed to</w:t>
      </w:r>
      <w:r>
        <w:rPr>
          <w:rFonts w:ascii="Calibri" w:cs="Calibri" w:eastAsia="Calibri" w:hAnsi="Calibri"/>
          <w:sz w:val="17"/>
          <w:szCs w:val="17"/>
          <w:b w:val="1"/>
          <w:bCs w:val="1"/>
          <w:color w:val="auto"/>
        </w:rPr>
        <w:t xml:space="preserve"> ISO 45001:2018</w:t>
      </w:r>
      <w:r>
        <w:rPr>
          <w:rFonts w:ascii="Calibri" w:cs="Calibri" w:eastAsia="Calibri" w:hAnsi="Calibri"/>
          <w:sz w:val="17"/>
          <w:szCs w:val="17"/>
          <w:color w:val="auto"/>
        </w:rPr>
        <w:t>, meetng internatonal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standards for occupatonal health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304165</wp:posOffset>
            </wp:positionV>
            <wp:extent cx="6740525" cy="5207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40525" cy="52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660" w:right="760"/>
        <w:spacing w:after="0" w:line="239" w:lineRule="auto"/>
        <w:rPr>
          <w:sz w:val="20"/>
          <w:szCs w:val="20"/>
          <w:color w:val="auto"/>
        </w:rPr>
      </w:pPr>
      <w:r>
        <w:rPr>
          <w:rFonts w:ascii="Calibri" w:cs="Calibri" w:eastAsia="Calibri" w:hAnsi="Calibri"/>
          <w:sz w:val="17"/>
          <w:szCs w:val="17"/>
          <w:b w:val="1"/>
          <w:bCs w:val="1"/>
          <w:color w:val="auto"/>
        </w:rPr>
        <w:t xml:space="preserve">All of our delivery centers </w:t>
      </w:r>
      <w:r>
        <w:rPr>
          <w:rFonts w:ascii="Calibri" w:cs="Calibri" w:eastAsia="Calibri" w:hAnsi="Calibri"/>
          <w:sz w:val="17"/>
          <w:szCs w:val="17"/>
          <w:color w:val="auto"/>
        </w:rPr>
        <w:t>worldwide outside of the United States are</w:t>
      </w:r>
      <w:r>
        <w:rPr>
          <w:rFonts w:ascii="Calibri" w:cs="Calibri" w:eastAsia="Calibri" w:hAnsi="Calibri"/>
          <w:sz w:val="17"/>
          <w:szCs w:val="17"/>
          <w:b w:val="1"/>
          <w:bCs w:val="1"/>
          <w:color w:val="auto"/>
        </w:rPr>
        <w:t xml:space="preserve"> ISO 14001:2015 </w:t>
      </w:r>
      <w:r>
        <w:rPr>
          <w:rFonts w:ascii="Calibri" w:cs="Calibri" w:eastAsia="Calibri" w:hAnsi="Calibri"/>
          <w:sz w:val="17"/>
          <w:szCs w:val="17"/>
          <w:color w:val="auto"/>
        </w:rPr>
        <w:t>certfed, meetng internatonal standards for</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efectve environmental management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279400</wp:posOffset>
            </wp:positionV>
            <wp:extent cx="6740525" cy="916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40525" cy="91694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620"/>
        <w:spacing w:after="0"/>
        <w:rPr>
          <w:sz w:val="20"/>
          <w:szCs w:val="20"/>
          <w:color w:val="auto"/>
        </w:rPr>
      </w:pPr>
      <w:r>
        <w:rPr>
          <w:rFonts w:ascii="Calibri" w:cs="Calibri" w:eastAsia="Calibri" w:hAnsi="Calibri"/>
          <w:sz w:val="17"/>
          <w:szCs w:val="17"/>
          <w:b w:val="1"/>
          <w:bCs w:val="1"/>
          <w:color w:val="auto"/>
        </w:rPr>
        <w:t>Reportng pursuant to SASB Sofware</w:t>
      </w:r>
    </w:p>
    <w:p>
      <w:pPr>
        <w:ind w:left="1640"/>
        <w:spacing w:after="0" w:line="183" w:lineRule="auto"/>
        <w:rPr>
          <w:sz w:val="20"/>
          <w:szCs w:val="20"/>
          <w:color w:val="auto"/>
        </w:rPr>
      </w:pPr>
      <w:r>
        <w:rPr>
          <w:rFonts w:ascii="Calibri" w:cs="Calibri" w:eastAsia="Calibri" w:hAnsi="Calibri"/>
          <w:sz w:val="15"/>
          <w:szCs w:val="15"/>
          <w:b w:val="1"/>
          <w:bCs w:val="1"/>
          <w:color w:val="auto"/>
        </w:rPr>
        <w:t>and IT Services Standards (2018), GRI</w:t>
      </w:r>
    </w:p>
    <w:p>
      <w:pPr>
        <w:ind w:left="8040"/>
        <w:spacing w:after="0" w:line="186" w:lineRule="auto"/>
        <w:rPr>
          <w:sz w:val="20"/>
          <w:szCs w:val="20"/>
          <w:color w:val="auto"/>
        </w:rPr>
      </w:pPr>
      <w:r>
        <w:rPr>
          <w:rFonts w:ascii="Calibri" w:cs="Calibri" w:eastAsia="Calibri" w:hAnsi="Calibri"/>
          <w:sz w:val="11"/>
          <w:szCs w:val="11"/>
          <w:b w:val="1"/>
          <w:bCs w:val="1"/>
          <w:color w:val="auto"/>
        </w:rPr>
        <w:t>Partcipant</w:t>
      </w:r>
    </w:p>
    <w:p>
      <w:pPr>
        <w:ind w:left="2080"/>
        <w:spacing w:after="0" w:line="187" w:lineRule="auto"/>
        <w:rPr>
          <w:sz w:val="20"/>
          <w:szCs w:val="20"/>
          <w:color w:val="auto"/>
        </w:rPr>
      </w:pPr>
      <w:r>
        <w:rPr>
          <w:rFonts w:ascii="Calibri" w:cs="Calibri" w:eastAsia="Calibri" w:hAnsi="Calibri"/>
          <w:sz w:val="11"/>
          <w:szCs w:val="11"/>
          <w:b w:val="1"/>
          <w:bCs w:val="1"/>
          <w:color w:val="auto"/>
        </w:rPr>
        <w:t>Standards, 2016 and the</w:t>
      </w:r>
    </w:p>
    <w:p>
      <w:pPr>
        <w:ind w:left="7320"/>
        <w:spacing w:after="0" w:line="186" w:lineRule="auto"/>
        <w:rPr>
          <w:sz w:val="20"/>
          <w:szCs w:val="20"/>
          <w:color w:val="auto"/>
        </w:rPr>
      </w:pPr>
      <w:r>
        <w:rPr>
          <w:rFonts w:ascii="Calibri" w:cs="Calibri" w:eastAsia="Calibri" w:hAnsi="Calibri"/>
          <w:sz w:val="11"/>
          <w:szCs w:val="11"/>
          <w:b w:val="1"/>
          <w:bCs w:val="1"/>
          <w:color w:val="auto"/>
        </w:rPr>
        <w:t>United Natons Global Compact</w:t>
      </w:r>
    </w:p>
    <w:p>
      <w:pPr>
        <w:jc w:val="center"/>
        <w:ind w:right="5040"/>
        <w:spacing w:after="0" w:line="199" w:lineRule="auto"/>
        <w:rPr>
          <w:sz w:val="20"/>
          <w:szCs w:val="20"/>
          <w:color w:val="auto"/>
        </w:rPr>
      </w:pPr>
      <w:r>
        <w:rPr>
          <w:rFonts w:ascii="Calibri" w:cs="Calibri" w:eastAsia="Calibri" w:hAnsi="Calibri"/>
          <w:sz w:val="17"/>
          <w:szCs w:val="17"/>
          <w:b w:val="1"/>
          <w:bCs w:val="1"/>
          <w:color w:val="auto"/>
        </w:rPr>
        <w:t>United Natons Sustainable</w:t>
      </w:r>
    </w:p>
    <w:p>
      <w:pPr>
        <w:spacing w:after="0" w:line="1" w:lineRule="exact"/>
        <w:rPr>
          <w:sz w:val="20"/>
          <w:szCs w:val="20"/>
          <w:color w:val="auto"/>
        </w:rPr>
      </w:pPr>
    </w:p>
    <w:p>
      <w:pPr>
        <w:jc w:val="center"/>
        <w:ind w:right="5040"/>
        <w:spacing w:after="0"/>
        <w:rPr>
          <w:sz w:val="20"/>
          <w:szCs w:val="20"/>
          <w:color w:val="auto"/>
        </w:rPr>
      </w:pPr>
      <w:r>
        <w:rPr>
          <w:rFonts w:ascii="Calibri" w:cs="Calibri" w:eastAsia="Calibri" w:hAnsi="Calibri"/>
          <w:sz w:val="17"/>
          <w:szCs w:val="17"/>
          <w:b w:val="1"/>
          <w:bCs w:val="1"/>
          <w:color w:val="auto"/>
        </w:rPr>
        <w:t>Development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278765</wp:posOffset>
            </wp:positionV>
            <wp:extent cx="6740525" cy="387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40525" cy="3879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620"/>
        <w:spacing w:after="0"/>
        <w:rPr>
          <w:sz w:val="20"/>
          <w:szCs w:val="20"/>
          <w:color w:val="auto"/>
        </w:rPr>
      </w:pPr>
      <w:r>
        <w:rPr>
          <w:rFonts w:ascii="Calibri" w:cs="Calibri" w:eastAsia="Calibri" w:hAnsi="Calibri"/>
          <w:sz w:val="17"/>
          <w:szCs w:val="17"/>
          <w:b w:val="1"/>
          <w:bCs w:val="1"/>
          <w:color w:val="auto"/>
        </w:rPr>
        <w:t xml:space="preserve">Partcipant in the CDP’s Climate Change disclosure program </w:t>
      </w:r>
      <w:r>
        <w:rPr>
          <w:rFonts w:ascii="Calibri" w:cs="Calibri" w:eastAsia="Calibri" w:hAnsi="Calibri"/>
          <w:sz w:val="17"/>
          <w:szCs w:val="17"/>
          <w:color w:val="auto"/>
        </w:rPr>
        <w:t>with respect to GHG emissions and climate change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295275</wp:posOffset>
            </wp:positionV>
            <wp:extent cx="239395" cy="2393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295275</wp:posOffset>
            </wp:positionV>
            <wp:extent cx="239395" cy="2393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295275</wp:posOffset>
            </wp:positionV>
            <wp:extent cx="239395" cy="2393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520" w:type="dxa"/>
        <w:tblCellMar>
          <w:top w:w="0" w:type="dxa"/>
          <w:left w:w="0" w:type="dxa"/>
          <w:bottom w:w="0" w:type="dxa"/>
          <w:right w:w="0" w:type="dxa"/>
        </w:tblCellMar>
      </w:tblPr>
      <w:tr>
        <w:trPr>
          <w:trHeight w:val="208"/>
        </w:trPr>
        <w:tc>
          <w:tcPr>
            <w:tcW w:w="242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Safety Excellence Award</w:t>
            </w:r>
          </w:p>
        </w:tc>
        <w:tc>
          <w:tcPr>
            <w:tcW w:w="1700" w:type="dxa"/>
            <w:vAlign w:val="bottom"/>
          </w:tcPr>
          <w:p>
            <w:pPr>
              <w:spacing w:after="0"/>
              <w:rPr>
                <w:sz w:val="18"/>
                <w:szCs w:val="18"/>
                <w:color w:val="auto"/>
              </w:rPr>
            </w:pPr>
          </w:p>
        </w:tc>
        <w:tc>
          <w:tcPr>
            <w:tcW w:w="2540" w:type="dxa"/>
            <w:vAlign w:val="bottom"/>
            <w:vMerge w:val="restart"/>
          </w:tcPr>
          <w:p>
            <w:pPr>
              <w:jc w:val="center"/>
              <w:spacing w:after="0"/>
              <w:rPr>
                <w:sz w:val="20"/>
                <w:szCs w:val="20"/>
                <w:color w:val="auto"/>
              </w:rPr>
            </w:pPr>
            <w:r>
              <w:rPr>
                <w:rFonts w:ascii="Calibri" w:cs="Calibri" w:eastAsia="Calibri" w:hAnsi="Calibri"/>
                <w:sz w:val="17"/>
                <w:szCs w:val="17"/>
                <w:b w:val="1"/>
                <w:bCs w:val="1"/>
                <w:color w:val="auto"/>
                <w:w w:val="99"/>
              </w:rPr>
              <w:t>Industry Sector Safety</w:t>
            </w:r>
          </w:p>
        </w:tc>
        <w:tc>
          <w:tcPr>
            <w:tcW w:w="178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Calibri" w:cs="Calibri" w:eastAsia="Calibri" w:hAnsi="Calibri"/>
                <w:sz w:val="17"/>
                <w:szCs w:val="17"/>
                <w:b w:val="1"/>
                <w:bCs w:val="1"/>
                <w:color w:val="auto"/>
                <w:w w:val="99"/>
              </w:rPr>
              <w:t>Safest Workplace</w:t>
            </w:r>
          </w:p>
        </w:tc>
        <w:tc>
          <w:tcPr>
            <w:tcW w:w="0" w:type="dxa"/>
            <w:vAlign w:val="bottom"/>
          </w:tcPr>
          <w:p>
            <w:pPr>
              <w:spacing w:after="0"/>
              <w:rPr>
                <w:sz w:val="1"/>
                <w:szCs w:val="1"/>
                <w:color w:val="auto"/>
              </w:rPr>
            </w:pPr>
          </w:p>
        </w:tc>
      </w:tr>
      <w:tr>
        <w:trPr>
          <w:trHeight w:val="65"/>
        </w:trPr>
        <w:tc>
          <w:tcPr>
            <w:tcW w:w="2420" w:type="dxa"/>
            <w:vAlign w:val="bottom"/>
            <w:vMerge w:val="restart"/>
          </w:tcPr>
          <w:p>
            <w:pPr>
              <w:jc w:val="center"/>
              <w:spacing w:after="0"/>
              <w:rPr>
                <w:sz w:val="20"/>
                <w:szCs w:val="20"/>
                <w:color w:val="auto"/>
              </w:rPr>
            </w:pPr>
            <w:r>
              <w:rPr>
                <w:rFonts w:ascii="Calibri" w:cs="Calibri" w:eastAsia="Calibri" w:hAnsi="Calibri"/>
                <w:sz w:val="17"/>
                <w:szCs w:val="17"/>
                <w:b w:val="1"/>
                <w:bCs w:val="1"/>
                <w:color w:val="auto"/>
                <w:w w:val="97"/>
              </w:rPr>
              <w:t>for Women’s Safety 2021</w:t>
            </w:r>
          </w:p>
        </w:tc>
        <w:tc>
          <w:tcPr>
            <w:tcW w:w="1700" w:type="dxa"/>
            <w:vAlign w:val="bottom"/>
          </w:tcPr>
          <w:p>
            <w:pPr>
              <w:spacing w:after="0"/>
              <w:rPr>
                <w:sz w:val="5"/>
                <w:szCs w:val="5"/>
                <w:color w:val="auto"/>
              </w:rPr>
            </w:pPr>
          </w:p>
        </w:tc>
        <w:tc>
          <w:tcPr>
            <w:tcW w:w="254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42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2540" w:type="dxa"/>
            <w:vAlign w:val="bottom"/>
            <w:vMerge w:val="restart"/>
          </w:tcPr>
          <w:p>
            <w:pPr>
              <w:jc w:val="center"/>
              <w:spacing w:after="0"/>
              <w:rPr>
                <w:sz w:val="20"/>
                <w:szCs w:val="20"/>
                <w:color w:val="auto"/>
              </w:rPr>
            </w:pPr>
            <w:r>
              <w:rPr>
                <w:rFonts w:ascii="Calibri" w:cs="Calibri" w:eastAsia="Calibri" w:hAnsi="Calibri"/>
                <w:sz w:val="17"/>
                <w:szCs w:val="17"/>
                <w:b w:val="1"/>
                <w:bCs w:val="1"/>
                <w:color w:val="auto"/>
                <w:w w:val="98"/>
              </w:rPr>
              <w:t>Award (IT/ITES) 2020</w:t>
            </w:r>
          </w:p>
        </w:tc>
        <w:tc>
          <w:tcPr>
            <w:tcW w:w="178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Calibri" w:cs="Calibri" w:eastAsia="Calibri" w:hAnsi="Calibri"/>
                <w:sz w:val="17"/>
                <w:szCs w:val="17"/>
                <w:b w:val="1"/>
                <w:bCs w:val="1"/>
                <w:color w:val="auto"/>
                <w:w w:val="98"/>
              </w:rPr>
              <w:t>Award 2021</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54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78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420" w:type="dxa"/>
            <w:vAlign w:val="bottom"/>
          </w:tcPr>
          <w:p>
            <w:pPr>
              <w:jc w:val="center"/>
              <w:spacing w:after="0"/>
              <w:rPr>
                <w:sz w:val="20"/>
                <w:szCs w:val="20"/>
                <w:color w:val="auto"/>
              </w:rPr>
            </w:pPr>
            <w:r>
              <w:rPr>
                <w:rFonts w:ascii="Calibri" w:cs="Calibri" w:eastAsia="Calibri" w:hAnsi="Calibri"/>
                <w:sz w:val="13"/>
                <w:szCs w:val="13"/>
                <w:color w:val="auto"/>
              </w:rPr>
              <w:t>Internatonal Insttute of Safety &amp; Security</w:t>
            </w:r>
          </w:p>
        </w:tc>
        <w:tc>
          <w:tcPr>
            <w:tcW w:w="1700" w:type="dxa"/>
            <w:vAlign w:val="bottom"/>
          </w:tcPr>
          <w:p>
            <w:pPr>
              <w:spacing w:after="0"/>
              <w:rPr>
                <w:sz w:val="22"/>
                <w:szCs w:val="22"/>
                <w:color w:val="auto"/>
              </w:rPr>
            </w:pPr>
          </w:p>
        </w:tc>
        <w:tc>
          <w:tcPr>
            <w:tcW w:w="2540" w:type="dxa"/>
            <w:vAlign w:val="bottom"/>
          </w:tcPr>
          <w:p>
            <w:pPr>
              <w:jc w:val="center"/>
              <w:spacing w:after="0"/>
              <w:rPr>
                <w:sz w:val="20"/>
                <w:szCs w:val="20"/>
                <w:color w:val="auto"/>
              </w:rPr>
            </w:pPr>
            <w:r>
              <w:rPr>
                <w:rFonts w:ascii="Calibri" w:cs="Calibri" w:eastAsia="Calibri" w:hAnsi="Calibri"/>
                <w:sz w:val="13"/>
                <w:szCs w:val="13"/>
                <w:color w:val="auto"/>
              </w:rPr>
              <w:t>Internatonal Insttute of Safety &amp; Security</w:t>
            </w:r>
          </w:p>
        </w:tc>
        <w:tc>
          <w:tcPr>
            <w:tcW w:w="178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Calibri" w:cs="Calibri" w:eastAsia="Calibri" w:hAnsi="Calibri"/>
                <w:sz w:val="13"/>
                <w:szCs w:val="13"/>
                <w:color w:val="auto"/>
                <w:w w:val="97"/>
              </w:rPr>
              <w:t>World Safety Forum</w:t>
            </w:r>
          </w:p>
        </w:tc>
        <w:tc>
          <w:tcPr>
            <w:tcW w:w="0" w:type="dxa"/>
            <w:vAlign w:val="bottom"/>
          </w:tcPr>
          <w:p>
            <w:pPr>
              <w:spacing w:after="0"/>
              <w:rPr>
                <w:sz w:val="1"/>
                <w:szCs w:val="1"/>
                <w:color w:val="auto"/>
              </w:rPr>
            </w:pPr>
          </w:p>
        </w:tc>
      </w:tr>
      <w:tr>
        <w:trPr>
          <w:trHeight w:val="169"/>
        </w:trPr>
        <w:tc>
          <w:tcPr>
            <w:tcW w:w="2420" w:type="dxa"/>
            <w:vAlign w:val="bottom"/>
          </w:tcPr>
          <w:p>
            <w:pPr>
              <w:jc w:val="center"/>
              <w:spacing w:after="0"/>
              <w:rPr>
                <w:sz w:val="20"/>
                <w:szCs w:val="20"/>
                <w:color w:val="auto"/>
              </w:rPr>
            </w:pPr>
            <w:r>
              <w:rPr>
                <w:rFonts w:ascii="Calibri" w:cs="Calibri" w:eastAsia="Calibri" w:hAnsi="Calibri"/>
                <w:sz w:val="13"/>
                <w:szCs w:val="13"/>
                <w:color w:val="auto"/>
              </w:rPr>
              <w:t>Management (IISM) Global Conclave</w:t>
            </w:r>
          </w:p>
        </w:tc>
        <w:tc>
          <w:tcPr>
            <w:tcW w:w="170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Calibri" w:cs="Calibri" w:eastAsia="Calibri" w:hAnsi="Calibri"/>
                <w:sz w:val="13"/>
                <w:szCs w:val="13"/>
                <w:color w:val="auto"/>
                <w:w w:val="99"/>
              </w:rPr>
              <w:t>Management (IISM) Global Conclave</w:t>
            </w:r>
          </w:p>
        </w:tc>
        <w:tc>
          <w:tcPr>
            <w:tcW w:w="17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285115</wp:posOffset>
            </wp:positionV>
            <wp:extent cx="239395" cy="2393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285115</wp:posOffset>
            </wp:positionV>
            <wp:extent cx="239395" cy="2393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9395" cy="23939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285115</wp:posOffset>
            </wp:positionV>
            <wp:extent cx="239395" cy="2393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9395" cy="23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520" w:type="dxa"/>
        <w:tblCellMar>
          <w:top w:w="0" w:type="dxa"/>
          <w:left w:w="0" w:type="dxa"/>
          <w:bottom w:w="0" w:type="dxa"/>
          <w:right w:w="0" w:type="dxa"/>
        </w:tblCellMar>
      </w:tblPr>
      <w:tr>
        <w:trPr>
          <w:trHeight w:val="208"/>
        </w:trPr>
        <w:tc>
          <w:tcPr>
            <w:tcW w:w="2420" w:type="dxa"/>
            <w:vAlign w:val="bottom"/>
            <w:vMerge w:val="restart"/>
          </w:tcPr>
          <w:p>
            <w:pPr>
              <w:jc w:val="center"/>
              <w:spacing w:after="0"/>
              <w:rPr>
                <w:sz w:val="20"/>
                <w:szCs w:val="20"/>
                <w:color w:val="auto"/>
              </w:rPr>
            </w:pPr>
            <w:r>
              <w:rPr>
                <w:rFonts w:ascii="Calibri" w:cs="Calibri" w:eastAsia="Calibri" w:hAnsi="Calibri"/>
                <w:sz w:val="17"/>
                <w:szCs w:val="17"/>
                <w:b w:val="1"/>
                <w:bCs w:val="1"/>
                <w:color w:val="auto"/>
                <w:w w:val="98"/>
              </w:rPr>
              <w:t>EHS Award 2021</w:t>
            </w:r>
          </w:p>
        </w:tc>
        <w:tc>
          <w:tcPr>
            <w:tcW w:w="170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Calibri" w:cs="Calibri" w:eastAsia="Calibri" w:hAnsi="Calibri"/>
                <w:sz w:val="17"/>
                <w:szCs w:val="17"/>
                <w:b w:val="1"/>
                <w:bCs w:val="1"/>
                <w:color w:val="auto"/>
                <w:w w:val="98"/>
              </w:rPr>
              <w:t>COVID-19 Assurance</w:t>
            </w:r>
          </w:p>
        </w:tc>
        <w:tc>
          <w:tcPr>
            <w:tcW w:w="17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Calibri" w:cs="Calibri" w:eastAsia="Calibri" w:hAnsi="Calibri"/>
                <w:sz w:val="17"/>
                <w:szCs w:val="17"/>
                <w:b w:val="1"/>
                <w:bCs w:val="1"/>
                <w:color w:val="auto"/>
                <w:w w:val="97"/>
              </w:rPr>
              <w:t>2022 Most Trusted</w:t>
            </w:r>
          </w:p>
        </w:tc>
        <w:tc>
          <w:tcPr>
            <w:tcW w:w="0" w:type="dxa"/>
            <w:vAlign w:val="bottom"/>
          </w:tcPr>
          <w:p>
            <w:pPr>
              <w:spacing w:after="0"/>
              <w:rPr>
                <w:sz w:val="1"/>
                <w:szCs w:val="1"/>
                <w:color w:val="auto"/>
              </w:rPr>
            </w:pPr>
          </w:p>
        </w:tc>
      </w:tr>
      <w:tr>
        <w:trPr>
          <w:trHeight w:val="143"/>
        </w:trPr>
        <w:tc>
          <w:tcPr>
            <w:tcW w:w="242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2540" w:type="dxa"/>
            <w:vAlign w:val="bottom"/>
            <w:vMerge w:val="restart"/>
          </w:tcPr>
          <w:p>
            <w:pPr>
              <w:jc w:val="center"/>
              <w:spacing w:after="0"/>
              <w:rPr>
                <w:sz w:val="20"/>
                <w:szCs w:val="20"/>
                <w:color w:val="auto"/>
              </w:rPr>
            </w:pPr>
            <w:r>
              <w:rPr>
                <w:rFonts w:ascii="Calibri" w:cs="Calibri" w:eastAsia="Calibri" w:hAnsi="Calibri"/>
                <w:sz w:val="17"/>
                <w:szCs w:val="17"/>
                <w:b w:val="1"/>
                <w:bCs w:val="1"/>
                <w:color w:val="auto"/>
                <w:w w:val="99"/>
              </w:rPr>
              <w:t>Statement</w:t>
            </w:r>
          </w:p>
        </w:tc>
        <w:tc>
          <w:tcPr>
            <w:tcW w:w="178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Calibri" w:cs="Calibri" w:eastAsia="Calibri" w:hAnsi="Calibri"/>
                <w:sz w:val="17"/>
                <w:szCs w:val="17"/>
                <w:b w:val="1"/>
                <w:bCs w:val="1"/>
                <w:color w:val="auto"/>
                <w:w w:val="99"/>
              </w:rPr>
              <w:t>Companies</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54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78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420" w:type="dxa"/>
            <w:vAlign w:val="bottom"/>
          </w:tcPr>
          <w:p>
            <w:pPr>
              <w:jc w:val="center"/>
              <w:spacing w:after="0"/>
              <w:rPr>
                <w:sz w:val="20"/>
                <w:szCs w:val="20"/>
                <w:color w:val="auto"/>
              </w:rPr>
            </w:pPr>
            <w:r>
              <w:rPr>
                <w:rFonts w:ascii="Calibri" w:cs="Calibri" w:eastAsia="Calibri" w:hAnsi="Calibri"/>
                <w:sz w:val="13"/>
                <w:szCs w:val="13"/>
                <w:color w:val="auto"/>
                <w:w w:val="99"/>
              </w:rPr>
              <w:t>World Safety Forum</w:t>
            </w:r>
          </w:p>
        </w:tc>
        <w:tc>
          <w:tcPr>
            <w:tcW w:w="1700" w:type="dxa"/>
            <w:vAlign w:val="bottom"/>
          </w:tcPr>
          <w:p>
            <w:pPr>
              <w:spacing w:after="0"/>
              <w:rPr>
                <w:sz w:val="22"/>
                <w:szCs w:val="22"/>
                <w:color w:val="auto"/>
              </w:rPr>
            </w:pPr>
          </w:p>
        </w:tc>
        <w:tc>
          <w:tcPr>
            <w:tcW w:w="2540" w:type="dxa"/>
            <w:vAlign w:val="bottom"/>
          </w:tcPr>
          <w:p>
            <w:pPr>
              <w:jc w:val="center"/>
              <w:spacing w:after="0"/>
              <w:rPr>
                <w:sz w:val="20"/>
                <w:szCs w:val="20"/>
                <w:color w:val="auto"/>
              </w:rPr>
            </w:pPr>
            <w:r>
              <w:rPr>
                <w:rFonts w:ascii="Calibri" w:cs="Calibri" w:eastAsia="Calibri" w:hAnsi="Calibri"/>
                <w:sz w:val="13"/>
                <w:szCs w:val="13"/>
                <w:color w:val="auto"/>
              </w:rPr>
              <w:t>Britsh Safety Council</w:t>
            </w:r>
          </w:p>
        </w:tc>
        <w:tc>
          <w:tcPr>
            <w:tcW w:w="178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Calibri" w:cs="Calibri" w:eastAsia="Calibri" w:hAnsi="Calibri"/>
                <w:sz w:val="13"/>
                <w:szCs w:val="13"/>
                <w:color w:val="auto"/>
                <w:w w:val="97"/>
              </w:rPr>
              <w:t>Newsweek</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Environmental, social and governance maters and pay-for-performance at EXL</w:t>
      </w:r>
    </w:p>
    <w:p>
      <w:pPr>
        <w:spacing w:after="0" w:line="114" w:lineRule="exact"/>
        <w:rPr>
          <w:sz w:val="20"/>
          <w:szCs w:val="20"/>
          <w:color w:val="auto"/>
        </w:rPr>
      </w:pPr>
    </w:p>
    <w:p>
      <w:pPr>
        <w:ind w:left="320" w:right="340"/>
        <w:spacing w:after="0" w:line="239" w:lineRule="auto"/>
        <w:rPr>
          <w:sz w:val="20"/>
          <w:szCs w:val="20"/>
          <w:color w:val="auto"/>
        </w:rPr>
      </w:pPr>
      <w:r>
        <w:rPr>
          <w:rFonts w:ascii="Calibri" w:cs="Calibri" w:eastAsia="Calibri" w:hAnsi="Calibri"/>
          <w:sz w:val="17"/>
          <w:szCs w:val="17"/>
          <w:color w:val="auto"/>
        </w:rPr>
        <w:t>A porton of our CEO’s total compensaton is ted to the achievement of specifc performance goals relatng to ESG maters. For more informaton, see “Detailed review of compensaton components – Incentve bonus – Determinaton of individual performance measure achievement” on page 75.</w:t>
      </w:r>
    </w:p>
    <w:p>
      <w:pPr>
        <w:spacing w:after="0" w:line="127"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56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00"/>
          </w:cols>
          <w:pgMar w:left="320" w:top="445" w:right="6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Sustainability</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Sustainability oversight</w:t>
      </w:r>
    </w:p>
    <w:p>
      <w:pPr>
        <w:spacing w:after="0" w:line="114"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For more informaton on our oversight of sustainability and ESG-related maters and risks, see “Environmental, social and governance risk management” on page 42.</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Learn more about sustainability and environmental, social and governance maters at EXL</w:t>
      </w:r>
    </w:p>
    <w:p>
      <w:pPr>
        <w:spacing w:after="0" w:line="114" w:lineRule="exact"/>
        <w:rPr>
          <w:sz w:val="20"/>
          <w:szCs w:val="20"/>
          <w:color w:val="auto"/>
        </w:rPr>
      </w:pPr>
    </w:p>
    <w:p>
      <w:pPr>
        <w:ind w:left="320" w:right="400"/>
        <w:spacing w:after="0" w:line="268" w:lineRule="auto"/>
        <w:rPr>
          <w:sz w:val="20"/>
          <w:szCs w:val="20"/>
          <w:color w:val="auto"/>
        </w:rPr>
      </w:pPr>
      <w:r>
        <w:rPr>
          <w:rFonts w:ascii="Calibri" w:cs="Calibri" w:eastAsia="Calibri" w:hAnsi="Calibri"/>
          <w:sz w:val="16"/>
          <w:szCs w:val="16"/>
          <w:color w:val="auto"/>
        </w:rPr>
        <w:t>Please visit www.exlservice.com/about/sustainability to learn more about our eforts toward sustainability and the impacts we are making on our communites and the environment. Informaton on our website referred to in this Proxy Statement does not consttute a part of this Proxy Statement.</w:t>
      </w:r>
    </w:p>
    <w:p>
      <w:pPr>
        <w:spacing w:after="0" w:line="105"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57</w:t>
            </w:r>
          </w:p>
        </w:tc>
      </w:tr>
    </w:tbl>
    <w:p>
      <w:pPr>
        <w:sectPr>
          <w:pgSz w:w="11900" w:h="16838" w:orient="portrait"/>
          <w:cols w:equalWidth="0" w:num="1">
            <w:col w:w="10940"/>
          </w:cols>
          <w:pgMar w:left="320" w:top="445" w:right="6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Our executve ofcers</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Our executve ofcers</w:t>
      </w:r>
    </w:p>
    <w:p>
      <w:pPr>
        <w:spacing w:after="0" w:line="251" w:lineRule="exact"/>
        <w:rPr>
          <w:sz w:val="20"/>
          <w:szCs w:val="20"/>
          <w:color w:val="auto"/>
        </w:rPr>
      </w:pPr>
    </w:p>
    <w:p>
      <w:pPr>
        <w:ind w:left="2220"/>
        <w:spacing w:after="0"/>
        <w:tabs>
          <w:tab w:leader="none" w:pos="3880" w:val="left"/>
          <w:tab w:leader="none" w:pos="4100" w:val="left"/>
        </w:tabs>
        <w:rPr>
          <w:sz w:val="20"/>
          <w:szCs w:val="20"/>
          <w:color w:val="auto"/>
        </w:rPr>
      </w:pPr>
      <w:r>
        <w:rPr>
          <w:rFonts w:ascii="Calibri" w:cs="Calibri" w:eastAsia="Calibri" w:hAnsi="Calibri"/>
          <w:sz w:val="17"/>
          <w:szCs w:val="17"/>
          <w:b w:val="1"/>
          <w:bCs w:val="1"/>
          <w:color w:val="auto"/>
        </w:rPr>
        <w:t xml:space="preserve">Rohit Kapoor </w:t>
      </w:r>
      <w:r>
        <w:rPr>
          <w:rFonts w:ascii="Calibri" w:cs="Calibri" w:eastAsia="Calibri" w:hAnsi="Calibri"/>
          <w:sz w:val="17"/>
          <w:szCs w:val="17"/>
          <w:color w:val="auto"/>
        </w:rPr>
        <w:t>(age 57)</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6"/>
          <w:szCs w:val="16"/>
          <w:b w:val="1"/>
          <w:bCs w:val="1"/>
          <w:i w:val="1"/>
          <w:iCs w:val="1"/>
          <w:color w:val="auto"/>
        </w:rPr>
        <w:t>Vice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220"/>
        <w:spacing w:after="0"/>
        <w:rPr>
          <w:sz w:val="20"/>
          <w:szCs w:val="20"/>
          <w:color w:val="auto"/>
        </w:rPr>
      </w:pPr>
      <w:r>
        <w:rPr>
          <w:rFonts w:ascii="Calibri" w:cs="Calibri" w:eastAsia="Calibri" w:hAnsi="Calibri"/>
          <w:sz w:val="17"/>
          <w:szCs w:val="17"/>
          <w:color w:val="auto"/>
        </w:rPr>
        <w:t>See secton enttled “Our board of directors”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20"/>
        <w:spacing w:after="0"/>
        <w:tabs>
          <w:tab w:leader="none" w:pos="4000" w:val="left"/>
          <w:tab w:leader="none" w:pos="4220" w:val="left"/>
        </w:tabs>
        <w:rPr>
          <w:sz w:val="20"/>
          <w:szCs w:val="20"/>
          <w:color w:val="auto"/>
        </w:rPr>
      </w:pPr>
      <w:r>
        <w:rPr>
          <w:rFonts w:ascii="Calibri" w:cs="Calibri" w:eastAsia="Calibri" w:hAnsi="Calibri"/>
          <w:sz w:val="17"/>
          <w:szCs w:val="17"/>
          <w:b w:val="1"/>
          <w:bCs w:val="1"/>
          <w:color w:val="auto"/>
        </w:rPr>
        <w:t xml:space="preserve">Ajay Ayyappan </w:t>
      </w:r>
      <w:r>
        <w:rPr>
          <w:rFonts w:ascii="Calibri" w:cs="Calibri" w:eastAsia="Calibri" w:hAnsi="Calibri"/>
          <w:sz w:val="17"/>
          <w:szCs w:val="17"/>
          <w:color w:val="auto"/>
        </w:rPr>
        <w:t>(age 44)</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6"/>
          <w:szCs w:val="16"/>
          <w:b w:val="1"/>
          <w:bCs w:val="1"/>
          <w:i w:val="1"/>
          <w:iCs w:val="1"/>
          <w:color w:val="auto"/>
        </w:rPr>
        <w:t>Senior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220"/>
        <w:spacing w:after="0"/>
        <w:rPr>
          <w:sz w:val="20"/>
          <w:szCs w:val="20"/>
          <w:color w:val="auto"/>
        </w:rPr>
      </w:pPr>
      <w:r>
        <w:rPr>
          <w:rFonts w:ascii="Calibri" w:cs="Calibri" w:eastAsia="Calibri" w:hAnsi="Calibri"/>
          <w:sz w:val="17"/>
          <w:szCs w:val="17"/>
          <w:color w:val="auto"/>
        </w:rPr>
        <w:t>Mr. Ayyappan has served as our Senior Vice President, General Counsel and Corporate Secretary since December 2018 and our Vice President, Actng General Counsel and Corporate Secretary since August 2018. He previously served as Vice President, Deputy General Counsel and Assistant Secretary from April 2014 to August 2018 and Vice President and Assistant General Counsel from March 2007 to March 2014. Prior to joining us, Mr. Ayyappan was a corporate associate at the law frm of Morgan, Lewis &amp; Bockius LLP.</w:t>
      </w:r>
    </w:p>
    <w:p>
      <w:pPr>
        <w:spacing w:after="0" w:line="327" w:lineRule="exact"/>
        <w:rPr>
          <w:sz w:val="20"/>
          <w:szCs w:val="20"/>
          <w:color w:val="auto"/>
        </w:rPr>
      </w:pPr>
    </w:p>
    <w:p>
      <w:pPr>
        <w:ind w:left="2220"/>
        <w:spacing w:after="0"/>
        <w:tabs>
          <w:tab w:leader="none" w:pos="3800" w:val="left"/>
          <w:tab w:leader="none" w:pos="4040" w:val="left"/>
        </w:tabs>
        <w:rPr>
          <w:sz w:val="20"/>
          <w:szCs w:val="20"/>
          <w:color w:val="auto"/>
        </w:rPr>
      </w:pPr>
      <w:r>
        <w:rPr>
          <w:rFonts w:ascii="Calibri" w:cs="Calibri" w:eastAsia="Calibri" w:hAnsi="Calibri"/>
          <w:sz w:val="17"/>
          <w:szCs w:val="17"/>
          <w:b w:val="1"/>
          <w:bCs w:val="1"/>
          <w:color w:val="auto"/>
        </w:rPr>
        <w:t xml:space="preserve">Vikas Bhalla </w:t>
      </w:r>
      <w:r>
        <w:rPr>
          <w:rFonts w:ascii="Calibri" w:cs="Calibri" w:eastAsia="Calibri" w:hAnsi="Calibri"/>
          <w:sz w:val="17"/>
          <w:szCs w:val="17"/>
          <w:color w:val="auto"/>
        </w:rPr>
        <w:t>(age 50)</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and Business Head,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220" w:right="20"/>
        <w:spacing w:after="0"/>
        <w:rPr>
          <w:sz w:val="20"/>
          <w:szCs w:val="20"/>
          <w:color w:val="auto"/>
        </w:rPr>
      </w:pPr>
      <w:r>
        <w:rPr>
          <w:rFonts w:ascii="Calibri" w:cs="Calibri" w:eastAsia="Calibri" w:hAnsi="Calibri"/>
          <w:sz w:val="17"/>
          <w:szCs w:val="17"/>
          <w:color w:val="auto"/>
        </w:rPr>
        <w:t>Mr. Bhalla has served as our Executve Vice President and Business Head, Insurance since January 2014 and as our Head of Outsourcing since November 2009. He previously served as Vice President, Operatons of EXL India from June 2006 to October 2009 and as Vice President, Migratons, Quality and Process Excellence of EXL India from April 2002 to June 2006 and as Director, Quality Initatves of EXL India from May 2001 to March 2002. From May 1998 to May 2001, Mr. Bhalla served in various capacites at General Electric, including as the Quality Leader and E-Business Leader for GE Plastcs India. Mr. Bhalla is based in Delhi, India.</w:t>
      </w:r>
    </w:p>
    <w:p>
      <w:pPr>
        <w:spacing w:after="0" w:line="328"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300" w:type="dxa"/>
            <w:vAlign w:val="bottom"/>
          </w:tcPr>
          <w:p>
            <w:pPr>
              <w:spacing w:after="0"/>
              <w:rPr>
                <w:sz w:val="18"/>
                <w:szCs w:val="18"/>
                <w:color w:val="auto"/>
              </w:rPr>
            </w:pPr>
          </w:p>
        </w:tc>
        <w:tc>
          <w:tcPr>
            <w:tcW w:w="2700" w:type="dxa"/>
            <w:vAlign w:val="bottom"/>
          </w:tcPr>
          <w:p>
            <w:pPr>
              <w:ind w:left="960"/>
              <w:spacing w:after="0"/>
              <w:rPr>
                <w:sz w:val="20"/>
                <w:szCs w:val="20"/>
                <w:color w:val="auto"/>
              </w:rPr>
            </w:pPr>
            <w:r>
              <w:rPr>
                <w:rFonts w:ascii="Calibri" w:cs="Calibri" w:eastAsia="Calibri" w:hAnsi="Calibri"/>
                <w:sz w:val="17"/>
                <w:szCs w:val="17"/>
                <w:b w:val="1"/>
                <w:bCs w:val="1"/>
                <w:color w:val="auto"/>
              </w:rPr>
              <w:t xml:space="preserve">Vivek Jetley </w:t>
            </w:r>
            <w:r>
              <w:rPr>
                <w:rFonts w:ascii="Calibri" w:cs="Calibri" w:eastAsia="Calibri" w:hAnsi="Calibri"/>
                <w:sz w:val="17"/>
                <w:szCs w:val="17"/>
                <w:color w:val="auto"/>
              </w:rPr>
              <w:t>(age 47)</w:t>
            </w:r>
            <w:r>
              <w:rPr>
                <w:rFonts w:ascii="Calibri" w:cs="Calibri" w:eastAsia="Calibri" w:hAnsi="Calibri"/>
                <w:sz w:val="17"/>
                <w:szCs w:val="17"/>
                <w:b w:val="1"/>
                <w:bCs w:val="1"/>
                <w:color w:val="auto"/>
              </w:rPr>
              <w:t xml:space="preserve">  </w:t>
            </w:r>
            <w:r>
              <w:rPr>
                <w:rFonts w:ascii="Calibri" w:cs="Calibri" w:eastAsia="Calibri" w:hAnsi="Calibri"/>
                <w:sz w:val="17"/>
                <w:szCs w:val="17"/>
                <w:color w:val="FB4E0B"/>
              </w:rPr>
              <w:t>|</w:t>
            </w:r>
          </w:p>
        </w:tc>
        <w:tc>
          <w:tcPr>
            <w:tcW w:w="6940" w:type="dxa"/>
            <w:vAlign w:val="bottom"/>
          </w:tcPr>
          <w:p>
            <w:pPr>
              <w:ind w:left="80"/>
              <w:spacing w:after="0"/>
              <w:rPr>
                <w:sz w:val="20"/>
                <w:szCs w:val="20"/>
                <w:color w:val="auto"/>
              </w:rPr>
            </w:pPr>
            <w:r>
              <w:rPr>
                <w:rFonts w:ascii="Calibri" w:cs="Calibri" w:eastAsia="Calibri" w:hAnsi="Calibri"/>
                <w:sz w:val="17"/>
                <w:szCs w:val="17"/>
                <w:b w:val="1"/>
                <w:bCs w:val="1"/>
                <w:i w:val="1"/>
                <w:iCs w:val="1"/>
                <w:color w:val="auto"/>
              </w:rPr>
              <w:t>Executve Vice President and Business Head, Analytcs</w:t>
            </w:r>
          </w:p>
        </w:tc>
      </w:tr>
      <w:tr>
        <w:trPr>
          <w:trHeight w:val="208"/>
        </w:trPr>
        <w:tc>
          <w:tcPr>
            <w:tcW w:w="300" w:type="dxa"/>
            <w:vAlign w:val="bottom"/>
          </w:tcPr>
          <w:p>
            <w:pPr>
              <w:spacing w:after="0"/>
              <w:rPr>
                <w:sz w:val="18"/>
                <w:szCs w:val="18"/>
                <w:color w:val="auto"/>
              </w:rPr>
            </w:pPr>
          </w:p>
        </w:tc>
        <w:tc>
          <w:tcPr>
            <w:tcW w:w="9640" w:type="dxa"/>
            <w:vAlign w:val="bottom"/>
            <w:gridSpan w:val="2"/>
          </w:tcPr>
          <w:p>
            <w:pPr>
              <w:ind w:left="960"/>
              <w:spacing w:after="0"/>
              <w:rPr>
                <w:sz w:val="20"/>
                <w:szCs w:val="20"/>
                <w:color w:val="auto"/>
              </w:rPr>
            </w:pPr>
            <w:r>
              <w:rPr>
                <w:rFonts w:ascii="Calibri" w:cs="Calibri" w:eastAsia="Calibri" w:hAnsi="Calibri"/>
                <w:sz w:val="17"/>
                <w:szCs w:val="17"/>
                <w:color w:val="auto"/>
              </w:rPr>
              <w:t>Mr. Jetley has served as our Executve Vice President and Business Head, Analytcs since January 2020. He previously served in</w:t>
            </w:r>
          </w:p>
        </w:tc>
      </w:tr>
      <w:tr>
        <w:trPr>
          <w:trHeight w:val="208"/>
        </w:trPr>
        <w:tc>
          <w:tcPr>
            <w:tcW w:w="300" w:type="dxa"/>
            <w:vAlign w:val="bottom"/>
          </w:tcPr>
          <w:p>
            <w:pPr>
              <w:spacing w:after="0"/>
              <w:rPr>
                <w:sz w:val="18"/>
                <w:szCs w:val="18"/>
                <w:color w:val="auto"/>
              </w:rPr>
            </w:pPr>
          </w:p>
        </w:tc>
        <w:tc>
          <w:tcPr>
            <w:tcW w:w="9640" w:type="dxa"/>
            <w:vAlign w:val="bottom"/>
            <w:gridSpan w:val="2"/>
          </w:tcPr>
          <w:p>
            <w:pPr>
              <w:ind w:left="960"/>
              <w:spacing w:after="0"/>
              <w:rPr>
                <w:sz w:val="20"/>
                <w:szCs w:val="20"/>
                <w:color w:val="auto"/>
              </w:rPr>
            </w:pPr>
            <w:r>
              <w:rPr>
                <w:rFonts w:ascii="Calibri" w:cs="Calibri" w:eastAsia="Calibri" w:hAnsi="Calibri"/>
                <w:sz w:val="17"/>
                <w:szCs w:val="17"/>
                <w:color w:val="auto"/>
                <w:w w:val="99"/>
              </w:rPr>
              <w:t>various leadership roles with us, including heading enterprise strategy and setng up a strategic deal team. Mr. Jetley has been</w:t>
            </w:r>
          </w:p>
        </w:tc>
      </w:tr>
      <w:tr>
        <w:trPr>
          <w:trHeight w:val="208"/>
        </w:trPr>
        <w:tc>
          <w:tcPr>
            <w:tcW w:w="300" w:type="dxa"/>
            <w:vAlign w:val="bottom"/>
          </w:tcPr>
          <w:p>
            <w:pPr>
              <w:spacing w:after="0"/>
              <w:rPr>
                <w:sz w:val="18"/>
                <w:szCs w:val="18"/>
                <w:color w:val="auto"/>
              </w:rPr>
            </w:pPr>
          </w:p>
        </w:tc>
        <w:tc>
          <w:tcPr>
            <w:tcW w:w="9640" w:type="dxa"/>
            <w:vAlign w:val="bottom"/>
            <w:gridSpan w:val="2"/>
          </w:tcPr>
          <w:p>
            <w:pPr>
              <w:ind w:left="960"/>
              <w:spacing w:after="0"/>
              <w:rPr>
                <w:sz w:val="20"/>
                <w:szCs w:val="20"/>
                <w:color w:val="auto"/>
              </w:rPr>
            </w:pPr>
            <w:r>
              <w:rPr>
                <w:rFonts w:ascii="Calibri" w:cs="Calibri" w:eastAsia="Calibri" w:hAnsi="Calibri"/>
                <w:sz w:val="17"/>
                <w:szCs w:val="17"/>
                <w:color w:val="auto"/>
              </w:rPr>
              <w:t>with EXL since 2006. Prior to joining us, Mr. Jetley was a Partner at Inducts.</w:t>
            </w:r>
          </w:p>
        </w:tc>
      </w:tr>
      <w:tr>
        <w:trPr>
          <w:trHeight w:val="898"/>
        </w:trPr>
        <w:tc>
          <w:tcPr>
            <w:tcW w:w="300" w:type="dxa"/>
            <w:vAlign w:val="bottom"/>
          </w:tcPr>
          <w:p>
            <w:pPr>
              <w:spacing w:after="0"/>
              <w:rPr>
                <w:sz w:val="24"/>
                <w:szCs w:val="24"/>
                <w:color w:val="auto"/>
              </w:rPr>
            </w:pPr>
          </w:p>
        </w:tc>
        <w:tc>
          <w:tcPr>
            <w:tcW w:w="2700" w:type="dxa"/>
            <w:vAlign w:val="bottom"/>
          </w:tcPr>
          <w:p>
            <w:pPr>
              <w:ind w:left="960"/>
              <w:spacing w:after="0"/>
              <w:rPr>
                <w:sz w:val="20"/>
                <w:szCs w:val="20"/>
                <w:color w:val="auto"/>
              </w:rPr>
            </w:pPr>
            <w:r>
              <w:rPr>
                <w:rFonts w:ascii="Calibri" w:cs="Calibri" w:eastAsia="Calibri" w:hAnsi="Calibri"/>
                <w:sz w:val="17"/>
                <w:szCs w:val="17"/>
                <w:b w:val="1"/>
                <w:bCs w:val="1"/>
                <w:color w:val="auto"/>
              </w:rPr>
              <w:t xml:space="preserve">Narasimha Kini </w:t>
            </w:r>
            <w:r>
              <w:rPr>
                <w:rFonts w:ascii="Calibri" w:cs="Calibri" w:eastAsia="Calibri" w:hAnsi="Calibri"/>
                <w:sz w:val="17"/>
                <w:szCs w:val="17"/>
                <w:color w:val="auto"/>
              </w:rPr>
              <w:t>(age 53)</w:t>
            </w:r>
          </w:p>
        </w:tc>
        <w:tc>
          <w:tcPr>
            <w:tcW w:w="6940" w:type="dxa"/>
            <w:vAlign w:val="bottom"/>
          </w:tcPr>
          <w:p>
            <w:pPr>
              <w:ind w:left="80"/>
              <w:spacing w:after="0"/>
              <w:rPr>
                <w:sz w:val="20"/>
                <w:szCs w:val="20"/>
                <w:color w:val="auto"/>
              </w:rPr>
            </w:pPr>
            <w:r>
              <w:rPr>
                <w:rFonts w:ascii="Calibri" w:cs="Calibri" w:eastAsia="Calibri" w:hAnsi="Calibri"/>
                <w:sz w:val="17"/>
                <w:szCs w:val="17"/>
                <w:color w:val="FB4E0B"/>
              </w:rPr>
              <w:t xml:space="preserve">|  </w:t>
            </w:r>
            <w:r>
              <w:rPr>
                <w:rFonts w:ascii="Calibri" w:cs="Calibri" w:eastAsia="Calibri" w:hAnsi="Calibri"/>
                <w:sz w:val="17"/>
                <w:szCs w:val="17"/>
                <w:b w:val="1"/>
                <w:bCs w:val="1"/>
                <w:i w:val="1"/>
                <w:iCs w:val="1"/>
                <w:color w:val="000000"/>
              </w:rPr>
              <w:t>Executve Vice President and Business Head, Emerging Business</w:t>
            </w:r>
          </w:p>
        </w:tc>
      </w:tr>
      <w:tr>
        <w:trPr>
          <w:trHeight w:val="208"/>
        </w:trPr>
        <w:tc>
          <w:tcPr>
            <w:tcW w:w="300" w:type="dxa"/>
            <w:vAlign w:val="bottom"/>
          </w:tcPr>
          <w:p>
            <w:pPr>
              <w:spacing w:after="0"/>
              <w:rPr>
                <w:sz w:val="18"/>
                <w:szCs w:val="18"/>
                <w:color w:val="auto"/>
              </w:rPr>
            </w:pPr>
          </w:p>
        </w:tc>
        <w:tc>
          <w:tcPr>
            <w:tcW w:w="9640" w:type="dxa"/>
            <w:vAlign w:val="bottom"/>
            <w:gridSpan w:val="2"/>
          </w:tcPr>
          <w:p>
            <w:pPr>
              <w:ind w:left="960"/>
              <w:spacing w:after="0"/>
              <w:rPr>
                <w:sz w:val="20"/>
                <w:szCs w:val="20"/>
                <w:color w:val="auto"/>
              </w:rPr>
            </w:pPr>
            <w:r>
              <w:rPr>
                <w:rFonts w:ascii="Calibri" w:cs="Calibri" w:eastAsia="Calibri" w:hAnsi="Calibri"/>
                <w:sz w:val="17"/>
                <w:szCs w:val="17"/>
                <w:color w:val="auto"/>
              </w:rPr>
              <w:t>Mr. Kini has served as our Executve Vice President and Business Head, Emerging Business since October 2021. He previously</w:t>
            </w:r>
          </w:p>
        </w:tc>
      </w:tr>
      <w:tr>
        <w:trPr>
          <w:trHeight w:val="208"/>
        </w:trPr>
        <w:tc>
          <w:tcPr>
            <w:tcW w:w="300" w:type="dxa"/>
            <w:vAlign w:val="bottom"/>
          </w:tcPr>
          <w:p>
            <w:pPr>
              <w:spacing w:after="0"/>
              <w:rPr>
                <w:sz w:val="18"/>
                <w:szCs w:val="18"/>
                <w:color w:val="auto"/>
              </w:rPr>
            </w:pPr>
          </w:p>
        </w:tc>
        <w:tc>
          <w:tcPr>
            <w:tcW w:w="9640" w:type="dxa"/>
            <w:vAlign w:val="bottom"/>
            <w:gridSpan w:val="2"/>
          </w:tcPr>
          <w:p>
            <w:pPr>
              <w:ind w:left="960"/>
              <w:spacing w:after="0"/>
              <w:rPr>
                <w:sz w:val="20"/>
                <w:szCs w:val="20"/>
                <w:color w:val="auto"/>
              </w:rPr>
            </w:pPr>
            <w:r>
              <w:rPr>
                <w:rFonts w:ascii="Calibri" w:cs="Calibri" w:eastAsia="Calibri" w:hAnsi="Calibri"/>
                <w:sz w:val="17"/>
                <w:szCs w:val="17"/>
                <w:color w:val="auto"/>
              </w:rPr>
              <w:t>served in several leadership roles with us, including in our strategic initatves and fnance and accountng services. Mr. Kini has</w:t>
            </w:r>
          </w:p>
        </w:tc>
      </w:tr>
      <w:tr>
        <w:trPr>
          <w:trHeight w:val="208"/>
        </w:trPr>
        <w:tc>
          <w:tcPr>
            <w:tcW w:w="300" w:type="dxa"/>
            <w:vAlign w:val="bottom"/>
          </w:tcPr>
          <w:p>
            <w:pPr>
              <w:spacing w:after="0"/>
              <w:rPr>
                <w:sz w:val="18"/>
                <w:szCs w:val="18"/>
                <w:color w:val="auto"/>
              </w:rPr>
            </w:pPr>
          </w:p>
        </w:tc>
        <w:tc>
          <w:tcPr>
            <w:tcW w:w="9640" w:type="dxa"/>
            <w:vAlign w:val="bottom"/>
            <w:gridSpan w:val="2"/>
          </w:tcPr>
          <w:p>
            <w:pPr>
              <w:ind w:left="960"/>
              <w:spacing w:after="0"/>
              <w:rPr>
                <w:sz w:val="20"/>
                <w:szCs w:val="20"/>
                <w:color w:val="auto"/>
              </w:rPr>
            </w:pPr>
            <w:r>
              <w:rPr>
                <w:rFonts w:ascii="Calibri" w:cs="Calibri" w:eastAsia="Calibri" w:hAnsi="Calibri"/>
                <w:sz w:val="17"/>
                <w:szCs w:val="17"/>
                <w:color w:val="auto"/>
              </w:rPr>
              <w:t>been with EXL since 2001. Prior to joining us, Mr. Kini was a Finance Leader at Willis Faber.</w:t>
            </w:r>
          </w:p>
        </w:tc>
      </w:tr>
      <w:tr>
        <w:trPr>
          <w:trHeight w:val="846"/>
        </w:trPr>
        <w:tc>
          <w:tcPr>
            <w:tcW w:w="300" w:type="dxa"/>
            <w:vAlign w:val="bottom"/>
          </w:tcPr>
          <w:p>
            <w:pPr>
              <w:jc w:val="right"/>
              <w:ind w:right="53"/>
              <w:spacing w:after="0"/>
              <w:rPr>
                <w:sz w:val="20"/>
                <w:szCs w:val="20"/>
                <w:color w:val="auto"/>
              </w:rPr>
            </w:pPr>
            <w:r>
              <w:rPr>
                <w:rFonts w:ascii="Calibri" w:cs="Calibri" w:eastAsia="Calibri" w:hAnsi="Calibri"/>
                <w:sz w:val="17"/>
                <w:szCs w:val="17"/>
                <w:b w:val="1"/>
                <w:bCs w:val="1"/>
                <w:color w:val="auto"/>
                <w:w w:val="80"/>
              </w:rPr>
              <w:t>58</w:t>
            </w:r>
          </w:p>
        </w:tc>
        <w:tc>
          <w:tcPr>
            <w:tcW w:w="2700" w:type="dxa"/>
            <w:vAlign w:val="bottom"/>
          </w:tcPr>
          <w:p>
            <w:pPr>
              <w:ind w:left="12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2022 Proxy Statement</w:t>
            </w:r>
          </w:p>
        </w:tc>
        <w:tc>
          <w:tcPr>
            <w:tcW w:w="6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-2016760</wp:posOffset>
            </wp:positionV>
            <wp:extent cx="760095" cy="7600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0095" cy="76009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-1050290</wp:posOffset>
            </wp:positionV>
            <wp:extent cx="760095" cy="7600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sectPr>
          <w:pgSz w:w="11900" w:h="16838" w:orient="portrait"/>
          <w:cols w:equalWidth="0" w:num="1">
            <w:col w:w="10900"/>
          </w:cols>
          <w:pgMar w:left="320" w:top="445" w:right="6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Our executve ofcers</w:t>
      </w:r>
    </w:p>
    <w:p>
      <w:pPr>
        <w:spacing w:after="0" w:line="139" w:lineRule="exact"/>
        <w:rPr>
          <w:sz w:val="20"/>
          <w:szCs w:val="20"/>
          <w:color w:val="auto"/>
        </w:rPr>
      </w:pPr>
    </w:p>
    <w:p>
      <w:pPr>
        <w:ind w:left="2440"/>
        <w:spacing w:after="0"/>
        <w:tabs>
          <w:tab w:leader="none" w:pos="4100" w:val="left"/>
          <w:tab w:leader="none" w:pos="4320" w:val="left"/>
        </w:tabs>
        <w:rPr>
          <w:sz w:val="20"/>
          <w:szCs w:val="20"/>
          <w:color w:val="auto"/>
        </w:rPr>
      </w:pPr>
      <w:r>
        <w:rPr>
          <w:rFonts w:ascii="Calibri" w:cs="Calibri" w:eastAsia="Calibri" w:hAnsi="Calibri"/>
          <w:sz w:val="17"/>
          <w:szCs w:val="17"/>
          <w:b w:val="1"/>
          <w:bCs w:val="1"/>
          <w:color w:val="auto"/>
        </w:rPr>
        <w:t xml:space="preserve">Anita Mahon </w:t>
      </w:r>
      <w:r>
        <w:rPr>
          <w:rFonts w:ascii="Calibri" w:cs="Calibri" w:eastAsia="Calibri" w:hAnsi="Calibri"/>
          <w:sz w:val="17"/>
          <w:szCs w:val="17"/>
          <w:color w:val="auto"/>
        </w:rPr>
        <w:t>(age 53)</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and Chief Growth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440" w:right="100"/>
        <w:spacing w:after="0"/>
        <w:rPr>
          <w:sz w:val="20"/>
          <w:szCs w:val="20"/>
          <w:color w:val="auto"/>
        </w:rPr>
      </w:pPr>
      <w:r>
        <w:rPr>
          <w:rFonts w:ascii="Calibri" w:cs="Calibri" w:eastAsia="Calibri" w:hAnsi="Calibri"/>
          <w:sz w:val="17"/>
          <w:szCs w:val="17"/>
          <w:color w:val="auto"/>
        </w:rPr>
        <w:t>Ms. Mahon has served as our Executve Vice President and Chief Growth Ofcer since March 2020. Prior to joining us, Ms. Mahon served as Vice President, Data, Strategy &amp; Portolio Ofcer at IBM Watson Health, a business unit focused on developing cognitve and data-driven technologies to advance health. Ms. Mahon joined IBM in 2016 through its acquisiton of Truven Health Analytcs, a healthcare informaton and analytcs business, where she served as Chief Strategy Ofcer. Prior to Truven, she held other leadership roles that placed her at the intersecton of strategy, technology and analytcs.</w:t>
      </w:r>
    </w:p>
    <w:p>
      <w:pPr>
        <w:spacing w:after="0" w:line="328" w:lineRule="exact"/>
        <w:rPr>
          <w:sz w:val="20"/>
          <w:szCs w:val="20"/>
          <w:color w:val="auto"/>
        </w:rPr>
      </w:pPr>
    </w:p>
    <w:p>
      <w:pPr>
        <w:ind w:left="2440"/>
        <w:spacing w:after="0"/>
        <w:tabs>
          <w:tab w:leader="none" w:pos="4280" w:val="left"/>
          <w:tab w:leader="none" w:pos="4500" w:val="left"/>
        </w:tabs>
        <w:rPr>
          <w:sz w:val="20"/>
          <w:szCs w:val="20"/>
          <w:color w:val="auto"/>
        </w:rPr>
      </w:pPr>
      <w:r>
        <w:rPr>
          <w:rFonts w:ascii="Calibri" w:cs="Calibri" w:eastAsia="Calibri" w:hAnsi="Calibri"/>
          <w:sz w:val="17"/>
          <w:szCs w:val="17"/>
          <w:b w:val="1"/>
          <w:bCs w:val="1"/>
          <w:color w:val="auto"/>
        </w:rPr>
        <w:t xml:space="preserve">Samuel Meckey </w:t>
      </w:r>
      <w:r>
        <w:rPr>
          <w:rFonts w:ascii="Calibri" w:cs="Calibri" w:eastAsia="Calibri" w:hAnsi="Calibri"/>
          <w:sz w:val="17"/>
          <w:szCs w:val="17"/>
          <w:color w:val="auto"/>
        </w:rPr>
        <w:t>(age 51)</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and Business Head,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440" w:right="80"/>
        <w:spacing w:after="0"/>
        <w:rPr>
          <w:sz w:val="20"/>
          <w:szCs w:val="20"/>
          <w:color w:val="auto"/>
        </w:rPr>
      </w:pPr>
      <w:r>
        <w:rPr>
          <w:rFonts w:ascii="Calibri" w:cs="Calibri" w:eastAsia="Calibri" w:hAnsi="Calibri"/>
          <w:sz w:val="17"/>
          <w:szCs w:val="17"/>
          <w:color w:val="auto"/>
        </w:rPr>
        <w:t>Mr. Meckey has served as an Executve Vice President since November 2018 and as Business Head, Healthcare beginning in 2019. Prior to joining us, Mr. Meckey served as President of UnitedHealth Group’s Optum Global Solutons and before that has held various executve roles at UnitedHealth Group, where he was employed from May 2004 to June 2018. Prior to joining UnitedHealth Group, Mr. Meckey was an ofcer and naval aviator in the United States Navy from May 1992 to August 2002.</w:t>
      </w:r>
    </w:p>
    <w:p>
      <w:pPr>
        <w:spacing w:after="0" w:line="327" w:lineRule="exact"/>
        <w:rPr>
          <w:sz w:val="20"/>
          <w:szCs w:val="20"/>
          <w:color w:val="auto"/>
        </w:rPr>
      </w:pPr>
    </w:p>
    <w:p>
      <w:pPr>
        <w:ind w:left="2440"/>
        <w:spacing w:after="0"/>
        <w:tabs>
          <w:tab w:leader="none" w:pos="4120" w:val="left"/>
          <w:tab w:leader="none" w:pos="4340" w:val="left"/>
        </w:tabs>
        <w:rPr>
          <w:sz w:val="20"/>
          <w:szCs w:val="20"/>
          <w:color w:val="auto"/>
        </w:rPr>
      </w:pPr>
      <w:r>
        <w:rPr>
          <w:rFonts w:ascii="Calibri" w:cs="Calibri" w:eastAsia="Calibri" w:hAnsi="Calibri"/>
          <w:sz w:val="17"/>
          <w:szCs w:val="17"/>
          <w:b w:val="1"/>
          <w:bCs w:val="1"/>
          <w:color w:val="auto"/>
        </w:rPr>
        <w:t xml:space="preserve">Nalin Miglani </w:t>
      </w:r>
      <w:r>
        <w:rPr>
          <w:rFonts w:ascii="Calibri" w:cs="Calibri" w:eastAsia="Calibri" w:hAnsi="Calibri"/>
          <w:sz w:val="17"/>
          <w:szCs w:val="17"/>
          <w:color w:val="auto"/>
        </w:rPr>
        <w:t>(age 61)</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and Chief Human Resource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440" w:right="80"/>
        <w:spacing w:after="0"/>
        <w:rPr>
          <w:sz w:val="20"/>
          <w:szCs w:val="20"/>
          <w:color w:val="auto"/>
        </w:rPr>
      </w:pPr>
      <w:r>
        <w:rPr>
          <w:rFonts w:ascii="Calibri" w:cs="Calibri" w:eastAsia="Calibri" w:hAnsi="Calibri"/>
          <w:sz w:val="17"/>
          <w:szCs w:val="17"/>
          <w:color w:val="auto"/>
        </w:rPr>
        <w:t>Mr. Miglani has served as our Executve Vice President, Chief Human Resource Ofcer since December 2014. Mr. Miglani is responsible for the global human resources functon at the Company. Prior to joining the Company, he was the Chief HR and Corporate Development Ofcer for Nutreco, based in Amsterdam, Netherlands, from March 2013 to November 2014. Mr. Miglani also served as the Chief HR and Communicatons Ofcer for Tata Global Beverages Company, London, UK, from June 2008 to February 2013. In additon, Mr. Miglani held various global and regional HR leadership roles around the world during his career at The Coca-Cola Company and Britsh American Tobacco.</w:t>
      </w:r>
    </w:p>
    <w:p>
      <w:pPr>
        <w:spacing w:after="0" w:line="328" w:lineRule="exact"/>
        <w:rPr>
          <w:sz w:val="20"/>
          <w:szCs w:val="20"/>
          <w:color w:val="auto"/>
        </w:rPr>
      </w:pPr>
    </w:p>
    <w:p>
      <w:pPr>
        <w:ind w:left="2440"/>
        <w:spacing w:after="0"/>
        <w:tabs>
          <w:tab w:leader="none" w:pos="4400" w:val="left"/>
          <w:tab w:leader="none" w:pos="4640" w:val="left"/>
        </w:tabs>
        <w:rPr>
          <w:sz w:val="20"/>
          <w:szCs w:val="20"/>
          <w:color w:val="auto"/>
        </w:rPr>
      </w:pPr>
      <w:r>
        <w:rPr>
          <w:rFonts w:ascii="Calibri" w:cs="Calibri" w:eastAsia="Calibri" w:hAnsi="Calibri"/>
          <w:sz w:val="17"/>
          <w:szCs w:val="17"/>
          <w:b w:val="1"/>
          <w:bCs w:val="1"/>
          <w:color w:val="auto"/>
        </w:rPr>
        <w:t xml:space="preserve">Maurizio Nicolelli </w:t>
      </w:r>
      <w:r>
        <w:rPr>
          <w:rFonts w:ascii="Calibri" w:cs="Calibri" w:eastAsia="Calibri" w:hAnsi="Calibri"/>
          <w:sz w:val="17"/>
          <w:szCs w:val="17"/>
          <w:color w:val="auto"/>
        </w:rPr>
        <w:t>(age 53)</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and 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440" w:right="120"/>
        <w:spacing w:after="0"/>
        <w:rPr>
          <w:sz w:val="20"/>
          <w:szCs w:val="20"/>
          <w:color w:val="auto"/>
        </w:rPr>
      </w:pPr>
      <w:r>
        <w:rPr>
          <w:rFonts w:ascii="Calibri" w:cs="Calibri" w:eastAsia="Calibri" w:hAnsi="Calibri"/>
          <w:sz w:val="17"/>
          <w:szCs w:val="17"/>
          <w:color w:val="auto"/>
        </w:rPr>
        <w:t>Mr. Nicolelli has served as our Executve Vice President and Chief Financial Ofcer since February 2020. Prior to joining the Company, Mr. Nicolelli served as Senior Vice President and Chief Financial Ofcer of Casa Systems beginning in 2019. He previously served 23 years at FactSet Research Systems, where he was Senior Vice President, Principal and Chief Financial Ofcer from 2009 to 2018.</w:t>
      </w:r>
    </w:p>
    <w:p>
      <w:pPr>
        <w:spacing w:after="0" w:line="200" w:lineRule="exact"/>
        <w:rPr>
          <w:sz w:val="20"/>
          <w:szCs w:val="20"/>
          <w:color w:val="auto"/>
        </w:rPr>
      </w:pPr>
    </w:p>
    <w:p>
      <w:pPr>
        <w:spacing w:after="0" w:line="282" w:lineRule="exact"/>
        <w:rPr>
          <w:sz w:val="20"/>
          <w:szCs w:val="20"/>
          <w:color w:val="auto"/>
        </w:rPr>
      </w:pPr>
    </w:p>
    <w:p>
      <w:pPr>
        <w:ind w:left="2440"/>
        <w:spacing w:after="0"/>
        <w:tabs>
          <w:tab w:leader="none" w:pos="3860" w:val="left"/>
          <w:tab w:leader="none" w:pos="4080" w:val="left"/>
        </w:tabs>
        <w:rPr>
          <w:sz w:val="20"/>
          <w:szCs w:val="20"/>
          <w:color w:val="auto"/>
        </w:rPr>
      </w:pPr>
      <w:r>
        <w:rPr>
          <w:rFonts w:ascii="Calibri" w:cs="Calibri" w:eastAsia="Calibri" w:hAnsi="Calibri"/>
          <w:sz w:val="17"/>
          <w:szCs w:val="17"/>
          <w:b w:val="1"/>
          <w:bCs w:val="1"/>
          <w:color w:val="auto"/>
        </w:rPr>
        <w:t xml:space="preserve">Ankor Rai </w:t>
      </w:r>
      <w:r>
        <w:rPr>
          <w:rFonts w:ascii="Calibri" w:cs="Calibri" w:eastAsia="Calibri" w:hAnsi="Calibri"/>
          <w:sz w:val="17"/>
          <w:szCs w:val="17"/>
          <w:color w:val="auto"/>
        </w:rPr>
        <w:t>(age 46)</w:t>
      </w:r>
      <w:r>
        <w:rPr>
          <w:sz w:val="20"/>
          <w:szCs w:val="20"/>
          <w:color w:val="auto"/>
        </w:rPr>
        <w:tab/>
      </w:r>
      <w:r>
        <w:rPr>
          <w:rFonts w:ascii="Calibri" w:cs="Calibri" w:eastAsia="Calibri" w:hAnsi="Calibri"/>
          <w:sz w:val="17"/>
          <w:szCs w:val="17"/>
          <w:color w:val="FB4E0B"/>
        </w:rPr>
        <w:t>|</w:t>
      </w:r>
      <w:r>
        <w:rPr>
          <w:sz w:val="20"/>
          <w:szCs w:val="20"/>
          <w:color w:val="auto"/>
        </w:rPr>
        <w:tab/>
      </w:r>
      <w:r>
        <w:rPr>
          <w:rFonts w:ascii="Calibri" w:cs="Calibri" w:eastAsia="Calibri" w:hAnsi="Calibri"/>
          <w:sz w:val="17"/>
          <w:szCs w:val="17"/>
          <w:b w:val="1"/>
          <w:bCs w:val="1"/>
          <w:i w:val="1"/>
          <w:iCs w:val="1"/>
          <w:color w:val="auto"/>
        </w:rPr>
        <w:t>Executve Vice President and Chief Digital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-116840</wp:posOffset>
            </wp:positionV>
            <wp:extent cx="760095" cy="7600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0095" cy="760095"/>
                    </a:xfrm>
                    <a:prstGeom prst="rect">
                      <a:avLst/>
                    </a:prstGeom>
                    <a:noFill/>
                  </pic:spPr>
                </pic:pic>
              </a:graphicData>
            </a:graphic>
          </wp:anchor>
        </w:drawing>
      </w:r>
    </w:p>
    <w:p>
      <w:pPr>
        <w:ind w:left="2440" w:right="180"/>
        <w:spacing w:after="0" w:line="239" w:lineRule="auto"/>
        <w:rPr>
          <w:sz w:val="20"/>
          <w:szCs w:val="20"/>
          <w:color w:val="auto"/>
        </w:rPr>
      </w:pPr>
      <w:r>
        <w:rPr>
          <w:rFonts w:ascii="Calibri" w:cs="Calibri" w:eastAsia="Calibri" w:hAnsi="Calibri"/>
          <w:sz w:val="17"/>
          <w:szCs w:val="17"/>
          <w:color w:val="auto"/>
        </w:rPr>
        <w:t>Mr. Rai has served as our Executve Vice President and Chief Digital Ofcer since October 2021. He previously served in several leadership roles with us, including as the global co-head of our Analytcs business. Mr. Rai has been with EXL since 2006. Prior to joining us, Mr. Rai was a Partner at Inducts.</w:t>
      </w:r>
    </w:p>
    <w:p>
      <w:pPr>
        <w:spacing w:after="0" w:line="200" w:lineRule="exact"/>
        <w:rPr>
          <w:sz w:val="20"/>
          <w:szCs w:val="20"/>
          <w:color w:val="auto"/>
        </w:rPr>
      </w:pPr>
    </w:p>
    <w:p>
      <w:pPr>
        <w:spacing w:after="0" w:line="306"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59</w:t>
            </w:r>
          </w:p>
        </w:tc>
      </w:tr>
    </w:tbl>
    <w:p>
      <w:pPr>
        <w:sectPr>
          <w:pgSz w:w="11900" w:h="16838" w:orient="portrait"/>
          <w:cols w:equalWidth="0" w:num="1">
            <w:col w:w="10940"/>
          </w:cols>
          <w:pgMar w:left="320" w:top="445"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Executve compensaton</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Compensaton Discussion and Analysis</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Table of Contents</w:t>
      </w: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4340" w:type="dxa"/>
            <w:vAlign w:val="bottom"/>
            <w:gridSpan w:val="26"/>
          </w:tcPr>
          <w:p>
            <w:pPr>
              <w:spacing w:after="0"/>
              <w:rPr>
                <w:sz w:val="20"/>
                <w:szCs w:val="20"/>
                <w:color w:val="auto"/>
              </w:rPr>
            </w:pPr>
            <w:r>
              <w:rPr>
                <w:rFonts w:ascii="Calibri" w:cs="Calibri" w:eastAsia="Calibri" w:hAnsi="Calibri"/>
                <w:sz w:val="16"/>
                <w:szCs w:val="16"/>
                <w:b w:val="1"/>
                <w:bCs w:val="1"/>
                <w:color w:val="0000EE"/>
              </w:rPr>
              <w:t>Named executve ofcers</w:t>
            </w: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62</w:t>
            </w:r>
          </w:p>
        </w:tc>
      </w:tr>
      <w:tr>
        <w:trPr>
          <w:trHeight w:val="279"/>
        </w:trPr>
        <w:tc>
          <w:tcPr>
            <w:tcW w:w="1260" w:type="dxa"/>
            <w:vAlign w:val="bottom"/>
            <w:tcBorders>
              <w:top w:val="single" w:sz="8" w:color="0000EE"/>
              <w:bottom w:val="single" w:sz="8" w:color="0000EE"/>
            </w:tcBorders>
            <w:gridSpan w:val="7"/>
          </w:tcPr>
          <w:p>
            <w:pPr>
              <w:spacing w:after="0"/>
              <w:rPr>
                <w:sz w:val="20"/>
                <w:szCs w:val="20"/>
                <w:color w:val="auto"/>
              </w:rPr>
            </w:pPr>
            <w:r>
              <w:rPr>
                <w:rFonts w:ascii="Calibri" w:cs="Calibri" w:eastAsia="Calibri" w:hAnsi="Calibri"/>
                <w:sz w:val="16"/>
                <w:szCs w:val="16"/>
                <w:b w:val="1"/>
                <w:bCs w:val="1"/>
                <w:color w:val="0000EE"/>
                <w:w w:val="98"/>
              </w:rPr>
              <w:t>Executve summary</w:t>
            </w:r>
          </w:p>
        </w:tc>
        <w:tc>
          <w:tcPr>
            <w:tcW w:w="420" w:type="dxa"/>
            <w:vAlign w:val="bottom"/>
            <w:tcBorders>
              <w:top w:val="single" w:sz="8" w:color="0000EE"/>
            </w:tcBorders>
            <w:gridSpan w:val="4"/>
          </w:tcPr>
          <w:p>
            <w:pPr>
              <w:spacing w:after="0"/>
              <w:rPr>
                <w:sz w:val="24"/>
                <w:szCs w:val="24"/>
                <w:color w:val="auto"/>
              </w:rPr>
            </w:pPr>
          </w:p>
        </w:tc>
        <w:tc>
          <w:tcPr>
            <w:tcW w:w="2660" w:type="dxa"/>
            <w:vAlign w:val="bottom"/>
            <w:gridSpan w:val="15"/>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62</w:t>
            </w:r>
          </w:p>
        </w:tc>
      </w:tr>
      <w:tr>
        <w:trPr>
          <w:trHeight w:val="279"/>
        </w:trPr>
        <w:tc>
          <w:tcPr>
            <w:tcW w:w="180" w:type="dxa"/>
            <w:vAlign w:val="bottom"/>
          </w:tcPr>
          <w:p>
            <w:pPr>
              <w:spacing w:after="0"/>
              <w:rPr>
                <w:sz w:val="24"/>
                <w:szCs w:val="24"/>
                <w:color w:val="auto"/>
              </w:rPr>
            </w:pPr>
          </w:p>
        </w:tc>
        <w:tc>
          <w:tcPr>
            <w:tcW w:w="2800" w:type="dxa"/>
            <w:vAlign w:val="bottom"/>
            <w:tcBorders>
              <w:bottom w:val="single" w:sz="8" w:color="0000EE"/>
            </w:tcBorders>
            <w:gridSpan w:val="18"/>
          </w:tcPr>
          <w:p>
            <w:pPr>
              <w:spacing w:after="0"/>
              <w:rPr>
                <w:sz w:val="20"/>
                <w:szCs w:val="20"/>
                <w:color w:val="auto"/>
              </w:rPr>
            </w:pPr>
            <w:r>
              <w:rPr>
                <w:rFonts w:ascii="Calibri" w:cs="Calibri" w:eastAsia="Calibri" w:hAnsi="Calibri"/>
                <w:sz w:val="16"/>
                <w:szCs w:val="16"/>
                <w:color w:val="0000EE"/>
                <w:w w:val="97"/>
              </w:rPr>
              <w:t>Select 2021 fnancial and business highlights</w:t>
            </w:r>
          </w:p>
        </w:tc>
        <w:tc>
          <w:tcPr>
            <w:tcW w:w="1360" w:type="dxa"/>
            <w:vAlign w:val="bottom"/>
            <w:gridSpan w:val="7"/>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color w:val="auto"/>
              </w:rPr>
              <w:t>62</w:t>
            </w:r>
          </w:p>
        </w:tc>
      </w:tr>
      <w:tr>
        <w:trPr>
          <w:trHeight w:val="279"/>
        </w:trPr>
        <w:tc>
          <w:tcPr>
            <w:tcW w:w="180" w:type="dxa"/>
            <w:vAlign w:val="bottom"/>
          </w:tcPr>
          <w:p>
            <w:pPr>
              <w:spacing w:after="0"/>
              <w:rPr>
                <w:sz w:val="24"/>
                <w:szCs w:val="24"/>
                <w:color w:val="auto"/>
              </w:rPr>
            </w:pPr>
          </w:p>
        </w:tc>
        <w:tc>
          <w:tcPr>
            <w:tcW w:w="4160" w:type="dxa"/>
            <w:vAlign w:val="bottom"/>
            <w:gridSpan w:val="25"/>
          </w:tcPr>
          <w:p>
            <w:pPr>
              <w:spacing w:after="0"/>
              <w:rPr>
                <w:sz w:val="20"/>
                <w:szCs w:val="20"/>
                <w:color w:val="auto"/>
              </w:rPr>
            </w:pPr>
            <w:r>
              <w:rPr>
                <w:rFonts w:ascii="Calibri" w:cs="Calibri" w:eastAsia="Calibri" w:hAnsi="Calibri"/>
                <w:sz w:val="16"/>
                <w:szCs w:val="16"/>
                <w:color w:val="0000EE"/>
              </w:rPr>
              <w:t>Total stockholder return</w:t>
            </w:r>
          </w:p>
        </w:tc>
        <w:tc>
          <w:tcPr>
            <w:tcW w:w="6240" w:type="dxa"/>
            <w:vAlign w:val="bottom"/>
          </w:tcPr>
          <w:p>
            <w:pPr>
              <w:jc w:val="right"/>
              <w:spacing w:after="0"/>
              <w:rPr>
                <w:sz w:val="20"/>
                <w:szCs w:val="20"/>
                <w:color w:val="auto"/>
              </w:rPr>
            </w:pPr>
            <w:r>
              <w:rPr>
                <w:rFonts w:ascii="Calibri" w:cs="Calibri" w:eastAsia="Calibri" w:hAnsi="Calibri"/>
                <w:sz w:val="16"/>
                <w:szCs w:val="16"/>
                <w:color w:val="auto"/>
              </w:rPr>
              <w:t>63</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79"/>
        </w:trPr>
        <w:tc>
          <w:tcPr>
            <w:tcW w:w="180" w:type="dxa"/>
            <w:vAlign w:val="bottom"/>
          </w:tcPr>
          <w:p>
            <w:pPr>
              <w:spacing w:after="0"/>
              <w:rPr>
                <w:sz w:val="24"/>
                <w:szCs w:val="24"/>
                <w:color w:val="auto"/>
              </w:rPr>
            </w:pPr>
          </w:p>
        </w:tc>
        <w:tc>
          <w:tcPr>
            <w:tcW w:w="4160" w:type="dxa"/>
            <w:vAlign w:val="bottom"/>
            <w:gridSpan w:val="25"/>
          </w:tcPr>
          <w:p>
            <w:pPr>
              <w:spacing w:after="0"/>
              <w:rPr>
                <w:sz w:val="20"/>
                <w:szCs w:val="20"/>
                <w:color w:val="auto"/>
              </w:rPr>
            </w:pPr>
            <w:r>
              <w:rPr>
                <w:rFonts w:ascii="Calibri" w:cs="Calibri" w:eastAsia="Calibri" w:hAnsi="Calibri"/>
                <w:sz w:val="16"/>
                <w:szCs w:val="16"/>
                <w:color w:val="0000EE"/>
              </w:rPr>
              <w:t>Awards and industry recogniton</w:t>
            </w:r>
          </w:p>
        </w:tc>
        <w:tc>
          <w:tcPr>
            <w:tcW w:w="6240" w:type="dxa"/>
            <w:vAlign w:val="bottom"/>
          </w:tcPr>
          <w:p>
            <w:pPr>
              <w:jc w:val="right"/>
              <w:spacing w:after="0"/>
              <w:rPr>
                <w:sz w:val="20"/>
                <w:szCs w:val="20"/>
                <w:color w:val="auto"/>
              </w:rPr>
            </w:pPr>
            <w:r>
              <w:rPr>
                <w:rFonts w:ascii="Calibri" w:cs="Calibri" w:eastAsia="Calibri" w:hAnsi="Calibri"/>
                <w:sz w:val="16"/>
                <w:szCs w:val="16"/>
                <w:color w:val="auto"/>
              </w:rPr>
              <w:t>63</w:t>
            </w:r>
          </w:p>
        </w:tc>
      </w:tr>
      <w:tr>
        <w:trPr>
          <w:trHeight w:val="279"/>
        </w:trPr>
        <w:tc>
          <w:tcPr>
            <w:tcW w:w="180" w:type="dxa"/>
            <w:vAlign w:val="bottom"/>
          </w:tcPr>
          <w:p>
            <w:pPr>
              <w:spacing w:after="0"/>
              <w:rPr>
                <w:sz w:val="24"/>
                <w:szCs w:val="24"/>
                <w:color w:val="auto"/>
              </w:rPr>
            </w:pPr>
          </w:p>
        </w:tc>
        <w:tc>
          <w:tcPr>
            <w:tcW w:w="2040" w:type="dxa"/>
            <w:vAlign w:val="bottom"/>
            <w:tcBorders>
              <w:top w:val="single" w:sz="8" w:color="0000EE"/>
            </w:tcBorders>
            <w:gridSpan w:val="14"/>
          </w:tcPr>
          <w:p>
            <w:pPr>
              <w:spacing w:after="0"/>
              <w:rPr>
                <w:sz w:val="20"/>
                <w:szCs w:val="20"/>
                <w:color w:val="auto"/>
              </w:rPr>
            </w:pPr>
            <w:r>
              <w:rPr>
                <w:rFonts w:ascii="Calibri" w:cs="Calibri" w:eastAsia="Calibri" w:hAnsi="Calibri"/>
                <w:sz w:val="16"/>
                <w:szCs w:val="16"/>
                <w:color w:val="0000EE"/>
              </w:rPr>
              <w:t>Clients and operatons</w:t>
            </w:r>
          </w:p>
        </w:tc>
        <w:tc>
          <w:tcPr>
            <w:tcW w:w="2120" w:type="dxa"/>
            <w:vAlign w:val="bottom"/>
            <w:gridSpan w:val="11"/>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color w:val="auto"/>
              </w:rPr>
              <w:t>63</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79"/>
        </w:trPr>
        <w:tc>
          <w:tcPr>
            <w:tcW w:w="180" w:type="dxa"/>
            <w:vAlign w:val="bottom"/>
          </w:tcPr>
          <w:p>
            <w:pPr>
              <w:spacing w:after="0"/>
              <w:rPr>
                <w:sz w:val="24"/>
                <w:szCs w:val="24"/>
                <w:color w:val="auto"/>
              </w:rPr>
            </w:pPr>
          </w:p>
        </w:tc>
        <w:tc>
          <w:tcPr>
            <w:tcW w:w="4160" w:type="dxa"/>
            <w:vAlign w:val="bottom"/>
            <w:tcBorders>
              <w:bottom w:val="single" w:sz="8" w:color="0000EE"/>
            </w:tcBorders>
            <w:gridSpan w:val="25"/>
          </w:tcPr>
          <w:p>
            <w:pPr>
              <w:spacing w:after="0"/>
              <w:rPr>
                <w:sz w:val="20"/>
                <w:szCs w:val="20"/>
                <w:color w:val="auto"/>
              </w:rPr>
            </w:pPr>
            <w:r>
              <w:rPr>
                <w:rFonts w:ascii="Calibri" w:cs="Calibri" w:eastAsia="Calibri" w:hAnsi="Calibri"/>
                <w:sz w:val="16"/>
                <w:szCs w:val="16"/>
                <w:color w:val="0000EE"/>
                <w:w w:val="98"/>
              </w:rPr>
              <w:t>Summary of key compensaton consideratons &amp; decisions in 2021</w:t>
            </w:r>
          </w:p>
        </w:tc>
        <w:tc>
          <w:tcPr>
            <w:tcW w:w="6240" w:type="dxa"/>
            <w:vAlign w:val="bottom"/>
          </w:tcPr>
          <w:p>
            <w:pPr>
              <w:jc w:val="right"/>
              <w:spacing w:after="0"/>
              <w:rPr>
                <w:sz w:val="20"/>
                <w:szCs w:val="20"/>
                <w:color w:val="auto"/>
              </w:rPr>
            </w:pPr>
            <w:r>
              <w:rPr>
                <w:rFonts w:ascii="Calibri" w:cs="Calibri" w:eastAsia="Calibri" w:hAnsi="Calibri"/>
                <w:sz w:val="16"/>
                <w:szCs w:val="16"/>
                <w:color w:val="auto"/>
              </w:rPr>
              <w:t>64</w:t>
            </w:r>
          </w:p>
        </w:tc>
      </w:tr>
      <w:tr>
        <w:trPr>
          <w:trHeight w:val="279"/>
        </w:trPr>
        <w:tc>
          <w:tcPr>
            <w:tcW w:w="180" w:type="dxa"/>
            <w:vAlign w:val="bottom"/>
          </w:tcPr>
          <w:p>
            <w:pPr>
              <w:spacing w:after="0"/>
              <w:rPr>
                <w:sz w:val="24"/>
                <w:szCs w:val="24"/>
                <w:color w:val="auto"/>
              </w:rPr>
            </w:pPr>
          </w:p>
        </w:tc>
        <w:tc>
          <w:tcPr>
            <w:tcW w:w="1300" w:type="dxa"/>
            <w:vAlign w:val="bottom"/>
            <w:tcBorders>
              <w:bottom w:val="single" w:sz="8" w:color="0000EE"/>
            </w:tcBorders>
            <w:gridSpan w:val="7"/>
          </w:tcPr>
          <w:p>
            <w:pPr>
              <w:spacing w:after="0"/>
              <w:rPr>
                <w:sz w:val="20"/>
                <w:szCs w:val="20"/>
                <w:color w:val="auto"/>
              </w:rPr>
            </w:pPr>
            <w:r>
              <w:rPr>
                <w:rFonts w:ascii="Calibri" w:cs="Calibri" w:eastAsia="Calibri" w:hAnsi="Calibri"/>
                <w:sz w:val="16"/>
                <w:szCs w:val="16"/>
                <w:color w:val="0000EE"/>
                <w:w w:val="93"/>
              </w:rPr>
              <w:t>Pay-for-performance</w:t>
            </w:r>
          </w:p>
        </w:tc>
        <w:tc>
          <w:tcPr>
            <w:tcW w:w="2860" w:type="dxa"/>
            <w:vAlign w:val="bottom"/>
            <w:gridSpan w:val="18"/>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color w:val="auto"/>
              </w:rPr>
              <w:t>64</w:t>
            </w:r>
          </w:p>
        </w:tc>
      </w:tr>
      <w:tr>
        <w:trPr>
          <w:trHeight w:val="279"/>
        </w:trPr>
        <w:tc>
          <w:tcPr>
            <w:tcW w:w="4340" w:type="dxa"/>
            <w:vAlign w:val="bottom"/>
            <w:gridSpan w:val="26"/>
          </w:tcPr>
          <w:p>
            <w:pPr>
              <w:spacing w:after="0"/>
              <w:rPr>
                <w:sz w:val="20"/>
                <w:szCs w:val="20"/>
                <w:color w:val="auto"/>
              </w:rPr>
            </w:pPr>
            <w:r>
              <w:rPr>
                <w:rFonts w:ascii="Calibri" w:cs="Calibri" w:eastAsia="Calibri" w:hAnsi="Calibri"/>
                <w:sz w:val="16"/>
                <w:szCs w:val="16"/>
                <w:b w:val="1"/>
                <w:bCs w:val="1"/>
                <w:color w:val="0000EE"/>
              </w:rPr>
              <w:t>Executve compensaton program, practces and policies</w:t>
            </w: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66</w:t>
            </w:r>
          </w:p>
        </w:tc>
      </w:tr>
      <w:tr>
        <w:trPr>
          <w:trHeight w:val="279"/>
        </w:trPr>
        <w:tc>
          <w:tcPr>
            <w:tcW w:w="3400" w:type="dxa"/>
            <w:vAlign w:val="bottom"/>
            <w:tcBorders>
              <w:top w:val="single" w:sz="8" w:color="0000EE"/>
              <w:bottom w:val="single" w:sz="8" w:color="0000EE"/>
            </w:tcBorders>
            <w:gridSpan w:val="23"/>
          </w:tcPr>
          <w:p>
            <w:pPr>
              <w:spacing w:after="0"/>
              <w:rPr>
                <w:sz w:val="20"/>
                <w:szCs w:val="20"/>
                <w:color w:val="auto"/>
              </w:rPr>
            </w:pPr>
            <w:r>
              <w:rPr>
                <w:rFonts w:ascii="Calibri" w:cs="Calibri" w:eastAsia="Calibri" w:hAnsi="Calibri"/>
                <w:sz w:val="16"/>
                <w:szCs w:val="16"/>
                <w:b w:val="1"/>
                <w:bCs w:val="1"/>
                <w:color w:val="0000EE"/>
                <w:w w:val="97"/>
              </w:rPr>
              <w:t>Overview of compensaton policies and philosophies</w:t>
            </w:r>
          </w:p>
        </w:tc>
        <w:tc>
          <w:tcPr>
            <w:tcW w:w="200" w:type="dxa"/>
            <w:vAlign w:val="bottom"/>
            <w:tcBorders>
              <w:top w:val="single" w:sz="8" w:color="0000EE"/>
            </w:tcBorders>
            <w:gridSpan w:val="2"/>
          </w:tcPr>
          <w:p>
            <w:pPr>
              <w:spacing w:after="0"/>
              <w:rPr>
                <w:sz w:val="24"/>
                <w:szCs w:val="24"/>
                <w:color w:val="auto"/>
              </w:rPr>
            </w:pPr>
          </w:p>
        </w:tc>
        <w:tc>
          <w:tcPr>
            <w:tcW w:w="740" w:type="dxa"/>
            <w:vAlign w:val="bottom"/>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68</w:t>
            </w:r>
          </w:p>
        </w:tc>
      </w:tr>
      <w:tr>
        <w:trPr>
          <w:trHeight w:val="279"/>
        </w:trPr>
        <w:tc>
          <w:tcPr>
            <w:tcW w:w="4340" w:type="dxa"/>
            <w:vAlign w:val="bottom"/>
            <w:gridSpan w:val="26"/>
          </w:tcPr>
          <w:p>
            <w:pPr>
              <w:spacing w:after="0"/>
              <w:rPr>
                <w:sz w:val="20"/>
                <w:szCs w:val="20"/>
                <w:color w:val="auto"/>
              </w:rPr>
            </w:pPr>
            <w:r>
              <w:rPr>
                <w:rFonts w:ascii="Calibri" w:cs="Calibri" w:eastAsia="Calibri" w:hAnsi="Calibri"/>
                <w:sz w:val="16"/>
                <w:szCs w:val="16"/>
                <w:b w:val="1"/>
                <w:bCs w:val="1"/>
                <w:color w:val="0000EE"/>
              </w:rPr>
              <w:t>Compensaton process: roles and responsibilites</w:t>
            </w: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69</w:t>
            </w: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79"/>
        </w:trPr>
        <w:tc>
          <w:tcPr>
            <w:tcW w:w="4340" w:type="dxa"/>
            <w:vAlign w:val="bottom"/>
            <w:gridSpan w:val="26"/>
          </w:tcPr>
          <w:p>
            <w:pPr>
              <w:spacing w:after="0"/>
              <w:rPr>
                <w:sz w:val="20"/>
                <w:szCs w:val="20"/>
                <w:color w:val="auto"/>
              </w:rPr>
            </w:pPr>
            <w:r>
              <w:rPr>
                <w:rFonts w:ascii="Calibri" w:cs="Calibri" w:eastAsia="Calibri" w:hAnsi="Calibri"/>
                <w:sz w:val="16"/>
                <w:szCs w:val="16"/>
                <w:b w:val="1"/>
                <w:bCs w:val="1"/>
                <w:color w:val="0000EE"/>
              </w:rPr>
              <w:t>Components of executve compensaton for 2021</w:t>
            </w: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71</w:t>
            </w:r>
          </w:p>
        </w:tc>
      </w:tr>
      <w:tr>
        <w:trPr>
          <w:trHeight w:val="279"/>
        </w:trPr>
        <w:tc>
          <w:tcPr>
            <w:tcW w:w="3160" w:type="dxa"/>
            <w:vAlign w:val="bottom"/>
            <w:tcBorders>
              <w:top w:val="single" w:sz="8" w:color="0000EE"/>
            </w:tcBorders>
            <w:gridSpan w:val="21"/>
          </w:tcPr>
          <w:p>
            <w:pPr>
              <w:spacing w:after="0"/>
              <w:rPr>
                <w:sz w:val="20"/>
                <w:szCs w:val="20"/>
                <w:color w:val="auto"/>
              </w:rPr>
            </w:pPr>
            <w:r>
              <w:rPr>
                <w:rFonts w:ascii="Calibri" w:cs="Calibri" w:eastAsia="Calibri" w:hAnsi="Calibri"/>
                <w:sz w:val="16"/>
                <w:szCs w:val="16"/>
                <w:b w:val="1"/>
                <w:bCs w:val="1"/>
                <w:color w:val="0000EE"/>
              </w:rPr>
              <w:t>Detailed review of compensaton components</w:t>
            </w:r>
          </w:p>
        </w:tc>
        <w:tc>
          <w:tcPr>
            <w:tcW w:w="1180" w:type="dxa"/>
            <w:vAlign w:val="bottom"/>
            <w:gridSpan w:val="5"/>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72</w:t>
            </w:r>
          </w:p>
        </w:tc>
      </w:tr>
      <w:tr>
        <w:trPr>
          <w:trHeight w:val="279"/>
        </w:trPr>
        <w:tc>
          <w:tcPr>
            <w:tcW w:w="180" w:type="dxa"/>
            <w:vAlign w:val="bottom"/>
            <w:tcBorders>
              <w:top w:val="single" w:sz="8" w:color="0000EE"/>
            </w:tcBorders>
          </w:tcPr>
          <w:p>
            <w:pPr>
              <w:spacing w:after="0"/>
              <w:rPr>
                <w:sz w:val="24"/>
                <w:szCs w:val="24"/>
                <w:color w:val="auto"/>
              </w:rPr>
            </w:pPr>
          </w:p>
        </w:tc>
        <w:tc>
          <w:tcPr>
            <w:tcW w:w="700" w:type="dxa"/>
            <w:vAlign w:val="bottom"/>
            <w:tcBorders>
              <w:top w:val="single" w:sz="8" w:color="0000EE"/>
              <w:bottom w:val="single" w:sz="8" w:color="0000EE"/>
            </w:tcBorders>
          </w:tcPr>
          <w:p>
            <w:pPr>
              <w:spacing w:after="0"/>
              <w:rPr>
                <w:sz w:val="20"/>
                <w:szCs w:val="20"/>
                <w:color w:val="auto"/>
              </w:rPr>
            </w:pPr>
            <w:r>
              <w:rPr>
                <w:rFonts w:ascii="Calibri" w:cs="Calibri" w:eastAsia="Calibri" w:hAnsi="Calibri"/>
                <w:sz w:val="16"/>
                <w:szCs w:val="16"/>
                <w:color w:val="0000EE"/>
                <w:w w:val="93"/>
              </w:rPr>
              <w:t>Base salary</w:t>
            </w:r>
          </w:p>
        </w:tc>
        <w:tc>
          <w:tcPr>
            <w:tcW w:w="120" w:type="dxa"/>
            <w:vAlign w:val="bottom"/>
            <w:tcBorders>
              <w:top w:val="single" w:sz="8" w:color="0000EE"/>
            </w:tcBorders>
            <w:gridSpan w:val="2"/>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color w:val="auto"/>
              </w:rPr>
              <w:t>72</w:t>
            </w:r>
          </w:p>
        </w:tc>
      </w:tr>
      <w:tr>
        <w:trPr>
          <w:trHeight w:val="279"/>
        </w:trPr>
        <w:tc>
          <w:tcPr>
            <w:tcW w:w="180" w:type="dxa"/>
            <w:vAlign w:val="bottom"/>
          </w:tcPr>
          <w:p>
            <w:pPr>
              <w:spacing w:after="0"/>
              <w:rPr>
                <w:sz w:val="24"/>
                <w:szCs w:val="24"/>
                <w:color w:val="auto"/>
              </w:rPr>
            </w:pPr>
          </w:p>
        </w:tc>
        <w:tc>
          <w:tcPr>
            <w:tcW w:w="1000" w:type="dxa"/>
            <w:vAlign w:val="bottom"/>
            <w:tcBorders>
              <w:bottom w:val="single" w:sz="8" w:color="0000EE"/>
            </w:tcBorders>
            <w:gridSpan w:val="5"/>
          </w:tcPr>
          <w:p>
            <w:pPr>
              <w:spacing w:after="0"/>
              <w:rPr>
                <w:sz w:val="20"/>
                <w:szCs w:val="20"/>
                <w:color w:val="auto"/>
              </w:rPr>
            </w:pPr>
            <w:r>
              <w:rPr>
                <w:rFonts w:ascii="Calibri" w:cs="Calibri" w:eastAsia="Calibri" w:hAnsi="Calibri"/>
                <w:sz w:val="16"/>
                <w:szCs w:val="16"/>
                <w:color w:val="0000EE"/>
                <w:w w:val="98"/>
              </w:rPr>
              <w:t>Incentve bonus</w:t>
            </w:r>
          </w:p>
        </w:tc>
        <w:tc>
          <w:tcPr>
            <w:tcW w:w="3160" w:type="dxa"/>
            <w:vAlign w:val="bottom"/>
            <w:gridSpan w:val="20"/>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color w:val="auto"/>
              </w:rPr>
              <w:t>72</w:t>
            </w:r>
          </w:p>
        </w:tc>
      </w:tr>
      <w:tr>
        <w:trPr>
          <w:trHeight w:val="279"/>
        </w:trPr>
        <w:tc>
          <w:tcPr>
            <w:tcW w:w="180" w:type="dxa"/>
            <w:vAlign w:val="bottom"/>
          </w:tcPr>
          <w:p>
            <w:pPr>
              <w:spacing w:after="0"/>
              <w:rPr>
                <w:sz w:val="24"/>
                <w:szCs w:val="24"/>
                <w:color w:val="auto"/>
              </w:rPr>
            </w:pPr>
          </w:p>
        </w:tc>
        <w:tc>
          <w:tcPr>
            <w:tcW w:w="1760" w:type="dxa"/>
            <w:vAlign w:val="bottom"/>
            <w:tcBorders>
              <w:bottom w:val="single" w:sz="8" w:color="0000EE"/>
            </w:tcBorders>
            <w:gridSpan w:val="11"/>
          </w:tcPr>
          <w:p>
            <w:pPr>
              <w:spacing w:after="0"/>
              <w:rPr>
                <w:sz w:val="20"/>
                <w:szCs w:val="20"/>
                <w:color w:val="auto"/>
              </w:rPr>
            </w:pPr>
            <w:r>
              <w:rPr>
                <w:rFonts w:ascii="Calibri" w:cs="Calibri" w:eastAsia="Calibri" w:hAnsi="Calibri"/>
                <w:sz w:val="16"/>
                <w:szCs w:val="16"/>
                <w:color w:val="0000EE"/>
                <w:w w:val="97"/>
              </w:rPr>
              <w:t>Long-term equity incentves</w:t>
            </w:r>
          </w:p>
        </w:tc>
        <w:tc>
          <w:tcPr>
            <w:tcW w:w="2400" w:type="dxa"/>
            <w:vAlign w:val="bottom"/>
            <w:gridSpan w:val="14"/>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color w:val="auto"/>
              </w:rPr>
              <w:t>76</w:t>
            </w:r>
          </w:p>
        </w:tc>
      </w:tr>
      <w:tr>
        <w:trPr>
          <w:trHeight w:val="279"/>
        </w:trPr>
        <w:tc>
          <w:tcPr>
            <w:tcW w:w="4340" w:type="dxa"/>
            <w:vAlign w:val="bottom"/>
            <w:gridSpan w:val="26"/>
          </w:tcPr>
          <w:p>
            <w:pPr>
              <w:spacing w:after="0"/>
              <w:rPr>
                <w:sz w:val="20"/>
                <w:szCs w:val="20"/>
                <w:color w:val="auto"/>
              </w:rPr>
            </w:pPr>
            <w:r>
              <w:rPr>
                <w:rFonts w:ascii="Calibri" w:cs="Calibri" w:eastAsia="Calibri" w:hAnsi="Calibri"/>
                <w:sz w:val="16"/>
                <w:szCs w:val="16"/>
                <w:b w:val="1"/>
                <w:bCs w:val="1"/>
                <w:color w:val="0000EE"/>
              </w:rPr>
              <w:t>Fiscal year 2021 awards</w:t>
            </w: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77</w:t>
            </w: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79"/>
        </w:trPr>
        <w:tc>
          <w:tcPr>
            <w:tcW w:w="2920" w:type="dxa"/>
            <w:vAlign w:val="bottom"/>
            <w:tcBorders>
              <w:bottom w:val="single" w:sz="8" w:color="0000EE"/>
            </w:tcBorders>
            <w:gridSpan w:val="18"/>
          </w:tcPr>
          <w:p>
            <w:pPr>
              <w:spacing w:after="0"/>
              <w:rPr>
                <w:sz w:val="20"/>
                <w:szCs w:val="20"/>
                <w:color w:val="auto"/>
              </w:rPr>
            </w:pPr>
            <w:r>
              <w:rPr>
                <w:rFonts w:ascii="Calibri" w:cs="Calibri" w:eastAsia="Calibri" w:hAnsi="Calibri"/>
                <w:sz w:val="16"/>
                <w:szCs w:val="16"/>
                <w:b w:val="1"/>
                <w:bCs w:val="1"/>
                <w:color w:val="0000EE"/>
                <w:w w:val="97"/>
              </w:rPr>
              <w:t>Payout of awards granted in prior fscal years</w:t>
            </w:r>
          </w:p>
        </w:tc>
        <w:tc>
          <w:tcPr>
            <w:tcW w:w="1420" w:type="dxa"/>
            <w:vAlign w:val="bottom"/>
            <w:gridSpan w:val="8"/>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79</w:t>
            </w:r>
          </w:p>
        </w:tc>
      </w:tr>
      <w:tr>
        <w:trPr>
          <w:trHeight w:val="279"/>
        </w:trPr>
        <w:tc>
          <w:tcPr>
            <w:tcW w:w="1580" w:type="dxa"/>
            <w:vAlign w:val="bottom"/>
            <w:tcBorders>
              <w:bottom w:val="single" w:sz="8" w:color="0000EE"/>
            </w:tcBorders>
            <w:gridSpan w:val="10"/>
          </w:tcPr>
          <w:p>
            <w:pPr>
              <w:spacing w:after="0"/>
              <w:rPr>
                <w:sz w:val="20"/>
                <w:szCs w:val="20"/>
                <w:color w:val="auto"/>
              </w:rPr>
            </w:pPr>
            <w:r>
              <w:rPr>
                <w:rFonts w:ascii="Calibri" w:cs="Calibri" w:eastAsia="Calibri" w:hAnsi="Calibri"/>
                <w:sz w:val="16"/>
                <w:szCs w:val="16"/>
                <w:b w:val="1"/>
                <w:bCs w:val="1"/>
                <w:color w:val="0000EE"/>
                <w:w w:val="98"/>
              </w:rPr>
              <w:t>Benefts and perquisites</w:t>
            </w:r>
          </w:p>
        </w:tc>
        <w:tc>
          <w:tcPr>
            <w:tcW w:w="2760" w:type="dxa"/>
            <w:vAlign w:val="bottom"/>
            <w:gridSpan w:val="16"/>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80</w:t>
            </w:r>
          </w:p>
        </w:tc>
      </w:tr>
      <w:tr>
        <w:trPr>
          <w:trHeight w:val="279"/>
        </w:trPr>
        <w:tc>
          <w:tcPr>
            <w:tcW w:w="2020" w:type="dxa"/>
            <w:vAlign w:val="bottom"/>
            <w:tcBorders>
              <w:bottom w:val="single" w:sz="8" w:color="0000EE"/>
            </w:tcBorders>
            <w:gridSpan w:val="13"/>
          </w:tcPr>
          <w:p>
            <w:pPr>
              <w:spacing w:after="0"/>
              <w:rPr>
                <w:sz w:val="20"/>
                <w:szCs w:val="20"/>
                <w:color w:val="auto"/>
              </w:rPr>
            </w:pPr>
            <w:r>
              <w:rPr>
                <w:rFonts w:ascii="Calibri" w:cs="Calibri" w:eastAsia="Calibri" w:hAnsi="Calibri"/>
                <w:sz w:val="16"/>
                <w:szCs w:val="16"/>
                <w:b w:val="1"/>
                <w:bCs w:val="1"/>
                <w:color w:val="0000EE"/>
                <w:w w:val="98"/>
              </w:rPr>
              <w:t>Risk and compensaton policies</w:t>
            </w:r>
          </w:p>
        </w:tc>
        <w:tc>
          <w:tcPr>
            <w:tcW w:w="2320" w:type="dxa"/>
            <w:vAlign w:val="bottom"/>
            <w:gridSpan w:val="13"/>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80</w:t>
            </w:r>
          </w:p>
        </w:tc>
      </w:tr>
      <w:tr>
        <w:trPr>
          <w:trHeight w:val="279"/>
        </w:trPr>
        <w:tc>
          <w:tcPr>
            <w:tcW w:w="2680" w:type="dxa"/>
            <w:vAlign w:val="bottom"/>
            <w:tcBorders>
              <w:bottom w:val="single" w:sz="8" w:color="0000EE"/>
            </w:tcBorders>
            <w:gridSpan w:val="16"/>
          </w:tcPr>
          <w:p>
            <w:pPr>
              <w:spacing w:after="0"/>
              <w:rPr>
                <w:sz w:val="20"/>
                <w:szCs w:val="20"/>
                <w:color w:val="auto"/>
              </w:rPr>
            </w:pPr>
            <w:r>
              <w:rPr>
                <w:rFonts w:ascii="Calibri" w:cs="Calibri" w:eastAsia="Calibri" w:hAnsi="Calibri"/>
                <w:sz w:val="16"/>
                <w:szCs w:val="16"/>
                <w:b w:val="1"/>
                <w:bCs w:val="1"/>
                <w:color w:val="0000EE"/>
                <w:w w:val="97"/>
              </w:rPr>
              <w:t>Severance and change-in-control benefts</w:t>
            </w:r>
          </w:p>
        </w:tc>
        <w:tc>
          <w:tcPr>
            <w:tcW w:w="1660" w:type="dxa"/>
            <w:vAlign w:val="bottom"/>
            <w:gridSpan w:val="10"/>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80</w:t>
            </w:r>
          </w:p>
        </w:tc>
      </w:tr>
      <w:tr>
        <w:trPr>
          <w:trHeight w:val="279"/>
        </w:trPr>
        <w:tc>
          <w:tcPr>
            <w:tcW w:w="2900" w:type="dxa"/>
            <w:vAlign w:val="bottom"/>
            <w:tcBorders>
              <w:bottom w:val="single" w:sz="8" w:color="0000EE"/>
            </w:tcBorders>
            <w:gridSpan w:val="17"/>
          </w:tcPr>
          <w:p>
            <w:pPr>
              <w:spacing w:after="0"/>
              <w:rPr>
                <w:sz w:val="20"/>
                <w:szCs w:val="20"/>
                <w:color w:val="auto"/>
              </w:rPr>
            </w:pPr>
            <w:r>
              <w:rPr>
                <w:rFonts w:ascii="Calibri" w:cs="Calibri" w:eastAsia="Calibri" w:hAnsi="Calibri"/>
                <w:sz w:val="16"/>
                <w:szCs w:val="16"/>
                <w:b w:val="1"/>
                <w:bCs w:val="1"/>
                <w:color w:val="0000EE"/>
              </w:rPr>
              <w:t>Deductbility cap on executve compensaton</w:t>
            </w:r>
          </w:p>
        </w:tc>
        <w:tc>
          <w:tcPr>
            <w:tcW w:w="1440" w:type="dxa"/>
            <w:vAlign w:val="bottom"/>
            <w:gridSpan w:val="9"/>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81</w:t>
            </w:r>
          </w:p>
        </w:tc>
      </w:tr>
      <w:tr>
        <w:trPr>
          <w:trHeight w:val="279"/>
        </w:trPr>
        <w:tc>
          <w:tcPr>
            <w:tcW w:w="4340" w:type="dxa"/>
            <w:vAlign w:val="bottom"/>
            <w:gridSpan w:val="26"/>
          </w:tcPr>
          <w:p>
            <w:pPr>
              <w:spacing w:after="0"/>
              <w:rPr>
                <w:sz w:val="20"/>
                <w:szCs w:val="20"/>
                <w:color w:val="auto"/>
              </w:rPr>
            </w:pPr>
            <w:r>
              <w:rPr>
                <w:rFonts w:ascii="Calibri" w:cs="Calibri" w:eastAsia="Calibri" w:hAnsi="Calibri"/>
                <w:sz w:val="16"/>
                <w:szCs w:val="16"/>
                <w:b w:val="1"/>
                <w:bCs w:val="1"/>
                <w:color w:val="0000EE"/>
              </w:rPr>
              <w:t>Compensaton Commitee Report</w:t>
            </w: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82</w:t>
            </w:r>
          </w:p>
        </w:tc>
      </w:tr>
      <w:tr>
        <w:trPr>
          <w:trHeight w:val="20"/>
        </w:trPr>
        <w:tc>
          <w:tcPr>
            <w:tcW w:w="1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79"/>
        </w:trPr>
        <w:tc>
          <w:tcPr>
            <w:tcW w:w="3200" w:type="dxa"/>
            <w:vAlign w:val="bottom"/>
            <w:tcBorders>
              <w:bottom w:val="single" w:sz="8" w:color="0000EE"/>
            </w:tcBorders>
            <w:gridSpan w:val="22"/>
          </w:tcPr>
          <w:p>
            <w:pPr>
              <w:spacing w:after="0"/>
              <w:rPr>
                <w:sz w:val="20"/>
                <w:szCs w:val="20"/>
                <w:color w:val="auto"/>
              </w:rPr>
            </w:pPr>
            <w:r>
              <w:rPr>
                <w:rFonts w:ascii="Calibri" w:cs="Calibri" w:eastAsia="Calibri" w:hAnsi="Calibri"/>
                <w:sz w:val="16"/>
                <w:szCs w:val="16"/>
                <w:b w:val="1"/>
                <w:bCs w:val="1"/>
                <w:color w:val="0000EE"/>
                <w:w w:val="99"/>
              </w:rPr>
              <w:t>Summary compensaton table for fscal year 2021</w:t>
            </w:r>
          </w:p>
        </w:tc>
        <w:tc>
          <w:tcPr>
            <w:tcW w:w="1140" w:type="dxa"/>
            <w:vAlign w:val="bottom"/>
            <w:gridSpan w:val="4"/>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83</w:t>
            </w:r>
          </w:p>
        </w:tc>
      </w:tr>
      <w:tr>
        <w:trPr>
          <w:trHeight w:val="292"/>
        </w:trPr>
        <w:tc>
          <w:tcPr>
            <w:tcW w:w="4340" w:type="dxa"/>
            <w:vAlign w:val="bottom"/>
            <w:gridSpan w:val="26"/>
          </w:tcPr>
          <w:p>
            <w:pPr>
              <w:spacing w:after="0"/>
              <w:rPr>
                <w:sz w:val="20"/>
                <w:szCs w:val="20"/>
                <w:color w:val="auto"/>
              </w:rPr>
            </w:pPr>
            <w:r>
              <w:rPr>
                <w:rFonts w:ascii="Calibri" w:cs="Calibri" w:eastAsia="Calibri" w:hAnsi="Calibri"/>
                <w:sz w:val="16"/>
                <w:szCs w:val="16"/>
                <w:b w:val="1"/>
                <w:bCs w:val="1"/>
                <w:color w:val="0000EE"/>
              </w:rPr>
              <w:t>Grants of plan-based awards table for fscal year 2021</w:t>
            </w: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85</w:t>
            </w:r>
          </w:p>
        </w:tc>
      </w:tr>
      <w:tr>
        <w:trPr>
          <w:trHeight w:val="279"/>
        </w:trPr>
        <w:tc>
          <w:tcPr>
            <w:tcW w:w="3460" w:type="dxa"/>
            <w:vAlign w:val="bottom"/>
            <w:tcBorders>
              <w:top w:val="single" w:sz="8" w:color="0000EE"/>
            </w:tcBorders>
            <w:gridSpan w:val="24"/>
          </w:tcPr>
          <w:p>
            <w:pPr>
              <w:spacing w:after="0"/>
              <w:rPr>
                <w:sz w:val="20"/>
                <w:szCs w:val="20"/>
                <w:color w:val="auto"/>
              </w:rPr>
            </w:pPr>
            <w:r>
              <w:rPr>
                <w:rFonts w:ascii="Calibri" w:cs="Calibri" w:eastAsia="Calibri" w:hAnsi="Calibri"/>
                <w:sz w:val="16"/>
                <w:szCs w:val="16"/>
                <w:b w:val="1"/>
                <w:bCs w:val="1"/>
                <w:color w:val="0000EE"/>
              </w:rPr>
              <w:t>Employment agreements</w:t>
            </w:r>
          </w:p>
        </w:tc>
        <w:tc>
          <w:tcPr>
            <w:tcW w:w="880" w:type="dxa"/>
            <w:vAlign w:val="bottom"/>
            <w:gridSpan w:val="2"/>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b w:val="1"/>
                <w:bCs w:val="1"/>
                <w:color w:val="auto"/>
              </w:rPr>
              <w:t>86</w:t>
            </w:r>
          </w:p>
        </w:tc>
      </w:tr>
      <w:tr>
        <w:trPr>
          <w:trHeight w:val="279"/>
        </w:trPr>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bottom w:val="single" w:sz="8" w:color="0000EE"/>
            </w:tcBorders>
            <w:gridSpan w:val="3"/>
          </w:tcPr>
          <w:p>
            <w:pPr>
              <w:spacing w:after="0"/>
              <w:rPr>
                <w:sz w:val="20"/>
                <w:szCs w:val="20"/>
                <w:color w:val="auto"/>
              </w:rPr>
            </w:pPr>
            <w:r>
              <w:rPr>
                <w:rFonts w:ascii="Calibri" w:cs="Calibri" w:eastAsia="Calibri" w:hAnsi="Calibri"/>
                <w:sz w:val="16"/>
                <w:szCs w:val="16"/>
                <w:color w:val="0000EE"/>
                <w:w w:val="94"/>
              </w:rPr>
              <w:t>Rohit Kapoor</w:t>
            </w: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color w:val="auto"/>
              </w:rPr>
              <w:t>86</w:t>
            </w:r>
          </w:p>
        </w:tc>
      </w:tr>
      <w:tr>
        <w:trPr>
          <w:trHeight w:val="279"/>
        </w:trPr>
        <w:tc>
          <w:tcPr>
            <w:tcW w:w="180" w:type="dxa"/>
            <w:vAlign w:val="bottom"/>
          </w:tcPr>
          <w:p>
            <w:pPr>
              <w:spacing w:after="0"/>
              <w:rPr>
                <w:sz w:val="24"/>
                <w:szCs w:val="24"/>
                <w:color w:val="auto"/>
              </w:rPr>
            </w:pPr>
          </w:p>
        </w:tc>
        <w:tc>
          <w:tcPr>
            <w:tcW w:w="4160" w:type="dxa"/>
            <w:vAlign w:val="bottom"/>
            <w:gridSpan w:val="25"/>
          </w:tcPr>
          <w:p>
            <w:pPr>
              <w:spacing w:after="0"/>
              <w:rPr>
                <w:sz w:val="20"/>
                <w:szCs w:val="20"/>
                <w:color w:val="auto"/>
              </w:rPr>
            </w:pPr>
            <w:r>
              <w:rPr>
                <w:rFonts w:ascii="Calibri" w:cs="Calibri" w:eastAsia="Calibri" w:hAnsi="Calibri"/>
                <w:sz w:val="16"/>
                <w:szCs w:val="16"/>
                <w:color w:val="0000EE"/>
              </w:rPr>
              <w:t>Maurizio Nicolelli</w:t>
            </w:r>
          </w:p>
        </w:tc>
        <w:tc>
          <w:tcPr>
            <w:tcW w:w="6240" w:type="dxa"/>
            <w:vAlign w:val="bottom"/>
          </w:tcPr>
          <w:p>
            <w:pPr>
              <w:jc w:val="right"/>
              <w:spacing w:after="0"/>
              <w:rPr>
                <w:sz w:val="20"/>
                <w:szCs w:val="20"/>
                <w:color w:val="auto"/>
              </w:rPr>
            </w:pPr>
            <w:r>
              <w:rPr>
                <w:rFonts w:ascii="Calibri" w:cs="Calibri" w:eastAsia="Calibri" w:hAnsi="Calibri"/>
                <w:sz w:val="16"/>
                <w:szCs w:val="16"/>
                <w:color w:val="auto"/>
              </w:rPr>
              <w:t>87</w:t>
            </w:r>
          </w:p>
        </w:tc>
      </w:tr>
      <w:tr>
        <w:trPr>
          <w:trHeight w:val="279"/>
        </w:trPr>
        <w:tc>
          <w:tcPr>
            <w:tcW w:w="180" w:type="dxa"/>
            <w:vAlign w:val="bottom"/>
          </w:tcPr>
          <w:p>
            <w:pPr>
              <w:spacing w:after="0"/>
              <w:rPr>
                <w:sz w:val="24"/>
                <w:szCs w:val="24"/>
                <w:color w:val="auto"/>
              </w:rPr>
            </w:pPr>
          </w:p>
        </w:tc>
        <w:tc>
          <w:tcPr>
            <w:tcW w:w="820" w:type="dxa"/>
            <w:vAlign w:val="bottom"/>
            <w:tcBorders>
              <w:top w:val="single" w:sz="8" w:color="0000EE"/>
            </w:tcBorders>
            <w:gridSpan w:val="3"/>
          </w:tcPr>
          <w:p>
            <w:pPr>
              <w:spacing w:after="0"/>
              <w:rPr>
                <w:sz w:val="20"/>
                <w:szCs w:val="20"/>
                <w:color w:val="auto"/>
              </w:rPr>
            </w:pPr>
            <w:r>
              <w:rPr>
                <w:rFonts w:ascii="Calibri" w:cs="Calibri" w:eastAsia="Calibri" w:hAnsi="Calibri"/>
                <w:sz w:val="16"/>
                <w:szCs w:val="16"/>
                <w:color w:val="0000EE"/>
              </w:rPr>
              <w:t>Vikas Bhalla</w:t>
            </w: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40" w:type="dxa"/>
            <w:vAlign w:val="bottom"/>
          </w:tcPr>
          <w:p>
            <w:pPr>
              <w:jc w:val="right"/>
              <w:spacing w:after="0"/>
              <w:rPr>
                <w:sz w:val="20"/>
                <w:szCs w:val="20"/>
                <w:color w:val="auto"/>
              </w:rPr>
            </w:pPr>
            <w:r>
              <w:rPr>
                <w:rFonts w:ascii="Calibri" w:cs="Calibri" w:eastAsia="Calibri" w:hAnsi="Calibri"/>
                <w:sz w:val="16"/>
                <w:szCs w:val="16"/>
                <w:color w:val="auto"/>
              </w:rPr>
              <w:t>87</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279"/>
        </w:trPr>
        <w:tc>
          <w:tcPr>
            <w:tcW w:w="180" w:type="dxa"/>
            <w:vAlign w:val="bottom"/>
          </w:tcPr>
          <w:p>
            <w:pPr>
              <w:spacing w:after="0"/>
              <w:rPr>
                <w:sz w:val="24"/>
                <w:szCs w:val="24"/>
                <w:color w:val="auto"/>
              </w:rPr>
            </w:pPr>
          </w:p>
        </w:tc>
        <w:tc>
          <w:tcPr>
            <w:tcW w:w="4160" w:type="dxa"/>
            <w:vAlign w:val="bottom"/>
            <w:gridSpan w:val="25"/>
          </w:tcPr>
          <w:p>
            <w:pPr>
              <w:spacing w:after="0"/>
              <w:rPr>
                <w:sz w:val="20"/>
                <w:szCs w:val="20"/>
                <w:color w:val="auto"/>
              </w:rPr>
            </w:pPr>
            <w:r>
              <w:rPr>
                <w:rFonts w:ascii="Calibri" w:cs="Calibri" w:eastAsia="Calibri" w:hAnsi="Calibri"/>
                <w:sz w:val="16"/>
                <w:szCs w:val="16"/>
                <w:color w:val="0000EE"/>
              </w:rPr>
              <w:t>Samuel Meckey</w:t>
            </w:r>
          </w:p>
        </w:tc>
        <w:tc>
          <w:tcPr>
            <w:tcW w:w="6240" w:type="dxa"/>
            <w:vAlign w:val="bottom"/>
          </w:tcPr>
          <w:p>
            <w:pPr>
              <w:jc w:val="right"/>
              <w:spacing w:after="0"/>
              <w:rPr>
                <w:sz w:val="20"/>
                <w:szCs w:val="20"/>
                <w:color w:val="auto"/>
              </w:rPr>
            </w:pPr>
            <w:r>
              <w:rPr>
                <w:rFonts w:ascii="Calibri" w:cs="Calibri" w:eastAsia="Calibri" w:hAnsi="Calibri"/>
                <w:sz w:val="16"/>
                <w:szCs w:val="16"/>
                <w:color w:val="auto"/>
              </w:rPr>
              <w:t>87</w:t>
            </w: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180" w:type="dxa"/>
            <w:vAlign w:val="bottom"/>
            <w:gridSpan w:val="21"/>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477"/>
        </w:trPr>
        <w:tc>
          <w:tcPr>
            <w:tcW w:w="18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Calibri" w:cs="Calibri" w:eastAsia="Calibri" w:hAnsi="Calibri"/>
                <w:sz w:val="17"/>
                <w:szCs w:val="17"/>
                <w:b w:val="1"/>
                <w:bCs w:val="1"/>
                <w:color w:val="auto"/>
              </w:rPr>
              <w:t>60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22"/>
          </w:tcPr>
          <w:p>
            <w:pPr>
              <w:ind w:left="6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2022 Proxy Statement</w:t>
            </w:r>
          </w:p>
        </w:tc>
        <w:tc>
          <w:tcPr>
            <w:tcW w:w="6240" w:type="dxa"/>
            <w:vAlign w:val="bottom"/>
          </w:tcPr>
          <w:p>
            <w:pPr>
              <w:spacing w:after="0"/>
              <w:rPr>
                <w:sz w:val="24"/>
                <w:szCs w:val="24"/>
                <w:color w:val="auto"/>
              </w:rPr>
            </w:pPr>
          </w:p>
        </w:tc>
      </w:tr>
    </w:tbl>
    <w:p>
      <w:pPr>
        <w:sectPr>
          <w:pgSz w:w="11900" w:h="16838" w:orient="portrait"/>
          <w:cols w:equalWidth="0" w:num="1">
            <w:col w:w="10900"/>
          </w:cols>
          <w:pgMar w:left="320" w:top="445" w:right="6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alibri" w:cs="Calibri" w:eastAsia="Calibri" w:hAnsi="Calibri"/>
                <w:sz w:val="14"/>
                <w:szCs w:val="14"/>
                <w:b w:val="1"/>
                <w:bCs w:val="1"/>
                <w:color w:val="D8D8D8"/>
              </w:rPr>
              <w:t>Executve compensaton</w:t>
            </w:r>
          </w:p>
        </w:tc>
      </w:tr>
      <w:tr>
        <w:trPr>
          <w:trHeight w:val="408"/>
        </w:trPr>
        <w:tc>
          <w:tcPr>
            <w:tcW w:w="3240" w:type="dxa"/>
            <w:vAlign w:val="bottom"/>
            <w:tcBorders>
              <w:bottom w:val="single" w:sz="8" w:color="0000EE"/>
            </w:tcBorders>
            <w:gridSpan w:val="8"/>
          </w:tcPr>
          <w:p>
            <w:pPr>
              <w:spacing w:after="0"/>
              <w:rPr>
                <w:sz w:val="20"/>
                <w:szCs w:val="20"/>
                <w:color w:val="auto"/>
              </w:rPr>
            </w:pPr>
            <w:r>
              <w:rPr>
                <w:rFonts w:ascii="Calibri" w:cs="Calibri" w:eastAsia="Calibri" w:hAnsi="Calibri"/>
                <w:sz w:val="16"/>
                <w:szCs w:val="16"/>
                <w:b w:val="1"/>
                <w:bCs w:val="1"/>
                <w:color w:val="0000EE"/>
                <w:w w:val="97"/>
              </w:rPr>
              <w:t>Outstanding equity awards at fscal 2021 year-end</w:t>
            </w:r>
          </w:p>
        </w:tc>
        <w:tc>
          <w:tcPr>
            <w:tcW w:w="596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89</w:t>
            </w:r>
          </w:p>
        </w:tc>
      </w:tr>
      <w:tr>
        <w:trPr>
          <w:trHeight w:val="279"/>
        </w:trPr>
        <w:tc>
          <w:tcPr>
            <w:tcW w:w="9200" w:type="dxa"/>
            <w:vAlign w:val="bottom"/>
            <w:gridSpan w:val="11"/>
          </w:tcPr>
          <w:p>
            <w:pPr>
              <w:spacing w:after="0"/>
              <w:rPr>
                <w:sz w:val="20"/>
                <w:szCs w:val="20"/>
                <w:color w:val="auto"/>
              </w:rPr>
            </w:pPr>
            <w:r>
              <w:rPr>
                <w:rFonts w:ascii="Calibri" w:cs="Calibri" w:eastAsia="Calibri" w:hAnsi="Calibri"/>
                <w:sz w:val="16"/>
                <w:szCs w:val="16"/>
                <w:b w:val="1"/>
                <w:bCs w:val="1"/>
                <w:color w:val="0000EE"/>
              </w:rPr>
              <w:t>Opton exercises and stock vested during fscal year 2021</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90</w:t>
            </w:r>
          </w:p>
        </w:tc>
      </w:tr>
      <w:tr>
        <w:trPr>
          <w:trHeight w:val="279"/>
        </w:trPr>
        <w:tc>
          <w:tcPr>
            <w:tcW w:w="3660" w:type="dxa"/>
            <w:vAlign w:val="bottom"/>
            <w:tcBorders>
              <w:top w:val="single" w:sz="8" w:color="0000EE"/>
            </w:tcBorders>
            <w:gridSpan w:val="9"/>
          </w:tcPr>
          <w:p>
            <w:pPr>
              <w:spacing w:after="0"/>
              <w:rPr>
                <w:sz w:val="20"/>
                <w:szCs w:val="20"/>
                <w:color w:val="auto"/>
              </w:rPr>
            </w:pPr>
            <w:r>
              <w:rPr>
                <w:rFonts w:ascii="Calibri" w:cs="Calibri" w:eastAsia="Calibri" w:hAnsi="Calibri"/>
                <w:sz w:val="16"/>
                <w:szCs w:val="16"/>
                <w:b w:val="1"/>
                <w:bCs w:val="1"/>
                <w:color w:val="0000EE"/>
              </w:rPr>
              <w:t>Pension benefts for fscal year 2021</w:t>
            </w:r>
          </w:p>
        </w:tc>
        <w:tc>
          <w:tcPr>
            <w:tcW w:w="554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90</w:t>
            </w:r>
          </w:p>
        </w:tc>
      </w:tr>
      <w:tr>
        <w:trPr>
          <w:trHeight w:val="20"/>
        </w:trPr>
        <w:tc>
          <w:tcPr>
            <w:tcW w:w="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79"/>
        </w:trPr>
        <w:tc>
          <w:tcPr>
            <w:tcW w:w="9200" w:type="dxa"/>
            <w:vAlign w:val="bottom"/>
            <w:gridSpan w:val="11"/>
          </w:tcPr>
          <w:p>
            <w:pPr>
              <w:spacing w:after="0"/>
              <w:rPr>
                <w:sz w:val="20"/>
                <w:szCs w:val="20"/>
                <w:color w:val="auto"/>
              </w:rPr>
            </w:pPr>
            <w:r>
              <w:rPr>
                <w:rFonts w:ascii="Calibri" w:cs="Calibri" w:eastAsia="Calibri" w:hAnsi="Calibri"/>
                <w:sz w:val="16"/>
                <w:szCs w:val="16"/>
                <w:b w:val="1"/>
                <w:bCs w:val="1"/>
                <w:color w:val="0000EE"/>
              </w:rPr>
              <w:t>Potental payments upon terminaton or change in control at fscal 2021 year-end</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91</w:t>
            </w:r>
          </w:p>
        </w:tc>
      </w:tr>
      <w:tr>
        <w:trPr>
          <w:trHeight w:val="279"/>
        </w:trPr>
        <w:tc>
          <w:tcPr>
            <w:tcW w:w="5240" w:type="dxa"/>
            <w:vAlign w:val="bottom"/>
            <w:tcBorders>
              <w:top w:val="single" w:sz="8" w:color="0000EE"/>
            </w:tcBorders>
            <w:gridSpan w:val="10"/>
          </w:tcPr>
          <w:p>
            <w:pPr>
              <w:spacing w:after="0"/>
              <w:rPr>
                <w:sz w:val="20"/>
                <w:szCs w:val="20"/>
                <w:color w:val="auto"/>
              </w:rPr>
            </w:pPr>
            <w:r>
              <w:rPr>
                <w:rFonts w:ascii="Calibri" w:cs="Calibri" w:eastAsia="Calibri" w:hAnsi="Calibri"/>
                <w:sz w:val="16"/>
                <w:szCs w:val="16"/>
                <w:b w:val="1"/>
                <w:bCs w:val="1"/>
                <w:color w:val="0000EE"/>
              </w:rPr>
              <w:t>Indicatve payouts for Rohit Kapoor</w:t>
            </w:r>
          </w:p>
        </w:tc>
        <w:tc>
          <w:tcPr>
            <w:tcW w:w="3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94</w:t>
            </w:r>
          </w:p>
        </w:tc>
      </w:tr>
      <w:tr>
        <w:trPr>
          <w:trHeight w:val="20"/>
        </w:trPr>
        <w:tc>
          <w:tcPr>
            <w:tcW w:w="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79"/>
        </w:trPr>
        <w:tc>
          <w:tcPr>
            <w:tcW w:w="9200" w:type="dxa"/>
            <w:vAlign w:val="bottom"/>
            <w:gridSpan w:val="11"/>
          </w:tcPr>
          <w:p>
            <w:pPr>
              <w:spacing w:after="0"/>
              <w:rPr>
                <w:sz w:val="20"/>
                <w:szCs w:val="20"/>
                <w:color w:val="auto"/>
              </w:rPr>
            </w:pPr>
            <w:r>
              <w:rPr>
                <w:rFonts w:ascii="Calibri" w:cs="Calibri" w:eastAsia="Calibri" w:hAnsi="Calibri"/>
                <w:sz w:val="16"/>
                <w:szCs w:val="16"/>
                <w:b w:val="1"/>
                <w:bCs w:val="1"/>
                <w:color w:val="0000EE"/>
              </w:rPr>
              <w:t>Indicatve payouts for Maurizio Nicolelli</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96</w:t>
            </w:r>
          </w:p>
        </w:tc>
      </w:tr>
      <w:tr>
        <w:trPr>
          <w:trHeight w:val="279"/>
        </w:trPr>
        <w:tc>
          <w:tcPr>
            <w:tcW w:w="2280" w:type="dxa"/>
            <w:vAlign w:val="bottom"/>
            <w:tcBorders>
              <w:top w:val="single" w:sz="8" w:color="0000EE"/>
              <w:bottom w:val="single" w:sz="8" w:color="0000EE"/>
            </w:tcBorders>
            <w:gridSpan w:val="4"/>
          </w:tcPr>
          <w:p>
            <w:pPr>
              <w:spacing w:after="0"/>
              <w:rPr>
                <w:sz w:val="20"/>
                <w:szCs w:val="20"/>
                <w:color w:val="auto"/>
              </w:rPr>
            </w:pPr>
            <w:r>
              <w:rPr>
                <w:rFonts w:ascii="Calibri" w:cs="Calibri" w:eastAsia="Calibri" w:hAnsi="Calibri"/>
                <w:sz w:val="16"/>
                <w:szCs w:val="16"/>
                <w:b w:val="1"/>
                <w:bCs w:val="1"/>
                <w:color w:val="0000EE"/>
                <w:w w:val="99"/>
              </w:rPr>
              <w:t>Indicatve payouts for Vikas Bhalla</w:t>
            </w:r>
          </w:p>
        </w:tc>
        <w:tc>
          <w:tcPr>
            <w:tcW w:w="280" w:type="dxa"/>
            <w:vAlign w:val="bottom"/>
            <w:tcBorders>
              <w:top w:val="single" w:sz="8" w:color="0000EE"/>
            </w:tcBorders>
            <w:gridSpan w:val="2"/>
          </w:tcPr>
          <w:p>
            <w:pPr>
              <w:spacing w:after="0"/>
              <w:rPr>
                <w:sz w:val="24"/>
                <w:szCs w:val="24"/>
                <w:color w:val="auto"/>
              </w:rPr>
            </w:pPr>
          </w:p>
        </w:tc>
        <w:tc>
          <w:tcPr>
            <w:tcW w:w="664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96</w:t>
            </w:r>
          </w:p>
        </w:tc>
      </w:tr>
      <w:tr>
        <w:trPr>
          <w:trHeight w:val="279"/>
        </w:trPr>
        <w:tc>
          <w:tcPr>
            <w:tcW w:w="2200" w:type="dxa"/>
            <w:vAlign w:val="bottom"/>
            <w:tcBorders>
              <w:bottom w:val="single" w:sz="8" w:color="0000EE"/>
            </w:tcBorders>
            <w:gridSpan w:val="3"/>
          </w:tcPr>
          <w:p>
            <w:pPr>
              <w:spacing w:after="0"/>
              <w:rPr>
                <w:sz w:val="20"/>
                <w:szCs w:val="20"/>
                <w:color w:val="auto"/>
              </w:rPr>
            </w:pPr>
            <w:r>
              <w:rPr>
                <w:rFonts w:ascii="Calibri" w:cs="Calibri" w:eastAsia="Calibri" w:hAnsi="Calibri"/>
                <w:sz w:val="16"/>
                <w:szCs w:val="16"/>
                <w:b w:val="1"/>
                <w:bCs w:val="1"/>
                <w:color w:val="0000EE"/>
                <w:w w:val="97"/>
              </w:rPr>
              <w:t>Indicatve payouts for Vivek Jetley</w:t>
            </w:r>
          </w:p>
        </w:tc>
        <w:tc>
          <w:tcPr>
            <w:tcW w:w="700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97</w:t>
            </w:r>
          </w:p>
        </w:tc>
      </w:tr>
      <w:tr>
        <w:trPr>
          <w:trHeight w:val="279"/>
        </w:trPr>
        <w:tc>
          <w:tcPr>
            <w:tcW w:w="9200" w:type="dxa"/>
            <w:vAlign w:val="bottom"/>
            <w:gridSpan w:val="11"/>
          </w:tcPr>
          <w:p>
            <w:pPr>
              <w:spacing w:after="0"/>
              <w:rPr>
                <w:sz w:val="20"/>
                <w:szCs w:val="20"/>
                <w:color w:val="auto"/>
              </w:rPr>
            </w:pPr>
            <w:r>
              <w:rPr>
                <w:rFonts w:ascii="Calibri" w:cs="Calibri" w:eastAsia="Calibri" w:hAnsi="Calibri"/>
                <w:sz w:val="16"/>
                <w:szCs w:val="16"/>
                <w:b w:val="1"/>
                <w:bCs w:val="1"/>
                <w:color w:val="0000EE"/>
              </w:rPr>
              <w:t>Indicatve payouts for Samuel Meckey</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98</w:t>
            </w:r>
          </w:p>
        </w:tc>
      </w:tr>
      <w:tr>
        <w:trPr>
          <w:trHeight w:val="279"/>
        </w:trPr>
        <w:tc>
          <w:tcPr>
            <w:tcW w:w="2440" w:type="dxa"/>
            <w:vAlign w:val="bottom"/>
            <w:tcBorders>
              <w:top w:val="single" w:sz="8" w:color="0000EE"/>
            </w:tcBorders>
            <w:gridSpan w:val="5"/>
          </w:tcPr>
          <w:p>
            <w:pPr>
              <w:spacing w:after="0"/>
              <w:rPr>
                <w:sz w:val="20"/>
                <w:szCs w:val="20"/>
                <w:color w:val="auto"/>
              </w:rPr>
            </w:pPr>
            <w:r>
              <w:rPr>
                <w:rFonts w:ascii="Calibri" w:cs="Calibri" w:eastAsia="Calibri" w:hAnsi="Calibri"/>
                <w:sz w:val="16"/>
                <w:szCs w:val="16"/>
                <w:b w:val="1"/>
                <w:bCs w:val="1"/>
                <w:color w:val="0000EE"/>
              </w:rPr>
              <w:t>Certain defned terms</w:t>
            </w:r>
          </w:p>
        </w:tc>
        <w:tc>
          <w:tcPr>
            <w:tcW w:w="676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98</w:t>
            </w:r>
          </w:p>
        </w:tc>
      </w:tr>
      <w:tr>
        <w:trPr>
          <w:trHeight w:val="279"/>
        </w:trPr>
        <w:tc>
          <w:tcPr>
            <w:tcW w:w="1400" w:type="dxa"/>
            <w:vAlign w:val="bottom"/>
            <w:tcBorders>
              <w:top w:val="single" w:sz="8" w:color="0000EE"/>
            </w:tcBorders>
            <w:gridSpan w:val="2"/>
          </w:tcPr>
          <w:p>
            <w:pPr>
              <w:spacing w:after="0"/>
              <w:rPr>
                <w:sz w:val="20"/>
                <w:szCs w:val="20"/>
                <w:color w:val="auto"/>
              </w:rPr>
            </w:pPr>
            <w:r>
              <w:rPr>
                <w:rFonts w:ascii="Calibri" w:cs="Calibri" w:eastAsia="Calibri" w:hAnsi="Calibri"/>
                <w:sz w:val="16"/>
                <w:szCs w:val="16"/>
                <w:b w:val="1"/>
                <w:bCs w:val="1"/>
                <w:color w:val="0000EE"/>
              </w:rPr>
              <w:t>CEO pay rato</w:t>
            </w:r>
          </w:p>
        </w:tc>
        <w:tc>
          <w:tcPr>
            <w:tcW w:w="780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100</w:t>
            </w:r>
          </w:p>
        </w:tc>
      </w:tr>
      <w:tr>
        <w:trPr>
          <w:trHeight w:val="20"/>
        </w:trPr>
        <w:tc>
          <w:tcPr>
            <w:tcW w:w="860" w:type="dxa"/>
            <w:vAlign w:val="bottom"/>
            <w:shd w:val="clear" w:color="auto" w:fill="0000EE"/>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79"/>
        </w:trPr>
        <w:tc>
          <w:tcPr>
            <w:tcW w:w="9200" w:type="dxa"/>
            <w:vAlign w:val="bottom"/>
            <w:gridSpan w:val="11"/>
          </w:tcPr>
          <w:p>
            <w:pPr>
              <w:spacing w:after="0"/>
              <w:rPr>
                <w:sz w:val="20"/>
                <w:szCs w:val="20"/>
                <w:color w:val="auto"/>
              </w:rPr>
            </w:pPr>
            <w:r>
              <w:rPr>
                <w:rFonts w:ascii="Calibri" w:cs="Calibri" w:eastAsia="Calibri" w:hAnsi="Calibri"/>
                <w:sz w:val="16"/>
                <w:szCs w:val="16"/>
                <w:b w:val="1"/>
                <w:bCs w:val="1"/>
                <w:color w:val="0000EE"/>
              </w:rPr>
              <w:t>Director compensaton for fscal year 2021</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102</w:t>
            </w:r>
          </w:p>
        </w:tc>
      </w:tr>
      <w:tr>
        <w:trPr>
          <w:trHeight w:val="477"/>
        </w:trPr>
        <w:tc>
          <w:tcPr>
            <w:tcW w:w="8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60" w:type="dxa"/>
            <w:vAlign w:val="bottom"/>
          </w:tcPr>
          <w:p>
            <w:pPr>
              <w:ind w:left="2540"/>
              <w:spacing w:after="0"/>
              <w:rPr>
                <w:sz w:val="20"/>
                <w:szCs w:val="20"/>
                <w:color w:val="auto"/>
              </w:rPr>
            </w:pPr>
            <w:r>
              <w:rPr>
                <w:rFonts w:ascii="Calibri" w:cs="Calibri" w:eastAsia="Calibri" w:hAnsi="Calibri"/>
                <w:sz w:val="13"/>
                <w:szCs w:val="13"/>
                <w:color w:val="auto"/>
              </w:rPr>
              <w:t>EXL 2022 Proxy Statement</w:t>
            </w:r>
          </w:p>
        </w:tc>
        <w:tc>
          <w:tcPr>
            <w:tcW w:w="460" w:type="dxa"/>
            <w:vAlign w:val="bottom"/>
          </w:tcPr>
          <w:p>
            <w:pPr>
              <w:jc w:val="right"/>
              <w:ind w:right="36"/>
              <w:spacing w:after="0"/>
              <w:rPr>
                <w:sz w:val="20"/>
                <w:szCs w:val="20"/>
                <w:color w:val="auto"/>
              </w:rPr>
            </w:pPr>
            <w:r>
              <w:rPr>
                <w:rFonts w:ascii="Calibri" w:cs="Calibri" w:eastAsia="Calibri" w:hAnsi="Calibri"/>
                <w:sz w:val="28"/>
                <w:szCs w:val="28"/>
                <w:b w:val="1"/>
                <w:bCs w:val="1"/>
                <w:color w:val="FB4E0B"/>
              </w:rPr>
              <w:t>/</w:t>
            </w:r>
          </w:p>
        </w:tc>
        <w:tc>
          <w:tcPr>
            <w:tcW w:w="960" w:type="dxa"/>
            <w:vAlign w:val="bottom"/>
          </w:tcPr>
          <w:p>
            <w:pPr>
              <w:jc w:val="right"/>
              <w:ind w:right="581"/>
              <w:spacing w:after="0"/>
              <w:rPr>
                <w:sz w:val="20"/>
                <w:szCs w:val="20"/>
                <w:color w:val="auto"/>
              </w:rPr>
            </w:pPr>
            <w:r>
              <w:rPr>
                <w:rFonts w:ascii="Calibri" w:cs="Calibri" w:eastAsia="Calibri" w:hAnsi="Calibri"/>
                <w:sz w:val="17"/>
                <w:szCs w:val="17"/>
                <w:b w:val="1"/>
                <w:bCs w:val="1"/>
                <w:color w:val="auto"/>
              </w:rPr>
              <w:t>61</w:t>
            </w:r>
          </w:p>
        </w:tc>
      </w:tr>
    </w:tbl>
    <w:p>
      <w:pPr>
        <w:sectPr>
          <w:pgSz w:w="11900" w:h="16838" w:orient="portrait"/>
          <w:cols w:equalWidth="0" w:num="1">
            <w:col w:w="10940"/>
          </w:cols>
          <w:pgMar w:left="320" w:top="445"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Named Executve Ofcers</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determined in accordance with SEC rules, our named executve ofcers (“NEOs”) for 2021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163195</wp:posOffset>
            </wp:positionV>
            <wp:extent cx="528955" cy="528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280"/>
        <w:spacing w:after="0"/>
        <w:rPr>
          <w:sz w:val="20"/>
          <w:szCs w:val="20"/>
          <w:color w:val="auto"/>
        </w:rPr>
      </w:pPr>
      <w:r>
        <w:rPr>
          <w:rFonts w:ascii="Calibri" w:cs="Calibri" w:eastAsia="Calibri" w:hAnsi="Calibri"/>
          <w:sz w:val="17"/>
          <w:szCs w:val="17"/>
          <w:b w:val="1"/>
          <w:bCs w:val="1"/>
          <w:color w:val="auto"/>
        </w:rPr>
        <w:t xml:space="preserve">Rohit Kapoor, </w:t>
      </w:r>
      <w:r>
        <w:rPr>
          <w:rFonts w:ascii="Calibri" w:cs="Calibri" w:eastAsia="Calibri" w:hAnsi="Calibri"/>
          <w:sz w:val="17"/>
          <w:szCs w:val="17"/>
          <w:color w:val="auto"/>
        </w:rPr>
        <w:t>our Vice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278765</wp:posOffset>
            </wp:positionV>
            <wp:extent cx="528955" cy="528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80"/>
        <w:spacing w:after="0"/>
        <w:rPr>
          <w:sz w:val="20"/>
          <w:szCs w:val="20"/>
          <w:color w:val="auto"/>
        </w:rPr>
      </w:pPr>
      <w:r>
        <w:rPr>
          <w:rFonts w:ascii="Calibri" w:cs="Calibri" w:eastAsia="Calibri" w:hAnsi="Calibri"/>
          <w:sz w:val="17"/>
          <w:szCs w:val="17"/>
          <w:b w:val="1"/>
          <w:bCs w:val="1"/>
          <w:color w:val="auto"/>
        </w:rPr>
        <w:t xml:space="preserve">Maurizio Nicolelli, </w:t>
      </w:r>
      <w:r>
        <w:rPr>
          <w:rFonts w:ascii="Calibri" w:cs="Calibri" w:eastAsia="Calibri" w:hAnsi="Calibri"/>
          <w:sz w:val="17"/>
          <w:szCs w:val="17"/>
          <w:color w:val="auto"/>
        </w:rPr>
        <w:t>our Executve Vice President and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278765</wp:posOffset>
            </wp:positionV>
            <wp:extent cx="528955" cy="528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80"/>
        <w:spacing w:after="0"/>
        <w:rPr>
          <w:sz w:val="20"/>
          <w:szCs w:val="20"/>
          <w:color w:val="auto"/>
        </w:rPr>
      </w:pPr>
      <w:r>
        <w:rPr>
          <w:rFonts w:ascii="Calibri" w:cs="Calibri" w:eastAsia="Calibri" w:hAnsi="Calibri"/>
          <w:sz w:val="17"/>
          <w:szCs w:val="17"/>
          <w:b w:val="1"/>
          <w:bCs w:val="1"/>
          <w:color w:val="auto"/>
        </w:rPr>
        <w:t xml:space="preserve">Vikas Bhalla, </w:t>
      </w:r>
      <w:r>
        <w:rPr>
          <w:rFonts w:ascii="Calibri" w:cs="Calibri" w:eastAsia="Calibri" w:hAnsi="Calibri"/>
          <w:sz w:val="17"/>
          <w:szCs w:val="17"/>
          <w:color w:val="auto"/>
        </w:rPr>
        <w:t>our Executve Vice President and Business Head,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278765</wp:posOffset>
            </wp:positionV>
            <wp:extent cx="528955" cy="528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2895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80"/>
        <w:spacing w:after="0"/>
        <w:rPr>
          <w:sz w:val="20"/>
          <w:szCs w:val="20"/>
          <w:color w:val="auto"/>
        </w:rPr>
      </w:pPr>
      <w:r>
        <w:rPr>
          <w:rFonts w:ascii="Calibri" w:cs="Calibri" w:eastAsia="Calibri" w:hAnsi="Calibri"/>
          <w:sz w:val="17"/>
          <w:szCs w:val="17"/>
          <w:b w:val="1"/>
          <w:bCs w:val="1"/>
          <w:color w:val="auto"/>
        </w:rPr>
        <w:t>Vivek Jetley</w:t>
      </w:r>
      <w:r>
        <w:rPr>
          <w:rFonts w:ascii="Calibri" w:cs="Calibri" w:eastAsia="Calibri" w:hAnsi="Calibri"/>
          <w:sz w:val="17"/>
          <w:szCs w:val="17"/>
          <w:color w:val="auto"/>
        </w:rPr>
        <w:t>, our Executve Vice President and Business Head, Analytcs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278765</wp:posOffset>
            </wp:positionV>
            <wp:extent cx="528955" cy="5124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28955" cy="51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80"/>
        <w:spacing w:after="0"/>
        <w:rPr>
          <w:sz w:val="20"/>
          <w:szCs w:val="20"/>
          <w:color w:val="auto"/>
        </w:rPr>
      </w:pPr>
      <w:r>
        <w:rPr>
          <w:rFonts w:ascii="Calibri" w:cs="Calibri" w:eastAsia="Calibri" w:hAnsi="Calibri"/>
          <w:sz w:val="17"/>
          <w:szCs w:val="17"/>
          <w:b w:val="1"/>
          <w:bCs w:val="1"/>
          <w:color w:val="auto"/>
        </w:rPr>
        <w:t xml:space="preserve">Samuel Meckey, </w:t>
      </w:r>
      <w:r>
        <w:rPr>
          <w:rFonts w:ascii="Calibri" w:cs="Calibri" w:eastAsia="Calibri" w:hAnsi="Calibri"/>
          <w:sz w:val="17"/>
          <w:szCs w:val="17"/>
          <w:color w:val="auto"/>
        </w:rPr>
        <w:t>our Executve Vice President and Business Head, Healthcare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Executve summary</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Select 2021 fnancial and business highlights</w:t>
      </w:r>
    </w:p>
    <w:p>
      <w:pPr>
        <w:spacing w:after="0" w:line="128" w:lineRule="exact"/>
        <w:rPr>
          <w:sz w:val="20"/>
          <w:szCs w:val="20"/>
          <w:color w:val="auto"/>
        </w:rPr>
      </w:pPr>
    </w:p>
    <w:p>
      <w:pPr>
        <w:ind w:left="1140" w:right="140" w:hanging="407"/>
        <w:spacing w:after="0" w:line="239" w:lineRule="auto"/>
        <w:tabs>
          <w:tab w:leader="none" w:pos="1140"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Our annual revenues increased 17.1% from $958.4 million in fscal year 2020 to $1.12 billion in fscal year 2021. Analytcs revenue increased 27.0% and digital operatons and solutons revenue increased 11.1%.</w:t>
      </w:r>
    </w:p>
    <w:p>
      <w:pPr>
        <w:spacing w:after="0" w:line="120" w:lineRule="exact"/>
        <w:rPr>
          <w:rFonts w:ascii="Calibri" w:cs="Calibri" w:eastAsia="Calibri" w:hAnsi="Calibri"/>
          <w:sz w:val="17"/>
          <w:szCs w:val="17"/>
          <w:color w:val="auto"/>
        </w:rPr>
      </w:pPr>
    </w:p>
    <w:p>
      <w:pPr>
        <w:ind w:left="1140" w:right="40" w:hanging="407"/>
        <w:spacing w:after="0" w:line="239" w:lineRule="auto"/>
        <w:tabs>
          <w:tab w:leader="none" w:pos="1140"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Our operatng income margin increased by 240 basis points from 11.5% in 2020 to 13.9%. Factors contributng to the increase were improved utlizaton of people and facilites and lower travel expenses, partally ofset by higher sales and marketng expenses and employee costs, including bonuses.</w:t>
      </w:r>
    </w:p>
    <w:p>
      <w:pPr>
        <w:spacing w:after="0" w:line="120" w:lineRule="exact"/>
        <w:rPr>
          <w:rFonts w:ascii="Calibri" w:cs="Calibri" w:eastAsia="Calibri" w:hAnsi="Calibri"/>
          <w:sz w:val="17"/>
          <w:szCs w:val="17"/>
          <w:color w:val="auto"/>
        </w:rPr>
      </w:pPr>
    </w:p>
    <w:p>
      <w:pPr>
        <w:ind w:left="1140" w:hanging="407"/>
        <w:spacing w:after="0"/>
        <w:tabs>
          <w:tab w:leader="none" w:pos="1140"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We improved our net income atributable to stockholders by 28.3% to $114.7 million.</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Diluted EPS increased from $2.59 to $3.35, an increase of 29.3%.</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Added approximately 5,000 employees to our global work force, mainly in our delivery centers.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We acquired Clairvoyant AI Inc., a global data, AI, and cloud services frm.</w:t>
      </w:r>
    </w:p>
    <w:p>
      <w:pPr>
        <w:spacing w:after="0" w:line="119" w:lineRule="exact"/>
        <w:rPr>
          <w:rFonts w:ascii="Calibri" w:cs="Calibri" w:eastAsia="Calibri" w:hAnsi="Calibri"/>
          <w:sz w:val="17"/>
          <w:szCs w:val="17"/>
          <w:color w:val="auto"/>
        </w:rPr>
      </w:pPr>
    </w:p>
    <w:p>
      <w:pPr>
        <w:ind w:left="1140" w:hanging="407"/>
        <w:spacing w:after="0" w:line="239" w:lineRule="auto"/>
        <w:tabs>
          <w:tab w:leader="none" w:pos="1140"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In 2021, the Company returned capital to stockholders by repurchasing $115.6 million of shares. The Company’s board of directors authorized a $300 million common stock repurchase program beginning January 1, 2022.</w:t>
      </w:r>
    </w:p>
    <w:p>
      <w:pPr>
        <w:spacing w:after="0" w:line="127"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62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860"/>
          </w:cols>
          <w:pgMar w:left="320" w:top="445" w:right="7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Total stockholder return</w:t>
      </w:r>
    </w:p>
    <w:p>
      <w:pPr>
        <w:spacing w:after="0" w:line="115"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The following graphs compare our 1-year, 3-year and 5-year cumulatve total stockholder return (“TSR”) as of December 31, 2021 with the median TSR of companies comprising Nasdaq, S&amp;P 600 and our peer group. As shown in the table, our 1-Year, 3-Year and 5-Year TSR outperformed all of our market benchmarks.</w:t>
      </w:r>
    </w:p>
    <w:p>
      <w:pPr>
        <w:spacing w:after="0" w:line="237" w:lineRule="exact"/>
        <w:rPr>
          <w:sz w:val="20"/>
          <w:szCs w:val="20"/>
          <w:color w:val="auto"/>
        </w:rPr>
      </w:pPr>
    </w:p>
    <w:p>
      <w:pPr>
        <w:ind w:left="1800"/>
        <w:spacing w:after="0"/>
        <w:tabs>
          <w:tab w:leader="none" w:pos="5460" w:val="left"/>
          <w:tab w:leader="none" w:pos="8900" w:val="left"/>
        </w:tabs>
        <w:rPr>
          <w:sz w:val="20"/>
          <w:szCs w:val="20"/>
          <w:color w:val="auto"/>
        </w:rPr>
      </w:pPr>
      <w:r>
        <w:rPr>
          <w:rFonts w:ascii="Calibri" w:cs="Calibri" w:eastAsia="Calibri" w:hAnsi="Calibri"/>
          <w:sz w:val="17"/>
          <w:szCs w:val="17"/>
          <w:b w:val="1"/>
          <w:bCs w:val="1"/>
          <w:color w:val="auto"/>
        </w:rPr>
        <w:t>1-Year TSR</w:t>
      </w:r>
      <w:r>
        <w:rPr>
          <w:sz w:val="20"/>
          <w:szCs w:val="20"/>
          <w:color w:val="auto"/>
        </w:rPr>
        <w:tab/>
      </w:r>
      <w:r>
        <w:rPr>
          <w:rFonts w:ascii="Calibri" w:cs="Calibri" w:eastAsia="Calibri" w:hAnsi="Calibri"/>
          <w:sz w:val="17"/>
          <w:szCs w:val="17"/>
          <w:b w:val="1"/>
          <w:bCs w:val="1"/>
          <w:color w:val="auto"/>
        </w:rPr>
        <w:t>3-Year TSR</w:t>
      </w:r>
      <w:r>
        <w:rPr>
          <w:sz w:val="20"/>
          <w:szCs w:val="20"/>
          <w:color w:val="auto"/>
        </w:rPr>
        <w:tab/>
      </w:r>
      <w:r>
        <w:rPr>
          <w:rFonts w:ascii="Calibri" w:cs="Calibri" w:eastAsia="Calibri" w:hAnsi="Calibri"/>
          <w:sz w:val="16"/>
          <w:szCs w:val="16"/>
          <w:b w:val="1"/>
          <w:bCs w:val="1"/>
          <w:color w:val="auto"/>
        </w:rPr>
        <w:t>5-Year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163195</wp:posOffset>
            </wp:positionV>
            <wp:extent cx="3717290" cy="12141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717290" cy="121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Awards and industry recogniton</w:t>
      </w:r>
    </w:p>
    <w:p>
      <w:pPr>
        <w:spacing w:after="0" w:line="127" w:lineRule="exact"/>
        <w:rPr>
          <w:sz w:val="20"/>
          <w:szCs w:val="20"/>
          <w:color w:val="auto"/>
        </w:rPr>
      </w:pPr>
    </w:p>
    <w:p>
      <w:pPr>
        <w:ind w:left="1140" w:hanging="407"/>
        <w:spacing w:after="0"/>
        <w:tabs>
          <w:tab w:leader="none" w:pos="1140" w:val="left"/>
        </w:tabs>
        <w:numPr>
          <w:ilvl w:val="0"/>
          <w:numId w:val="20"/>
        </w:numPr>
        <w:rPr>
          <w:rFonts w:ascii="Calibri" w:cs="Calibri" w:eastAsia="Calibri" w:hAnsi="Calibri"/>
          <w:sz w:val="17"/>
          <w:szCs w:val="17"/>
          <w:color w:val="auto"/>
        </w:rPr>
      </w:pPr>
      <w:r>
        <w:rPr>
          <w:rFonts w:ascii="Calibri" w:cs="Calibri" w:eastAsia="Calibri" w:hAnsi="Calibri"/>
          <w:sz w:val="17"/>
          <w:szCs w:val="17"/>
          <w:color w:val="auto"/>
        </w:rPr>
        <w:t>Our people are our primary assets, and they contnue to be recognized across the industry.</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20"/>
        </w:numPr>
        <w:rPr>
          <w:rFonts w:ascii="Calibri" w:cs="Calibri" w:eastAsia="Calibri" w:hAnsi="Calibri"/>
          <w:sz w:val="17"/>
          <w:szCs w:val="17"/>
          <w:color w:val="auto"/>
        </w:rPr>
      </w:pPr>
      <w:r>
        <w:rPr>
          <w:rFonts w:ascii="Calibri" w:cs="Calibri" w:eastAsia="Calibri" w:hAnsi="Calibri"/>
          <w:sz w:val="17"/>
          <w:szCs w:val="17"/>
          <w:color w:val="auto"/>
        </w:rPr>
        <w:t>As in prior years, we contnued to receive numerous industry recognitons and awards, including:</w:t>
      </w:r>
    </w:p>
    <w:p>
      <w:pPr>
        <w:spacing w:after="0" w:line="118" w:lineRule="exact"/>
        <w:rPr>
          <w:rFonts w:ascii="Calibri" w:cs="Calibri" w:eastAsia="Calibri" w:hAnsi="Calibri"/>
          <w:sz w:val="17"/>
          <w:szCs w:val="17"/>
          <w:color w:val="auto"/>
        </w:rPr>
      </w:pPr>
    </w:p>
    <w:p>
      <w:pPr>
        <w:ind w:left="1580" w:right="220" w:hanging="416"/>
        <w:spacing w:after="0" w:line="185" w:lineRule="auto"/>
        <w:rPr>
          <w:rFonts w:ascii="Calibri" w:cs="Calibri" w:eastAsia="Calibri" w:hAnsi="Calibri"/>
          <w:sz w:val="17"/>
          <w:szCs w:val="17"/>
          <w:color w:val="auto"/>
        </w:rPr>
      </w:pPr>
      <w:r>
        <w:rPr>
          <w:rFonts w:ascii="Calibri" w:cs="Calibri" w:eastAsia="Calibri" w:hAnsi="Calibri"/>
          <w:sz w:val="17"/>
          <w:szCs w:val="17"/>
          <w:color w:val="auto"/>
        </w:rPr>
        <w:t xml:space="preserve">–Recognized as a Leader in the Everest Group </w:t>
      </w:r>
      <w:r>
        <w:rPr>
          <w:rFonts w:ascii="Calibri" w:cs="Calibri" w:eastAsia="Calibri" w:hAnsi="Calibri"/>
          <w:sz w:val="17"/>
          <w:szCs w:val="17"/>
          <w:i w:val="1"/>
          <w:iCs w:val="1"/>
          <w:color w:val="auto"/>
        </w:rPr>
        <w:t>Advanced Analytcs and Insights Services PEAK Matrix</w:t>
      </w:r>
      <w:r>
        <w:rPr>
          <w:rFonts w:ascii="Calibri" w:cs="Calibri" w:eastAsia="Calibri" w:hAnsi="Calibri"/>
          <w:sz w:val="29"/>
          <w:szCs w:val="29"/>
          <w:i w:val="1"/>
          <w:iCs w:val="1"/>
          <w:color w:val="auto"/>
          <w:vertAlign w:val="superscript"/>
        </w:rPr>
        <w:t>®</w:t>
      </w:r>
      <w:r>
        <w:rPr>
          <w:rFonts w:ascii="Calibri" w:cs="Calibri" w:eastAsia="Calibri" w:hAnsi="Calibri"/>
          <w:sz w:val="17"/>
          <w:szCs w:val="17"/>
          <w:color w:val="auto"/>
        </w:rPr>
        <w:t xml:space="preserve"> and </w:t>
      </w:r>
      <w:r>
        <w:rPr>
          <w:rFonts w:ascii="Calibri" w:cs="Calibri" w:eastAsia="Calibri" w:hAnsi="Calibri"/>
          <w:sz w:val="17"/>
          <w:szCs w:val="17"/>
          <w:i w:val="1"/>
          <w:iCs w:val="1"/>
          <w:color w:val="auto"/>
        </w:rPr>
        <w:t>Healthcare Analytcs Services</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PEAK Matrix</w:t>
      </w:r>
      <w:r>
        <w:rPr>
          <w:rFonts w:ascii="Calibri" w:cs="Calibri" w:eastAsia="Calibri" w:hAnsi="Calibri"/>
          <w:sz w:val="29"/>
          <w:szCs w:val="29"/>
          <w:i w:val="1"/>
          <w:iCs w:val="1"/>
          <w:color w:val="auto"/>
          <w:vertAlign w:val="superscript"/>
        </w:rPr>
        <w:t>®</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Assessments</w:t>
      </w:r>
    </w:p>
    <w:p>
      <w:pPr>
        <w:spacing w:after="0" w:line="2" w:lineRule="exact"/>
        <w:rPr>
          <w:rFonts w:ascii="Calibri" w:cs="Calibri" w:eastAsia="Calibri" w:hAnsi="Calibri"/>
          <w:sz w:val="17"/>
          <w:szCs w:val="17"/>
          <w:color w:val="auto"/>
        </w:rPr>
      </w:pPr>
    </w:p>
    <w:p>
      <w:pPr>
        <w:ind w:left="1580" w:right="280" w:hanging="416"/>
        <w:spacing w:after="0" w:line="182" w:lineRule="auto"/>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Positoned in the Winners Circle in the HFS Research’s </w:t>
      </w:r>
      <w:r>
        <w:rPr>
          <w:rFonts w:ascii="Calibri" w:cs="Calibri" w:eastAsia="Calibri" w:hAnsi="Calibri"/>
          <w:sz w:val="16"/>
          <w:szCs w:val="16"/>
          <w:i w:val="1"/>
          <w:iCs w:val="1"/>
          <w:color w:val="auto"/>
        </w:rPr>
        <w:t>2021 OneOfce</w:t>
      </w:r>
      <w:r>
        <w:rPr>
          <w:rFonts w:ascii="Calibri" w:cs="Calibri" w:eastAsia="Calibri" w:hAnsi="Calibri"/>
          <w:sz w:val="27"/>
          <w:szCs w:val="27"/>
          <w:i w:val="1"/>
          <w:iCs w:val="1"/>
          <w:color w:val="auto"/>
          <w:vertAlign w:val="superscript"/>
        </w:rPr>
        <w:t>™</w:t>
      </w:r>
      <w:r>
        <w:rPr>
          <w:rFonts w:ascii="Calibri" w:cs="Calibri" w:eastAsia="Calibri" w:hAnsi="Calibri"/>
          <w:sz w:val="16"/>
          <w:szCs w:val="16"/>
          <w:color w:val="auto"/>
        </w:rPr>
        <w:t xml:space="preserve"> </w:t>
      </w:r>
      <w:r>
        <w:rPr>
          <w:rFonts w:ascii="Calibri" w:cs="Calibri" w:eastAsia="Calibri" w:hAnsi="Calibri"/>
          <w:sz w:val="16"/>
          <w:szCs w:val="16"/>
          <w:i w:val="1"/>
          <w:iCs w:val="1"/>
          <w:color w:val="auto"/>
        </w:rPr>
        <w:t>Services Top 10 for Data and Decisions</w:t>
      </w:r>
      <w:r>
        <w:rPr>
          <w:rFonts w:ascii="Calibri" w:cs="Calibri" w:eastAsia="Calibri" w:hAnsi="Calibri"/>
          <w:sz w:val="16"/>
          <w:szCs w:val="16"/>
          <w:color w:val="auto"/>
        </w:rPr>
        <w:t>, with the top score for the Voice of the Customer</w:t>
      </w:r>
    </w:p>
    <w:p>
      <w:pPr>
        <w:spacing w:after="0" w:line="120" w:lineRule="exact"/>
        <w:rPr>
          <w:rFonts w:ascii="Calibri" w:cs="Calibri" w:eastAsia="Calibri" w:hAnsi="Calibri"/>
          <w:sz w:val="17"/>
          <w:szCs w:val="17"/>
          <w:color w:val="auto"/>
        </w:rPr>
      </w:pPr>
    </w:p>
    <w:p>
      <w:pPr>
        <w:ind w:left="1580" w:right="220" w:hanging="416"/>
        <w:spacing w:after="0" w:line="239" w:lineRule="auto"/>
        <w:rPr>
          <w:rFonts w:ascii="Calibri" w:cs="Calibri" w:eastAsia="Calibri" w:hAnsi="Calibri"/>
          <w:sz w:val="17"/>
          <w:szCs w:val="17"/>
          <w:color w:val="auto"/>
        </w:rPr>
      </w:pPr>
      <w:r>
        <w:rPr>
          <w:rFonts w:ascii="Calibri" w:cs="Calibri" w:eastAsia="Calibri" w:hAnsi="Calibri"/>
          <w:sz w:val="17"/>
          <w:szCs w:val="17"/>
          <w:color w:val="auto"/>
        </w:rPr>
        <w:t xml:space="preserve">–Positoned as a Leader in all three categories in the </w:t>
      </w:r>
      <w:r>
        <w:rPr>
          <w:rFonts w:ascii="Calibri" w:cs="Calibri" w:eastAsia="Calibri" w:hAnsi="Calibri"/>
          <w:sz w:val="17"/>
          <w:szCs w:val="17"/>
          <w:i w:val="1"/>
          <w:iCs w:val="1"/>
          <w:color w:val="auto"/>
        </w:rPr>
        <w:t>ISG Provider Lens for Insurance Services U.S. 2020: P&amp;C Services, Life &amp; Retrement</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Services and TPA Services</w:t>
      </w:r>
    </w:p>
    <w:p>
      <w:pPr>
        <w:spacing w:after="0" w:line="119" w:lineRule="exact"/>
        <w:rPr>
          <w:rFonts w:ascii="Calibri" w:cs="Calibri" w:eastAsia="Calibri" w:hAnsi="Calibri"/>
          <w:sz w:val="17"/>
          <w:szCs w:val="17"/>
          <w:color w:val="auto"/>
        </w:rPr>
      </w:pPr>
    </w:p>
    <w:p>
      <w:pPr>
        <w:ind w:left="1580" w:right="140" w:hanging="416"/>
        <w:spacing w:after="0" w:line="185" w:lineRule="auto"/>
        <w:rPr>
          <w:rFonts w:ascii="Calibri" w:cs="Calibri" w:eastAsia="Calibri" w:hAnsi="Calibri"/>
          <w:sz w:val="17"/>
          <w:szCs w:val="17"/>
          <w:color w:val="auto"/>
        </w:rPr>
      </w:pPr>
      <w:r>
        <w:rPr>
          <w:rFonts w:ascii="Calibri" w:cs="Calibri" w:eastAsia="Calibri" w:hAnsi="Calibri"/>
          <w:sz w:val="17"/>
          <w:szCs w:val="17"/>
          <w:color w:val="auto"/>
        </w:rPr>
        <w:t xml:space="preserve">–Recognized as a Leader in the Everest Group </w:t>
      </w:r>
      <w:r>
        <w:rPr>
          <w:rFonts w:ascii="Calibri" w:cs="Calibri" w:eastAsia="Calibri" w:hAnsi="Calibri"/>
          <w:sz w:val="17"/>
          <w:szCs w:val="17"/>
          <w:i w:val="1"/>
          <w:iCs w:val="1"/>
          <w:color w:val="auto"/>
        </w:rPr>
        <w:t>Property &amp; Casualty Insurance BPS PEAK Matrix</w:t>
      </w:r>
      <w:r>
        <w:rPr>
          <w:rFonts w:ascii="Calibri" w:cs="Calibri" w:eastAsia="Calibri" w:hAnsi="Calibri"/>
          <w:sz w:val="29"/>
          <w:szCs w:val="29"/>
          <w:color w:val="auto"/>
          <w:vertAlign w:val="superscript"/>
        </w:rPr>
        <w:t>®</w:t>
      </w:r>
      <w:r>
        <w:rPr>
          <w:rFonts w:ascii="Calibri" w:cs="Calibri" w:eastAsia="Calibri" w:hAnsi="Calibri"/>
          <w:sz w:val="17"/>
          <w:szCs w:val="17"/>
          <w:color w:val="auto"/>
        </w:rPr>
        <w:t xml:space="preserve"> and </w:t>
      </w:r>
      <w:r>
        <w:rPr>
          <w:rFonts w:ascii="Calibri" w:cs="Calibri" w:eastAsia="Calibri" w:hAnsi="Calibri"/>
          <w:sz w:val="17"/>
          <w:szCs w:val="17"/>
          <w:i w:val="1"/>
          <w:iCs w:val="1"/>
          <w:color w:val="auto"/>
        </w:rPr>
        <w:t>Life and Pensions Insurance BPS/TPA</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PEAK Matrix</w:t>
      </w:r>
      <w:r>
        <w:rPr>
          <w:rFonts w:ascii="Calibri" w:cs="Calibri" w:eastAsia="Calibri" w:hAnsi="Calibri"/>
          <w:sz w:val="29"/>
          <w:szCs w:val="29"/>
          <w:i w:val="1"/>
          <w:iCs w:val="1"/>
          <w:color w:val="auto"/>
          <w:vertAlign w:val="superscript"/>
        </w:rPr>
        <w:t>®</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Assessments</w:t>
      </w:r>
    </w:p>
    <w:p>
      <w:pPr>
        <w:spacing w:after="0" w:line="2" w:lineRule="exact"/>
        <w:rPr>
          <w:rFonts w:ascii="Calibri" w:cs="Calibri" w:eastAsia="Calibri" w:hAnsi="Calibri"/>
          <w:sz w:val="17"/>
          <w:szCs w:val="17"/>
          <w:color w:val="auto"/>
        </w:rPr>
      </w:pPr>
    </w:p>
    <w:p>
      <w:pPr>
        <w:ind w:left="1160"/>
        <w:spacing w:after="0" w:line="235" w:lineRule="auto"/>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Named a Top Performer in the 2021 </w:t>
      </w:r>
      <w:r>
        <w:rPr>
          <w:rFonts w:ascii="Calibri" w:cs="Calibri" w:eastAsia="Calibri" w:hAnsi="Calibri"/>
          <w:sz w:val="16"/>
          <w:szCs w:val="16"/>
          <w:i w:val="1"/>
          <w:iCs w:val="1"/>
          <w:color w:val="auto"/>
        </w:rPr>
        <w:t>KLAS Risk Adjustment &amp; Analytcs Performance Report</w:t>
      </w:r>
    </w:p>
    <w:p>
      <w:pPr>
        <w:spacing w:after="0" w:line="117" w:lineRule="exact"/>
        <w:rPr>
          <w:rFonts w:ascii="Calibri" w:cs="Calibri" w:eastAsia="Calibri" w:hAnsi="Calibri"/>
          <w:sz w:val="17"/>
          <w:szCs w:val="17"/>
          <w:color w:val="auto"/>
        </w:rPr>
      </w:pPr>
    </w:p>
    <w:p>
      <w:pPr>
        <w:ind w:left="1160"/>
        <w:spacing w:after="0"/>
        <w:rPr>
          <w:rFonts w:ascii="Calibri" w:cs="Calibri" w:eastAsia="Calibri" w:hAnsi="Calibri"/>
          <w:sz w:val="17"/>
          <w:szCs w:val="17"/>
          <w:color w:val="auto"/>
        </w:rPr>
      </w:pPr>
      <w:r>
        <w:rPr>
          <w:rFonts w:ascii="Calibri" w:cs="Calibri" w:eastAsia="Calibri" w:hAnsi="Calibri"/>
          <w:sz w:val="17"/>
          <w:szCs w:val="17"/>
          <w:color w:val="auto"/>
        </w:rPr>
        <w:t>–</w:t>
      </w:r>
      <w:r>
        <w:rPr>
          <w:rFonts w:ascii="Calibri" w:cs="Calibri" w:eastAsia="Calibri" w:hAnsi="Calibri"/>
          <w:sz w:val="16"/>
          <w:szCs w:val="16"/>
          <w:color w:val="auto"/>
        </w:rPr>
        <w:t xml:space="preserve">Recognized as a Leader in all four categories in the </w:t>
      </w:r>
      <w:r>
        <w:rPr>
          <w:rFonts w:ascii="Calibri" w:cs="Calibri" w:eastAsia="Calibri" w:hAnsi="Calibri"/>
          <w:sz w:val="16"/>
          <w:szCs w:val="16"/>
          <w:i w:val="1"/>
          <w:iCs w:val="1"/>
          <w:color w:val="auto"/>
        </w:rPr>
        <w:t>ISG Provider Lens</w:t>
      </w:r>
      <w:r>
        <w:rPr>
          <w:rFonts w:ascii="Calibri" w:cs="Calibri" w:eastAsia="Calibri" w:hAnsi="Calibri"/>
          <w:sz w:val="27"/>
          <w:szCs w:val="27"/>
          <w:i w:val="1"/>
          <w:iCs w:val="1"/>
          <w:color w:val="auto"/>
          <w:vertAlign w:val="superscript"/>
        </w:rPr>
        <w:t>™</w:t>
      </w:r>
      <w:r>
        <w:rPr>
          <w:rFonts w:ascii="Calibri" w:cs="Calibri" w:eastAsia="Calibri" w:hAnsi="Calibri"/>
          <w:sz w:val="16"/>
          <w:szCs w:val="16"/>
          <w:color w:val="auto"/>
        </w:rPr>
        <w:t xml:space="preserve"> </w:t>
      </w:r>
      <w:r>
        <w:rPr>
          <w:rFonts w:ascii="Calibri" w:cs="Calibri" w:eastAsia="Calibri" w:hAnsi="Calibri"/>
          <w:sz w:val="16"/>
          <w:szCs w:val="16"/>
          <w:i w:val="1"/>
          <w:iCs w:val="1"/>
          <w:color w:val="auto"/>
        </w:rPr>
        <w:t>for Digital Finance and Accountng Outsourcing Services</w:t>
      </w:r>
    </w:p>
    <w:p>
      <w:pPr>
        <w:spacing w:after="0" w:line="18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Clients and operatons</w:t>
      </w:r>
    </w:p>
    <w:p>
      <w:pPr>
        <w:spacing w:after="0" w:line="127" w:lineRule="exact"/>
        <w:rPr>
          <w:sz w:val="20"/>
          <w:szCs w:val="20"/>
          <w:color w:val="auto"/>
        </w:rPr>
      </w:pPr>
    </w:p>
    <w:p>
      <w:pPr>
        <w:ind w:left="1140" w:hanging="407"/>
        <w:spacing w:after="0"/>
        <w:tabs>
          <w:tab w:leader="none" w:pos="1140" w:val="left"/>
        </w:tabs>
        <w:numPr>
          <w:ilvl w:val="0"/>
          <w:numId w:val="21"/>
        </w:numPr>
        <w:rPr>
          <w:rFonts w:ascii="Calibri" w:cs="Calibri" w:eastAsia="Calibri" w:hAnsi="Calibri"/>
          <w:sz w:val="17"/>
          <w:szCs w:val="17"/>
          <w:color w:val="auto"/>
        </w:rPr>
      </w:pPr>
      <w:r>
        <w:rPr>
          <w:rFonts w:ascii="Calibri" w:cs="Calibri" w:eastAsia="Calibri" w:hAnsi="Calibri"/>
          <w:sz w:val="17"/>
          <w:szCs w:val="17"/>
          <w:color w:val="auto"/>
        </w:rPr>
        <w:t>In 2021, we won 58 new clients adding to the 45 new clients we won in 2020.</w:t>
      </w:r>
    </w:p>
    <w:p>
      <w:pPr>
        <w:spacing w:after="0" w:line="119" w:lineRule="exact"/>
        <w:rPr>
          <w:rFonts w:ascii="Calibri" w:cs="Calibri" w:eastAsia="Calibri" w:hAnsi="Calibri"/>
          <w:sz w:val="17"/>
          <w:szCs w:val="17"/>
          <w:color w:val="auto"/>
        </w:rPr>
      </w:pPr>
    </w:p>
    <w:p>
      <w:pPr>
        <w:ind w:left="1140" w:right="320" w:hanging="407"/>
        <w:spacing w:after="0" w:line="239" w:lineRule="auto"/>
        <w:tabs>
          <w:tab w:leader="none" w:pos="1140" w:val="left"/>
        </w:tabs>
        <w:numPr>
          <w:ilvl w:val="0"/>
          <w:numId w:val="21"/>
        </w:numPr>
        <w:rPr>
          <w:rFonts w:ascii="Calibri" w:cs="Calibri" w:eastAsia="Calibri" w:hAnsi="Calibri"/>
          <w:sz w:val="17"/>
          <w:szCs w:val="17"/>
          <w:color w:val="auto"/>
        </w:rPr>
      </w:pPr>
      <w:r>
        <w:rPr>
          <w:rFonts w:ascii="Calibri" w:cs="Calibri" w:eastAsia="Calibri" w:hAnsi="Calibri"/>
          <w:sz w:val="17"/>
          <w:szCs w:val="17"/>
          <w:color w:val="auto"/>
        </w:rPr>
        <w:t>In the past year, revenue from our top 20 clients grew by 17.1%, with 15 of those clients contractng for our solutons in both analytcs and digital operatons and solutons.</w:t>
      </w:r>
    </w:p>
    <w:p>
      <w:pPr>
        <w:spacing w:after="0" w:line="127"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63</w:t>
            </w:r>
          </w:p>
        </w:tc>
      </w:tr>
    </w:tbl>
    <w:p>
      <w:pPr>
        <w:sectPr>
          <w:pgSz w:w="11900" w:h="16838" w:orient="portrait"/>
          <w:cols w:equalWidth="0" w:num="1">
            <w:col w:w="10940"/>
          </w:cols>
          <w:pgMar w:left="320" w:top="445" w:right="6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Summary of key compensaton consideratons &amp; decisions in 2021</w:t>
      </w:r>
    </w:p>
    <w:p>
      <w:pPr>
        <w:spacing w:after="0" w:line="106"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The following highlights the Compensaton Commitee’s key consideratons and compensaton decisions in 2021 and with respect to performance for 2021 for our NEOs.</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040" w:type="dxa"/>
            <w:vAlign w:val="bottom"/>
          </w:tcPr>
          <w:p>
            <w:pPr>
              <w:ind w:left="80"/>
              <w:spacing w:after="0"/>
              <w:rPr>
                <w:sz w:val="20"/>
                <w:szCs w:val="20"/>
                <w:color w:val="auto"/>
              </w:rPr>
            </w:pPr>
            <w:r>
              <w:rPr>
                <w:rFonts w:ascii="Calibri" w:cs="Calibri" w:eastAsia="Calibri" w:hAnsi="Calibri"/>
                <w:sz w:val="17"/>
                <w:szCs w:val="17"/>
                <w:b w:val="1"/>
                <w:bCs w:val="1"/>
                <w:color w:val="FB4E0B"/>
              </w:rPr>
              <w:t>Items</w:t>
            </w:r>
          </w:p>
        </w:tc>
        <w:tc>
          <w:tcPr>
            <w:tcW w:w="8580" w:type="dxa"/>
            <w:vAlign w:val="bottom"/>
          </w:tcPr>
          <w:p>
            <w:pPr>
              <w:ind w:left="80"/>
              <w:spacing w:after="0"/>
              <w:rPr>
                <w:sz w:val="20"/>
                <w:szCs w:val="20"/>
                <w:color w:val="auto"/>
              </w:rPr>
            </w:pPr>
            <w:r>
              <w:rPr>
                <w:rFonts w:ascii="Calibri" w:cs="Calibri" w:eastAsia="Calibri" w:hAnsi="Calibri"/>
                <w:sz w:val="17"/>
                <w:szCs w:val="17"/>
                <w:b w:val="1"/>
                <w:bCs w:val="1"/>
                <w:color w:val="FB4E0B"/>
              </w:rPr>
              <w:t>Consideratons and decisions</w:t>
            </w:r>
          </w:p>
        </w:tc>
      </w:tr>
      <w:tr>
        <w:trPr>
          <w:trHeight w:val="94"/>
        </w:trPr>
        <w:tc>
          <w:tcPr>
            <w:tcW w:w="2040" w:type="dxa"/>
            <w:vAlign w:val="bottom"/>
            <w:tcBorders>
              <w:bottom w:val="single" w:sz="8" w:color="FB4E0B"/>
            </w:tcBorders>
          </w:tcPr>
          <w:p>
            <w:pPr>
              <w:spacing w:after="0"/>
              <w:rPr>
                <w:sz w:val="8"/>
                <w:szCs w:val="8"/>
                <w:color w:val="auto"/>
              </w:rPr>
            </w:pPr>
          </w:p>
        </w:tc>
        <w:tc>
          <w:tcPr>
            <w:tcW w:w="8580" w:type="dxa"/>
            <w:vAlign w:val="bottom"/>
            <w:tcBorders>
              <w:bottom w:val="single" w:sz="8" w:color="FB4E0B"/>
            </w:tcBorders>
          </w:tcPr>
          <w:p>
            <w:pPr>
              <w:spacing w:after="0"/>
              <w:rPr>
                <w:sz w:val="8"/>
                <w:szCs w:val="8"/>
                <w:color w:val="auto"/>
              </w:rPr>
            </w:pPr>
          </w:p>
        </w:tc>
      </w:tr>
      <w:tr>
        <w:trPr>
          <w:trHeight w:val="237"/>
        </w:trPr>
        <w:tc>
          <w:tcPr>
            <w:tcW w:w="20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Say on Pay Approval</w:t>
            </w:r>
          </w:p>
        </w:tc>
        <w:tc>
          <w:tcPr>
            <w:tcW w:w="8580" w:type="dxa"/>
            <w:vAlign w:val="bottom"/>
          </w:tcPr>
          <w:p>
            <w:pPr>
              <w:ind w:left="80"/>
              <w:spacing w:after="0"/>
              <w:rPr>
                <w:sz w:val="20"/>
                <w:szCs w:val="20"/>
                <w:color w:val="auto"/>
              </w:rPr>
            </w:pPr>
            <w:r>
              <w:rPr>
                <w:rFonts w:ascii="Calibri" w:cs="Calibri" w:eastAsia="Calibri" w:hAnsi="Calibri"/>
                <w:sz w:val="16"/>
                <w:szCs w:val="16"/>
                <w:color w:val="auto"/>
              </w:rPr>
              <w:t>Over 99% of our stockholders approved, on a non-binding basis (excluding broker non-votes), of our compensaton of our NEOs.</w:t>
            </w:r>
          </w:p>
        </w:tc>
      </w:tr>
      <w:tr>
        <w:trPr>
          <w:trHeight w:val="283"/>
        </w:trPr>
        <w:tc>
          <w:tcPr>
            <w:tcW w:w="204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r>
      <w:tr>
        <w:trPr>
          <w:trHeight w:val="230"/>
        </w:trPr>
        <w:tc>
          <w:tcPr>
            <w:tcW w:w="20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Base Salaries</w:t>
            </w:r>
          </w:p>
        </w:tc>
        <w:tc>
          <w:tcPr>
            <w:tcW w:w="8580" w:type="dxa"/>
            <w:vAlign w:val="bottom"/>
          </w:tcPr>
          <w:p>
            <w:pPr>
              <w:ind w:left="80"/>
              <w:spacing w:after="0"/>
              <w:rPr>
                <w:sz w:val="20"/>
                <w:szCs w:val="20"/>
                <w:color w:val="auto"/>
              </w:rPr>
            </w:pPr>
            <w:r>
              <w:rPr>
                <w:rFonts w:ascii="Calibri" w:cs="Calibri" w:eastAsia="Calibri" w:hAnsi="Calibri"/>
                <w:sz w:val="16"/>
                <w:szCs w:val="16"/>
                <w:color w:val="auto"/>
              </w:rPr>
              <w:t>Base salaries for our NEOs (excluding Mr. Nicolelli) were revised efectve April 1, 2021, as described below.</w:t>
            </w:r>
          </w:p>
        </w:tc>
      </w:tr>
      <w:tr>
        <w:trPr>
          <w:trHeight w:val="88"/>
        </w:trPr>
        <w:tc>
          <w:tcPr>
            <w:tcW w:w="2040" w:type="dxa"/>
            <w:vAlign w:val="bottom"/>
            <w:tcBorders>
              <w:bottom w:val="single" w:sz="8" w:color="auto"/>
              <w:right w:val="single" w:sz="8" w:color="auto"/>
            </w:tcBorders>
          </w:tcPr>
          <w:p>
            <w:pPr>
              <w:spacing w:after="0"/>
              <w:rPr>
                <w:sz w:val="7"/>
                <w:szCs w:val="7"/>
                <w:color w:val="auto"/>
              </w:rPr>
            </w:pPr>
          </w:p>
        </w:tc>
        <w:tc>
          <w:tcPr>
            <w:tcW w:w="8580" w:type="dxa"/>
            <w:vAlign w:val="bottom"/>
            <w:tcBorders>
              <w:bottom w:val="single" w:sz="8" w:color="auto"/>
            </w:tcBorders>
          </w:tcPr>
          <w:p>
            <w:pPr>
              <w:spacing w:after="0"/>
              <w:rPr>
                <w:sz w:val="7"/>
                <w:szCs w:val="7"/>
                <w:color w:val="auto"/>
              </w:rPr>
            </w:pPr>
          </w:p>
        </w:tc>
      </w:tr>
      <w:tr>
        <w:trPr>
          <w:trHeight w:val="223"/>
        </w:trPr>
        <w:tc>
          <w:tcPr>
            <w:tcW w:w="20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Annual Bonuses</w:t>
            </w:r>
          </w:p>
        </w:tc>
        <w:tc>
          <w:tcPr>
            <w:tcW w:w="8580" w:type="dxa"/>
            <w:vAlign w:val="bottom"/>
          </w:tcPr>
          <w:p>
            <w:pPr>
              <w:ind w:left="80"/>
              <w:spacing w:after="0"/>
              <w:rPr>
                <w:sz w:val="20"/>
                <w:szCs w:val="20"/>
                <w:color w:val="auto"/>
              </w:rPr>
            </w:pPr>
            <w:r>
              <w:rPr>
                <w:rFonts w:ascii="Calibri" w:cs="Calibri" w:eastAsia="Calibri" w:hAnsi="Calibri"/>
                <w:sz w:val="16"/>
                <w:szCs w:val="16"/>
                <w:color w:val="auto"/>
                <w:w w:val="98"/>
              </w:rPr>
              <w:t>We based our annual bonuses on achievement of Company goals (Adjusted EPS, revenue, &amp; AOPM) and personal performance goals.</w:t>
            </w: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w w:val="99"/>
              </w:rPr>
              <w:t>In 2021, we delivered 118.77% of our Adjusted EPS target, 103.83% of our revenue performance target, and 116.49% of our AOPM</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target, resultng in annual incentve payout calculatons for our NEOs, ranging from 176% of target performance to 188% of target</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performance of the named executve ofcers.</w:t>
            </w:r>
          </w:p>
        </w:tc>
      </w:tr>
      <w:tr>
        <w:trPr>
          <w:trHeight w:val="105"/>
        </w:trPr>
        <w:tc>
          <w:tcPr>
            <w:tcW w:w="2040" w:type="dxa"/>
            <w:vAlign w:val="bottom"/>
            <w:tcBorders>
              <w:bottom w:val="single" w:sz="8" w:color="auto"/>
              <w:right w:val="single" w:sz="8" w:color="auto"/>
            </w:tcBorders>
          </w:tcPr>
          <w:p>
            <w:pPr>
              <w:spacing w:after="0"/>
              <w:rPr>
                <w:sz w:val="9"/>
                <w:szCs w:val="9"/>
                <w:color w:val="auto"/>
              </w:rPr>
            </w:pPr>
          </w:p>
        </w:tc>
        <w:tc>
          <w:tcPr>
            <w:tcW w:w="8580" w:type="dxa"/>
            <w:vAlign w:val="bottom"/>
            <w:tcBorders>
              <w:bottom w:val="single" w:sz="8" w:color="auto"/>
            </w:tcBorders>
          </w:tcPr>
          <w:p>
            <w:pPr>
              <w:spacing w:after="0"/>
              <w:rPr>
                <w:sz w:val="9"/>
                <w:szCs w:val="9"/>
                <w:color w:val="auto"/>
              </w:rPr>
            </w:pPr>
          </w:p>
        </w:tc>
      </w:tr>
      <w:tr>
        <w:trPr>
          <w:trHeight w:val="223"/>
        </w:trPr>
        <w:tc>
          <w:tcPr>
            <w:tcW w:w="20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Equity Incentves</w:t>
            </w:r>
          </w:p>
        </w:tc>
        <w:tc>
          <w:tcPr>
            <w:tcW w:w="8580" w:type="dxa"/>
            <w:vAlign w:val="bottom"/>
          </w:tcPr>
          <w:p>
            <w:pPr>
              <w:ind w:left="80"/>
              <w:spacing w:after="0"/>
              <w:rPr>
                <w:sz w:val="20"/>
                <w:szCs w:val="20"/>
                <w:color w:val="auto"/>
              </w:rPr>
            </w:pPr>
            <w:r>
              <w:rPr>
                <w:rFonts w:ascii="Calibri" w:cs="Calibri" w:eastAsia="Calibri" w:hAnsi="Calibri"/>
                <w:sz w:val="16"/>
                <w:szCs w:val="16"/>
                <w:color w:val="auto"/>
              </w:rPr>
              <w:t>This was the third and fnal performance year for the 2019 performance-based restricted stock units. We achieved 96.65% of the</w:t>
            </w:r>
          </w:p>
        </w:tc>
      </w:tr>
      <w:tr>
        <w:trPr>
          <w:trHeight w:val="18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line="185" w:lineRule="exact"/>
              <w:rPr>
                <w:sz w:val="20"/>
                <w:szCs w:val="20"/>
                <w:color w:val="auto"/>
              </w:rPr>
            </w:pPr>
            <w:r>
              <w:rPr>
                <w:rFonts w:ascii="Calibri" w:cs="Calibri" w:eastAsia="Calibri" w:hAnsi="Calibri"/>
                <w:sz w:val="16"/>
                <w:szCs w:val="16"/>
                <w:color w:val="auto"/>
                <w:w w:val="98"/>
              </w:rPr>
              <w:t>revenue target for the revenue-linked restricted stock units resultng in 66.52% of target funding of those grants. The Company’s TSR</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performance was at the 87.23 percentle amongst its peer group, resultng in the executves earning 200% of the 2019 relatve TSR-</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linked restricted stock units pursuant to the terms of the original grant resultng in vestng of shares at 133.25% of target</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performance. No adjustments were made to the 2019 performance-based restricted stock units or the associated performance</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targets – or the outstanding 2020 and 2021 performance-based restricted stock units or associated performance targets.</w:t>
            </w:r>
          </w:p>
        </w:tc>
      </w:tr>
      <w:tr>
        <w:trPr>
          <w:trHeight w:val="312"/>
        </w:trPr>
        <w:tc>
          <w:tcPr>
            <w:tcW w:w="2040" w:type="dxa"/>
            <w:vAlign w:val="bottom"/>
            <w:tcBorders>
              <w:right w:val="single" w:sz="8" w:color="auto"/>
            </w:tcBorders>
          </w:tcPr>
          <w:p>
            <w:pPr>
              <w:spacing w:after="0"/>
              <w:rPr>
                <w:sz w:val="24"/>
                <w:szCs w:val="24"/>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We also made additonal equity grants to certain executve ofcers (other than our CEO) to further encourage long-term stock</w:t>
            </w:r>
          </w:p>
        </w:tc>
      </w:tr>
      <w:tr>
        <w:trPr>
          <w:trHeight w:val="195"/>
        </w:trPr>
        <w:tc>
          <w:tcPr>
            <w:tcW w:w="2040" w:type="dxa"/>
            <w:vAlign w:val="bottom"/>
            <w:tcBorders>
              <w:right w:val="single" w:sz="8" w:color="auto"/>
            </w:tcBorders>
          </w:tcPr>
          <w:p>
            <w:pPr>
              <w:spacing w:after="0"/>
              <w:rPr>
                <w:sz w:val="16"/>
                <w:szCs w:val="16"/>
                <w:color w:val="auto"/>
              </w:rPr>
            </w:pPr>
          </w:p>
        </w:tc>
        <w:tc>
          <w:tcPr>
            <w:tcW w:w="8580" w:type="dxa"/>
            <w:vAlign w:val="bottom"/>
          </w:tcPr>
          <w:p>
            <w:pPr>
              <w:ind w:left="80"/>
              <w:spacing w:after="0"/>
              <w:rPr>
                <w:sz w:val="20"/>
                <w:szCs w:val="20"/>
                <w:color w:val="auto"/>
              </w:rPr>
            </w:pPr>
            <w:r>
              <w:rPr>
                <w:rFonts w:ascii="Calibri" w:cs="Calibri" w:eastAsia="Calibri" w:hAnsi="Calibri"/>
                <w:sz w:val="16"/>
                <w:szCs w:val="16"/>
                <w:color w:val="auto"/>
              </w:rPr>
              <w:t>ownership and future executve retenton.</w:t>
            </w:r>
          </w:p>
        </w:tc>
      </w:tr>
      <w:tr>
        <w:trPr>
          <w:trHeight w:val="345"/>
        </w:trPr>
        <w:tc>
          <w:tcPr>
            <w:tcW w:w="2040" w:type="dxa"/>
            <w:vAlign w:val="bottom"/>
            <w:tcBorders>
              <w:bottom w:val="single" w:sz="8" w:color="FB4E0B"/>
              <w:right w:val="single" w:sz="8" w:color="auto"/>
            </w:tcBorders>
          </w:tcPr>
          <w:p>
            <w:pPr>
              <w:spacing w:after="0"/>
              <w:rPr>
                <w:sz w:val="24"/>
                <w:szCs w:val="24"/>
                <w:color w:val="auto"/>
              </w:rPr>
            </w:pPr>
          </w:p>
        </w:tc>
        <w:tc>
          <w:tcPr>
            <w:tcW w:w="8580" w:type="dxa"/>
            <w:vAlign w:val="bottom"/>
            <w:tcBorders>
              <w:bottom w:val="single" w:sz="8" w:color="FB4E0B"/>
            </w:tcBorders>
          </w:tcPr>
          <w:p>
            <w:pPr>
              <w:spacing w:after="0"/>
              <w:rPr>
                <w:sz w:val="24"/>
                <w:szCs w:val="24"/>
                <w:color w:val="auto"/>
              </w:rPr>
            </w:pPr>
          </w:p>
        </w:tc>
      </w:tr>
    </w:tbl>
    <w:p>
      <w:pPr>
        <w:spacing w:after="0" w:line="290"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Pay-for-performance</w:t>
      </w:r>
    </w:p>
    <w:p>
      <w:pPr>
        <w:spacing w:after="0" w:line="106"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Our executve compensaton philosophy is focused on pay-for-performance. In this regard, we link a signifcant porton of each NEO’s total compensaton to the achievement of specifed performance goals. This variable compensaton is “at-risk” and rewards performance and contributons to both short- and long-term fnancial performance</w:t>
      </w:r>
    </w:p>
    <w:p>
      <w:pPr>
        <w:spacing w:after="0" w:line="129"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64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40" w:lineRule="exact"/>
        <w:rPr>
          <w:sz w:val="20"/>
          <w:szCs w:val="20"/>
          <w:color w:val="auto"/>
        </w:rPr>
      </w:pPr>
    </w:p>
    <w:p>
      <w:pPr>
        <w:ind w:left="320" w:right="400"/>
        <w:spacing w:after="0" w:line="239" w:lineRule="auto"/>
        <w:rPr>
          <w:sz w:val="20"/>
          <w:szCs w:val="20"/>
          <w:color w:val="auto"/>
        </w:rPr>
      </w:pPr>
      <w:r>
        <w:rPr>
          <w:rFonts w:ascii="Calibri" w:cs="Calibri" w:eastAsia="Calibri" w:hAnsi="Calibri"/>
          <w:sz w:val="17"/>
          <w:szCs w:val="17"/>
          <w:color w:val="auto"/>
        </w:rPr>
        <w:t>As illustrated by the following charts, the majority of compensaton that may be earned by our named executve ofcers is ted to the achievement of fnancial performance metrics (annual performance bonuses and PRSUs) or fuctuates with the underlying value of our common stock (RSUs).</w:t>
      </w:r>
    </w:p>
    <w:p>
      <w:pPr>
        <w:spacing w:after="0" w:line="228" w:lineRule="exact"/>
        <w:rPr>
          <w:sz w:val="20"/>
          <w:szCs w:val="20"/>
          <w:color w:val="auto"/>
        </w:rPr>
      </w:pPr>
    </w:p>
    <w:tbl>
      <w:tblPr>
        <w:tblLayout w:type="fixed"/>
        <w:tblInd w:w="2160" w:type="dxa"/>
        <w:tblCellMar>
          <w:top w:w="0" w:type="dxa"/>
          <w:left w:w="0" w:type="dxa"/>
          <w:bottom w:w="0" w:type="dxa"/>
          <w:right w:w="0" w:type="dxa"/>
        </w:tblCellMar>
      </w:tblPr>
      <w:tr>
        <w:trPr>
          <w:trHeight w:val="232"/>
        </w:trPr>
        <w:tc>
          <w:tcPr>
            <w:tcW w:w="3500" w:type="dxa"/>
            <w:vAlign w:val="bottom"/>
          </w:tcPr>
          <w:p>
            <w:pPr>
              <w:jc w:val="center"/>
              <w:ind w:right="1685"/>
              <w:spacing w:after="0"/>
              <w:rPr>
                <w:sz w:val="20"/>
                <w:szCs w:val="20"/>
                <w:color w:val="auto"/>
              </w:rPr>
            </w:pPr>
            <w:r>
              <w:rPr>
                <w:rFonts w:ascii="Calibri" w:cs="Calibri" w:eastAsia="Calibri" w:hAnsi="Calibri"/>
                <w:sz w:val="19"/>
                <w:szCs w:val="19"/>
                <w:b w:val="1"/>
                <w:bCs w:val="1"/>
                <w:color w:val="FB4E0B"/>
              </w:rPr>
              <w:t>Vice Chairman &amp; CEO</w:t>
            </w:r>
          </w:p>
        </w:tc>
        <w:tc>
          <w:tcPr>
            <w:tcW w:w="3660" w:type="dxa"/>
            <w:vAlign w:val="bottom"/>
          </w:tcPr>
          <w:p>
            <w:pPr>
              <w:ind w:left="1780"/>
              <w:spacing w:after="0"/>
              <w:rPr>
                <w:sz w:val="20"/>
                <w:szCs w:val="20"/>
                <w:color w:val="auto"/>
              </w:rPr>
            </w:pPr>
            <w:r>
              <w:rPr>
                <w:rFonts w:ascii="Calibri" w:cs="Calibri" w:eastAsia="Calibri" w:hAnsi="Calibri"/>
                <w:sz w:val="19"/>
                <w:szCs w:val="19"/>
                <w:b w:val="1"/>
                <w:bCs w:val="1"/>
                <w:color w:val="FB4E0B"/>
              </w:rPr>
              <w:t>NEO compensaton mix</w:t>
            </w:r>
          </w:p>
        </w:tc>
      </w:tr>
      <w:tr>
        <w:trPr>
          <w:trHeight w:val="248"/>
        </w:trPr>
        <w:tc>
          <w:tcPr>
            <w:tcW w:w="3500" w:type="dxa"/>
            <w:vAlign w:val="bottom"/>
          </w:tcPr>
          <w:p>
            <w:pPr>
              <w:jc w:val="center"/>
              <w:ind w:right="1685"/>
              <w:spacing w:after="0"/>
              <w:rPr>
                <w:sz w:val="20"/>
                <w:szCs w:val="20"/>
                <w:color w:val="auto"/>
              </w:rPr>
            </w:pPr>
            <w:r>
              <w:rPr>
                <w:rFonts w:ascii="Calibri" w:cs="Calibri" w:eastAsia="Calibri" w:hAnsi="Calibri"/>
                <w:sz w:val="19"/>
                <w:szCs w:val="19"/>
                <w:b w:val="1"/>
                <w:bCs w:val="1"/>
                <w:color w:val="FB4E0B"/>
              </w:rPr>
              <w:t>compensaton mix</w:t>
            </w:r>
          </w:p>
        </w:tc>
        <w:tc>
          <w:tcPr>
            <w:tcW w:w="3660" w:type="dxa"/>
            <w:vAlign w:val="bottom"/>
          </w:tcPr>
          <w:p>
            <w:pPr>
              <w:ind w:left="1800"/>
              <w:spacing w:after="0"/>
              <w:rPr>
                <w:sz w:val="20"/>
                <w:szCs w:val="20"/>
                <w:color w:val="auto"/>
              </w:rPr>
            </w:pPr>
            <w:r>
              <w:rPr>
                <w:rFonts w:ascii="Calibri" w:cs="Calibri" w:eastAsia="Calibri" w:hAnsi="Calibri"/>
                <w:sz w:val="14"/>
                <w:szCs w:val="14"/>
                <w:color w:val="auto"/>
                <w:w w:val="98"/>
              </w:rPr>
              <w:t>(Excluding Vice Chairman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143510</wp:posOffset>
            </wp:positionV>
            <wp:extent cx="2147570" cy="19246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47570" cy="192468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143510</wp:posOffset>
            </wp:positionV>
            <wp:extent cx="1776095" cy="15201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776095" cy="152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*Base salary also includes other compensaton</w:t>
      </w:r>
    </w:p>
    <w:p>
      <w:pPr>
        <w:spacing w:after="0" w:line="124"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65</w:t>
            </w:r>
          </w:p>
        </w:tc>
      </w:tr>
    </w:tbl>
    <w:p>
      <w:pPr>
        <w:sectPr>
          <w:pgSz w:w="11900" w:h="16838" w:orient="portrait"/>
          <w:cols w:equalWidth="0" w:num="1">
            <w:col w:w="10940"/>
          </w:cols>
          <w:pgMar w:left="320" w:top="445"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Executve compensaton program, practces and policies</w:t>
      </w:r>
    </w:p>
    <w:p>
      <w:pPr>
        <w:spacing w:after="0" w:line="114"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Our compensaton programs, practces and policies are reviewed and re-evaluated regularly and are subject to change from tme to tme in line with market best practces, including alignment of pay with performance. Our executve compensaton philosophy is aligned with our core values, focused on pay-for-performance and designed to refect appropriate governance practces aligned with the needs of our business. Listed below are some of the Company’s more signifcant practces and policies that were in efect during fscal year 2021, which were adopted to drive performance and to align our executves’ interests with those of our stockholders.</w:t>
      </w:r>
    </w:p>
    <w:p>
      <w:pPr>
        <w:spacing w:after="0" w:line="36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000" w:type="dxa"/>
            <w:vAlign w:val="bottom"/>
            <w:gridSpan w:val="2"/>
          </w:tcPr>
          <w:p>
            <w:pPr>
              <w:jc w:val="right"/>
              <w:ind w:right="2"/>
              <w:spacing w:after="0"/>
              <w:rPr>
                <w:sz w:val="20"/>
                <w:szCs w:val="20"/>
                <w:color w:val="auto"/>
              </w:rPr>
            </w:pPr>
            <w:r>
              <w:rPr>
                <w:rFonts w:ascii="Calibri" w:cs="Calibri" w:eastAsia="Calibri" w:hAnsi="Calibri"/>
                <w:sz w:val="17"/>
                <w:szCs w:val="17"/>
                <w:b w:val="1"/>
                <w:bCs w:val="1"/>
                <w:color w:val="FB4E0B"/>
              </w:rPr>
              <w:t>What we do</w:t>
            </w:r>
          </w:p>
        </w:tc>
        <w:tc>
          <w:tcPr>
            <w:tcW w:w="424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Calibri" w:cs="Calibri" w:eastAsia="Calibri" w:hAnsi="Calibri"/>
                <w:sz w:val="17"/>
                <w:szCs w:val="17"/>
                <w:b w:val="1"/>
                <w:bCs w:val="1"/>
                <w:color w:val="FB4E0B"/>
              </w:rPr>
              <w:t>What we don’t do</w:t>
            </w:r>
          </w:p>
        </w:tc>
      </w:tr>
      <w:tr>
        <w:trPr>
          <w:trHeight w:val="55"/>
        </w:trPr>
        <w:tc>
          <w:tcPr>
            <w:tcW w:w="540" w:type="dxa"/>
            <w:vAlign w:val="bottom"/>
            <w:tcBorders>
              <w:bottom w:val="single" w:sz="8" w:color="FB4E0B"/>
            </w:tcBorders>
          </w:tcPr>
          <w:p>
            <w:pPr>
              <w:spacing w:after="0"/>
              <w:rPr>
                <w:sz w:val="4"/>
                <w:szCs w:val="4"/>
                <w:color w:val="auto"/>
              </w:rPr>
            </w:pPr>
          </w:p>
        </w:tc>
        <w:tc>
          <w:tcPr>
            <w:tcW w:w="4700" w:type="dxa"/>
            <w:vAlign w:val="bottom"/>
            <w:tcBorders>
              <w:bottom w:val="single" w:sz="8" w:color="FB4E0B"/>
            </w:tcBorders>
            <w:gridSpan w:val="2"/>
          </w:tcPr>
          <w:p>
            <w:pPr>
              <w:spacing w:after="0"/>
              <w:rPr>
                <w:sz w:val="4"/>
                <w:szCs w:val="4"/>
                <w:color w:val="auto"/>
              </w:rPr>
            </w:pPr>
          </w:p>
        </w:tc>
        <w:tc>
          <w:tcPr>
            <w:tcW w:w="620" w:type="dxa"/>
            <w:vAlign w:val="bottom"/>
            <w:tcBorders>
              <w:bottom w:val="single" w:sz="8" w:color="FB4E0B"/>
            </w:tcBorders>
          </w:tcPr>
          <w:p>
            <w:pPr>
              <w:spacing w:after="0"/>
              <w:rPr>
                <w:sz w:val="4"/>
                <w:szCs w:val="4"/>
                <w:color w:val="auto"/>
              </w:rPr>
            </w:pPr>
          </w:p>
        </w:tc>
        <w:tc>
          <w:tcPr>
            <w:tcW w:w="4760" w:type="dxa"/>
            <w:vAlign w:val="bottom"/>
            <w:tcBorders>
              <w:bottom w:val="single" w:sz="8" w:color="FB4E0B"/>
            </w:tcBorders>
          </w:tcPr>
          <w:p>
            <w:pPr>
              <w:spacing w:after="0"/>
              <w:rPr>
                <w:sz w:val="4"/>
                <w:szCs w:val="4"/>
                <w:color w:val="auto"/>
              </w:rPr>
            </w:pPr>
          </w:p>
        </w:tc>
      </w:tr>
      <w:tr>
        <w:trPr>
          <w:trHeight w:val="207"/>
        </w:trPr>
        <w:tc>
          <w:tcPr>
            <w:tcW w:w="54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b w:val="1"/>
                <w:bCs w:val="1"/>
                <w:color w:val="auto"/>
                <w:w w:val="99"/>
              </w:rPr>
              <w:t xml:space="preserve">Align our executve pay with performance: </w:t>
            </w:r>
            <w:r>
              <w:rPr>
                <w:rFonts w:ascii="Calibri" w:cs="Calibri" w:eastAsia="Calibri" w:hAnsi="Calibri"/>
                <w:sz w:val="16"/>
                <w:szCs w:val="16"/>
                <w:color w:val="auto"/>
                <w:w w:val="99"/>
              </w:rPr>
              <w:t>We link a signifcant porton</w:t>
            </w:r>
          </w:p>
        </w:tc>
        <w:tc>
          <w:tcPr>
            <w:tcW w:w="620" w:type="dxa"/>
            <w:vAlign w:val="bottom"/>
            <w:tcBorders>
              <w:right w:val="single" w:sz="8" w:color="auto"/>
            </w:tcBorders>
          </w:tcPr>
          <w:p>
            <w:pPr>
              <w:spacing w:after="0"/>
              <w:rPr>
                <w:sz w:val="18"/>
                <w:szCs w:val="18"/>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opton repricing: </w:t>
            </w:r>
            <w:r>
              <w:rPr>
                <w:rFonts w:ascii="Calibri" w:cs="Calibri" w:eastAsia="Calibri" w:hAnsi="Calibri"/>
                <w:sz w:val="16"/>
                <w:szCs w:val="16"/>
                <w:color w:val="auto"/>
              </w:rPr>
              <w:t>We prohibit opton repricing without stockholder</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of each NEO’s total compensaton to the achievement of specifc</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approval.</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performance goals.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Variable compensaton is “at-risk” and rewards performance and</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contributons to both short- and long-term fnancial performance.</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886"/>
        </w:trPr>
        <w:tc>
          <w:tcPr>
            <w:tcW w:w="540" w:type="dxa"/>
            <w:vAlign w:val="bottom"/>
            <w:tcBorders>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gridSpan w:val="2"/>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b w:val="1"/>
                <w:bCs w:val="1"/>
                <w:color w:val="auto"/>
              </w:rPr>
              <w:t xml:space="preserve">Use appropriate peer groups when establishing compensaton: </w:t>
            </w:r>
            <w:r>
              <w:rPr>
                <w:rFonts w:ascii="Calibri" w:cs="Calibri" w:eastAsia="Calibri" w:hAnsi="Calibri"/>
                <w:sz w:val="16"/>
                <w:szCs w:val="16"/>
                <w:color w:val="auto"/>
              </w:rPr>
              <w:t>We</w:t>
            </w: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opton backdatng or discountng: </w:t>
            </w:r>
            <w:r>
              <w:rPr>
                <w:rFonts w:ascii="Calibri" w:cs="Calibri" w:eastAsia="Calibri" w:hAnsi="Calibri"/>
                <w:sz w:val="16"/>
                <w:szCs w:val="16"/>
                <w:color w:val="auto"/>
              </w:rPr>
              <w:t>We prohibit opton backdatng and</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w w:val="98"/>
              </w:rPr>
              <w:t>established a peer group to help us review market practces and design</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discountng.</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a compettve compensaton program. The criteria for peer group</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selecton include, annual revenues, similarity in business model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strategic focus, scope of operatons, potental mobility of talent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industry alignment.</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We set compensaton of our executve ofcers at levels that we believe</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are appropriate relatve to the compensaton paid to similarly situated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ofcers of our peers, giving consideraton to market and other factors.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274"/>
        </w:trPr>
        <w:tc>
          <w:tcPr>
            <w:tcW w:w="540" w:type="dxa"/>
            <w:vAlign w:val="bottom"/>
            <w:tcBorders>
              <w:bottom w:val="single" w:sz="8" w:color="auto"/>
              <w:right w:val="single" w:sz="8" w:color="auto"/>
            </w:tcBorders>
          </w:tcPr>
          <w:p>
            <w:pPr>
              <w:spacing w:after="0"/>
              <w:rPr>
                <w:sz w:val="23"/>
                <w:szCs w:val="23"/>
                <w:color w:val="auto"/>
              </w:rPr>
            </w:pPr>
          </w:p>
        </w:tc>
        <w:tc>
          <w:tcPr>
            <w:tcW w:w="4700" w:type="dxa"/>
            <w:vAlign w:val="bottom"/>
            <w:tcBorders>
              <w:bottom w:val="single" w:sz="8" w:color="auto"/>
              <w:right w:val="single" w:sz="8" w:color="auto"/>
            </w:tcBorders>
            <w:gridSpan w:val="2"/>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b w:val="1"/>
                <w:bCs w:val="1"/>
                <w:color w:val="auto"/>
              </w:rPr>
              <w:t xml:space="preserve">Ensure equity compensaton best practces: </w:t>
            </w:r>
            <w:r>
              <w:rPr>
                <w:rFonts w:ascii="Calibri" w:cs="Calibri" w:eastAsia="Calibri" w:hAnsi="Calibri"/>
                <w:sz w:val="16"/>
                <w:szCs w:val="16"/>
                <w:color w:val="auto"/>
              </w:rPr>
              <w:t>We design equity</w:t>
            </w:r>
          </w:p>
        </w:tc>
        <w:tc>
          <w:tcPr>
            <w:tcW w:w="620" w:type="dxa"/>
            <w:vAlign w:val="bottom"/>
            <w:tcBorders>
              <w:right w:val="single" w:sz="8" w:color="auto"/>
            </w:tcBorders>
          </w:tcPr>
          <w:p>
            <w:pPr>
              <w:spacing w:after="0"/>
              <w:rPr>
                <w:sz w:val="17"/>
                <w:szCs w:val="17"/>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b w:val="1"/>
                <w:bCs w:val="1"/>
                <w:color w:val="auto"/>
              </w:rPr>
              <w:t xml:space="preserve">No excessive overhang or diluton: </w:t>
            </w:r>
            <w:r>
              <w:rPr>
                <w:rFonts w:ascii="Calibri" w:cs="Calibri" w:eastAsia="Calibri" w:hAnsi="Calibri"/>
                <w:sz w:val="16"/>
                <w:szCs w:val="16"/>
                <w:color w:val="auto"/>
              </w:rPr>
              <w:t>We do not have excessive overhang</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w w:val="99"/>
              </w:rPr>
              <w:t>incentves to encourage our executves to maintain a long-term view of</w:t>
            </w:r>
          </w:p>
        </w:tc>
        <w:tc>
          <w:tcPr>
            <w:tcW w:w="620" w:type="dxa"/>
            <w:vAlign w:val="bottom"/>
            <w:tcBorders>
              <w:right w:val="single" w:sz="8" w:color="auto"/>
            </w:tcBorders>
          </w:tcPr>
          <w:p>
            <w:pPr>
              <w:spacing w:after="0"/>
              <w:rPr>
                <w:sz w:val="16"/>
                <w:szCs w:val="16"/>
                <w:color w:val="auto"/>
              </w:rPr>
            </w:pPr>
          </w:p>
        </w:tc>
        <w:tc>
          <w:tcPr>
            <w:tcW w:w="4760" w:type="dxa"/>
            <w:vAlign w:val="bottom"/>
          </w:tcPr>
          <w:p>
            <w:pPr>
              <w:ind w:left="80"/>
              <w:spacing w:after="0"/>
              <w:rPr>
                <w:sz w:val="20"/>
                <w:szCs w:val="20"/>
                <w:color w:val="auto"/>
              </w:rPr>
            </w:pPr>
            <w:r>
              <w:rPr>
                <w:rFonts w:ascii="Calibri" w:cs="Calibri" w:eastAsia="Calibri" w:hAnsi="Calibri"/>
                <w:sz w:val="16"/>
                <w:szCs w:val="16"/>
                <w:color w:val="auto"/>
              </w:rPr>
              <w:t>or diluton from equity grants.</w:t>
            </w: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stockholder value creaton, to encourage retenton and to ensure a</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signifcant porton of the award is performance-based. Equity awards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w w:val="97"/>
              </w:rPr>
              <w:t>are granted on the basis of the executve’s prior year’s performance and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are subject to tme or performance-based vestng conditons. A</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signifcant porton of such awards only pay out according to the</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w w:val="99"/>
              </w:rPr>
              <w:t>achievement of Company performance goals covering a 3-year period.</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312"/>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We hold dividends accrued under our equity awards, if any, untl the</w:t>
            </w:r>
          </w:p>
        </w:tc>
        <w:tc>
          <w:tcPr>
            <w:tcW w:w="620" w:type="dxa"/>
            <w:vAlign w:val="bottom"/>
            <w:tcBorders>
              <w:right w:val="single" w:sz="8" w:color="auto"/>
            </w:tcBorders>
          </w:tcPr>
          <w:p>
            <w:pPr>
              <w:spacing w:after="0"/>
              <w:rPr>
                <w:sz w:val="24"/>
                <w:szCs w:val="24"/>
                <w:color w:val="auto"/>
              </w:rPr>
            </w:pPr>
          </w:p>
        </w:tc>
        <w:tc>
          <w:tcPr>
            <w:tcW w:w="4760" w:type="dxa"/>
            <w:vAlign w:val="bottom"/>
          </w:tcPr>
          <w:p>
            <w:pPr>
              <w:spacing w:after="0"/>
              <w:rPr>
                <w:sz w:val="24"/>
                <w:szCs w:val="24"/>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2"/>
          </w:tcPr>
          <w:p>
            <w:pPr>
              <w:ind w:left="120"/>
              <w:spacing w:after="0"/>
              <w:rPr>
                <w:sz w:val="20"/>
                <w:szCs w:val="20"/>
                <w:color w:val="auto"/>
              </w:rPr>
            </w:pPr>
            <w:r>
              <w:rPr>
                <w:rFonts w:ascii="Calibri" w:cs="Calibri" w:eastAsia="Calibri" w:hAnsi="Calibri"/>
                <w:sz w:val="16"/>
                <w:szCs w:val="16"/>
                <w:color w:val="auto"/>
              </w:rPr>
              <w:t>recipient vests in the underlying shares or units.</w:t>
            </w:r>
          </w:p>
        </w:tc>
        <w:tc>
          <w:tcPr>
            <w:tcW w:w="620" w:type="dxa"/>
            <w:vAlign w:val="bottom"/>
            <w:tcBorders>
              <w:right w:val="single" w:sz="8" w:color="auto"/>
            </w:tcBorders>
          </w:tcPr>
          <w:p>
            <w:pPr>
              <w:spacing w:after="0"/>
              <w:rPr>
                <w:sz w:val="16"/>
                <w:szCs w:val="16"/>
                <w:color w:val="auto"/>
              </w:rPr>
            </w:pPr>
          </w:p>
        </w:tc>
        <w:tc>
          <w:tcPr>
            <w:tcW w:w="4760" w:type="dxa"/>
            <w:vAlign w:val="bottom"/>
          </w:tcPr>
          <w:p>
            <w:pPr>
              <w:spacing w:after="0"/>
              <w:rPr>
                <w:sz w:val="16"/>
                <w:szCs w:val="16"/>
                <w:color w:val="auto"/>
              </w:rPr>
            </w:pPr>
          </w:p>
        </w:tc>
      </w:tr>
      <w:tr>
        <w:trPr>
          <w:trHeight w:val="274"/>
        </w:trPr>
        <w:tc>
          <w:tcPr>
            <w:tcW w:w="540" w:type="dxa"/>
            <w:vAlign w:val="bottom"/>
            <w:tcBorders>
              <w:bottom w:val="single" w:sz="8" w:color="auto"/>
              <w:right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24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r>
      <w:tr>
        <w:trPr>
          <w:trHeight w:val="438"/>
        </w:trPr>
        <w:tc>
          <w:tcPr>
            <w:tcW w:w="1000" w:type="dxa"/>
            <w:vAlign w:val="bottom"/>
            <w:gridSpan w:val="2"/>
          </w:tcPr>
          <w:p>
            <w:pPr>
              <w:jc w:val="right"/>
              <w:ind w:right="122"/>
              <w:spacing w:after="0"/>
              <w:rPr>
                <w:sz w:val="20"/>
                <w:szCs w:val="20"/>
                <w:color w:val="auto"/>
              </w:rPr>
            </w:pPr>
            <w:r>
              <w:rPr>
                <w:rFonts w:ascii="Calibri" w:cs="Calibri" w:eastAsia="Calibri" w:hAnsi="Calibri"/>
                <w:sz w:val="17"/>
                <w:szCs w:val="17"/>
                <w:b w:val="1"/>
                <w:bCs w:val="1"/>
                <w:color w:val="auto"/>
              </w:rPr>
              <w:t>66</w:t>
            </w:r>
          </w:p>
        </w:tc>
        <w:tc>
          <w:tcPr>
            <w:tcW w:w="4240" w:type="dxa"/>
            <w:vAlign w:val="bottom"/>
          </w:tcPr>
          <w:p>
            <w:pPr>
              <w:ind w:left="60"/>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2022 Proxy Statement</w:t>
            </w:r>
          </w:p>
        </w:tc>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-4412615</wp:posOffset>
            </wp:positionV>
            <wp:extent cx="173355" cy="1733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-4412615</wp:posOffset>
            </wp:positionV>
            <wp:extent cx="173355" cy="1733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-3140075</wp:posOffset>
            </wp:positionV>
            <wp:extent cx="173355" cy="1733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-3140075</wp:posOffset>
            </wp:positionV>
            <wp:extent cx="173355" cy="1733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-1760855</wp:posOffset>
            </wp:positionV>
            <wp:extent cx="173355" cy="1733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-1760855</wp:posOffset>
            </wp:positionV>
            <wp:extent cx="173355" cy="1733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760" w:type="dxa"/>
            <w:vAlign w:val="bottom"/>
            <w:gridSpan w:val="2"/>
          </w:tcPr>
          <w:p>
            <w:pPr>
              <w:ind w:left="3360"/>
              <w:spacing w:after="0"/>
              <w:rPr>
                <w:sz w:val="20"/>
                <w:szCs w:val="20"/>
                <w:color w:val="auto"/>
              </w:rPr>
            </w:pPr>
            <w:r>
              <w:rPr>
                <w:rFonts w:ascii="Calibri" w:cs="Calibri" w:eastAsia="Calibri" w:hAnsi="Calibri"/>
                <w:sz w:val="14"/>
                <w:szCs w:val="14"/>
                <w:b w:val="1"/>
                <w:bCs w:val="1"/>
                <w:color w:val="D8D8D8"/>
              </w:rPr>
              <w:t>Executve compensaton</w:t>
            </w: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14"/>
                <w:szCs w:val="14"/>
                <w:color w:val="auto"/>
              </w:rPr>
            </w:pPr>
          </w:p>
        </w:tc>
        <w:tc>
          <w:tcPr>
            <w:tcW w:w="4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Maintain an independent Compensaton Commitee and consultant:</w:t>
            </w:r>
          </w:p>
        </w:tc>
        <w:tc>
          <w:tcPr>
            <w:tcW w:w="620" w:type="dxa"/>
            <w:vAlign w:val="bottom"/>
            <w:tcBorders>
              <w:right w:val="single" w:sz="8" w:color="auto"/>
            </w:tcBorders>
          </w:tcPr>
          <w:p>
            <w:pPr>
              <w:spacing w:after="0"/>
              <w:rPr>
                <w:sz w:val="17"/>
                <w:szCs w:val="17"/>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b w:val="1"/>
                <w:bCs w:val="1"/>
                <w:color w:val="auto"/>
              </w:rPr>
              <w:t xml:space="preserve">Limited perquisites: </w:t>
            </w:r>
            <w:r>
              <w:rPr>
                <w:rFonts w:ascii="Calibri" w:cs="Calibri" w:eastAsia="Calibri" w:hAnsi="Calibri"/>
                <w:sz w:val="16"/>
                <w:szCs w:val="16"/>
                <w:color w:val="auto"/>
              </w:rPr>
              <w:t>We provide our named executve ofcers with only</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9"/>
              </w:rPr>
              <w:t>Compensaton decisions for our NEOs are approved by a Compensaton</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limited perquisites and personal benefts that serve an important</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Commitee composed of non-employee independent directors.</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business purpose in additon to the regular benefts ofered to all</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vMerge w:val="restart"/>
          </w:tcPr>
          <w:p>
            <w:pPr>
              <w:ind w:left="120"/>
              <w:spacing w:after="0"/>
              <w:rPr>
                <w:sz w:val="20"/>
                <w:szCs w:val="20"/>
                <w:color w:val="auto"/>
              </w:rPr>
            </w:pPr>
            <w:r>
              <w:rPr>
                <w:rFonts w:ascii="Calibri" w:cs="Calibri" w:eastAsia="Calibri" w:hAnsi="Calibri"/>
                <w:sz w:val="16"/>
                <w:szCs w:val="16"/>
                <w:color w:val="auto"/>
                <w:w w:val="99"/>
              </w:rPr>
              <w:t>Our Compensaton Commitee is advised by an independent consultant</w:t>
            </w:r>
          </w:p>
        </w:tc>
        <w:tc>
          <w:tcPr>
            <w:tcW w:w="620" w:type="dxa"/>
            <w:vAlign w:val="bottom"/>
            <w:tcBorders>
              <w:right w:val="single" w:sz="8" w:color="auto"/>
            </w:tcBorders>
          </w:tcPr>
          <w:p>
            <w:pPr>
              <w:spacing w:after="0"/>
              <w:rPr>
                <w:sz w:val="16"/>
                <w:szCs w:val="16"/>
                <w:color w:val="auto"/>
              </w:rPr>
            </w:pPr>
          </w:p>
        </w:tc>
        <w:tc>
          <w:tcPr>
            <w:tcW w:w="3800" w:type="dxa"/>
            <w:vAlign w:val="bottom"/>
          </w:tcPr>
          <w:p>
            <w:pPr>
              <w:ind w:left="80"/>
              <w:spacing w:after="0"/>
              <w:rPr>
                <w:sz w:val="20"/>
                <w:szCs w:val="20"/>
                <w:color w:val="auto"/>
              </w:rPr>
            </w:pPr>
            <w:r>
              <w:rPr>
                <w:rFonts w:ascii="Calibri" w:cs="Calibri" w:eastAsia="Calibri" w:hAnsi="Calibri"/>
                <w:sz w:val="16"/>
                <w:szCs w:val="16"/>
                <w:color w:val="auto"/>
              </w:rPr>
              <w:t>employees.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40" w:type="dxa"/>
            <w:vAlign w:val="bottom"/>
            <w:tcBorders>
              <w:right w:val="single" w:sz="8" w:color="auto"/>
            </w:tcBorders>
          </w:tcPr>
          <w:p>
            <w:pPr>
              <w:spacing w:after="0"/>
              <w:rPr>
                <w:sz w:val="11"/>
                <w:szCs w:val="11"/>
                <w:color w:val="auto"/>
              </w:rPr>
            </w:pPr>
          </w:p>
        </w:tc>
        <w:tc>
          <w:tcPr>
            <w:tcW w:w="4700" w:type="dxa"/>
            <w:vAlign w:val="bottom"/>
            <w:tcBorders>
              <w:right w:val="single" w:sz="8" w:color="auto"/>
            </w:tcBorders>
            <w:vMerge w:val="continue"/>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who reports directly to the Compensaton Commitee and provides no</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We consider the perquisites and personal benefts that we ofer to our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other services to the Company or management.</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executves in India to be customary benefts which allow us to remain</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3800" w:type="dxa"/>
            <w:vAlign w:val="bottom"/>
          </w:tcPr>
          <w:p>
            <w:pPr>
              <w:ind w:left="80"/>
              <w:spacing w:after="0"/>
              <w:rPr>
                <w:sz w:val="20"/>
                <w:szCs w:val="20"/>
                <w:color w:val="auto"/>
              </w:rPr>
            </w:pPr>
            <w:r>
              <w:rPr>
                <w:rFonts w:ascii="Calibri" w:cs="Calibri" w:eastAsia="Calibri" w:hAnsi="Calibri"/>
                <w:sz w:val="16"/>
                <w:szCs w:val="16"/>
                <w:color w:val="auto"/>
              </w:rPr>
              <w:t>compettve for top talent.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540" w:type="dxa"/>
            <w:vAlign w:val="bottom"/>
            <w:tcBorders>
              <w:bottom w:val="single" w:sz="8" w:color="auto"/>
              <w:right w:val="single" w:sz="8" w:color="auto"/>
            </w:tcBorders>
          </w:tcPr>
          <w:p>
            <w:pPr>
              <w:spacing w:after="0"/>
              <w:rPr>
                <w:sz w:val="9"/>
                <w:szCs w:val="9"/>
                <w:color w:val="auto"/>
              </w:rPr>
            </w:pPr>
          </w:p>
        </w:tc>
        <w:tc>
          <w:tcPr>
            <w:tcW w:w="470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47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Mitgate risks: </w:t>
            </w:r>
            <w:r>
              <w:rPr>
                <w:rFonts w:ascii="Calibri" w:cs="Calibri" w:eastAsia="Calibri" w:hAnsi="Calibri"/>
                <w:sz w:val="16"/>
                <w:szCs w:val="16"/>
                <w:color w:val="auto"/>
              </w:rPr>
              <w:t>The mix and design of our compensaton programs</w:t>
            </w:r>
          </w:p>
        </w:tc>
        <w:tc>
          <w:tcPr>
            <w:tcW w:w="620" w:type="dxa"/>
            <w:vAlign w:val="bottom"/>
            <w:tcBorders>
              <w:right w:val="single" w:sz="8" w:color="auto"/>
            </w:tcBorders>
          </w:tcPr>
          <w:p>
            <w:pPr>
              <w:spacing w:after="0"/>
              <w:rPr>
                <w:sz w:val="17"/>
                <w:szCs w:val="17"/>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b w:val="1"/>
                <w:bCs w:val="1"/>
                <w:color w:val="auto"/>
              </w:rPr>
              <w:t xml:space="preserve">No tax gross-ups: </w:t>
            </w:r>
            <w:r>
              <w:rPr>
                <w:rFonts w:ascii="Calibri" w:cs="Calibri" w:eastAsia="Calibri" w:hAnsi="Calibri"/>
                <w:sz w:val="16"/>
                <w:szCs w:val="16"/>
                <w:color w:val="auto"/>
              </w:rPr>
              <w:t>We do not provide “gross-ups” to any of our named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serves to mitgate operatonal, fnancial, legal, regulatory, strategic and</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executve ofcers, including gross-ups for any excise taxes imposed with</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reputatonal risks.</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respect to Secton 280G (change-in-control payments) or Secton 409A</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(nonqualifed deferred compensaton) of the U.S. Internal Revenue Code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3800" w:type="dxa"/>
            <w:vAlign w:val="bottom"/>
          </w:tcPr>
          <w:p>
            <w:pPr>
              <w:ind w:left="80"/>
              <w:spacing w:after="0"/>
              <w:rPr>
                <w:sz w:val="20"/>
                <w:szCs w:val="20"/>
                <w:color w:val="auto"/>
              </w:rPr>
            </w:pPr>
            <w:r>
              <w:rPr>
                <w:rFonts w:ascii="Calibri" w:cs="Calibri" w:eastAsia="Calibri" w:hAnsi="Calibri"/>
                <w:sz w:val="16"/>
                <w:szCs w:val="16"/>
                <w:color w:val="auto"/>
              </w:rPr>
              <w:t>of 1986, as amended (which we refer to as the “Code”).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540" w:type="dxa"/>
            <w:vAlign w:val="bottom"/>
            <w:tcBorders>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47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Maintain a clawback policy: </w:t>
            </w:r>
            <w:r>
              <w:rPr>
                <w:rFonts w:ascii="Calibri" w:cs="Calibri" w:eastAsia="Calibri" w:hAnsi="Calibri"/>
                <w:sz w:val="16"/>
                <w:szCs w:val="16"/>
                <w:color w:val="auto"/>
              </w:rPr>
              <w:t>We maintain a compensaton recovery</w:t>
            </w:r>
          </w:p>
        </w:tc>
        <w:tc>
          <w:tcPr>
            <w:tcW w:w="620" w:type="dxa"/>
            <w:vAlign w:val="bottom"/>
            <w:tcBorders>
              <w:right w:val="single" w:sz="8" w:color="auto"/>
            </w:tcBorders>
          </w:tcPr>
          <w:p>
            <w:pPr>
              <w:spacing w:after="0"/>
              <w:rPr>
                <w:sz w:val="17"/>
                <w:szCs w:val="17"/>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b w:val="1"/>
                <w:bCs w:val="1"/>
                <w:color w:val="auto"/>
              </w:rPr>
              <w:t xml:space="preserve">No hedging: </w:t>
            </w:r>
            <w:r>
              <w:rPr>
                <w:rFonts w:ascii="Calibri" w:cs="Calibri" w:eastAsia="Calibri" w:hAnsi="Calibri"/>
                <w:sz w:val="16"/>
                <w:szCs w:val="16"/>
                <w:color w:val="auto"/>
              </w:rPr>
              <w:t>We maintain a policy in which the following persons are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policy that allows the Company to recover compensaton (including</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prohibited from engaging in hedging transactons involving our shares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cash and/or equity awards) previously paid to one or more ofcers in</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and other securites: our directors and their secretaries and other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the event of a fnancial restatement caused by noncompliance with</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assistants; our executve ofcers and their secretaries and other</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8"/>
              </w:rPr>
              <w:t>reportng requirements that impacts the applicable performance metric</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assistants; our employees in the accountng, fnance and legal</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9"/>
              </w:rPr>
              <w:t>if, in the opinion of our board of directors or Compensaton Commitee,</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w w:val="98"/>
              </w:rPr>
              <w:t>departments; the members and permanent invitees of our operatng and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the identfed executve’s misconduct was a material factor causing the</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executve commitees; and all of our vice president level 2 and 3 ofcers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restatement.</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w w:val="99"/>
              </w:rPr>
              <w:t>(whom we refer to collectvely as “Reportng Persons”). For this purpose,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“hedging” refers to any strategy to ofset or reduce the risk of price</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fuctuatons in our shares or other securites or to protect, in whole or in</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part, against declines in the value of our shares or other securites. This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prohibiton thus applies to all transactons in derivatve securites based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on our stock such as other securites, including puts, calls, swaps and</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3800" w:type="dxa"/>
            <w:vAlign w:val="bottom"/>
          </w:tcPr>
          <w:p>
            <w:pPr>
              <w:ind w:left="80"/>
              <w:spacing w:after="0"/>
              <w:rPr>
                <w:sz w:val="20"/>
                <w:szCs w:val="20"/>
                <w:color w:val="auto"/>
              </w:rPr>
            </w:pPr>
            <w:r>
              <w:rPr>
                <w:rFonts w:ascii="Calibri" w:cs="Calibri" w:eastAsia="Calibri" w:hAnsi="Calibri"/>
                <w:sz w:val="16"/>
                <w:szCs w:val="16"/>
                <w:color w:val="auto"/>
              </w:rPr>
              <w:t>collar arrangements.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540" w:type="dxa"/>
            <w:vAlign w:val="bottom"/>
            <w:tcBorders>
              <w:bottom w:val="single" w:sz="8" w:color="auto"/>
              <w:right w:val="single" w:sz="8" w:color="auto"/>
            </w:tcBorders>
          </w:tcPr>
          <w:p>
            <w:pPr>
              <w:spacing w:after="0"/>
              <w:rPr>
                <w:sz w:val="24"/>
                <w:szCs w:val="24"/>
                <w:color w:val="auto"/>
              </w:rPr>
            </w:pPr>
          </w:p>
        </w:tc>
        <w:tc>
          <w:tcPr>
            <w:tcW w:w="470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47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40" w:type="dxa"/>
            <w:vAlign w:val="bottom"/>
            <w:tcBorders>
              <w:right w:val="single" w:sz="8" w:color="auto"/>
            </w:tcBorders>
          </w:tcPr>
          <w:p>
            <w:pPr>
              <w:spacing w:after="0"/>
              <w:rPr>
                <w:sz w:val="17"/>
                <w:szCs w:val="17"/>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b w:val="1"/>
                <w:bCs w:val="1"/>
                <w:color w:val="auto"/>
              </w:rPr>
              <w:t xml:space="preserve">Maintain a robust stock ownership policy: </w:t>
            </w:r>
            <w:r>
              <w:rPr>
                <w:rFonts w:ascii="Calibri" w:cs="Calibri" w:eastAsia="Calibri" w:hAnsi="Calibri"/>
                <w:sz w:val="16"/>
                <w:szCs w:val="16"/>
                <w:color w:val="auto"/>
              </w:rPr>
              <w:t>We maintain a stock</w:t>
            </w:r>
          </w:p>
        </w:tc>
        <w:tc>
          <w:tcPr>
            <w:tcW w:w="620" w:type="dxa"/>
            <w:vAlign w:val="bottom"/>
            <w:tcBorders>
              <w:right w:val="single" w:sz="8" w:color="auto"/>
            </w:tcBorders>
          </w:tcPr>
          <w:p>
            <w:pPr>
              <w:spacing w:after="0"/>
              <w:rPr>
                <w:sz w:val="17"/>
                <w:szCs w:val="17"/>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b w:val="1"/>
                <w:bCs w:val="1"/>
                <w:color w:val="auto"/>
              </w:rPr>
              <w:t xml:space="preserve">No pledging: </w:t>
            </w:r>
            <w:r>
              <w:rPr>
                <w:rFonts w:ascii="Calibri" w:cs="Calibri" w:eastAsia="Calibri" w:hAnsi="Calibri"/>
                <w:sz w:val="16"/>
                <w:szCs w:val="16"/>
                <w:color w:val="auto"/>
              </w:rPr>
              <w:t>Under our policy mentoned above, Reportng Persons (as</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ownership policy that requires our CEO to maintain aggregate stock</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defned above) are only permited to pledge shares of our stock that</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ownership equal to at least six tmes his base salary and vested stock</w:t>
            </w:r>
          </w:p>
        </w:tc>
        <w:tc>
          <w:tcPr>
            <w:tcW w:w="620" w:type="dxa"/>
            <w:vAlign w:val="bottom"/>
            <w:tcBorders>
              <w:right w:val="single" w:sz="8" w:color="auto"/>
            </w:tcBorders>
          </w:tcPr>
          <w:p>
            <w:pPr>
              <w:spacing w:after="0"/>
              <w:rPr>
                <w:sz w:val="16"/>
                <w:szCs w:val="16"/>
                <w:color w:val="auto"/>
              </w:rPr>
            </w:pPr>
          </w:p>
        </w:tc>
        <w:tc>
          <w:tcPr>
            <w:tcW w:w="4760" w:type="dxa"/>
            <w:vAlign w:val="bottom"/>
            <w:gridSpan w:val="2"/>
          </w:tcPr>
          <w:p>
            <w:pPr>
              <w:ind w:left="80"/>
              <w:spacing w:after="0"/>
              <w:rPr>
                <w:sz w:val="20"/>
                <w:szCs w:val="20"/>
                <w:color w:val="auto"/>
              </w:rPr>
            </w:pPr>
            <w:r>
              <w:rPr>
                <w:rFonts w:ascii="Calibri" w:cs="Calibri" w:eastAsia="Calibri" w:hAnsi="Calibri"/>
                <w:sz w:val="16"/>
                <w:szCs w:val="16"/>
                <w:color w:val="auto"/>
              </w:rPr>
              <w:t>exceed those required to be owned under our Stock Ownership Policy</w:t>
            </w: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ownership equal to at least three tmes his base salary, and that,</w:t>
            </w:r>
          </w:p>
        </w:tc>
        <w:tc>
          <w:tcPr>
            <w:tcW w:w="620" w:type="dxa"/>
            <w:vAlign w:val="bottom"/>
            <w:tcBorders>
              <w:right w:val="single" w:sz="8" w:color="auto"/>
            </w:tcBorders>
          </w:tcPr>
          <w:p>
            <w:pPr>
              <w:spacing w:after="0"/>
              <w:rPr>
                <w:sz w:val="16"/>
                <w:szCs w:val="16"/>
                <w:color w:val="auto"/>
              </w:rPr>
            </w:pPr>
          </w:p>
        </w:tc>
        <w:tc>
          <w:tcPr>
            <w:tcW w:w="3800" w:type="dxa"/>
            <w:vAlign w:val="bottom"/>
          </w:tcPr>
          <w:p>
            <w:pPr>
              <w:ind w:left="80"/>
              <w:spacing w:after="0"/>
              <w:rPr>
                <w:sz w:val="20"/>
                <w:szCs w:val="20"/>
                <w:color w:val="auto"/>
              </w:rPr>
            </w:pPr>
            <w:r>
              <w:rPr>
                <w:rFonts w:ascii="Calibri" w:cs="Calibri" w:eastAsia="Calibri" w:hAnsi="Calibri"/>
                <w:sz w:val="16"/>
                <w:szCs w:val="16"/>
                <w:color w:val="auto"/>
              </w:rPr>
              <w:t>described above.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efectve as of January 1, 2022, requires the other members of our</w:t>
            </w:r>
          </w:p>
        </w:tc>
        <w:tc>
          <w:tcPr>
            <w:tcW w:w="62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executve commitee to maintain vested stock ownership equal to at</w:t>
            </w:r>
          </w:p>
        </w:tc>
        <w:tc>
          <w:tcPr>
            <w:tcW w:w="62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least two tmes their respectve base salaries. Covered executves have</w:t>
            </w:r>
          </w:p>
        </w:tc>
        <w:tc>
          <w:tcPr>
            <w:tcW w:w="62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9"/>
              </w:rPr>
              <w:t>three years from their hire date to atain the required stock ownership</w:t>
            </w:r>
          </w:p>
        </w:tc>
        <w:tc>
          <w:tcPr>
            <w:tcW w:w="62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levels (or three years from January 1, 2022 for existng covered</w:t>
            </w:r>
          </w:p>
        </w:tc>
        <w:tc>
          <w:tcPr>
            <w:tcW w:w="62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executves).</w:t>
            </w:r>
          </w:p>
        </w:tc>
        <w:tc>
          <w:tcPr>
            <w:tcW w:w="62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We maintain a similar stock ownership policy for our non-employee</w:t>
            </w:r>
          </w:p>
        </w:tc>
        <w:tc>
          <w:tcPr>
            <w:tcW w:w="62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w w:val="97"/>
              </w:rPr>
              <w:t>directors that requires directors to maintain stock ownership of at least</w:t>
            </w:r>
          </w:p>
        </w:tc>
        <w:tc>
          <w:tcPr>
            <w:tcW w:w="62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fve tmes their respectve annual retainers. Directors have fve years</w:t>
            </w:r>
          </w:p>
        </w:tc>
        <w:tc>
          <w:tcPr>
            <w:tcW w:w="62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from their appointment date to atain the required stock ownership</w:t>
            </w:r>
          </w:p>
        </w:tc>
        <w:tc>
          <w:tcPr>
            <w:tcW w:w="62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levels.</w:t>
            </w:r>
          </w:p>
        </w:tc>
        <w:tc>
          <w:tcPr>
            <w:tcW w:w="62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As of December 31, 2021, all covered executves and directors were in</w:t>
            </w:r>
          </w:p>
        </w:tc>
        <w:tc>
          <w:tcPr>
            <w:tcW w:w="62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tcPr>
          <w:p>
            <w:pPr>
              <w:ind w:left="120"/>
              <w:spacing w:after="0"/>
              <w:rPr>
                <w:sz w:val="20"/>
                <w:szCs w:val="20"/>
                <w:color w:val="auto"/>
              </w:rPr>
            </w:pPr>
            <w:r>
              <w:rPr>
                <w:rFonts w:ascii="Calibri" w:cs="Calibri" w:eastAsia="Calibri" w:hAnsi="Calibri"/>
                <w:sz w:val="16"/>
                <w:szCs w:val="16"/>
                <w:color w:val="auto"/>
              </w:rPr>
              <w:t>compliance with the stock ownership policy.</w:t>
            </w:r>
          </w:p>
        </w:tc>
        <w:tc>
          <w:tcPr>
            <w:tcW w:w="620" w:type="dxa"/>
            <w:vAlign w:val="bottom"/>
            <w:tcBorders>
              <w:right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54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540" w:type="dxa"/>
            <w:vAlign w:val="bottom"/>
            <w:tcBorders>
              <w:bottom w:val="single" w:sz="8" w:color="FB4E0B"/>
            </w:tcBorders>
          </w:tcPr>
          <w:p>
            <w:pPr>
              <w:spacing w:after="0"/>
              <w:rPr>
                <w:sz w:val="5"/>
                <w:szCs w:val="5"/>
                <w:color w:val="auto"/>
              </w:rPr>
            </w:pPr>
          </w:p>
        </w:tc>
        <w:tc>
          <w:tcPr>
            <w:tcW w:w="4700" w:type="dxa"/>
            <w:vAlign w:val="bottom"/>
            <w:tcBorders>
              <w:bottom w:val="single" w:sz="8" w:color="FB4E0B"/>
            </w:tcBorders>
          </w:tcPr>
          <w:p>
            <w:pPr>
              <w:spacing w:after="0"/>
              <w:rPr>
                <w:sz w:val="5"/>
                <w:szCs w:val="5"/>
                <w:color w:val="auto"/>
              </w:rPr>
            </w:pPr>
          </w:p>
        </w:tc>
        <w:tc>
          <w:tcPr>
            <w:tcW w:w="620" w:type="dxa"/>
            <w:vAlign w:val="bottom"/>
            <w:tcBorders>
              <w:bottom w:val="single" w:sz="8" w:color="FB4E0B"/>
            </w:tcBorders>
          </w:tcPr>
          <w:p>
            <w:pPr>
              <w:spacing w:after="0"/>
              <w:rPr>
                <w:sz w:val="5"/>
                <w:szCs w:val="5"/>
                <w:color w:val="auto"/>
              </w:rPr>
            </w:pPr>
          </w:p>
        </w:tc>
        <w:tc>
          <w:tcPr>
            <w:tcW w:w="3800" w:type="dxa"/>
            <w:vAlign w:val="bottom"/>
            <w:tcBorders>
              <w:bottom w:val="single" w:sz="8" w:color="FB4E0B"/>
            </w:tcBorders>
          </w:tcPr>
          <w:p>
            <w:pPr>
              <w:spacing w:after="0"/>
              <w:rPr>
                <w:sz w:val="5"/>
                <w:szCs w:val="5"/>
                <w:color w:val="auto"/>
              </w:rPr>
            </w:pPr>
          </w:p>
        </w:tc>
        <w:tc>
          <w:tcPr>
            <w:tcW w:w="960" w:type="dxa"/>
            <w:vAlign w:val="bottom"/>
            <w:tcBorders>
              <w:bottom w:val="single" w:sz="8" w:color="FB4E0B"/>
            </w:tcBorders>
          </w:tcPr>
          <w:p>
            <w:pPr>
              <w:spacing w:after="0"/>
              <w:rPr>
                <w:sz w:val="5"/>
                <w:szCs w:val="5"/>
                <w:color w:val="auto"/>
              </w:rPr>
            </w:pPr>
          </w:p>
        </w:tc>
        <w:tc>
          <w:tcPr>
            <w:tcW w:w="0" w:type="dxa"/>
            <w:vAlign w:val="bottom"/>
          </w:tcPr>
          <w:p>
            <w:pPr>
              <w:spacing w:after="0"/>
              <w:rPr>
                <w:sz w:val="1"/>
                <w:szCs w:val="1"/>
                <w:color w:val="auto"/>
              </w:rPr>
            </w:pPr>
          </w:p>
        </w:tc>
      </w:tr>
      <w:tr>
        <w:trPr>
          <w:trHeight w:val="445"/>
        </w:trPr>
        <w:tc>
          <w:tcPr>
            <w:tcW w:w="5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0" w:type="dxa"/>
            <w:vAlign w:val="bottom"/>
          </w:tcPr>
          <w:p>
            <w:pPr>
              <w:ind w:left="1920"/>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960" w:type="dxa"/>
            <w:vAlign w:val="bottom"/>
          </w:tcPr>
          <w:p>
            <w:pPr>
              <w:jc w:val="right"/>
              <w:ind w:right="573"/>
              <w:spacing w:after="0"/>
              <w:rPr>
                <w:sz w:val="20"/>
                <w:szCs w:val="20"/>
                <w:color w:val="auto"/>
              </w:rPr>
            </w:pPr>
            <w:r>
              <w:rPr>
                <w:rFonts w:ascii="Calibri" w:cs="Calibri" w:eastAsia="Calibri" w:hAnsi="Calibri"/>
                <w:sz w:val="17"/>
                <w:szCs w:val="17"/>
                <w:b w:val="1"/>
                <w:bCs w:val="1"/>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-6576695</wp:posOffset>
            </wp:positionV>
            <wp:extent cx="173355" cy="1733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-6576695</wp:posOffset>
            </wp:positionV>
            <wp:extent cx="173355" cy="1733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-5544185</wp:posOffset>
            </wp:positionV>
            <wp:extent cx="173355" cy="1733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-5544185</wp:posOffset>
            </wp:positionV>
            <wp:extent cx="173355" cy="1733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-4718050</wp:posOffset>
            </wp:positionV>
            <wp:extent cx="173355" cy="1733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-4718050</wp:posOffset>
            </wp:positionV>
            <wp:extent cx="173355" cy="1733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-2776855</wp:posOffset>
            </wp:positionV>
            <wp:extent cx="173355" cy="1733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73355" cy="173355"/>
                    </a:xfrm>
                    <a:prstGeom prst="rect">
                      <a:avLst/>
                    </a:prstGeom>
                    <a:noFill/>
                  </pic:spPr>
                </pic:pic>
              </a:graphicData>
            </a:graphic>
          </wp:anchor>
        </w:drawing>
        <w:drawing>
          <wp:anchor simplePos="0" relativeHeight="251657728" behindDoc="1" locked="0" layoutInCell="0" allowOverlap="1">
            <wp:simplePos x="0" y="0"/>
            <wp:positionH relativeFrom="column">
              <wp:posOffset>3662045</wp:posOffset>
            </wp:positionH>
            <wp:positionV relativeFrom="paragraph">
              <wp:posOffset>-2776855</wp:posOffset>
            </wp:positionV>
            <wp:extent cx="173355" cy="1733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Overview of compensaton policies and philosophies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believe that our long-term success is linked to our ability to recruit, train, motvate and retain employees at every level. There is signifcant compettve pressure in our industry for qualifed managers with a track record of achievement. It is critcal that we recruit, train, motvate and retain highly talented individuals at all levels of the organizaton who are commited to our core values of innovaton, collaboraton, excellence, integrity and mutual respect. We believe that our executve compensaton programs are integral to achieving this end.</w:t>
      </w:r>
    </w:p>
    <w:p>
      <w:pPr>
        <w:spacing w:after="0" w:line="211" w:lineRule="exact"/>
        <w:rPr>
          <w:sz w:val="20"/>
          <w:szCs w:val="20"/>
          <w:color w:val="auto"/>
        </w:rPr>
      </w:pPr>
    </w:p>
    <w:p>
      <w:pPr>
        <w:ind w:left="320" w:right="820"/>
        <w:spacing w:after="0" w:line="239" w:lineRule="auto"/>
        <w:rPr>
          <w:sz w:val="20"/>
          <w:szCs w:val="20"/>
          <w:color w:val="auto"/>
        </w:rPr>
      </w:pPr>
      <w:r>
        <w:rPr>
          <w:rFonts w:ascii="Calibri" w:cs="Calibri" w:eastAsia="Calibri" w:hAnsi="Calibri"/>
          <w:sz w:val="17"/>
          <w:szCs w:val="17"/>
          <w:color w:val="auto"/>
        </w:rPr>
        <w:t>Our Compensaton Commitee bases its executve compensaton programs on the following objectves, which guide us in establishing all of our compensaton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502285</wp:posOffset>
            </wp:positionV>
            <wp:extent cx="6740525" cy="8178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740525" cy="817880"/>
                    </a:xfrm>
                    <a:prstGeom prst="rect">
                      <a:avLst/>
                    </a:prstGeom>
                    <a:noFill/>
                  </pic:spPr>
                </pic:pic>
              </a:graphicData>
            </a:graphic>
          </wp:anchor>
        </w:drawing>
      </w:r>
    </w:p>
    <w:p>
      <w:pPr>
        <w:sectPr>
          <w:pgSz w:w="11900" w:h="16838" w:orient="portrait"/>
          <w:cols w:equalWidth="0" w:num="1">
            <w:col w:w="10900"/>
          </w:cols>
          <w:pgMar w:left="320" w:top="44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0" w:right="1720"/>
        <w:spacing w:after="0" w:line="249" w:lineRule="auto"/>
        <w:rPr>
          <w:sz w:val="20"/>
          <w:szCs w:val="20"/>
          <w:color w:val="auto"/>
        </w:rPr>
      </w:pPr>
      <w:r>
        <w:rPr>
          <w:rFonts w:ascii="Calibri" w:cs="Calibri" w:eastAsia="Calibri" w:hAnsi="Calibri"/>
          <w:sz w:val="21"/>
          <w:szCs w:val="21"/>
          <w:b w:val="1"/>
          <w:bCs w:val="1"/>
          <w:color w:val="auto"/>
        </w:rPr>
        <w:t>Compensaton should be based on responsibility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3230245" cy="11563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230245" cy="1156335"/>
                    </a:xfrm>
                    <a:prstGeom prst="rect">
                      <a:avLst/>
                    </a:prstGeom>
                    <a:noFill/>
                  </pic:spPr>
                </pic:pic>
              </a:graphicData>
            </a:graphic>
          </wp:anchor>
        </w:drawing>
      </w:r>
    </w:p>
    <w:p>
      <w:pPr>
        <w:spacing w:after="0" w:line="398" w:lineRule="exact"/>
        <w:rPr>
          <w:sz w:val="20"/>
          <w:szCs w:val="20"/>
          <w:color w:val="auto"/>
        </w:rPr>
      </w:pPr>
    </w:p>
    <w:p>
      <w:pPr>
        <w:ind w:left="460" w:right="960"/>
        <w:spacing w:after="0" w:line="242" w:lineRule="auto"/>
        <w:rPr>
          <w:sz w:val="20"/>
          <w:szCs w:val="20"/>
          <w:color w:val="auto"/>
        </w:rPr>
      </w:pPr>
      <w:r>
        <w:rPr>
          <w:rFonts w:ascii="Calibri" w:cs="Calibri" w:eastAsia="Calibri" w:hAnsi="Calibri"/>
          <w:sz w:val="21"/>
          <w:szCs w:val="21"/>
          <w:b w:val="1"/>
          <w:bCs w:val="1"/>
          <w:color w:val="FB4E0B"/>
        </w:rPr>
        <w:t>Our compensaton program should deliver top-ter compensaton in return for top-ter individual and company performance, and lower ter compensaton for individual performance and/or our performance that falls short of expectatons.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214630</wp:posOffset>
            </wp:positionV>
            <wp:extent cx="3230245" cy="8178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30245" cy="81788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right="1200"/>
        <w:spacing w:after="0" w:line="241" w:lineRule="auto"/>
        <w:rPr>
          <w:sz w:val="20"/>
          <w:szCs w:val="20"/>
          <w:color w:val="auto"/>
        </w:rPr>
      </w:pPr>
      <w:r>
        <w:rPr>
          <w:rFonts w:ascii="Calibri" w:cs="Calibri" w:eastAsia="Calibri" w:hAnsi="Calibri"/>
          <w:sz w:val="21"/>
          <w:szCs w:val="21"/>
          <w:b w:val="1"/>
          <w:bCs w:val="1"/>
          <w:color w:val="auto"/>
        </w:rPr>
        <w:t>Pay-for-performance and retenton must be balanced in order to ensure ongoing motvaton and commitment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207010</wp:posOffset>
            </wp:positionV>
            <wp:extent cx="3230245" cy="4876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30245" cy="4876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right="1200"/>
        <w:spacing w:after="0" w:line="238" w:lineRule="auto"/>
        <w:rPr>
          <w:sz w:val="20"/>
          <w:szCs w:val="20"/>
          <w:color w:val="auto"/>
        </w:rPr>
      </w:pPr>
      <w:r>
        <w:rPr>
          <w:rFonts w:ascii="Calibri" w:cs="Calibri" w:eastAsia="Calibri" w:hAnsi="Calibri"/>
          <w:sz w:val="21"/>
          <w:szCs w:val="21"/>
          <w:b w:val="1"/>
          <w:bCs w:val="1"/>
          <w:color w:val="FB4E0B"/>
        </w:rPr>
        <w:t>Compensaton should balance long-term and short-term objectves.</w:t>
      </w:r>
    </w:p>
    <w:p>
      <w:pPr>
        <w:spacing w:after="0" w:line="200" w:lineRule="exact"/>
        <w:rPr>
          <w:sz w:val="20"/>
          <w:szCs w:val="20"/>
          <w:color w:val="auto"/>
        </w:rPr>
      </w:pPr>
    </w:p>
    <w:p>
      <w:pPr>
        <w:spacing w:after="0" w:line="205"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68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1660"/>
        <w:spacing w:after="0" w:line="241" w:lineRule="auto"/>
        <w:rPr>
          <w:sz w:val="20"/>
          <w:szCs w:val="20"/>
          <w:color w:val="auto"/>
        </w:rPr>
      </w:pPr>
      <w:r>
        <w:rPr>
          <w:rFonts w:ascii="Calibri" w:cs="Calibri" w:eastAsia="Calibri" w:hAnsi="Calibri"/>
          <w:sz w:val="21"/>
          <w:szCs w:val="21"/>
          <w:b w:val="1"/>
          <w:bCs w:val="1"/>
          <w:color w:val="FB4E0B"/>
        </w:rPr>
        <w:t>Equity-based compensaton should be higher for persons with higher levels of responsibility and greater infuence on long-term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207010</wp:posOffset>
            </wp:positionV>
            <wp:extent cx="3296285" cy="6527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296285" cy="6527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220"/>
        <w:spacing w:after="0"/>
        <w:rPr>
          <w:sz w:val="20"/>
          <w:szCs w:val="20"/>
          <w:color w:val="auto"/>
        </w:rPr>
      </w:pPr>
      <w:r>
        <w:rPr>
          <w:rFonts w:ascii="Calibri" w:cs="Calibri" w:eastAsia="Calibri" w:hAnsi="Calibri"/>
          <w:sz w:val="21"/>
          <w:szCs w:val="21"/>
          <w:b w:val="1"/>
          <w:bCs w:val="1"/>
          <w:color w:val="auto"/>
        </w:rPr>
        <w:t>To enable us to atract and retain top talent, compensaton should refect the value of the job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207645</wp:posOffset>
            </wp:positionV>
            <wp:extent cx="3296285" cy="4876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296285" cy="48768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580"/>
        <w:spacing w:after="0" w:line="238" w:lineRule="auto"/>
        <w:rPr>
          <w:sz w:val="20"/>
          <w:szCs w:val="20"/>
          <w:color w:val="auto"/>
        </w:rPr>
      </w:pPr>
      <w:r>
        <w:rPr>
          <w:rFonts w:ascii="Calibri" w:cs="Calibri" w:eastAsia="Calibri" w:hAnsi="Calibri"/>
          <w:sz w:val="21"/>
          <w:szCs w:val="21"/>
          <w:b w:val="1"/>
          <w:bCs w:val="1"/>
          <w:color w:val="FB4E0B"/>
        </w:rPr>
        <w:t>Compensaton programs should be easy to understand.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207645</wp:posOffset>
            </wp:positionV>
            <wp:extent cx="3296285" cy="768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296285" cy="7683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1440"/>
        <w:spacing w:after="0" w:line="258" w:lineRule="auto"/>
        <w:rPr>
          <w:sz w:val="20"/>
          <w:szCs w:val="20"/>
          <w:color w:val="auto"/>
        </w:rPr>
      </w:pPr>
      <w:r>
        <w:rPr>
          <w:rFonts w:ascii="Calibri" w:cs="Calibri" w:eastAsia="Calibri" w:hAnsi="Calibri"/>
          <w:sz w:val="20"/>
          <w:szCs w:val="20"/>
          <w:b w:val="1"/>
          <w:bCs w:val="1"/>
          <w:color w:val="auto"/>
        </w:rPr>
        <w:t>Compensaton should be administered uniformly across the Company with clear-cut objectves and performance metrics.</w:t>
      </w:r>
    </w:p>
    <w:p>
      <w:pPr>
        <w:sectPr>
          <w:pgSz w:w="11900" w:h="16838" w:orient="portrait"/>
          <w:cols w:equalWidth="0" w:num="2">
            <w:col w:w="5160" w:space="720"/>
            <w:col w:w="5020"/>
          </w:cols>
          <w:pgMar w:left="320" w:top="445" w:right="67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Compensaton process: roles and responsibilites</w:t>
      </w:r>
    </w:p>
    <w:p>
      <w:pPr>
        <w:spacing w:after="0" w:line="114"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Our Compensaton Commitee has established a number of processes to assist it in ensuring that our executve compensaton programs are achieving their objectves. Our Compensaton Commitee, our management and our independent compensaton consultant are each engaged in these processes, as described in greater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321945</wp:posOffset>
            </wp:positionV>
            <wp:extent cx="6740525" cy="51631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740525" cy="516318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460" w:type="dxa"/>
        <w:tblCellMar>
          <w:top w:w="0" w:type="dxa"/>
          <w:left w:w="0" w:type="dxa"/>
          <w:bottom w:w="0" w:type="dxa"/>
          <w:right w:w="0" w:type="dxa"/>
        </w:tblCellMar>
      </w:tblPr>
      <w:tr>
        <w:trPr>
          <w:trHeight w:val="208"/>
        </w:trPr>
        <w:tc>
          <w:tcPr>
            <w:tcW w:w="1300" w:type="dxa"/>
            <w:vAlign w:val="bottom"/>
          </w:tcPr>
          <w:p>
            <w:pPr>
              <w:spacing w:after="0"/>
              <w:rPr>
                <w:sz w:val="20"/>
                <w:szCs w:val="20"/>
                <w:color w:val="auto"/>
              </w:rPr>
            </w:pPr>
            <w:r>
              <w:rPr>
                <w:rFonts w:ascii="Calibri" w:cs="Calibri" w:eastAsia="Calibri" w:hAnsi="Calibri"/>
                <w:sz w:val="17"/>
                <w:szCs w:val="17"/>
                <w:b w:val="1"/>
                <w:bCs w:val="1"/>
                <w:color w:val="auto"/>
              </w:rPr>
              <w:t>Company</w:t>
            </w:r>
          </w:p>
        </w:tc>
        <w:tc>
          <w:tcPr>
            <w:tcW w:w="8780" w:type="dxa"/>
            <w:vAlign w:val="bottom"/>
          </w:tcPr>
          <w:p>
            <w:pPr>
              <w:ind w:left="260"/>
              <w:spacing w:after="0"/>
              <w:rPr>
                <w:sz w:val="20"/>
                <w:szCs w:val="20"/>
                <w:color w:val="auto"/>
              </w:rPr>
            </w:pPr>
            <w:r>
              <w:rPr>
                <w:rFonts w:ascii="Calibri" w:cs="Calibri" w:eastAsia="Calibri" w:hAnsi="Calibri"/>
                <w:sz w:val="16"/>
                <w:szCs w:val="16"/>
                <w:b w:val="1"/>
                <w:bCs w:val="1"/>
                <w:color w:val="auto"/>
              </w:rPr>
              <w:t>Establishment of performance measures</w:t>
            </w:r>
          </w:p>
        </w:tc>
      </w:tr>
      <w:tr>
        <w:trPr>
          <w:trHeight w:val="195"/>
        </w:trPr>
        <w:tc>
          <w:tcPr>
            <w:tcW w:w="1300" w:type="dxa"/>
            <w:vAlign w:val="bottom"/>
          </w:tcPr>
          <w:p>
            <w:pPr>
              <w:spacing w:after="0" w:line="195" w:lineRule="exact"/>
              <w:rPr>
                <w:sz w:val="20"/>
                <w:szCs w:val="20"/>
                <w:color w:val="auto"/>
              </w:rPr>
            </w:pPr>
            <w:r>
              <w:rPr>
                <w:rFonts w:ascii="Calibri" w:cs="Calibri" w:eastAsia="Calibri" w:hAnsi="Calibri"/>
                <w:sz w:val="17"/>
                <w:szCs w:val="17"/>
                <w:b w:val="1"/>
                <w:bCs w:val="1"/>
                <w:color w:val="auto"/>
              </w:rPr>
              <w:t>performance –</w:t>
            </w:r>
          </w:p>
        </w:tc>
        <w:tc>
          <w:tcPr>
            <w:tcW w:w="8780" w:type="dxa"/>
            <w:vAlign w:val="bottom"/>
          </w:tcPr>
          <w:p>
            <w:pPr>
              <w:ind w:left="260"/>
              <w:spacing w:after="0" w:line="185" w:lineRule="exact"/>
              <w:rPr>
                <w:sz w:val="20"/>
                <w:szCs w:val="20"/>
                <w:color w:val="auto"/>
              </w:rPr>
            </w:pPr>
            <w:r>
              <w:rPr>
                <w:rFonts w:ascii="Calibri" w:cs="Calibri" w:eastAsia="Calibri" w:hAnsi="Calibri"/>
                <w:sz w:val="16"/>
                <w:szCs w:val="16"/>
                <w:color w:val="auto"/>
                <w:w w:val="98"/>
              </w:rPr>
              <w:t>At the beginning of each year, or the end of the prior year, our Compensaton Commitee establishes the Company-wide and relevant</w:t>
            </w:r>
          </w:p>
        </w:tc>
      </w:tr>
      <w:tr>
        <w:trPr>
          <w:trHeight w:val="195"/>
        </w:trPr>
        <w:tc>
          <w:tcPr>
            <w:tcW w:w="1300" w:type="dxa"/>
            <w:vAlign w:val="bottom"/>
          </w:tcPr>
          <w:p>
            <w:pPr>
              <w:spacing w:after="0" w:line="195" w:lineRule="exact"/>
              <w:rPr>
                <w:sz w:val="20"/>
                <w:szCs w:val="20"/>
                <w:color w:val="auto"/>
              </w:rPr>
            </w:pPr>
            <w:r>
              <w:rPr>
                <w:rFonts w:ascii="Calibri" w:cs="Calibri" w:eastAsia="Calibri" w:hAnsi="Calibri"/>
                <w:sz w:val="17"/>
                <w:szCs w:val="17"/>
                <w:b w:val="1"/>
                <w:bCs w:val="1"/>
                <w:color w:val="auto"/>
              </w:rPr>
              <w:t>Compensaton</w:t>
            </w:r>
          </w:p>
        </w:tc>
        <w:tc>
          <w:tcPr>
            <w:tcW w:w="8780" w:type="dxa"/>
            <w:vAlign w:val="bottom"/>
          </w:tcPr>
          <w:p>
            <w:pPr>
              <w:ind w:left="260"/>
              <w:spacing w:after="0" w:line="185" w:lineRule="exact"/>
              <w:rPr>
                <w:sz w:val="20"/>
                <w:szCs w:val="20"/>
                <w:color w:val="auto"/>
              </w:rPr>
            </w:pPr>
            <w:r>
              <w:rPr>
                <w:rFonts w:ascii="Calibri" w:cs="Calibri" w:eastAsia="Calibri" w:hAnsi="Calibri"/>
                <w:sz w:val="16"/>
                <w:szCs w:val="16"/>
                <w:color w:val="auto"/>
                <w:w w:val="99"/>
              </w:rPr>
              <w:t>business line performance measures on which our named executve ofcers’ annual incentve bonuses and equity incentve awards are</w:t>
            </w:r>
          </w:p>
        </w:tc>
      </w:tr>
      <w:tr>
        <w:trPr>
          <w:trHeight w:val="241"/>
        </w:trPr>
        <w:tc>
          <w:tcPr>
            <w:tcW w:w="1300" w:type="dxa"/>
            <w:vAlign w:val="bottom"/>
          </w:tcPr>
          <w:p>
            <w:pPr>
              <w:spacing w:after="0"/>
              <w:rPr>
                <w:sz w:val="20"/>
                <w:szCs w:val="20"/>
                <w:color w:val="auto"/>
              </w:rPr>
            </w:pPr>
            <w:r>
              <w:rPr>
                <w:rFonts w:ascii="Calibri" w:cs="Calibri" w:eastAsia="Calibri" w:hAnsi="Calibri"/>
                <w:sz w:val="17"/>
                <w:szCs w:val="17"/>
                <w:b w:val="1"/>
                <w:bCs w:val="1"/>
                <w:color w:val="auto"/>
              </w:rPr>
              <w:t>Commitee</w:t>
            </w:r>
          </w:p>
        </w:tc>
        <w:tc>
          <w:tcPr>
            <w:tcW w:w="8780" w:type="dxa"/>
            <w:vAlign w:val="bottom"/>
          </w:tcPr>
          <w:p>
            <w:pPr>
              <w:ind w:left="260"/>
              <w:spacing w:after="0" w:line="185" w:lineRule="exact"/>
              <w:rPr>
                <w:sz w:val="20"/>
                <w:szCs w:val="20"/>
                <w:color w:val="auto"/>
              </w:rPr>
            </w:pPr>
            <w:r>
              <w:rPr>
                <w:rFonts w:ascii="Calibri" w:cs="Calibri" w:eastAsia="Calibri" w:hAnsi="Calibri"/>
                <w:sz w:val="16"/>
                <w:szCs w:val="16"/>
                <w:color w:val="auto"/>
              </w:rPr>
              <w:t>largely based. These measures refect targets that are intended to encourage stretch performance.</w:t>
            </w:r>
          </w:p>
        </w:tc>
      </w:tr>
    </w:tbl>
    <w:p>
      <w:pPr>
        <w:spacing w:after="0" w:line="178"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1580" w:type="dxa"/>
            <w:vAlign w:val="bottom"/>
          </w:tcPr>
          <w:p>
            <w:pPr>
              <w:spacing w:after="0"/>
              <w:rPr>
                <w:sz w:val="16"/>
                <w:szCs w:val="16"/>
                <w:color w:val="auto"/>
              </w:rPr>
            </w:pPr>
          </w:p>
        </w:tc>
        <w:tc>
          <w:tcPr>
            <w:tcW w:w="9040" w:type="dxa"/>
            <w:vAlign w:val="bottom"/>
          </w:tcPr>
          <w:p>
            <w:pPr>
              <w:ind w:left="120"/>
              <w:spacing w:after="0"/>
              <w:rPr>
                <w:sz w:val="20"/>
                <w:szCs w:val="20"/>
                <w:color w:val="auto"/>
              </w:rPr>
            </w:pPr>
            <w:r>
              <w:rPr>
                <w:rFonts w:ascii="Calibri" w:cs="Calibri" w:eastAsia="Calibri" w:hAnsi="Calibri"/>
                <w:sz w:val="16"/>
                <w:szCs w:val="16"/>
                <w:b w:val="1"/>
                <w:bCs w:val="1"/>
                <w:color w:val="auto"/>
              </w:rPr>
              <w:t>Assessment of Company performance</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9040" w:type="dxa"/>
            <w:vAlign w:val="bottom"/>
          </w:tcPr>
          <w:p>
            <w:pPr>
              <w:ind w:left="120"/>
              <w:spacing w:after="0"/>
              <w:rPr>
                <w:sz w:val="20"/>
                <w:szCs w:val="20"/>
                <w:color w:val="auto"/>
              </w:rPr>
            </w:pPr>
            <w:r>
              <w:rPr>
                <w:rFonts w:ascii="Calibri" w:cs="Calibri" w:eastAsia="Calibri" w:hAnsi="Calibri"/>
                <w:sz w:val="16"/>
                <w:szCs w:val="16"/>
                <w:color w:val="auto"/>
              </w:rPr>
              <w:t>At the end of the performance period, the Compensaton Commitee reviews and certfes our performance achievement in relaton to the</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9040" w:type="dxa"/>
            <w:vAlign w:val="bottom"/>
          </w:tcPr>
          <w:p>
            <w:pPr>
              <w:ind w:left="120"/>
              <w:spacing w:after="0"/>
              <w:rPr>
                <w:sz w:val="20"/>
                <w:szCs w:val="20"/>
                <w:color w:val="auto"/>
              </w:rPr>
            </w:pPr>
            <w:r>
              <w:rPr>
                <w:rFonts w:ascii="Calibri" w:cs="Calibri" w:eastAsia="Calibri" w:hAnsi="Calibri"/>
                <w:sz w:val="16"/>
                <w:szCs w:val="16"/>
                <w:color w:val="auto"/>
              </w:rPr>
              <w:t>pre-established targets, and considers the appropriateness of adjustments to the performance criteria and calculatons of performance</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9040" w:type="dxa"/>
            <w:vAlign w:val="bottom"/>
          </w:tcPr>
          <w:p>
            <w:pPr>
              <w:ind w:left="120"/>
              <w:spacing w:after="0"/>
              <w:rPr>
                <w:sz w:val="20"/>
                <w:szCs w:val="20"/>
                <w:color w:val="auto"/>
              </w:rPr>
            </w:pPr>
            <w:r>
              <w:rPr>
                <w:rFonts w:ascii="Calibri" w:cs="Calibri" w:eastAsia="Calibri" w:hAnsi="Calibri"/>
                <w:sz w:val="16"/>
                <w:szCs w:val="16"/>
                <w:color w:val="auto"/>
              </w:rPr>
              <w:t>achievement.</w:t>
            </w:r>
          </w:p>
        </w:tc>
        <w:tc>
          <w:tcPr>
            <w:tcW w:w="0" w:type="dxa"/>
            <w:vAlign w:val="bottom"/>
          </w:tcPr>
          <w:p>
            <w:pPr>
              <w:spacing w:after="0"/>
              <w:rPr>
                <w:sz w:val="1"/>
                <w:szCs w:val="1"/>
                <w:color w:val="auto"/>
              </w:rPr>
            </w:pPr>
          </w:p>
        </w:tc>
      </w:tr>
      <w:tr>
        <w:trPr>
          <w:trHeight w:val="235"/>
        </w:trPr>
        <w:tc>
          <w:tcPr>
            <w:tcW w:w="158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1580" w:type="dxa"/>
            <w:vAlign w:val="bottom"/>
          </w:tcPr>
          <w:p>
            <w:pPr>
              <w:ind w:left="140"/>
              <w:spacing w:after="0"/>
              <w:rPr>
                <w:sz w:val="20"/>
                <w:szCs w:val="20"/>
                <w:color w:val="auto"/>
              </w:rPr>
            </w:pPr>
            <w:r>
              <w:rPr>
                <w:rFonts w:ascii="Calibri" w:cs="Calibri" w:eastAsia="Calibri" w:hAnsi="Calibri"/>
                <w:sz w:val="17"/>
                <w:szCs w:val="17"/>
                <w:b w:val="1"/>
                <w:bCs w:val="1"/>
                <w:color w:val="auto"/>
              </w:rPr>
              <w:t>Individual</w:t>
            </w:r>
          </w:p>
        </w:tc>
        <w:tc>
          <w:tcPr>
            <w:tcW w:w="9040" w:type="dxa"/>
            <w:vAlign w:val="bottom"/>
          </w:tcPr>
          <w:p>
            <w:pPr>
              <w:ind w:left="120"/>
              <w:spacing w:after="0"/>
              <w:rPr>
                <w:sz w:val="20"/>
                <w:szCs w:val="20"/>
                <w:color w:val="auto"/>
              </w:rPr>
            </w:pPr>
            <w:r>
              <w:rPr>
                <w:rFonts w:ascii="Calibri" w:cs="Calibri" w:eastAsia="Calibri" w:hAnsi="Calibri"/>
                <w:sz w:val="16"/>
                <w:szCs w:val="16"/>
                <w:color w:val="auto"/>
              </w:rPr>
              <w:t>The evaluaton of an individual’s performance determines a porton of the payouts under our incentve bonus program and also infuences</w:t>
            </w:r>
          </w:p>
        </w:tc>
        <w:tc>
          <w:tcPr>
            <w:tcW w:w="0" w:type="dxa"/>
            <w:vAlign w:val="bottom"/>
          </w:tcPr>
          <w:p>
            <w:pPr>
              <w:spacing w:after="0"/>
              <w:rPr>
                <w:sz w:val="1"/>
                <w:szCs w:val="1"/>
                <w:color w:val="auto"/>
              </w:rPr>
            </w:pPr>
          </w:p>
        </w:tc>
      </w:tr>
      <w:tr>
        <w:trPr>
          <w:trHeight w:val="215"/>
        </w:trPr>
        <w:tc>
          <w:tcPr>
            <w:tcW w:w="1580" w:type="dxa"/>
            <w:vAlign w:val="bottom"/>
          </w:tcPr>
          <w:p>
            <w:pPr>
              <w:ind w:left="140"/>
              <w:spacing w:after="0"/>
              <w:rPr>
                <w:sz w:val="20"/>
                <w:szCs w:val="20"/>
                <w:color w:val="auto"/>
              </w:rPr>
            </w:pPr>
            <w:r>
              <w:rPr>
                <w:rFonts w:ascii="Calibri" w:cs="Calibri" w:eastAsia="Calibri" w:hAnsi="Calibri"/>
                <w:sz w:val="17"/>
                <w:szCs w:val="17"/>
                <w:b w:val="1"/>
                <w:bCs w:val="1"/>
                <w:color w:val="auto"/>
              </w:rPr>
              <w:t>performance –</w:t>
            </w:r>
          </w:p>
        </w:tc>
        <w:tc>
          <w:tcPr>
            <w:tcW w:w="9040" w:type="dxa"/>
            <w:vAlign w:val="bottom"/>
          </w:tcPr>
          <w:p>
            <w:pPr>
              <w:ind w:left="120"/>
              <w:spacing w:after="0" w:line="185" w:lineRule="exact"/>
              <w:rPr>
                <w:sz w:val="20"/>
                <w:szCs w:val="20"/>
                <w:color w:val="auto"/>
              </w:rPr>
            </w:pPr>
            <w:r>
              <w:rPr>
                <w:rFonts w:ascii="Calibri" w:cs="Calibri" w:eastAsia="Calibri" w:hAnsi="Calibri"/>
                <w:sz w:val="16"/>
                <w:szCs w:val="16"/>
                <w:color w:val="auto"/>
              </w:rPr>
              <w:t>any changes in base salary for each of our named executve ofcers.</w:t>
            </w:r>
          </w:p>
        </w:tc>
        <w:tc>
          <w:tcPr>
            <w:tcW w:w="0" w:type="dxa"/>
            <w:vAlign w:val="bottom"/>
          </w:tcPr>
          <w:p>
            <w:pPr>
              <w:spacing w:after="0"/>
              <w:rPr>
                <w:sz w:val="1"/>
                <w:szCs w:val="1"/>
                <w:color w:val="auto"/>
              </w:rPr>
            </w:pPr>
          </w:p>
        </w:tc>
      </w:tr>
      <w:tr>
        <w:trPr>
          <w:trHeight w:val="208"/>
        </w:trPr>
        <w:tc>
          <w:tcPr>
            <w:tcW w:w="1580" w:type="dxa"/>
            <w:vAlign w:val="bottom"/>
          </w:tcPr>
          <w:p>
            <w:pPr>
              <w:ind w:left="140"/>
              <w:spacing w:after="0"/>
              <w:rPr>
                <w:sz w:val="20"/>
                <w:szCs w:val="20"/>
                <w:color w:val="auto"/>
              </w:rPr>
            </w:pPr>
            <w:r>
              <w:rPr>
                <w:rFonts w:ascii="Calibri" w:cs="Calibri" w:eastAsia="Calibri" w:hAnsi="Calibri"/>
                <w:sz w:val="17"/>
                <w:szCs w:val="17"/>
                <w:b w:val="1"/>
                <w:bCs w:val="1"/>
                <w:color w:val="auto"/>
              </w:rPr>
              <w:t>board of directors,</w:t>
            </w: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140"/>
              <w:spacing w:after="0" w:line="201" w:lineRule="exact"/>
              <w:rPr>
                <w:sz w:val="20"/>
                <w:szCs w:val="20"/>
                <w:color w:val="auto"/>
              </w:rPr>
            </w:pPr>
            <w:r>
              <w:rPr>
                <w:rFonts w:ascii="Calibri" w:cs="Calibri" w:eastAsia="Calibri" w:hAnsi="Calibri"/>
                <w:sz w:val="17"/>
                <w:szCs w:val="17"/>
                <w:b w:val="1"/>
                <w:bCs w:val="1"/>
                <w:color w:val="auto"/>
              </w:rPr>
              <w:t>Compensaton</w:t>
            </w:r>
          </w:p>
        </w:tc>
        <w:tc>
          <w:tcPr>
            <w:tcW w:w="9040" w:type="dxa"/>
            <w:vAlign w:val="bottom"/>
          </w:tcPr>
          <w:p>
            <w:pPr>
              <w:ind w:left="120"/>
              <w:spacing w:after="0" w:line="191" w:lineRule="exact"/>
              <w:rPr>
                <w:sz w:val="20"/>
                <w:szCs w:val="20"/>
                <w:color w:val="auto"/>
              </w:rPr>
            </w:pPr>
            <w:r>
              <w:rPr>
                <w:rFonts w:ascii="Calibri" w:cs="Calibri" w:eastAsia="Calibri" w:hAnsi="Calibri"/>
                <w:sz w:val="16"/>
                <w:szCs w:val="16"/>
                <w:b w:val="1"/>
                <w:bCs w:val="1"/>
                <w:color w:val="auto"/>
              </w:rPr>
              <w:t>Assessment of Vice Chairman and CEO performance</w:t>
            </w:r>
          </w:p>
        </w:tc>
        <w:tc>
          <w:tcPr>
            <w:tcW w:w="0" w:type="dxa"/>
            <w:vAlign w:val="bottom"/>
          </w:tcPr>
          <w:p>
            <w:pPr>
              <w:spacing w:after="0"/>
              <w:rPr>
                <w:sz w:val="1"/>
                <w:szCs w:val="1"/>
                <w:color w:val="auto"/>
              </w:rPr>
            </w:pPr>
          </w:p>
        </w:tc>
      </w:tr>
      <w:tr>
        <w:trPr>
          <w:trHeight w:val="195"/>
        </w:trPr>
        <w:tc>
          <w:tcPr>
            <w:tcW w:w="1580" w:type="dxa"/>
            <w:vAlign w:val="bottom"/>
          </w:tcPr>
          <w:p>
            <w:pPr>
              <w:ind w:left="140"/>
              <w:spacing w:after="0" w:line="195" w:lineRule="exact"/>
              <w:rPr>
                <w:sz w:val="20"/>
                <w:szCs w:val="20"/>
                <w:color w:val="auto"/>
              </w:rPr>
            </w:pPr>
            <w:r>
              <w:rPr>
                <w:rFonts w:ascii="Calibri" w:cs="Calibri" w:eastAsia="Calibri" w:hAnsi="Calibri"/>
                <w:sz w:val="17"/>
                <w:szCs w:val="17"/>
                <w:b w:val="1"/>
                <w:bCs w:val="1"/>
                <w:color w:val="auto"/>
              </w:rPr>
              <w:t>and Nominatng</w:t>
            </w:r>
          </w:p>
        </w:tc>
        <w:tc>
          <w:tcPr>
            <w:tcW w:w="9040" w:type="dxa"/>
            <w:vAlign w:val="bottom"/>
          </w:tcPr>
          <w:p>
            <w:pPr>
              <w:ind w:left="120"/>
              <w:spacing w:after="0" w:line="185" w:lineRule="exact"/>
              <w:rPr>
                <w:sz w:val="20"/>
                <w:szCs w:val="20"/>
                <w:color w:val="auto"/>
              </w:rPr>
            </w:pPr>
            <w:r>
              <w:rPr>
                <w:rFonts w:ascii="Calibri" w:cs="Calibri" w:eastAsia="Calibri" w:hAnsi="Calibri"/>
                <w:sz w:val="16"/>
                <w:szCs w:val="16"/>
                <w:color w:val="auto"/>
                <w:w w:val="99"/>
              </w:rPr>
              <w:t>For Mr. Kapoor, our board of directors reviews and provides feedback on a self-evaluaton prepared by Mr. Kapoor. Once all directors have</w:t>
            </w:r>
          </w:p>
        </w:tc>
        <w:tc>
          <w:tcPr>
            <w:tcW w:w="0" w:type="dxa"/>
            <w:vAlign w:val="bottom"/>
          </w:tcPr>
          <w:p>
            <w:pPr>
              <w:spacing w:after="0"/>
              <w:rPr>
                <w:sz w:val="1"/>
                <w:szCs w:val="1"/>
                <w:color w:val="auto"/>
              </w:rPr>
            </w:pPr>
          </w:p>
        </w:tc>
      </w:tr>
      <w:tr>
        <w:trPr>
          <w:trHeight w:val="195"/>
        </w:trPr>
        <w:tc>
          <w:tcPr>
            <w:tcW w:w="1580" w:type="dxa"/>
            <w:vAlign w:val="bottom"/>
          </w:tcPr>
          <w:p>
            <w:pPr>
              <w:ind w:left="140"/>
              <w:spacing w:after="0" w:line="195" w:lineRule="exact"/>
              <w:rPr>
                <w:sz w:val="20"/>
                <w:szCs w:val="20"/>
                <w:color w:val="auto"/>
              </w:rPr>
            </w:pPr>
            <w:r>
              <w:rPr>
                <w:rFonts w:ascii="Calibri" w:cs="Calibri" w:eastAsia="Calibri" w:hAnsi="Calibri"/>
                <w:sz w:val="17"/>
                <w:szCs w:val="17"/>
                <w:b w:val="1"/>
                <w:bCs w:val="1"/>
                <w:color w:val="auto"/>
              </w:rPr>
              <w:t>and Governance</w:t>
            </w:r>
          </w:p>
        </w:tc>
        <w:tc>
          <w:tcPr>
            <w:tcW w:w="9040" w:type="dxa"/>
            <w:vAlign w:val="bottom"/>
          </w:tcPr>
          <w:p>
            <w:pPr>
              <w:ind w:left="120"/>
              <w:spacing w:after="0" w:line="185" w:lineRule="exact"/>
              <w:rPr>
                <w:sz w:val="20"/>
                <w:szCs w:val="20"/>
                <w:color w:val="auto"/>
              </w:rPr>
            </w:pPr>
            <w:r>
              <w:rPr>
                <w:rFonts w:ascii="Calibri" w:cs="Calibri" w:eastAsia="Calibri" w:hAnsi="Calibri"/>
                <w:sz w:val="16"/>
                <w:szCs w:val="16"/>
                <w:color w:val="auto"/>
                <w:w w:val="98"/>
              </w:rPr>
              <w:t>given feedback on Mr. Kapoor’s performance, our Chairman leads a comprehensive discussion of the full board of directors on Mr. Kapoor’s</w:t>
            </w:r>
          </w:p>
        </w:tc>
        <w:tc>
          <w:tcPr>
            <w:tcW w:w="0" w:type="dxa"/>
            <w:vAlign w:val="bottom"/>
          </w:tcPr>
          <w:p>
            <w:pPr>
              <w:spacing w:after="0"/>
              <w:rPr>
                <w:sz w:val="1"/>
                <w:szCs w:val="1"/>
                <w:color w:val="auto"/>
              </w:rPr>
            </w:pPr>
          </w:p>
        </w:tc>
      </w:tr>
      <w:tr>
        <w:trPr>
          <w:trHeight w:val="241"/>
        </w:trPr>
        <w:tc>
          <w:tcPr>
            <w:tcW w:w="1580" w:type="dxa"/>
            <w:vAlign w:val="bottom"/>
          </w:tcPr>
          <w:p>
            <w:pPr>
              <w:ind w:left="140"/>
              <w:spacing w:after="0"/>
              <w:rPr>
                <w:sz w:val="20"/>
                <w:szCs w:val="20"/>
                <w:color w:val="auto"/>
              </w:rPr>
            </w:pPr>
            <w:r>
              <w:rPr>
                <w:rFonts w:ascii="Calibri" w:cs="Calibri" w:eastAsia="Calibri" w:hAnsi="Calibri"/>
                <w:sz w:val="17"/>
                <w:szCs w:val="17"/>
                <w:b w:val="1"/>
                <w:bCs w:val="1"/>
                <w:color w:val="auto"/>
              </w:rPr>
              <w:t>Commitees, and</w:t>
            </w:r>
          </w:p>
        </w:tc>
        <w:tc>
          <w:tcPr>
            <w:tcW w:w="9040" w:type="dxa"/>
            <w:vAlign w:val="bottom"/>
          </w:tcPr>
          <w:p>
            <w:pPr>
              <w:ind w:left="120"/>
              <w:spacing w:after="0" w:line="185" w:lineRule="exact"/>
              <w:rPr>
                <w:sz w:val="20"/>
                <w:szCs w:val="20"/>
                <w:color w:val="auto"/>
              </w:rPr>
            </w:pPr>
            <w:r>
              <w:rPr>
                <w:rFonts w:ascii="Calibri" w:cs="Calibri" w:eastAsia="Calibri" w:hAnsi="Calibri"/>
                <w:sz w:val="16"/>
                <w:szCs w:val="16"/>
                <w:color w:val="auto"/>
              </w:rPr>
              <w:t>performance, leadership accomplishments and overall competence to evaluate the achievement of established objectves.</w:t>
            </w:r>
          </w:p>
        </w:tc>
        <w:tc>
          <w:tcPr>
            <w:tcW w:w="0" w:type="dxa"/>
            <w:vAlign w:val="bottom"/>
          </w:tcPr>
          <w:p>
            <w:pPr>
              <w:spacing w:after="0"/>
              <w:rPr>
                <w:sz w:val="1"/>
                <w:szCs w:val="1"/>
                <w:color w:val="auto"/>
              </w:rPr>
            </w:pPr>
          </w:p>
        </w:tc>
      </w:tr>
      <w:tr>
        <w:trPr>
          <w:trHeight w:val="208"/>
        </w:trPr>
        <w:tc>
          <w:tcPr>
            <w:tcW w:w="1580" w:type="dxa"/>
            <w:vAlign w:val="bottom"/>
          </w:tcPr>
          <w:p>
            <w:pPr>
              <w:ind w:left="140"/>
              <w:spacing w:after="0"/>
              <w:rPr>
                <w:sz w:val="20"/>
                <w:szCs w:val="20"/>
                <w:color w:val="auto"/>
              </w:rPr>
            </w:pPr>
            <w:r>
              <w:rPr>
                <w:rFonts w:ascii="Calibri" w:cs="Calibri" w:eastAsia="Calibri" w:hAnsi="Calibri"/>
                <w:sz w:val="17"/>
                <w:szCs w:val="17"/>
                <w:b w:val="1"/>
                <w:bCs w:val="1"/>
                <w:color w:val="auto"/>
              </w:rPr>
              <w:t>Vice Chairman and</w:t>
            </w:r>
          </w:p>
        </w:tc>
        <w:tc>
          <w:tcPr>
            <w:tcW w:w="9040" w:type="dxa"/>
            <w:vAlign w:val="bottom"/>
            <w:vMerge w:val="restart"/>
          </w:tcPr>
          <w:p>
            <w:pPr>
              <w:ind w:left="120"/>
              <w:spacing w:after="0"/>
              <w:rPr>
                <w:sz w:val="20"/>
                <w:szCs w:val="20"/>
                <w:color w:val="auto"/>
              </w:rPr>
            </w:pPr>
            <w:r>
              <w:rPr>
                <w:rFonts w:ascii="Calibri" w:cs="Calibri" w:eastAsia="Calibri" w:hAnsi="Calibri"/>
                <w:sz w:val="16"/>
                <w:szCs w:val="16"/>
                <w:b w:val="1"/>
                <w:bCs w:val="1"/>
                <w:color w:val="auto"/>
              </w:rPr>
              <w:t>Assessment of performance for all other NEOs and executve ofcers</w:t>
            </w:r>
          </w:p>
        </w:tc>
        <w:tc>
          <w:tcPr>
            <w:tcW w:w="0" w:type="dxa"/>
            <w:vAlign w:val="bottom"/>
          </w:tcPr>
          <w:p>
            <w:pPr>
              <w:spacing w:after="0"/>
              <w:rPr>
                <w:sz w:val="1"/>
                <w:szCs w:val="1"/>
                <w:color w:val="auto"/>
              </w:rPr>
            </w:pPr>
          </w:p>
        </w:tc>
      </w:tr>
      <w:tr>
        <w:trPr>
          <w:trHeight w:val="175"/>
        </w:trPr>
        <w:tc>
          <w:tcPr>
            <w:tcW w:w="1580" w:type="dxa"/>
            <w:vAlign w:val="bottom"/>
          </w:tcPr>
          <w:p>
            <w:pPr>
              <w:ind w:left="140"/>
              <w:spacing w:after="0" w:line="175" w:lineRule="exact"/>
              <w:rPr>
                <w:sz w:val="20"/>
                <w:szCs w:val="20"/>
                <w:color w:val="auto"/>
              </w:rPr>
            </w:pPr>
            <w:r>
              <w:rPr>
                <w:rFonts w:ascii="Calibri" w:cs="Calibri" w:eastAsia="Calibri" w:hAnsi="Calibri"/>
                <w:sz w:val="17"/>
                <w:szCs w:val="17"/>
                <w:b w:val="1"/>
                <w:bCs w:val="1"/>
                <w:color w:val="auto"/>
              </w:rPr>
              <w:t>CEO</w:t>
            </w:r>
          </w:p>
        </w:tc>
        <w:tc>
          <w:tcPr>
            <w:tcW w:w="9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580" w:type="dxa"/>
            <w:vAlign w:val="bottom"/>
          </w:tcPr>
          <w:p>
            <w:pPr>
              <w:spacing w:after="0"/>
              <w:rPr>
                <w:sz w:val="16"/>
                <w:szCs w:val="16"/>
                <w:color w:val="auto"/>
              </w:rPr>
            </w:pPr>
          </w:p>
        </w:tc>
        <w:tc>
          <w:tcPr>
            <w:tcW w:w="9040" w:type="dxa"/>
            <w:vAlign w:val="bottom"/>
          </w:tcPr>
          <w:p>
            <w:pPr>
              <w:ind w:left="120"/>
              <w:spacing w:after="0" w:line="185" w:lineRule="exact"/>
              <w:rPr>
                <w:sz w:val="20"/>
                <w:szCs w:val="20"/>
                <w:color w:val="auto"/>
              </w:rPr>
            </w:pPr>
            <w:r>
              <w:rPr>
                <w:rFonts w:ascii="Calibri" w:cs="Calibri" w:eastAsia="Calibri" w:hAnsi="Calibri"/>
                <w:sz w:val="16"/>
                <w:szCs w:val="16"/>
                <w:color w:val="auto"/>
                <w:w w:val="99"/>
              </w:rPr>
              <w:t>For all other NEOs and executve ofcers, Mr. Kapoor makes a performance assessment and compensaton recommendaton to our board of</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9040" w:type="dxa"/>
            <w:vAlign w:val="bottom"/>
          </w:tcPr>
          <w:p>
            <w:pPr>
              <w:ind w:left="120"/>
              <w:spacing w:after="0"/>
              <w:rPr>
                <w:sz w:val="20"/>
                <w:szCs w:val="20"/>
                <w:color w:val="auto"/>
              </w:rPr>
            </w:pPr>
            <w:r>
              <w:rPr>
                <w:rFonts w:ascii="Calibri" w:cs="Calibri" w:eastAsia="Calibri" w:hAnsi="Calibri"/>
                <w:sz w:val="16"/>
                <w:szCs w:val="16"/>
                <w:color w:val="auto"/>
              </w:rPr>
              <w:t>directors. He bases the performance assessments on our named executve ofcers’ self-evaluatons and his performance appraisals of each</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9040" w:type="dxa"/>
            <w:vAlign w:val="bottom"/>
          </w:tcPr>
          <w:p>
            <w:pPr>
              <w:ind w:left="120"/>
              <w:spacing w:after="0"/>
              <w:rPr>
                <w:sz w:val="20"/>
                <w:szCs w:val="20"/>
                <w:color w:val="auto"/>
              </w:rPr>
            </w:pPr>
            <w:r>
              <w:rPr>
                <w:rFonts w:ascii="Calibri" w:cs="Calibri" w:eastAsia="Calibri" w:hAnsi="Calibri"/>
                <w:sz w:val="16"/>
                <w:szCs w:val="16"/>
                <w:color w:val="auto"/>
              </w:rPr>
              <w:t>of them.</w:t>
            </w:r>
          </w:p>
        </w:tc>
        <w:tc>
          <w:tcPr>
            <w:tcW w:w="0" w:type="dxa"/>
            <w:vAlign w:val="bottom"/>
          </w:tcPr>
          <w:p>
            <w:pPr>
              <w:spacing w:after="0"/>
              <w:rPr>
                <w:sz w:val="1"/>
                <w:szCs w:val="1"/>
                <w:color w:val="auto"/>
              </w:rPr>
            </w:pPr>
          </w:p>
        </w:tc>
      </w:tr>
      <w:tr>
        <w:trPr>
          <w:trHeight w:val="429"/>
        </w:trPr>
        <w:tc>
          <w:tcPr>
            <w:tcW w:w="1580" w:type="dxa"/>
            <w:vAlign w:val="bottom"/>
          </w:tcPr>
          <w:p>
            <w:pPr>
              <w:spacing w:after="0"/>
              <w:rPr>
                <w:sz w:val="24"/>
                <w:szCs w:val="24"/>
                <w:color w:val="auto"/>
              </w:rPr>
            </w:pPr>
          </w:p>
        </w:tc>
        <w:tc>
          <w:tcPr>
            <w:tcW w:w="9040" w:type="dxa"/>
            <w:vAlign w:val="bottom"/>
          </w:tcPr>
          <w:p>
            <w:pPr>
              <w:ind w:left="120"/>
              <w:spacing w:after="0"/>
              <w:rPr>
                <w:sz w:val="20"/>
                <w:szCs w:val="20"/>
                <w:color w:val="auto"/>
              </w:rPr>
            </w:pPr>
            <w:r>
              <w:rPr>
                <w:rFonts w:ascii="Calibri" w:cs="Calibri" w:eastAsia="Calibri" w:hAnsi="Calibri"/>
                <w:sz w:val="16"/>
                <w:szCs w:val="16"/>
                <w:color w:val="auto"/>
                <w:w w:val="99"/>
              </w:rPr>
              <w:t>Our board of directors reviews the performance assessments with Mr. Kapoor, and evaluates the achievement of established objectves by</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9040" w:type="dxa"/>
            <w:vAlign w:val="bottom"/>
          </w:tcPr>
          <w:p>
            <w:pPr>
              <w:ind w:left="120"/>
              <w:spacing w:after="0"/>
              <w:rPr>
                <w:sz w:val="20"/>
                <w:szCs w:val="20"/>
                <w:color w:val="auto"/>
              </w:rPr>
            </w:pPr>
            <w:r>
              <w:rPr>
                <w:rFonts w:ascii="Calibri" w:cs="Calibri" w:eastAsia="Calibri" w:hAnsi="Calibri"/>
                <w:sz w:val="16"/>
                <w:szCs w:val="16"/>
                <w:color w:val="auto"/>
              </w:rPr>
              <w:t>each named executve ofcer and his business line, if applicable, and his contributon to our performance, leadership accomplishments and</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9040" w:type="dxa"/>
            <w:vAlign w:val="bottom"/>
          </w:tcPr>
          <w:p>
            <w:pPr>
              <w:ind w:left="120"/>
              <w:spacing w:after="0"/>
              <w:rPr>
                <w:sz w:val="20"/>
                <w:szCs w:val="20"/>
                <w:color w:val="auto"/>
              </w:rPr>
            </w:pPr>
            <w:r>
              <w:rPr>
                <w:rFonts w:ascii="Calibri" w:cs="Calibri" w:eastAsia="Calibri" w:hAnsi="Calibri"/>
                <w:sz w:val="16"/>
                <w:szCs w:val="16"/>
                <w:color w:val="auto"/>
                <w:w w:val="99"/>
              </w:rPr>
              <w:t>overall competence. The board of directors may exercise their judgment based on the named executve ofcer’s interactons with the board</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9040" w:type="dxa"/>
            <w:vAlign w:val="bottom"/>
          </w:tcPr>
          <w:p>
            <w:pPr>
              <w:ind w:left="120"/>
              <w:spacing w:after="0"/>
              <w:rPr>
                <w:sz w:val="20"/>
                <w:szCs w:val="20"/>
                <w:color w:val="auto"/>
              </w:rPr>
            </w:pPr>
            <w:r>
              <w:rPr>
                <w:rFonts w:ascii="Calibri" w:cs="Calibri" w:eastAsia="Calibri" w:hAnsi="Calibri"/>
                <w:sz w:val="16"/>
                <w:szCs w:val="16"/>
                <w:color w:val="auto"/>
              </w:rPr>
              <w:t>of directors.</w:t>
            </w:r>
          </w:p>
        </w:tc>
        <w:tc>
          <w:tcPr>
            <w:tcW w:w="0" w:type="dxa"/>
            <w:vAlign w:val="bottom"/>
          </w:tcPr>
          <w:p>
            <w:pPr>
              <w:spacing w:after="0"/>
              <w:rPr>
                <w:sz w:val="1"/>
                <w:szCs w:val="1"/>
                <w:color w:val="auto"/>
              </w:rPr>
            </w:pPr>
          </w:p>
        </w:tc>
      </w:tr>
      <w:tr>
        <w:trPr>
          <w:trHeight w:val="326"/>
        </w:trPr>
        <w:tc>
          <w:tcPr>
            <w:tcW w:w="158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580" w:type="dxa"/>
            <w:vAlign w:val="bottom"/>
          </w:tcPr>
          <w:p>
            <w:pPr>
              <w:ind w:left="140"/>
              <w:spacing w:after="0"/>
              <w:rPr>
                <w:sz w:val="20"/>
                <w:szCs w:val="20"/>
                <w:color w:val="auto"/>
              </w:rPr>
            </w:pPr>
            <w:r>
              <w:rPr>
                <w:rFonts w:ascii="Calibri" w:cs="Calibri" w:eastAsia="Calibri" w:hAnsi="Calibri"/>
                <w:sz w:val="17"/>
                <w:szCs w:val="17"/>
                <w:b w:val="1"/>
                <w:bCs w:val="1"/>
                <w:color w:val="auto"/>
              </w:rPr>
              <w:t>Other maters</w:t>
            </w:r>
          </w:p>
        </w:tc>
        <w:tc>
          <w:tcPr>
            <w:tcW w:w="9040" w:type="dxa"/>
            <w:vAlign w:val="bottom"/>
          </w:tcPr>
          <w:p>
            <w:pPr>
              <w:ind w:left="120"/>
              <w:spacing w:after="0"/>
              <w:rPr>
                <w:sz w:val="20"/>
                <w:szCs w:val="20"/>
                <w:color w:val="auto"/>
              </w:rPr>
            </w:pPr>
            <w:r>
              <w:rPr>
                <w:rFonts w:ascii="Calibri" w:cs="Calibri" w:eastAsia="Calibri" w:hAnsi="Calibri"/>
                <w:sz w:val="16"/>
                <w:szCs w:val="16"/>
                <w:color w:val="auto"/>
              </w:rPr>
              <w:t>Our Compensaton Commitee periodically reviews related maters such as succession planning and management, evaluaton of</w:t>
            </w:r>
          </w:p>
        </w:tc>
        <w:tc>
          <w:tcPr>
            <w:tcW w:w="0" w:type="dxa"/>
            <w:vAlign w:val="bottom"/>
          </w:tcPr>
          <w:p>
            <w:pPr>
              <w:spacing w:after="0"/>
              <w:rPr>
                <w:sz w:val="1"/>
                <w:szCs w:val="1"/>
                <w:color w:val="auto"/>
              </w:rPr>
            </w:pPr>
          </w:p>
        </w:tc>
      </w:tr>
      <w:tr>
        <w:trPr>
          <w:trHeight w:val="195"/>
        </w:trPr>
        <w:tc>
          <w:tcPr>
            <w:tcW w:w="1580" w:type="dxa"/>
            <w:vAlign w:val="bottom"/>
          </w:tcPr>
          <w:p>
            <w:pPr>
              <w:ind w:left="140"/>
              <w:spacing w:after="0" w:line="195" w:lineRule="exact"/>
              <w:rPr>
                <w:sz w:val="20"/>
                <w:szCs w:val="20"/>
                <w:color w:val="auto"/>
              </w:rPr>
            </w:pPr>
            <w:r>
              <w:rPr>
                <w:rFonts w:ascii="Calibri" w:cs="Calibri" w:eastAsia="Calibri" w:hAnsi="Calibri"/>
                <w:sz w:val="17"/>
                <w:szCs w:val="17"/>
                <w:b w:val="1"/>
                <w:bCs w:val="1"/>
                <w:color w:val="auto"/>
              </w:rPr>
              <w:t>relevant to</w:t>
            </w:r>
          </w:p>
        </w:tc>
        <w:tc>
          <w:tcPr>
            <w:tcW w:w="9040" w:type="dxa"/>
            <w:vAlign w:val="bottom"/>
          </w:tcPr>
          <w:p>
            <w:pPr>
              <w:ind w:left="120"/>
              <w:spacing w:after="0" w:line="185" w:lineRule="exact"/>
              <w:rPr>
                <w:sz w:val="20"/>
                <w:szCs w:val="20"/>
                <w:color w:val="auto"/>
              </w:rPr>
            </w:pPr>
            <w:r>
              <w:rPr>
                <w:rFonts w:ascii="Calibri" w:cs="Calibri" w:eastAsia="Calibri" w:hAnsi="Calibri"/>
                <w:sz w:val="16"/>
                <w:szCs w:val="16"/>
                <w:color w:val="auto"/>
              </w:rPr>
              <w:t>management performance, changes in the scope of managerial responsibilites, and consideraton of the business environment, and</w:t>
            </w:r>
          </w:p>
        </w:tc>
        <w:tc>
          <w:tcPr>
            <w:tcW w:w="0" w:type="dxa"/>
            <w:vAlign w:val="bottom"/>
          </w:tcPr>
          <w:p>
            <w:pPr>
              <w:spacing w:after="0"/>
              <w:rPr>
                <w:sz w:val="1"/>
                <w:szCs w:val="1"/>
                <w:color w:val="auto"/>
              </w:rPr>
            </w:pPr>
          </w:p>
        </w:tc>
      </w:tr>
      <w:tr>
        <w:trPr>
          <w:trHeight w:val="195"/>
        </w:trPr>
        <w:tc>
          <w:tcPr>
            <w:tcW w:w="1580" w:type="dxa"/>
            <w:vAlign w:val="bottom"/>
          </w:tcPr>
          <w:p>
            <w:pPr>
              <w:ind w:left="140"/>
              <w:spacing w:after="0" w:line="195" w:lineRule="exact"/>
              <w:rPr>
                <w:sz w:val="20"/>
                <w:szCs w:val="20"/>
                <w:color w:val="auto"/>
              </w:rPr>
            </w:pPr>
            <w:r>
              <w:rPr>
                <w:rFonts w:ascii="Calibri" w:cs="Calibri" w:eastAsia="Calibri" w:hAnsi="Calibri"/>
                <w:sz w:val="17"/>
                <w:szCs w:val="17"/>
                <w:b w:val="1"/>
                <w:bCs w:val="1"/>
                <w:color w:val="auto"/>
              </w:rPr>
              <w:t>compensaton</w:t>
            </w:r>
          </w:p>
        </w:tc>
        <w:tc>
          <w:tcPr>
            <w:tcW w:w="9040" w:type="dxa"/>
            <w:vAlign w:val="bottom"/>
          </w:tcPr>
          <w:p>
            <w:pPr>
              <w:ind w:left="120"/>
              <w:spacing w:after="0" w:line="185" w:lineRule="exact"/>
              <w:rPr>
                <w:sz w:val="20"/>
                <w:szCs w:val="20"/>
                <w:color w:val="auto"/>
              </w:rPr>
            </w:pPr>
            <w:r>
              <w:rPr>
                <w:rFonts w:ascii="Calibri" w:cs="Calibri" w:eastAsia="Calibri" w:hAnsi="Calibri"/>
                <w:sz w:val="16"/>
                <w:szCs w:val="16"/>
                <w:color w:val="auto"/>
              </w:rPr>
              <w:t>considers such maters in making compensaton decisions. The Compensaton Commitee also takes into account an executve ofcer’s job</w:t>
            </w:r>
          </w:p>
        </w:tc>
        <w:tc>
          <w:tcPr>
            <w:tcW w:w="0" w:type="dxa"/>
            <w:vAlign w:val="bottom"/>
          </w:tcPr>
          <w:p>
            <w:pPr>
              <w:spacing w:after="0"/>
              <w:rPr>
                <w:sz w:val="1"/>
                <w:szCs w:val="1"/>
                <w:color w:val="auto"/>
              </w:rPr>
            </w:pPr>
          </w:p>
        </w:tc>
      </w:tr>
      <w:tr>
        <w:trPr>
          <w:trHeight w:val="241"/>
        </w:trPr>
        <w:tc>
          <w:tcPr>
            <w:tcW w:w="1580" w:type="dxa"/>
            <w:vAlign w:val="bottom"/>
          </w:tcPr>
          <w:p>
            <w:pPr>
              <w:ind w:left="140"/>
              <w:spacing w:after="0"/>
              <w:rPr>
                <w:sz w:val="20"/>
                <w:szCs w:val="20"/>
                <w:color w:val="auto"/>
              </w:rPr>
            </w:pPr>
            <w:r>
              <w:rPr>
                <w:rFonts w:ascii="Calibri" w:cs="Calibri" w:eastAsia="Calibri" w:hAnsi="Calibri"/>
                <w:sz w:val="17"/>
                <w:szCs w:val="17"/>
                <w:b w:val="1"/>
                <w:bCs w:val="1"/>
                <w:color w:val="auto"/>
              </w:rPr>
              <w:t>decisions –</w:t>
            </w:r>
          </w:p>
        </w:tc>
        <w:tc>
          <w:tcPr>
            <w:tcW w:w="9040" w:type="dxa"/>
            <w:vAlign w:val="bottom"/>
          </w:tcPr>
          <w:p>
            <w:pPr>
              <w:ind w:left="120"/>
              <w:spacing w:after="0" w:line="185" w:lineRule="exact"/>
              <w:rPr>
                <w:sz w:val="20"/>
                <w:szCs w:val="20"/>
                <w:color w:val="auto"/>
              </w:rPr>
            </w:pPr>
            <w:r>
              <w:rPr>
                <w:rFonts w:ascii="Calibri" w:cs="Calibri" w:eastAsia="Calibri" w:hAnsi="Calibri"/>
                <w:sz w:val="16"/>
                <w:szCs w:val="16"/>
                <w:color w:val="auto"/>
              </w:rPr>
              <w:t>responsibilites, performance, qualifcatons and skills in determining individual compensaton levels.</w:t>
            </w:r>
          </w:p>
        </w:tc>
        <w:tc>
          <w:tcPr>
            <w:tcW w:w="0" w:type="dxa"/>
            <w:vAlign w:val="bottom"/>
          </w:tcPr>
          <w:p>
            <w:pPr>
              <w:spacing w:after="0"/>
              <w:rPr>
                <w:sz w:val="1"/>
                <w:szCs w:val="1"/>
                <w:color w:val="auto"/>
              </w:rPr>
            </w:pPr>
          </w:p>
        </w:tc>
      </w:tr>
      <w:tr>
        <w:trPr>
          <w:trHeight w:val="208"/>
        </w:trPr>
        <w:tc>
          <w:tcPr>
            <w:tcW w:w="1580" w:type="dxa"/>
            <w:vAlign w:val="bottom"/>
          </w:tcPr>
          <w:p>
            <w:pPr>
              <w:ind w:left="140"/>
              <w:spacing w:after="0"/>
              <w:rPr>
                <w:sz w:val="20"/>
                <w:szCs w:val="20"/>
                <w:color w:val="auto"/>
              </w:rPr>
            </w:pPr>
            <w:r>
              <w:rPr>
                <w:rFonts w:ascii="Calibri" w:cs="Calibri" w:eastAsia="Calibri" w:hAnsi="Calibri"/>
                <w:sz w:val="17"/>
                <w:szCs w:val="17"/>
                <w:b w:val="1"/>
                <w:bCs w:val="1"/>
                <w:color w:val="auto"/>
              </w:rPr>
              <w:t>Compensaton</w:t>
            </w: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80" w:type="dxa"/>
            <w:vAlign w:val="bottom"/>
          </w:tcPr>
          <w:p>
            <w:pPr>
              <w:ind w:left="140"/>
              <w:spacing w:after="0"/>
              <w:rPr>
                <w:sz w:val="20"/>
                <w:szCs w:val="20"/>
                <w:color w:val="auto"/>
              </w:rPr>
            </w:pPr>
            <w:r>
              <w:rPr>
                <w:rFonts w:ascii="Calibri" w:cs="Calibri" w:eastAsia="Calibri" w:hAnsi="Calibri"/>
                <w:sz w:val="17"/>
                <w:szCs w:val="17"/>
                <w:b w:val="1"/>
                <w:bCs w:val="1"/>
                <w:color w:val="auto"/>
              </w:rPr>
              <w:t>Commitee</w:t>
            </w: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69</w:t>
            </w:r>
          </w:p>
        </w:tc>
      </w:tr>
    </w:tbl>
    <w:p>
      <w:pPr>
        <w:sectPr>
          <w:pgSz w:w="11900" w:h="16838" w:orient="portrait"/>
          <w:cols w:equalWidth="0" w:num="1">
            <w:col w:w="10940"/>
          </w:cols>
          <w:pgMar w:left="320" w:top="445" w:right="6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61" w:lineRule="exact"/>
        <w:rPr>
          <w:sz w:val="20"/>
          <w:szCs w:val="20"/>
          <w:color w:val="auto"/>
        </w:rPr>
      </w:pPr>
    </w:p>
    <w:tbl>
      <w:tblPr>
        <w:tblLayout w:type="fixed"/>
        <w:tblInd w:w="3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40" w:type="dxa"/>
            <w:vAlign w:val="bottom"/>
            <w:gridSpan w:val="2"/>
          </w:tcPr>
          <w:p>
            <w:pPr>
              <w:spacing w:after="0" w:line="171" w:lineRule="exact"/>
              <w:rPr>
                <w:sz w:val="20"/>
                <w:szCs w:val="20"/>
                <w:color w:val="auto"/>
              </w:rPr>
            </w:pPr>
            <w:r>
              <w:rPr>
                <w:rFonts w:ascii="Calibri" w:cs="Calibri" w:eastAsia="Calibri" w:hAnsi="Calibri"/>
                <w:sz w:val="17"/>
                <w:szCs w:val="17"/>
                <w:b w:val="1"/>
                <w:bCs w:val="1"/>
                <w:color w:val="auto"/>
              </w:rPr>
              <w:t>Independent</w:t>
            </w:r>
          </w:p>
        </w:tc>
        <w:tc>
          <w:tcPr>
            <w:tcW w:w="2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9040" w:type="dxa"/>
            <w:vAlign w:val="bottom"/>
            <w:gridSpan w:val="5"/>
          </w:tcPr>
          <w:p>
            <w:pPr>
              <w:ind w:left="180"/>
              <w:spacing w:after="0" w:line="171" w:lineRule="exact"/>
              <w:rPr>
                <w:sz w:val="20"/>
                <w:szCs w:val="20"/>
                <w:color w:val="auto"/>
              </w:rPr>
            </w:pPr>
            <w:r>
              <w:rPr>
                <w:rFonts w:ascii="Calibri" w:cs="Calibri" w:eastAsia="Calibri" w:hAnsi="Calibri"/>
                <w:sz w:val="16"/>
                <w:szCs w:val="16"/>
                <w:color w:val="auto"/>
              </w:rPr>
              <w:t>For 2021, the Compensaton Commitee retained the services of Farient, a qualifed and independent compensaton consultant, to aid the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40" w:type="dxa"/>
            <w:vAlign w:val="bottom"/>
            <w:gridSpan w:val="2"/>
          </w:tcPr>
          <w:p>
            <w:pPr>
              <w:spacing w:after="0" w:line="199" w:lineRule="exact"/>
              <w:rPr>
                <w:sz w:val="20"/>
                <w:szCs w:val="20"/>
                <w:color w:val="auto"/>
              </w:rPr>
            </w:pPr>
            <w:r>
              <w:rPr>
                <w:rFonts w:ascii="Calibri" w:cs="Calibri" w:eastAsia="Calibri" w:hAnsi="Calibri"/>
                <w:sz w:val="17"/>
                <w:szCs w:val="17"/>
                <w:b w:val="1"/>
                <w:bCs w:val="1"/>
                <w:color w:val="auto"/>
              </w:rPr>
              <w:t>compensaton</w:t>
            </w:r>
          </w:p>
        </w:tc>
        <w:tc>
          <w:tcPr>
            <w:tcW w:w="2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940" w:type="dxa"/>
            <w:vAlign w:val="bottom"/>
            <w:gridSpan w:val="3"/>
          </w:tcPr>
          <w:p>
            <w:pPr>
              <w:ind w:left="180"/>
              <w:spacing w:after="0" w:line="185" w:lineRule="exact"/>
              <w:rPr>
                <w:sz w:val="20"/>
                <w:szCs w:val="20"/>
                <w:color w:val="auto"/>
              </w:rPr>
            </w:pPr>
            <w:r>
              <w:rPr>
                <w:rFonts w:ascii="Calibri" w:cs="Calibri" w:eastAsia="Calibri" w:hAnsi="Calibri"/>
                <w:sz w:val="16"/>
                <w:szCs w:val="16"/>
                <w:color w:val="auto"/>
              </w:rPr>
              <w:t>Compensaton Commitee in performing its dutes. The Compensaton Commitee’s compensaton consultant assists in:</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40" w:type="dxa"/>
            <w:vAlign w:val="bottom"/>
            <w:gridSpan w:val="2"/>
          </w:tcPr>
          <w:p>
            <w:pPr>
              <w:spacing w:after="0"/>
              <w:rPr>
                <w:sz w:val="20"/>
                <w:szCs w:val="20"/>
                <w:color w:val="auto"/>
              </w:rPr>
            </w:pPr>
            <w:r>
              <w:rPr>
                <w:rFonts w:ascii="Calibri" w:cs="Calibri" w:eastAsia="Calibri" w:hAnsi="Calibri"/>
                <w:sz w:val="17"/>
                <w:szCs w:val="17"/>
                <w:b w:val="1"/>
                <w:bCs w:val="1"/>
                <w:color w:val="auto"/>
              </w:rPr>
              <w:t>consultant</w:t>
            </w: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w:t>
            </w:r>
          </w:p>
        </w:tc>
        <w:tc>
          <w:tcPr>
            <w:tcW w:w="7300" w:type="dxa"/>
            <w:vAlign w:val="bottom"/>
            <w:gridSpan w:val="2"/>
          </w:tcPr>
          <w:p>
            <w:pPr>
              <w:ind w:left="60"/>
              <w:spacing w:after="0"/>
              <w:rPr>
                <w:sz w:val="20"/>
                <w:szCs w:val="20"/>
                <w:color w:val="auto"/>
              </w:rPr>
            </w:pPr>
            <w:r>
              <w:rPr>
                <w:rFonts w:ascii="Calibri" w:cs="Calibri" w:eastAsia="Calibri" w:hAnsi="Calibri"/>
                <w:sz w:val="16"/>
                <w:szCs w:val="16"/>
                <w:color w:val="auto"/>
              </w:rPr>
              <w:t>   reviewing our executve pay philosophy</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9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collectng and evaluatng external market data regarding executve compensaton and performance,</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w:t>
            </w:r>
          </w:p>
        </w:tc>
        <w:tc>
          <w:tcPr>
            <w:tcW w:w="2340" w:type="dxa"/>
            <w:vAlign w:val="bottom"/>
          </w:tcPr>
          <w:p>
            <w:pPr>
              <w:ind w:left="60"/>
              <w:spacing w:after="0"/>
              <w:rPr>
                <w:sz w:val="20"/>
                <w:szCs w:val="20"/>
                <w:color w:val="auto"/>
              </w:rPr>
            </w:pPr>
            <w:r>
              <w:rPr>
                <w:rFonts w:ascii="Calibri" w:cs="Calibri" w:eastAsia="Calibri" w:hAnsi="Calibri"/>
                <w:sz w:val="16"/>
                <w:szCs w:val="16"/>
                <w:color w:val="auto"/>
              </w:rPr>
              <w:t>   selectng peer group companies,</w:t>
            </w:r>
          </w:p>
        </w:tc>
        <w:tc>
          <w:tcPr>
            <w:tcW w:w="4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w:t>
            </w:r>
          </w:p>
        </w:tc>
        <w:tc>
          <w:tcPr>
            <w:tcW w:w="2340" w:type="dxa"/>
            <w:vAlign w:val="bottom"/>
          </w:tcPr>
          <w:p>
            <w:pPr>
              <w:ind w:left="60"/>
              <w:spacing w:after="0"/>
              <w:rPr>
                <w:sz w:val="20"/>
                <w:szCs w:val="20"/>
                <w:color w:val="auto"/>
              </w:rPr>
            </w:pPr>
            <w:r>
              <w:rPr>
                <w:rFonts w:ascii="Calibri" w:cs="Calibri" w:eastAsia="Calibri" w:hAnsi="Calibri"/>
                <w:sz w:val="16"/>
                <w:szCs w:val="16"/>
                <w:color w:val="auto"/>
              </w:rPr>
              <w:t>   reviewing the Proxy Statement,</w:t>
            </w:r>
          </w:p>
        </w:tc>
        <w:tc>
          <w:tcPr>
            <w:tcW w:w="4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04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advising the Compensaton Commitee on developing trends and best practces in executve and director compensaton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7300" w:type="dxa"/>
            <w:vAlign w:val="bottom"/>
            <w:gridSpan w:val="2"/>
          </w:tcPr>
          <w:p>
            <w:pPr>
              <w:ind w:left="180"/>
              <w:spacing w:after="0" w:line="187" w:lineRule="exact"/>
              <w:rPr>
                <w:sz w:val="20"/>
                <w:szCs w:val="20"/>
                <w:color w:val="auto"/>
              </w:rPr>
            </w:pPr>
            <w:r>
              <w:rPr>
                <w:rFonts w:ascii="Calibri" w:cs="Calibri" w:eastAsia="Calibri" w:hAnsi="Calibri"/>
                <w:sz w:val="16"/>
                <w:szCs w:val="16"/>
                <w:color w:val="auto"/>
              </w:rPr>
              <w:t>equity and compensaton governance, and</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9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r>
              <w:rPr>
                <w:rFonts w:ascii="Calibri" w:cs="Calibri" w:eastAsia="Calibri" w:hAnsi="Calibri"/>
                <w:sz w:val="16"/>
                <w:szCs w:val="16"/>
                <w:color w:val="auto"/>
              </w:rPr>
              <w:t xml:space="preserve">      advising the Compensaton Commitee on incentve plan design that aligns with our strategy.</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9040" w:type="dxa"/>
            <w:vAlign w:val="bottom"/>
            <w:gridSpan w:val="5"/>
          </w:tcPr>
          <w:p>
            <w:pPr>
              <w:ind w:left="180"/>
              <w:spacing w:after="0" w:line="187" w:lineRule="exact"/>
              <w:rPr>
                <w:sz w:val="20"/>
                <w:szCs w:val="20"/>
                <w:color w:val="auto"/>
              </w:rPr>
            </w:pPr>
            <w:r>
              <w:rPr>
                <w:rFonts w:ascii="Calibri" w:cs="Calibri" w:eastAsia="Calibri" w:hAnsi="Calibri"/>
                <w:sz w:val="16"/>
                <w:szCs w:val="16"/>
                <w:color w:val="auto"/>
                <w:w w:val="99"/>
              </w:rPr>
              <w:t>In additon Farient advises our Nominatng and Corporate Governance Commitee regarding director compensaton. Other than performing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9040" w:type="dxa"/>
            <w:vAlign w:val="bottom"/>
            <w:gridSpan w:val="5"/>
          </w:tcPr>
          <w:p>
            <w:pPr>
              <w:ind w:left="180"/>
              <w:spacing w:after="0"/>
              <w:rPr>
                <w:sz w:val="20"/>
                <w:szCs w:val="20"/>
                <w:color w:val="auto"/>
              </w:rPr>
            </w:pPr>
            <w:r>
              <w:rPr>
                <w:rFonts w:ascii="Calibri" w:cs="Calibri" w:eastAsia="Calibri" w:hAnsi="Calibri"/>
                <w:sz w:val="16"/>
                <w:szCs w:val="16"/>
                <w:color w:val="auto"/>
              </w:rPr>
              <w:t>these consultng services, Farient does not provide other services to us or our executve ofcers. We have afrmatvely determined that no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8560" w:type="dxa"/>
            <w:vAlign w:val="bottom"/>
            <w:gridSpan w:val="4"/>
          </w:tcPr>
          <w:p>
            <w:pPr>
              <w:ind w:left="180"/>
              <w:spacing w:after="0"/>
              <w:rPr>
                <w:sz w:val="20"/>
                <w:szCs w:val="20"/>
                <w:color w:val="auto"/>
              </w:rPr>
            </w:pPr>
            <w:r>
              <w:rPr>
                <w:rFonts w:ascii="Calibri" w:cs="Calibri" w:eastAsia="Calibri" w:hAnsi="Calibri"/>
                <w:sz w:val="16"/>
                <w:szCs w:val="16"/>
                <w:color w:val="auto"/>
              </w:rPr>
              <w:t>confict of interest has arisen in connecton with the work of Farient as compensaton consultant for the Compensaton Commitee.</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20" w:type="dxa"/>
            <w:vAlign w:val="bottom"/>
            <w:vMerge w:val="restart"/>
          </w:tcPr>
          <w:p>
            <w:pPr>
              <w:spacing w:after="0"/>
              <w:rPr>
                <w:sz w:val="24"/>
                <w:szCs w:val="24"/>
                <w:color w:val="auto"/>
              </w:rPr>
            </w:pPr>
          </w:p>
        </w:tc>
        <w:tc>
          <w:tcPr>
            <w:tcW w:w="130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9040" w:type="dxa"/>
            <w:vAlign w:val="bottom"/>
            <w:tcBorders>
              <w:bottom w:val="single" w:sz="8" w:color="auto"/>
            </w:tcBorders>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300" w:type="dxa"/>
            <w:vAlign w:val="bottom"/>
            <w:gridSpan w:val="2"/>
          </w:tcPr>
          <w:p>
            <w:pPr>
              <w:spacing w:after="0" w:line="171" w:lineRule="exact"/>
              <w:rPr>
                <w:sz w:val="20"/>
                <w:szCs w:val="20"/>
                <w:color w:val="auto"/>
              </w:rPr>
            </w:pPr>
            <w:r>
              <w:rPr>
                <w:rFonts w:ascii="Calibri" w:cs="Calibri" w:eastAsia="Calibri" w:hAnsi="Calibri"/>
                <w:sz w:val="17"/>
                <w:szCs w:val="17"/>
                <w:b w:val="1"/>
                <w:bCs w:val="1"/>
                <w:color w:val="auto"/>
              </w:rPr>
              <w:t>Peer market data</w:t>
            </w:r>
          </w:p>
        </w:tc>
        <w:tc>
          <w:tcPr>
            <w:tcW w:w="260" w:type="dxa"/>
            <w:vAlign w:val="bottom"/>
            <w:tcBorders>
              <w:right w:val="single" w:sz="8" w:color="auto"/>
            </w:tcBorders>
          </w:tcPr>
          <w:p>
            <w:pPr>
              <w:spacing w:after="0"/>
              <w:rPr>
                <w:sz w:val="14"/>
                <w:szCs w:val="14"/>
                <w:color w:val="auto"/>
              </w:rPr>
            </w:pPr>
          </w:p>
        </w:tc>
        <w:tc>
          <w:tcPr>
            <w:tcW w:w="9040" w:type="dxa"/>
            <w:vAlign w:val="bottom"/>
            <w:gridSpan w:val="5"/>
          </w:tcPr>
          <w:p>
            <w:pPr>
              <w:ind w:left="180"/>
              <w:spacing w:after="0" w:line="171" w:lineRule="exact"/>
              <w:rPr>
                <w:sz w:val="20"/>
                <w:szCs w:val="20"/>
                <w:color w:val="auto"/>
              </w:rPr>
            </w:pPr>
            <w:r>
              <w:rPr>
                <w:rFonts w:ascii="Calibri" w:cs="Calibri" w:eastAsia="Calibri" w:hAnsi="Calibri"/>
                <w:sz w:val="16"/>
                <w:szCs w:val="16"/>
                <w:color w:val="auto"/>
                <w:w w:val="97"/>
              </w:rPr>
              <w:t>We review peer compensaton data at the beginning of the year (or the end of the prior year) in order to set compensaton for each year. At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40" w:type="dxa"/>
            <w:vAlign w:val="bottom"/>
            <w:gridSpan w:val="2"/>
            <w:vMerge w:val="restart"/>
          </w:tcPr>
          <w:p>
            <w:pPr>
              <w:spacing w:after="0"/>
              <w:rPr>
                <w:sz w:val="20"/>
                <w:szCs w:val="20"/>
                <w:color w:val="auto"/>
              </w:rPr>
            </w:pPr>
            <w:r>
              <w:rPr>
                <w:rFonts w:ascii="Calibri" w:cs="Calibri" w:eastAsia="Calibri" w:hAnsi="Calibri"/>
                <w:sz w:val="17"/>
                <w:szCs w:val="17"/>
                <w:b w:val="1"/>
                <w:bCs w:val="1"/>
                <w:color w:val="auto"/>
              </w:rPr>
              <w:t>Compensaton</w:t>
            </w: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9040" w:type="dxa"/>
            <w:vAlign w:val="bottom"/>
            <w:gridSpan w:val="5"/>
          </w:tcPr>
          <w:p>
            <w:pPr>
              <w:ind w:left="180"/>
              <w:spacing w:after="0" w:line="185" w:lineRule="exact"/>
              <w:rPr>
                <w:sz w:val="20"/>
                <w:szCs w:val="20"/>
                <w:color w:val="auto"/>
              </w:rPr>
            </w:pPr>
            <w:r>
              <w:rPr>
                <w:rFonts w:ascii="Calibri" w:cs="Calibri" w:eastAsia="Calibri" w:hAnsi="Calibri"/>
                <w:sz w:val="16"/>
                <w:szCs w:val="16"/>
                <w:color w:val="auto"/>
              </w:rPr>
              <w:t>the tme compensaton decisions were made for our U.S.-based and other senior executve ofcers in 2021, our Compensaton Commitee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9040" w:type="dxa"/>
            <w:vAlign w:val="bottom"/>
            <w:gridSpan w:val="5"/>
          </w:tcPr>
          <w:p>
            <w:pPr>
              <w:ind w:left="180"/>
              <w:spacing w:after="0" w:line="162" w:lineRule="exact"/>
              <w:rPr>
                <w:sz w:val="20"/>
                <w:szCs w:val="20"/>
                <w:color w:val="auto"/>
              </w:rPr>
            </w:pPr>
            <w:r>
              <w:rPr>
                <w:rFonts w:ascii="Calibri" w:cs="Calibri" w:eastAsia="Calibri" w:hAnsi="Calibri"/>
                <w:sz w:val="16"/>
                <w:szCs w:val="16"/>
                <w:color w:val="auto"/>
              </w:rPr>
              <w:t>reviewed publicly available compensaton data for companies that are engaged in business and technology services like us taking into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320" w:type="dxa"/>
            <w:vAlign w:val="bottom"/>
            <w:gridSpan w:val="3"/>
          </w:tcPr>
          <w:p>
            <w:pPr>
              <w:spacing w:after="0" w:line="206" w:lineRule="exact"/>
              <w:rPr>
                <w:sz w:val="20"/>
                <w:szCs w:val="20"/>
                <w:color w:val="auto"/>
              </w:rPr>
            </w:pPr>
            <w:r>
              <w:rPr>
                <w:rFonts w:ascii="Calibri" w:cs="Calibri" w:eastAsia="Calibri" w:hAnsi="Calibri"/>
                <w:sz w:val="17"/>
                <w:szCs w:val="17"/>
                <w:b w:val="1"/>
                <w:bCs w:val="1"/>
                <w:color w:val="auto"/>
              </w:rPr>
              <w:t>Commitee and</w:t>
            </w:r>
          </w:p>
        </w:tc>
        <w:tc>
          <w:tcPr>
            <w:tcW w:w="260" w:type="dxa"/>
            <w:vAlign w:val="bottom"/>
            <w:tcBorders>
              <w:right w:val="single" w:sz="8" w:color="auto"/>
            </w:tcBorders>
          </w:tcPr>
          <w:p>
            <w:pPr>
              <w:spacing w:after="0"/>
              <w:rPr>
                <w:sz w:val="18"/>
                <w:szCs w:val="18"/>
                <w:color w:val="auto"/>
              </w:rPr>
            </w:pPr>
          </w:p>
        </w:tc>
        <w:tc>
          <w:tcPr>
            <w:tcW w:w="9040" w:type="dxa"/>
            <w:vAlign w:val="bottom"/>
            <w:gridSpan w:val="5"/>
          </w:tcPr>
          <w:p>
            <w:pPr>
              <w:ind w:left="180"/>
              <w:spacing w:after="0"/>
              <w:rPr>
                <w:sz w:val="20"/>
                <w:szCs w:val="20"/>
                <w:color w:val="auto"/>
              </w:rPr>
            </w:pPr>
            <w:r>
              <w:rPr>
                <w:rFonts w:ascii="Calibri" w:cs="Calibri" w:eastAsia="Calibri" w:hAnsi="Calibri"/>
                <w:sz w:val="16"/>
                <w:szCs w:val="16"/>
                <w:color w:val="auto"/>
                <w:w w:val="99"/>
              </w:rPr>
              <w:t>account whether the companies had market capitalizatons, geographic locatons, or annual revenues similar to ours. The companies that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40" w:type="dxa"/>
            <w:vAlign w:val="bottom"/>
            <w:gridSpan w:val="2"/>
          </w:tcPr>
          <w:p>
            <w:pPr>
              <w:spacing w:after="0" w:line="206" w:lineRule="exact"/>
              <w:rPr>
                <w:sz w:val="20"/>
                <w:szCs w:val="20"/>
                <w:color w:val="auto"/>
              </w:rPr>
            </w:pPr>
            <w:r>
              <w:rPr>
                <w:rFonts w:ascii="Calibri" w:cs="Calibri" w:eastAsia="Calibri" w:hAnsi="Calibri"/>
                <w:sz w:val="17"/>
                <w:szCs w:val="17"/>
                <w:b w:val="1"/>
                <w:bCs w:val="1"/>
                <w:color w:val="auto"/>
              </w:rPr>
              <w:t>independent</w:t>
            </w: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040" w:type="dxa"/>
            <w:vAlign w:val="bottom"/>
            <w:gridSpan w:val="5"/>
          </w:tcPr>
          <w:p>
            <w:pPr>
              <w:ind w:left="180"/>
              <w:spacing w:after="0"/>
              <w:rPr>
                <w:sz w:val="20"/>
                <w:szCs w:val="20"/>
                <w:color w:val="auto"/>
              </w:rPr>
            </w:pPr>
            <w:r>
              <w:rPr>
                <w:rFonts w:ascii="Calibri" w:cs="Calibri" w:eastAsia="Calibri" w:hAnsi="Calibri"/>
                <w:sz w:val="16"/>
                <w:szCs w:val="16"/>
                <w:color w:val="auto"/>
              </w:rPr>
              <w:t>comprised our peer group for 2021 were as follows: Blackbaud, CoreLogic, CSG Systems Internatonal, Inc., EPAM Systems, Inc., Genpact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40" w:type="dxa"/>
            <w:vAlign w:val="bottom"/>
            <w:gridSpan w:val="2"/>
          </w:tcPr>
          <w:p>
            <w:pPr>
              <w:spacing w:after="0" w:line="206" w:lineRule="exact"/>
              <w:rPr>
                <w:sz w:val="20"/>
                <w:szCs w:val="20"/>
                <w:color w:val="auto"/>
              </w:rPr>
            </w:pPr>
            <w:r>
              <w:rPr>
                <w:rFonts w:ascii="Calibri" w:cs="Calibri" w:eastAsia="Calibri" w:hAnsi="Calibri"/>
                <w:sz w:val="17"/>
                <w:szCs w:val="17"/>
                <w:b w:val="1"/>
                <w:bCs w:val="1"/>
                <w:color w:val="auto"/>
              </w:rPr>
              <w:t>compensaton</w:t>
            </w:r>
          </w:p>
        </w:tc>
        <w:tc>
          <w:tcPr>
            <w:tcW w:w="2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940" w:type="dxa"/>
            <w:vAlign w:val="bottom"/>
            <w:gridSpan w:val="3"/>
          </w:tcPr>
          <w:p>
            <w:pPr>
              <w:ind w:left="180"/>
              <w:spacing w:after="0"/>
              <w:rPr>
                <w:sz w:val="20"/>
                <w:szCs w:val="20"/>
                <w:color w:val="auto"/>
              </w:rPr>
            </w:pPr>
            <w:r>
              <w:rPr>
                <w:rFonts w:ascii="Calibri" w:cs="Calibri" w:eastAsia="Calibri" w:hAnsi="Calibri"/>
                <w:sz w:val="16"/>
                <w:szCs w:val="16"/>
                <w:color w:val="auto"/>
              </w:rPr>
              <w:t>Limited, Guidewire Sofware, Inc., Sykes Enterprises, Virtusa, WNS (Holdings) Limited.</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40" w:type="dxa"/>
            <w:vAlign w:val="bottom"/>
            <w:gridSpan w:val="2"/>
          </w:tcPr>
          <w:p>
            <w:pPr>
              <w:spacing w:after="0"/>
              <w:rPr>
                <w:sz w:val="20"/>
                <w:szCs w:val="20"/>
                <w:color w:val="auto"/>
              </w:rPr>
            </w:pPr>
            <w:r>
              <w:rPr>
                <w:rFonts w:ascii="Calibri" w:cs="Calibri" w:eastAsia="Calibri" w:hAnsi="Calibri"/>
                <w:sz w:val="17"/>
                <w:szCs w:val="17"/>
                <w:b w:val="1"/>
                <w:bCs w:val="1"/>
                <w:color w:val="auto"/>
              </w:rPr>
              <w:t>consultants</w:t>
            </w:r>
          </w:p>
        </w:tc>
        <w:tc>
          <w:tcPr>
            <w:tcW w:w="2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9040" w:type="dxa"/>
            <w:vAlign w:val="bottom"/>
            <w:gridSpan w:val="5"/>
          </w:tcPr>
          <w:p>
            <w:pPr>
              <w:ind w:left="180"/>
              <w:spacing w:after="0"/>
              <w:rPr>
                <w:sz w:val="20"/>
                <w:szCs w:val="20"/>
                <w:color w:val="auto"/>
              </w:rPr>
            </w:pPr>
            <w:r>
              <w:rPr>
                <w:rFonts w:ascii="Calibri" w:cs="Calibri" w:eastAsia="Calibri" w:hAnsi="Calibri"/>
                <w:sz w:val="16"/>
                <w:szCs w:val="16"/>
                <w:color w:val="auto"/>
                <w:w w:val="98"/>
              </w:rPr>
              <w:t>In the middle of 2021, we, alongside our independent compensaton consultant, reevaluated our peer group in light of various M&amp;A actvity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9040" w:type="dxa"/>
            <w:vAlign w:val="bottom"/>
            <w:gridSpan w:val="5"/>
          </w:tcPr>
          <w:p>
            <w:pPr>
              <w:ind w:left="180"/>
              <w:spacing w:after="0"/>
              <w:rPr>
                <w:sz w:val="20"/>
                <w:szCs w:val="20"/>
                <w:color w:val="auto"/>
              </w:rPr>
            </w:pPr>
            <w:r>
              <w:rPr>
                <w:rFonts w:ascii="Calibri" w:cs="Calibri" w:eastAsia="Calibri" w:hAnsi="Calibri"/>
                <w:sz w:val="16"/>
                <w:szCs w:val="16"/>
                <w:color w:val="auto"/>
                <w:w w:val="98"/>
              </w:rPr>
              <w:t>as well as new criteria, consistng of companies that are similar to us in terms of annual revenue, operate in similar industries, have similar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9040" w:type="dxa"/>
            <w:vAlign w:val="bottom"/>
            <w:gridSpan w:val="5"/>
          </w:tcPr>
          <w:p>
            <w:pPr>
              <w:ind w:left="180"/>
              <w:spacing w:after="0"/>
              <w:rPr>
                <w:sz w:val="20"/>
                <w:szCs w:val="20"/>
                <w:color w:val="auto"/>
              </w:rPr>
            </w:pPr>
            <w:r>
              <w:rPr>
                <w:rFonts w:ascii="Calibri" w:cs="Calibri" w:eastAsia="Calibri" w:hAnsi="Calibri"/>
                <w:sz w:val="16"/>
                <w:szCs w:val="16"/>
                <w:color w:val="auto"/>
              </w:rPr>
              <w:t>business models as ours. This new group was used for certain 2021 compensaton decisions as well as 2022 compensaton decisions and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8560" w:type="dxa"/>
            <w:vAlign w:val="bottom"/>
            <w:gridSpan w:val="4"/>
          </w:tcPr>
          <w:p>
            <w:pPr>
              <w:ind w:left="180"/>
              <w:spacing w:after="0"/>
              <w:rPr>
                <w:sz w:val="20"/>
                <w:szCs w:val="20"/>
                <w:color w:val="auto"/>
              </w:rPr>
            </w:pPr>
            <w:r>
              <w:rPr>
                <w:rFonts w:ascii="Calibri" w:cs="Calibri" w:eastAsia="Calibri" w:hAnsi="Calibri"/>
                <w:sz w:val="16"/>
                <w:szCs w:val="16"/>
                <w:color w:val="auto"/>
                <w:w w:val="98"/>
              </w:rPr>
              <w:t>consists of Cloudera, Inc. (acquired), CSG Systems Internatonal, Inc., EPAM Systems, Inc., Genpact Limited, Guidewire Sofware, Inc.,</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9040" w:type="dxa"/>
            <w:vAlign w:val="bottom"/>
            <w:gridSpan w:val="5"/>
          </w:tcPr>
          <w:p>
            <w:pPr>
              <w:ind w:left="180"/>
              <w:spacing w:after="0"/>
              <w:rPr>
                <w:sz w:val="20"/>
                <w:szCs w:val="20"/>
                <w:color w:val="auto"/>
              </w:rPr>
            </w:pPr>
            <w:r>
              <w:rPr>
                <w:rFonts w:ascii="Calibri" w:cs="Calibri" w:eastAsia="Calibri" w:hAnsi="Calibri"/>
                <w:sz w:val="16"/>
                <w:szCs w:val="16"/>
                <w:color w:val="auto"/>
              </w:rPr>
              <w:t>Inovalon Holdings, Inc. (acquired), Perfcient, Inc., Splunk Inc., Sykes Enterprises, Incorporated (acquired), Teradata Corporaton, TTEC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7940" w:type="dxa"/>
            <w:vAlign w:val="bottom"/>
            <w:gridSpan w:val="3"/>
          </w:tcPr>
          <w:p>
            <w:pPr>
              <w:ind w:left="180"/>
              <w:spacing w:after="0"/>
              <w:rPr>
                <w:sz w:val="20"/>
                <w:szCs w:val="20"/>
                <w:color w:val="auto"/>
              </w:rPr>
            </w:pPr>
            <w:r>
              <w:rPr>
                <w:rFonts w:ascii="Calibri" w:cs="Calibri" w:eastAsia="Calibri" w:hAnsi="Calibri"/>
                <w:sz w:val="16"/>
                <w:szCs w:val="16"/>
                <w:color w:val="auto"/>
              </w:rPr>
              <w:t>Holdings, Inc., Verisk Analytcs, Inc., MultPlan Corporaton, WNS (Holdings) Limited.</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7940" w:type="dxa"/>
            <w:vAlign w:val="bottom"/>
            <w:gridSpan w:val="3"/>
          </w:tcPr>
          <w:p>
            <w:pPr>
              <w:ind w:left="180"/>
              <w:spacing w:after="0"/>
              <w:rPr>
                <w:sz w:val="20"/>
                <w:szCs w:val="20"/>
                <w:color w:val="auto"/>
              </w:rPr>
            </w:pPr>
            <w:r>
              <w:rPr>
                <w:rFonts w:ascii="Calibri" w:cs="Calibri" w:eastAsia="Calibri" w:hAnsi="Calibri"/>
                <w:sz w:val="16"/>
                <w:szCs w:val="16"/>
                <w:color w:val="auto"/>
              </w:rPr>
              <w:t>The following chart shows the respectve industries and revenues of our peer group companies:</w:t>
            </w: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00" w:type="dxa"/>
            <w:vAlign w:val="bottom"/>
            <w:gridSpan w:val="2"/>
          </w:tcPr>
          <w:p>
            <w:pPr>
              <w:jc w:val="right"/>
              <w:ind w:right="62"/>
              <w:spacing w:after="0"/>
              <w:rPr>
                <w:sz w:val="20"/>
                <w:szCs w:val="20"/>
                <w:color w:val="auto"/>
              </w:rPr>
            </w:pPr>
            <w:r>
              <w:rPr>
                <w:rFonts w:ascii="Calibri" w:cs="Calibri" w:eastAsia="Calibri" w:hAnsi="Calibri"/>
                <w:sz w:val="17"/>
                <w:szCs w:val="17"/>
                <w:b w:val="1"/>
                <w:bCs w:val="1"/>
                <w:color w:val="FB4E0B"/>
              </w:rPr>
              <w:t>Revenue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980" w:type="dxa"/>
            <w:vAlign w:val="bottom"/>
            <w:gridSpan w:val="2"/>
          </w:tcPr>
          <w:p>
            <w:pPr>
              <w:ind w:left="180"/>
              <w:spacing w:after="0"/>
              <w:rPr>
                <w:sz w:val="20"/>
                <w:szCs w:val="20"/>
                <w:color w:val="auto"/>
              </w:rPr>
            </w:pPr>
            <w:r>
              <w:rPr>
                <w:rFonts w:ascii="Calibri" w:cs="Calibri" w:eastAsia="Calibri" w:hAnsi="Calibri"/>
                <w:sz w:val="17"/>
                <w:szCs w:val="17"/>
                <w:b w:val="1"/>
                <w:bCs w:val="1"/>
                <w:color w:val="FB4E0B"/>
              </w:rPr>
              <w:t>Company</w:t>
            </w:r>
          </w:p>
        </w:tc>
        <w:tc>
          <w:tcPr>
            <w:tcW w:w="4960" w:type="dxa"/>
            <w:vAlign w:val="bottom"/>
          </w:tcPr>
          <w:p>
            <w:pPr>
              <w:ind w:left="120"/>
              <w:spacing w:after="0"/>
              <w:rPr>
                <w:sz w:val="20"/>
                <w:szCs w:val="20"/>
                <w:color w:val="auto"/>
              </w:rPr>
            </w:pPr>
            <w:r>
              <w:rPr>
                <w:rFonts w:ascii="Calibri" w:cs="Calibri" w:eastAsia="Calibri" w:hAnsi="Calibri"/>
                <w:sz w:val="17"/>
                <w:szCs w:val="17"/>
                <w:b w:val="1"/>
                <w:bCs w:val="1"/>
                <w:color w:val="FB4E0B"/>
              </w:rPr>
              <w:t>Industry</w:t>
            </w:r>
          </w:p>
        </w:tc>
        <w:tc>
          <w:tcPr>
            <w:tcW w:w="1100" w:type="dxa"/>
            <w:vAlign w:val="bottom"/>
            <w:gridSpan w:val="2"/>
          </w:tcPr>
          <w:p>
            <w:pPr>
              <w:jc w:val="right"/>
              <w:spacing w:after="0"/>
              <w:rPr>
                <w:sz w:val="20"/>
                <w:szCs w:val="20"/>
                <w:color w:val="auto"/>
              </w:rPr>
            </w:pPr>
            <w:r>
              <w:rPr>
                <w:rFonts w:ascii="Calibri" w:cs="Calibri" w:eastAsia="Calibri" w:hAnsi="Calibri"/>
                <w:sz w:val="17"/>
                <w:szCs w:val="17"/>
                <w:b w:val="1"/>
                <w:bCs w:val="1"/>
                <w:color w:val="FB4E0B"/>
              </w:rPr>
              <w:t>($MM, USD)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980" w:type="dxa"/>
            <w:vAlign w:val="bottom"/>
            <w:tcBorders>
              <w:bottom w:val="single" w:sz="8" w:color="FB4E0B"/>
            </w:tcBorders>
            <w:gridSpan w:val="2"/>
          </w:tcPr>
          <w:p>
            <w:pPr>
              <w:spacing w:after="0"/>
              <w:rPr>
                <w:sz w:val="8"/>
                <w:szCs w:val="8"/>
                <w:color w:val="auto"/>
              </w:rPr>
            </w:pPr>
          </w:p>
        </w:tc>
        <w:tc>
          <w:tcPr>
            <w:tcW w:w="4960" w:type="dxa"/>
            <w:vAlign w:val="bottom"/>
            <w:tcBorders>
              <w:bottom w:val="single" w:sz="8" w:color="FB4E0B"/>
            </w:tcBorders>
          </w:tcPr>
          <w:p>
            <w:pPr>
              <w:spacing w:after="0"/>
              <w:rPr>
                <w:sz w:val="8"/>
                <w:szCs w:val="8"/>
                <w:color w:val="auto"/>
              </w:rPr>
            </w:pPr>
          </w:p>
        </w:tc>
        <w:tc>
          <w:tcPr>
            <w:tcW w:w="1100" w:type="dxa"/>
            <w:vAlign w:val="bottom"/>
            <w:tcBorders>
              <w:bottom w:val="single" w:sz="8" w:color="FB4E0B"/>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980" w:type="dxa"/>
            <w:vAlign w:val="bottom"/>
            <w:gridSpan w:val="2"/>
          </w:tcPr>
          <w:p>
            <w:pPr>
              <w:ind w:left="180"/>
              <w:spacing w:after="0" w:line="185" w:lineRule="exact"/>
              <w:rPr>
                <w:sz w:val="20"/>
                <w:szCs w:val="20"/>
                <w:color w:val="auto"/>
              </w:rPr>
            </w:pPr>
            <w:r>
              <w:rPr>
                <w:rFonts w:ascii="Calibri" w:cs="Calibri" w:eastAsia="Calibri" w:hAnsi="Calibri"/>
                <w:sz w:val="16"/>
                <w:szCs w:val="16"/>
                <w:color w:val="auto"/>
              </w:rPr>
              <w:t>Genpact Limited</w:t>
            </w:r>
          </w:p>
        </w:tc>
        <w:tc>
          <w:tcPr>
            <w:tcW w:w="4960" w:type="dxa"/>
            <w:vAlign w:val="bottom"/>
          </w:tcPr>
          <w:p>
            <w:pPr>
              <w:ind w:left="120"/>
              <w:spacing w:after="0" w:line="185" w:lineRule="exact"/>
              <w:rPr>
                <w:sz w:val="20"/>
                <w:szCs w:val="20"/>
                <w:color w:val="auto"/>
              </w:rPr>
            </w:pPr>
            <w:r>
              <w:rPr>
                <w:rFonts w:ascii="Calibri" w:cs="Calibri" w:eastAsia="Calibri" w:hAnsi="Calibri"/>
                <w:sz w:val="16"/>
                <w:szCs w:val="16"/>
                <w:color w:val="auto"/>
              </w:rPr>
              <w:t>Data Processing and Outsourced Services</w:t>
            </w:r>
          </w:p>
        </w:tc>
        <w:tc>
          <w:tcPr>
            <w:tcW w:w="1100" w:type="dxa"/>
            <w:vAlign w:val="bottom"/>
            <w:gridSpan w:val="2"/>
          </w:tcPr>
          <w:p>
            <w:pPr>
              <w:jc w:val="right"/>
              <w:ind w:right="142"/>
              <w:spacing w:after="0" w:line="185" w:lineRule="exact"/>
              <w:rPr>
                <w:sz w:val="20"/>
                <w:szCs w:val="20"/>
                <w:color w:val="auto"/>
              </w:rPr>
            </w:pPr>
            <w:r>
              <w:rPr>
                <w:rFonts w:ascii="Calibri" w:cs="Calibri" w:eastAsia="Calibri" w:hAnsi="Calibri"/>
                <w:sz w:val="16"/>
                <w:szCs w:val="16"/>
                <w:color w:val="auto"/>
              </w:rPr>
              <w:t>$4,022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EPAM Systems, Inc.</w:t>
            </w:r>
          </w:p>
        </w:tc>
        <w:tc>
          <w:tcPr>
            <w:tcW w:w="4960" w:type="dxa"/>
            <w:vAlign w:val="bottom"/>
          </w:tcPr>
          <w:p>
            <w:pPr>
              <w:ind w:left="120"/>
              <w:spacing w:after="0" w:line="178" w:lineRule="exact"/>
              <w:rPr>
                <w:sz w:val="20"/>
                <w:szCs w:val="20"/>
                <w:color w:val="auto"/>
              </w:rPr>
            </w:pPr>
            <w:r>
              <w:rPr>
                <w:rFonts w:ascii="Calibri" w:cs="Calibri" w:eastAsia="Calibri" w:hAnsi="Calibri"/>
                <w:sz w:val="16"/>
                <w:szCs w:val="16"/>
                <w:color w:val="auto"/>
              </w:rPr>
              <w:t>IT Consultng and Other Services</w:t>
            </w:r>
          </w:p>
        </w:tc>
        <w:tc>
          <w:tcPr>
            <w:tcW w:w="1100" w:type="dxa"/>
            <w:vAlign w:val="bottom"/>
            <w:gridSpan w:val="2"/>
          </w:tcPr>
          <w:p>
            <w:pPr>
              <w:jc w:val="right"/>
              <w:ind w:right="142"/>
              <w:spacing w:after="0" w:line="178" w:lineRule="exact"/>
              <w:rPr>
                <w:sz w:val="20"/>
                <w:szCs w:val="20"/>
                <w:color w:val="auto"/>
              </w:rPr>
            </w:pPr>
            <w:r>
              <w:rPr>
                <w:rFonts w:ascii="Calibri" w:cs="Calibri" w:eastAsia="Calibri" w:hAnsi="Calibri"/>
                <w:sz w:val="16"/>
                <w:szCs w:val="16"/>
                <w:color w:val="auto"/>
              </w:rPr>
              <w:t>$3,758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Verisk Analytcs, Inc.</w:t>
            </w:r>
          </w:p>
        </w:tc>
        <w:tc>
          <w:tcPr>
            <w:tcW w:w="4960" w:type="dxa"/>
            <w:vAlign w:val="bottom"/>
          </w:tcPr>
          <w:p>
            <w:pPr>
              <w:ind w:left="120"/>
              <w:spacing w:after="0" w:line="178" w:lineRule="exact"/>
              <w:rPr>
                <w:sz w:val="20"/>
                <w:szCs w:val="20"/>
                <w:color w:val="auto"/>
              </w:rPr>
            </w:pPr>
            <w:r>
              <w:rPr>
                <w:rFonts w:ascii="Calibri" w:cs="Calibri" w:eastAsia="Calibri" w:hAnsi="Calibri"/>
                <w:sz w:val="16"/>
                <w:szCs w:val="16"/>
                <w:color w:val="auto"/>
              </w:rPr>
              <w:t>Research and Consultng Services</w:t>
            </w:r>
          </w:p>
        </w:tc>
        <w:tc>
          <w:tcPr>
            <w:tcW w:w="1100" w:type="dxa"/>
            <w:vAlign w:val="bottom"/>
            <w:gridSpan w:val="2"/>
          </w:tcPr>
          <w:p>
            <w:pPr>
              <w:jc w:val="right"/>
              <w:ind w:right="142"/>
              <w:spacing w:after="0" w:line="178" w:lineRule="exact"/>
              <w:rPr>
                <w:sz w:val="20"/>
                <w:szCs w:val="20"/>
                <w:color w:val="auto"/>
              </w:rPr>
            </w:pPr>
            <w:r>
              <w:rPr>
                <w:rFonts w:ascii="Calibri" w:cs="Calibri" w:eastAsia="Calibri" w:hAnsi="Calibri"/>
                <w:sz w:val="16"/>
                <w:szCs w:val="16"/>
                <w:color w:val="auto"/>
              </w:rPr>
              <w:t>$2,999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Splunk Inc.</w:t>
            </w:r>
          </w:p>
        </w:tc>
        <w:tc>
          <w:tcPr>
            <w:tcW w:w="4960" w:type="dxa"/>
            <w:vAlign w:val="bottom"/>
          </w:tcPr>
          <w:p>
            <w:pPr>
              <w:ind w:left="120"/>
              <w:spacing w:after="0" w:line="178" w:lineRule="exact"/>
              <w:rPr>
                <w:sz w:val="20"/>
                <w:szCs w:val="20"/>
                <w:color w:val="auto"/>
              </w:rPr>
            </w:pPr>
            <w:r>
              <w:rPr>
                <w:rFonts w:ascii="Calibri" w:cs="Calibri" w:eastAsia="Calibri" w:hAnsi="Calibri"/>
                <w:sz w:val="16"/>
                <w:szCs w:val="16"/>
                <w:color w:val="auto"/>
              </w:rPr>
              <w:t>Applicaton Sofware</w:t>
            </w:r>
          </w:p>
        </w:tc>
        <w:tc>
          <w:tcPr>
            <w:tcW w:w="1100" w:type="dxa"/>
            <w:vAlign w:val="bottom"/>
            <w:gridSpan w:val="2"/>
          </w:tcPr>
          <w:p>
            <w:pPr>
              <w:jc w:val="right"/>
              <w:ind w:right="142"/>
              <w:spacing w:after="0" w:line="178" w:lineRule="exact"/>
              <w:rPr>
                <w:sz w:val="20"/>
                <w:szCs w:val="20"/>
                <w:color w:val="auto"/>
              </w:rPr>
            </w:pPr>
            <w:r>
              <w:rPr>
                <w:rFonts w:ascii="Calibri" w:cs="Calibri" w:eastAsia="Calibri" w:hAnsi="Calibri"/>
                <w:sz w:val="16"/>
                <w:szCs w:val="16"/>
                <w:color w:val="auto"/>
              </w:rPr>
              <w:t>$2,674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TTEC Holdings, Inc.</w:t>
            </w:r>
          </w:p>
        </w:tc>
        <w:tc>
          <w:tcPr>
            <w:tcW w:w="4960" w:type="dxa"/>
            <w:vAlign w:val="bottom"/>
          </w:tcPr>
          <w:p>
            <w:pPr>
              <w:ind w:left="12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1100" w:type="dxa"/>
            <w:vAlign w:val="bottom"/>
            <w:gridSpan w:val="2"/>
          </w:tcPr>
          <w:p>
            <w:pPr>
              <w:jc w:val="right"/>
              <w:ind w:right="142"/>
              <w:spacing w:after="0" w:line="178" w:lineRule="exact"/>
              <w:rPr>
                <w:sz w:val="20"/>
                <w:szCs w:val="20"/>
                <w:color w:val="auto"/>
              </w:rPr>
            </w:pPr>
            <w:r>
              <w:rPr>
                <w:rFonts w:ascii="Calibri" w:cs="Calibri" w:eastAsia="Calibri" w:hAnsi="Calibri"/>
                <w:sz w:val="16"/>
                <w:szCs w:val="16"/>
                <w:color w:val="auto"/>
              </w:rPr>
              <w:t>$2,273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Teradata Corporaton</w:t>
            </w:r>
          </w:p>
        </w:tc>
        <w:tc>
          <w:tcPr>
            <w:tcW w:w="4960" w:type="dxa"/>
            <w:vAlign w:val="bottom"/>
          </w:tcPr>
          <w:p>
            <w:pPr>
              <w:ind w:left="120"/>
              <w:spacing w:after="0" w:line="178" w:lineRule="exact"/>
              <w:rPr>
                <w:sz w:val="20"/>
                <w:szCs w:val="20"/>
                <w:color w:val="auto"/>
              </w:rPr>
            </w:pPr>
            <w:r>
              <w:rPr>
                <w:rFonts w:ascii="Calibri" w:cs="Calibri" w:eastAsia="Calibri" w:hAnsi="Calibri"/>
                <w:sz w:val="16"/>
                <w:szCs w:val="16"/>
                <w:color w:val="auto"/>
              </w:rPr>
              <w:t>Systems Sofware</w:t>
            </w:r>
          </w:p>
        </w:tc>
        <w:tc>
          <w:tcPr>
            <w:tcW w:w="1100" w:type="dxa"/>
            <w:vAlign w:val="bottom"/>
            <w:gridSpan w:val="2"/>
          </w:tcPr>
          <w:p>
            <w:pPr>
              <w:jc w:val="right"/>
              <w:ind w:right="142"/>
              <w:spacing w:after="0" w:line="178" w:lineRule="exact"/>
              <w:rPr>
                <w:sz w:val="20"/>
                <w:szCs w:val="20"/>
                <w:color w:val="auto"/>
              </w:rPr>
            </w:pPr>
            <w:r>
              <w:rPr>
                <w:rFonts w:ascii="Calibri" w:cs="Calibri" w:eastAsia="Calibri" w:hAnsi="Calibri"/>
                <w:sz w:val="16"/>
                <w:szCs w:val="16"/>
                <w:color w:val="auto"/>
              </w:rPr>
              <w:t>$1,917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Sykes Enterprises, Incorporated</w:t>
            </w:r>
          </w:p>
        </w:tc>
        <w:tc>
          <w:tcPr>
            <w:tcW w:w="4960" w:type="dxa"/>
            <w:vAlign w:val="bottom"/>
          </w:tcPr>
          <w:p>
            <w:pPr>
              <w:ind w:left="12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1100" w:type="dxa"/>
            <w:vAlign w:val="bottom"/>
            <w:gridSpan w:val="2"/>
          </w:tcPr>
          <w:p>
            <w:pPr>
              <w:jc w:val="right"/>
              <w:ind w:right="142"/>
              <w:spacing w:after="0" w:line="178" w:lineRule="exact"/>
              <w:rPr>
                <w:sz w:val="20"/>
                <w:szCs w:val="20"/>
                <w:color w:val="auto"/>
              </w:rPr>
            </w:pPr>
            <w:r>
              <w:rPr>
                <w:rFonts w:ascii="Calibri" w:cs="Calibri" w:eastAsia="Calibri" w:hAnsi="Calibri"/>
                <w:sz w:val="16"/>
                <w:szCs w:val="16"/>
                <w:color w:val="auto"/>
              </w:rPr>
              <w:t>$1,710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980" w:type="dxa"/>
            <w:vAlign w:val="bottom"/>
            <w:tcBorders>
              <w:bottom w:val="single" w:sz="8" w:color="D8D8D8"/>
            </w:tcBorders>
            <w:gridSpan w:val="2"/>
            <w:shd w:val="clear" w:color="auto" w:fill="D8D8D8"/>
          </w:tcPr>
          <w:p>
            <w:pPr>
              <w:ind w:left="180"/>
              <w:spacing w:after="0" w:line="178" w:lineRule="exact"/>
              <w:rPr>
                <w:sz w:val="20"/>
                <w:szCs w:val="20"/>
                <w:color w:val="auto"/>
              </w:rPr>
            </w:pPr>
            <w:r>
              <w:rPr>
                <w:rFonts w:ascii="Calibri" w:cs="Calibri" w:eastAsia="Calibri" w:hAnsi="Calibri"/>
                <w:sz w:val="16"/>
                <w:szCs w:val="16"/>
                <w:b w:val="1"/>
                <w:bCs w:val="1"/>
                <w:color w:val="auto"/>
              </w:rPr>
              <w:t>ExlService Holdings, Inc.</w:t>
            </w:r>
          </w:p>
        </w:tc>
        <w:tc>
          <w:tcPr>
            <w:tcW w:w="4960" w:type="dxa"/>
            <w:vAlign w:val="bottom"/>
            <w:tcBorders>
              <w:bottom w:val="single" w:sz="8" w:color="D8D8D8"/>
            </w:tcBorders>
            <w:shd w:val="clear" w:color="auto" w:fill="D8D8D8"/>
          </w:tcPr>
          <w:p>
            <w:pPr>
              <w:ind w:left="120"/>
              <w:spacing w:after="0" w:line="178" w:lineRule="exact"/>
              <w:rPr>
                <w:sz w:val="20"/>
                <w:szCs w:val="20"/>
                <w:color w:val="auto"/>
              </w:rPr>
            </w:pPr>
            <w:r>
              <w:rPr>
                <w:rFonts w:ascii="Calibri" w:cs="Calibri" w:eastAsia="Calibri" w:hAnsi="Calibri"/>
                <w:sz w:val="16"/>
                <w:szCs w:val="16"/>
                <w:b w:val="1"/>
                <w:bCs w:val="1"/>
                <w:color w:val="auto"/>
              </w:rPr>
              <w:t>Data Processing and Outsourced Services</w:t>
            </w:r>
          </w:p>
        </w:tc>
        <w:tc>
          <w:tcPr>
            <w:tcW w:w="1100" w:type="dxa"/>
            <w:vAlign w:val="bottom"/>
            <w:tcBorders>
              <w:bottom w:val="single" w:sz="8" w:color="D8D8D8"/>
            </w:tcBorders>
            <w:gridSpan w:val="2"/>
            <w:shd w:val="clear" w:color="auto" w:fill="D8D8D8"/>
          </w:tcPr>
          <w:p>
            <w:pPr>
              <w:jc w:val="right"/>
              <w:ind w:right="142"/>
              <w:spacing w:after="0" w:line="178" w:lineRule="exact"/>
              <w:rPr>
                <w:sz w:val="20"/>
                <w:szCs w:val="20"/>
                <w:color w:val="auto"/>
              </w:rPr>
            </w:pPr>
            <w:r>
              <w:rPr>
                <w:rFonts w:ascii="Calibri" w:cs="Calibri" w:eastAsia="Calibri" w:hAnsi="Calibri"/>
                <w:sz w:val="16"/>
                <w:szCs w:val="16"/>
                <w:b w:val="1"/>
                <w:bCs w:val="1"/>
                <w:color w:val="auto"/>
              </w:rPr>
              <w:t>$1,122</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980" w:type="dxa"/>
            <w:vAlign w:val="bottom"/>
            <w:tcBorders>
              <w:top w:val="single" w:sz="8" w:color="auto"/>
            </w:tcBorders>
            <w:gridSpan w:val="2"/>
          </w:tcPr>
          <w:p>
            <w:pPr>
              <w:ind w:left="180"/>
              <w:spacing w:after="0" w:line="178" w:lineRule="exact"/>
              <w:rPr>
                <w:sz w:val="20"/>
                <w:szCs w:val="20"/>
                <w:color w:val="auto"/>
              </w:rPr>
            </w:pPr>
            <w:r>
              <w:rPr>
                <w:rFonts w:ascii="Calibri" w:cs="Calibri" w:eastAsia="Calibri" w:hAnsi="Calibri"/>
                <w:sz w:val="16"/>
                <w:szCs w:val="16"/>
                <w:color w:val="auto"/>
              </w:rPr>
              <w:t>MultPlan Corporaton</w:t>
            </w:r>
          </w:p>
        </w:tc>
        <w:tc>
          <w:tcPr>
            <w:tcW w:w="4960" w:type="dxa"/>
            <w:vAlign w:val="bottom"/>
            <w:tcBorders>
              <w:top w:val="single" w:sz="8" w:color="auto"/>
            </w:tcBorders>
          </w:tcPr>
          <w:p>
            <w:pPr>
              <w:ind w:left="120"/>
              <w:spacing w:after="0" w:line="178" w:lineRule="exact"/>
              <w:rPr>
                <w:sz w:val="20"/>
                <w:szCs w:val="20"/>
                <w:color w:val="auto"/>
              </w:rPr>
            </w:pPr>
            <w:r>
              <w:rPr>
                <w:rFonts w:ascii="Calibri" w:cs="Calibri" w:eastAsia="Calibri" w:hAnsi="Calibri"/>
                <w:sz w:val="16"/>
                <w:szCs w:val="16"/>
                <w:color w:val="auto"/>
              </w:rPr>
              <w:t>Health Care Technology</w:t>
            </w:r>
          </w:p>
        </w:tc>
        <w:tc>
          <w:tcPr>
            <w:tcW w:w="1100" w:type="dxa"/>
            <w:vAlign w:val="bottom"/>
            <w:tcBorders>
              <w:top w:val="single" w:sz="8" w:color="auto"/>
            </w:tcBorders>
            <w:gridSpan w:val="2"/>
          </w:tcPr>
          <w:p>
            <w:pPr>
              <w:jc w:val="right"/>
              <w:ind w:right="142"/>
              <w:spacing w:after="0" w:line="178" w:lineRule="exact"/>
              <w:rPr>
                <w:sz w:val="20"/>
                <w:szCs w:val="20"/>
                <w:color w:val="auto"/>
              </w:rPr>
            </w:pPr>
            <w:r>
              <w:rPr>
                <w:rFonts w:ascii="Calibri" w:cs="Calibri" w:eastAsia="Calibri" w:hAnsi="Calibri"/>
                <w:sz w:val="16"/>
                <w:szCs w:val="16"/>
                <w:color w:val="auto"/>
              </w:rPr>
              <w:t>$1,118</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CSG Systems Internatonal, Inc.</w:t>
            </w:r>
          </w:p>
        </w:tc>
        <w:tc>
          <w:tcPr>
            <w:tcW w:w="4960" w:type="dxa"/>
            <w:vAlign w:val="bottom"/>
          </w:tcPr>
          <w:p>
            <w:pPr>
              <w:ind w:left="12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1100" w:type="dxa"/>
            <w:vAlign w:val="bottom"/>
            <w:gridSpan w:val="2"/>
          </w:tcPr>
          <w:p>
            <w:pPr>
              <w:jc w:val="right"/>
              <w:ind w:right="142"/>
              <w:spacing w:after="0" w:line="178" w:lineRule="exact"/>
              <w:rPr>
                <w:sz w:val="20"/>
                <w:szCs w:val="20"/>
                <w:color w:val="auto"/>
              </w:rPr>
            </w:pPr>
            <w:r>
              <w:rPr>
                <w:rFonts w:ascii="Calibri" w:cs="Calibri" w:eastAsia="Calibri" w:hAnsi="Calibri"/>
                <w:sz w:val="16"/>
                <w:szCs w:val="16"/>
                <w:color w:val="auto"/>
              </w:rPr>
              <w:t>$1,046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WNS (Holdings) Limited</w:t>
            </w:r>
          </w:p>
        </w:tc>
        <w:tc>
          <w:tcPr>
            <w:tcW w:w="4960" w:type="dxa"/>
            <w:vAlign w:val="bottom"/>
          </w:tcPr>
          <w:p>
            <w:pPr>
              <w:ind w:left="120"/>
              <w:spacing w:after="0" w:line="178" w:lineRule="exact"/>
              <w:rPr>
                <w:sz w:val="20"/>
                <w:szCs w:val="20"/>
                <w:color w:val="auto"/>
              </w:rPr>
            </w:pPr>
            <w:r>
              <w:rPr>
                <w:rFonts w:ascii="Calibri" w:cs="Calibri" w:eastAsia="Calibri" w:hAnsi="Calibri"/>
                <w:sz w:val="16"/>
                <w:szCs w:val="16"/>
                <w:color w:val="auto"/>
              </w:rPr>
              <w:t>Data Processing and Outsourced Services</w:t>
            </w:r>
          </w:p>
        </w:tc>
        <w:tc>
          <w:tcPr>
            <w:tcW w:w="620" w:type="dxa"/>
            <w:vAlign w:val="bottom"/>
          </w:tcPr>
          <w:p>
            <w:pPr>
              <w:jc w:val="right"/>
              <w:ind w:right="21"/>
              <w:spacing w:after="0" w:line="178" w:lineRule="exact"/>
              <w:rPr>
                <w:sz w:val="20"/>
                <w:szCs w:val="20"/>
                <w:color w:val="auto"/>
              </w:rPr>
            </w:pPr>
            <w:r>
              <w:rPr>
                <w:rFonts w:ascii="Calibri" w:cs="Calibri" w:eastAsia="Calibri" w:hAnsi="Calibri"/>
                <w:sz w:val="16"/>
                <w:szCs w:val="16"/>
                <w:color w:val="auto"/>
              </w:rPr>
              <w:t>$</w:t>
            </w:r>
          </w:p>
        </w:tc>
        <w:tc>
          <w:tcPr>
            <w:tcW w:w="480" w:type="dxa"/>
            <w:vAlign w:val="bottom"/>
          </w:tcPr>
          <w:p>
            <w:pPr>
              <w:jc w:val="right"/>
              <w:ind w:right="162"/>
              <w:spacing w:after="0" w:line="178" w:lineRule="exact"/>
              <w:rPr>
                <w:sz w:val="20"/>
                <w:szCs w:val="20"/>
                <w:color w:val="auto"/>
              </w:rPr>
            </w:pPr>
            <w:r>
              <w:rPr>
                <w:rFonts w:ascii="Calibri" w:cs="Calibri" w:eastAsia="Calibri" w:hAnsi="Calibri"/>
                <w:sz w:val="16"/>
                <w:szCs w:val="16"/>
                <w:color w:val="auto"/>
                <w:w w:val="90"/>
              </w:rPr>
              <w:t>913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Cloudera, Inc.</w:t>
            </w:r>
          </w:p>
        </w:tc>
        <w:tc>
          <w:tcPr>
            <w:tcW w:w="4960" w:type="dxa"/>
            <w:vAlign w:val="bottom"/>
          </w:tcPr>
          <w:p>
            <w:pPr>
              <w:ind w:left="120"/>
              <w:spacing w:after="0" w:line="178" w:lineRule="exact"/>
              <w:rPr>
                <w:sz w:val="20"/>
                <w:szCs w:val="20"/>
                <w:color w:val="auto"/>
              </w:rPr>
            </w:pPr>
            <w:r>
              <w:rPr>
                <w:rFonts w:ascii="Calibri" w:cs="Calibri" w:eastAsia="Calibri" w:hAnsi="Calibri"/>
                <w:sz w:val="16"/>
                <w:szCs w:val="16"/>
                <w:color w:val="auto"/>
              </w:rPr>
              <w:t>Applicaton Sofware</w:t>
            </w:r>
          </w:p>
        </w:tc>
        <w:tc>
          <w:tcPr>
            <w:tcW w:w="620" w:type="dxa"/>
            <w:vAlign w:val="bottom"/>
          </w:tcPr>
          <w:p>
            <w:pPr>
              <w:jc w:val="right"/>
              <w:ind w:right="21"/>
              <w:spacing w:after="0" w:line="178" w:lineRule="exact"/>
              <w:rPr>
                <w:sz w:val="20"/>
                <w:szCs w:val="20"/>
                <w:color w:val="auto"/>
              </w:rPr>
            </w:pPr>
            <w:r>
              <w:rPr>
                <w:rFonts w:ascii="Calibri" w:cs="Calibri" w:eastAsia="Calibri" w:hAnsi="Calibri"/>
                <w:sz w:val="16"/>
                <w:szCs w:val="16"/>
                <w:color w:val="auto"/>
              </w:rPr>
              <w:t>$</w:t>
            </w:r>
          </w:p>
        </w:tc>
        <w:tc>
          <w:tcPr>
            <w:tcW w:w="480" w:type="dxa"/>
            <w:vAlign w:val="bottom"/>
          </w:tcPr>
          <w:p>
            <w:pPr>
              <w:jc w:val="right"/>
              <w:ind w:right="162"/>
              <w:spacing w:after="0" w:line="178" w:lineRule="exact"/>
              <w:rPr>
                <w:sz w:val="20"/>
                <w:szCs w:val="20"/>
                <w:color w:val="auto"/>
              </w:rPr>
            </w:pPr>
            <w:r>
              <w:rPr>
                <w:rFonts w:ascii="Calibri" w:cs="Calibri" w:eastAsia="Calibri" w:hAnsi="Calibri"/>
                <w:sz w:val="16"/>
                <w:szCs w:val="16"/>
                <w:color w:val="auto"/>
                <w:w w:val="90"/>
              </w:rPr>
              <w:t>869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Perfcient, Inc.</w:t>
            </w:r>
          </w:p>
        </w:tc>
        <w:tc>
          <w:tcPr>
            <w:tcW w:w="4960" w:type="dxa"/>
            <w:vAlign w:val="bottom"/>
          </w:tcPr>
          <w:p>
            <w:pPr>
              <w:ind w:left="120"/>
              <w:spacing w:after="0" w:line="178" w:lineRule="exact"/>
              <w:rPr>
                <w:sz w:val="20"/>
                <w:szCs w:val="20"/>
                <w:color w:val="auto"/>
              </w:rPr>
            </w:pPr>
            <w:r>
              <w:rPr>
                <w:rFonts w:ascii="Calibri" w:cs="Calibri" w:eastAsia="Calibri" w:hAnsi="Calibri"/>
                <w:sz w:val="16"/>
                <w:szCs w:val="16"/>
                <w:color w:val="auto"/>
              </w:rPr>
              <w:t>IT Consultng and Other Services</w:t>
            </w:r>
          </w:p>
        </w:tc>
        <w:tc>
          <w:tcPr>
            <w:tcW w:w="620" w:type="dxa"/>
            <w:vAlign w:val="bottom"/>
          </w:tcPr>
          <w:p>
            <w:pPr>
              <w:jc w:val="right"/>
              <w:ind w:right="21"/>
              <w:spacing w:after="0" w:line="178" w:lineRule="exact"/>
              <w:rPr>
                <w:sz w:val="20"/>
                <w:szCs w:val="20"/>
                <w:color w:val="auto"/>
              </w:rPr>
            </w:pPr>
            <w:r>
              <w:rPr>
                <w:rFonts w:ascii="Calibri" w:cs="Calibri" w:eastAsia="Calibri" w:hAnsi="Calibri"/>
                <w:sz w:val="16"/>
                <w:szCs w:val="16"/>
                <w:color w:val="auto"/>
              </w:rPr>
              <w:t>$</w:t>
            </w:r>
          </w:p>
        </w:tc>
        <w:tc>
          <w:tcPr>
            <w:tcW w:w="480" w:type="dxa"/>
            <w:vAlign w:val="bottom"/>
          </w:tcPr>
          <w:p>
            <w:pPr>
              <w:jc w:val="right"/>
              <w:ind w:right="162"/>
              <w:spacing w:after="0" w:line="178" w:lineRule="exact"/>
              <w:rPr>
                <w:sz w:val="20"/>
                <w:szCs w:val="20"/>
                <w:color w:val="auto"/>
              </w:rPr>
            </w:pPr>
            <w:r>
              <w:rPr>
                <w:rFonts w:ascii="Calibri" w:cs="Calibri" w:eastAsia="Calibri" w:hAnsi="Calibri"/>
                <w:sz w:val="16"/>
                <w:szCs w:val="16"/>
                <w:color w:val="auto"/>
                <w:w w:val="90"/>
              </w:rPr>
              <w:t>761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Guidewire Sofware, Inc.</w:t>
            </w:r>
          </w:p>
        </w:tc>
        <w:tc>
          <w:tcPr>
            <w:tcW w:w="4960" w:type="dxa"/>
            <w:vAlign w:val="bottom"/>
          </w:tcPr>
          <w:p>
            <w:pPr>
              <w:ind w:left="120"/>
              <w:spacing w:after="0" w:line="178" w:lineRule="exact"/>
              <w:rPr>
                <w:sz w:val="20"/>
                <w:szCs w:val="20"/>
                <w:color w:val="auto"/>
              </w:rPr>
            </w:pPr>
            <w:r>
              <w:rPr>
                <w:rFonts w:ascii="Calibri" w:cs="Calibri" w:eastAsia="Calibri" w:hAnsi="Calibri"/>
                <w:sz w:val="16"/>
                <w:szCs w:val="16"/>
                <w:color w:val="auto"/>
              </w:rPr>
              <w:t>Applicaton Sofware</w:t>
            </w:r>
          </w:p>
        </w:tc>
        <w:tc>
          <w:tcPr>
            <w:tcW w:w="620" w:type="dxa"/>
            <w:vAlign w:val="bottom"/>
          </w:tcPr>
          <w:p>
            <w:pPr>
              <w:jc w:val="right"/>
              <w:ind w:right="21"/>
              <w:spacing w:after="0" w:line="178" w:lineRule="exact"/>
              <w:rPr>
                <w:sz w:val="20"/>
                <w:szCs w:val="20"/>
                <w:color w:val="auto"/>
              </w:rPr>
            </w:pPr>
            <w:r>
              <w:rPr>
                <w:rFonts w:ascii="Calibri" w:cs="Calibri" w:eastAsia="Calibri" w:hAnsi="Calibri"/>
                <w:sz w:val="16"/>
                <w:szCs w:val="16"/>
                <w:color w:val="auto"/>
              </w:rPr>
              <w:t>$</w:t>
            </w:r>
          </w:p>
        </w:tc>
        <w:tc>
          <w:tcPr>
            <w:tcW w:w="480" w:type="dxa"/>
            <w:vAlign w:val="bottom"/>
          </w:tcPr>
          <w:p>
            <w:pPr>
              <w:jc w:val="right"/>
              <w:ind w:right="162"/>
              <w:spacing w:after="0" w:line="178" w:lineRule="exact"/>
              <w:rPr>
                <w:sz w:val="20"/>
                <w:szCs w:val="20"/>
                <w:color w:val="auto"/>
              </w:rPr>
            </w:pPr>
            <w:r>
              <w:rPr>
                <w:rFonts w:ascii="Calibri" w:cs="Calibri" w:eastAsia="Calibri" w:hAnsi="Calibri"/>
                <w:sz w:val="16"/>
                <w:szCs w:val="16"/>
                <w:color w:val="auto"/>
                <w:w w:val="90"/>
              </w:rPr>
              <w:t>743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2980" w:type="dxa"/>
            <w:vAlign w:val="bottom"/>
            <w:tcBorders>
              <w:bottom w:val="single" w:sz="8" w:color="auto"/>
            </w:tcBorders>
            <w:gridSpan w:val="2"/>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980" w:type="dxa"/>
            <w:vAlign w:val="bottom"/>
            <w:gridSpan w:val="2"/>
          </w:tcPr>
          <w:p>
            <w:pPr>
              <w:ind w:left="180"/>
              <w:spacing w:after="0" w:line="178" w:lineRule="exact"/>
              <w:rPr>
                <w:sz w:val="20"/>
                <w:szCs w:val="20"/>
                <w:color w:val="auto"/>
              </w:rPr>
            </w:pPr>
            <w:r>
              <w:rPr>
                <w:rFonts w:ascii="Calibri" w:cs="Calibri" w:eastAsia="Calibri" w:hAnsi="Calibri"/>
                <w:sz w:val="16"/>
                <w:szCs w:val="16"/>
                <w:color w:val="auto"/>
              </w:rPr>
              <w:t>Inovalon Holdings, Inc.</w:t>
            </w:r>
          </w:p>
        </w:tc>
        <w:tc>
          <w:tcPr>
            <w:tcW w:w="4960" w:type="dxa"/>
            <w:vAlign w:val="bottom"/>
          </w:tcPr>
          <w:p>
            <w:pPr>
              <w:ind w:left="120"/>
              <w:spacing w:after="0" w:line="178" w:lineRule="exact"/>
              <w:rPr>
                <w:sz w:val="20"/>
                <w:szCs w:val="20"/>
                <w:color w:val="auto"/>
              </w:rPr>
            </w:pPr>
            <w:r>
              <w:rPr>
                <w:rFonts w:ascii="Calibri" w:cs="Calibri" w:eastAsia="Calibri" w:hAnsi="Calibri"/>
                <w:sz w:val="16"/>
                <w:szCs w:val="16"/>
                <w:color w:val="auto"/>
              </w:rPr>
              <w:t>Health Care Technology</w:t>
            </w:r>
          </w:p>
        </w:tc>
        <w:tc>
          <w:tcPr>
            <w:tcW w:w="620" w:type="dxa"/>
            <w:vAlign w:val="bottom"/>
          </w:tcPr>
          <w:p>
            <w:pPr>
              <w:jc w:val="right"/>
              <w:ind w:right="21"/>
              <w:spacing w:after="0" w:line="178" w:lineRule="exact"/>
              <w:rPr>
                <w:sz w:val="20"/>
                <w:szCs w:val="20"/>
                <w:color w:val="auto"/>
              </w:rPr>
            </w:pPr>
            <w:r>
              <w:rPr>
                <w:rFonts w:ascii="Calibri" w:cs="Calibri" w:eastAsia="Calibri" w:hAnsi="Calibri"/>
                <w:sz w:val="16"/>
                <w:szCs w:val="16"/>
                <w:color w:val="auto"/>
              </w:rPr>
              <w:t>$</w:t>
            </w:r>
          </w:p>
        </w:tc>
        <w:tc>
          <w:tcPr>
            <w:tcW w:w="480" w:type="dxa"/>
            <w:vAlign w:val="bottom"/>
          </w:tcPr>
          <w:p>
            <w:pPr>
              <w:jc w:val="right"/>
              <w:ind w:right="162"/>
              <w:spacing w:after="0" w:line="178" w:lineRule="exact"/>
              <w:rPr>
                <w:sz w:val="20"/>
                <w:szCs w:val="20"/>
                <w:color w:val="auto"/>
              </w:rPr>
            </w:pPr>
            <w:r>
              <w:rPr>
                <w:rFonts w:ascii="Calibri" w:cs="Calibri" w:eastAsia="Calibri" w:hAnsi="Calibri"/>
                <w:sz w:val="16"/>
                <w:szCs w:val="16"/>
                <w:color w:val="auto"/>
                <w:w w:val="90"/>
              </w:rPr>
              <w:t>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040" w:type="dxa"/>
            <w:vAlign w:val="bottom"/>
            <w:gridSpan w:val="2"/>
            <w:vMerge w:val="restart"/>
          </w:tcPr>
          <w:p>
            <w:pPr>
              <w:ind w:left="640"/>
              <w:spacing w:after="0"/>
              <w:rPr>
                <w:sz w:val="20"/>
                <w:szCs w:val="20"/>
                <w:color w:val="auto"/>
              </w:rPr>
            </w:pPr>
            <w:r>
              <w:rPr>
                <w:rFonts w:ascii="Calibri" w:cs="Calibri" w:eastAsia="Calibri" w:hAnsi="Calibri"/>
                <w:sz w:val="17"/>
                <w:szCs w:val="17"/>
                <w:b w:val="1"/>
                <w:bCs w:val="1"/>
                <w:color w:val="auto"/>
              </w:rPr>
              <w:t>70</w:t>
            </w:r>
          </w:p>
        </w:tc>
        <w:tc>
          <w:tcPr>
            <w:tcW w:w="280" w:type="dxa"/>
            <w:vAlign w:val="bottom"/>
            <w:vMerge w:val="restart"/>
          </w:tcPr>
          <w:p>
            <w:pPr>
              <w:jc w:val="right"/>
              <w:ind w:right="1"/>
              <w:spacing w:after="0"/>
              <w:rPr>
                <w:sz w:val="20"/>
                <w:szCs w:val="20"/>
                <w:color w:val="auto"/>
              </w:rPr>
            </w:pPr>
            <w:r>
              <w:rPr>
                <w:rFonts w:ascii="Calibri" w:cs="Calibri" w:eastAsia="Calibri" w:hAnsi="Calibri"/>
                <w:sz w:val="28"/>
                <w:szCs w:val="28"/>
                <w:b w:val="1"/>
                <w:bCs w:val="1"/>
                <w:color w:val="FB4E0B"/>
                <w:w w:val="99"/>
              </w:rPr>
              <w:t>/</w:t>
            </w:r>
          </w:p>
        </w:tc>
        <w:tc>
          <w:tcPr>
            <w:tcW w:w="260" w:type="dxa"/>
            <w:vAlign w:val="bottom"/>
            <w:tcBorders>
              <w:right w:val="single" w:sz="8" w:color="FB4E0B"/>
            </w:tcBorders>
          </w:tcPr>
          <w:p>
            <w:pPr>
              <w:spacing w:after="0"/>
              <w:rPr>
                <w:sz w:val="2"/>
                <w:szCs w:val="2"/>
                <w:color w:val="auto"/>
              </w:rPr>
            </w:pPr>
          </w:p>
        </w:tc>
        <w:tc>
          <w:tcPr>
            <w:tcW w:w="2980" w:type="dxa"/>
            <w:vAlign w:val="bottom"/>
            <w:gridSpan w:val="2"/>
            <w:shd w:val="clear" w:color="auto" w:fill="FB4E0B"/>
          </w:tcPr>
          <w:p>
            <w:pPr>
              <w:spacing w:after="0"/>
              <w:rPr>
                <w:sz w:val="2"/>
                <w:szCs w:val="2"/>
                <w:color w:val="auto"/>
              </w:rPr>
            </w:pPr>
          </w:p>
        </w:tc>
        <w:tc>
          <w:tcPr>
            <w:tcW w:w="4960" w:type="dxa"/>
            <w:vAlign w:val="bottom"/>
            <w:shd w:val="clear" w:color="auto" w:fill="FB4E0B"/>
          </w:tcPr>
          <w:p>
            <w:pPr>
              <w:spacing w:after="0"/>
              <w:rPr>
                <w:sz w:val="2"/>
                <w:szCs w:val="2"/>
                <w:color w:val="auto"/>
              </w:rPr>
            </w:pPr>
          </w:p>
        </w:tc>
        <w:tc>
          <w:tcPr>
            <w:tcW w:w="620" w:type="dxa"/>
            <w:vAlign w:val="bottom"/>
            <w:shd w:val="clear" w:color="auto" w:fill="FB4E0B"/>
          </w:tcPr>
          <w:p>
            <w:pPr>
              <w:spacing w:after="0"/>
              <w:rPr>
                <w:sz w:val="2"/>
                <w:szCs w:val="2"/>
                <w:color w:val="auto"/>
              </w:rPr>
            </w:pPr>
          </w:p>
        </w:tc>
        <w:tc>
          <w:tcPr>
            <w:tcW w:w="480" w:type="dxa"/>
            <w:vAlign w:val="bottom"/>
            <w:shd w:val="clear" w:color="auto" w:fill="FB4E0B"/>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1040" w:type="dxa"/>
            <w:vAlign w:val="bottom"/>
            <w:gridSpan w:val="2"/>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3240" w:type="dxa"/>
            <w:vAlign w:val="bottom"/>
            <w:gridSpan w:val="3"/>
          </w:tcPr>
          <w:p>
            <w:pPr>
              <w:ind w:left="100"/>
              <w:spacing w:after="0"/>
              <w:rPr>
                <w:sz w:val="20"/>
                <w:szCs w:val="20"/>
                <w:color w:val="auto"/>
              </w:rPr>
            </w:pPr>
            <w:r>
              <w:rPr>
                <w:rFonts w:ascii="Calibri" w:cs="Calibri" w:eastAsia="Calibri" w:hAnsi="Calibri"/>
                <w:sz w:val="13"/>
                <w:szCs w:val="13"/>
                <w:color w:val="auto"/>
              </w:rPr>
              <w:t>EXL 2022 Proxy Statement</w:t>
            </w:r>
          </w:p>
        </w:tc>
        <w:tc>
          <w:tcPr>
            <w:tcW w:w="4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45" w:right="6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44" w:lineRule="exact"/>
        <w:rPr>
          <w:sz w:val="20"/>
          <w:szCs w:val="20"/>
          <w:color w:val="auto"/>
        </w:rPr>
      </w:pPr>
    </w:p>
    <w:p>
      <w:pPr>
        <w:ind w:left="2000" w:right="20"/>
        <w:spacing w:after="0" w:line="237" w:lineRule="auto"/>
        <w:rPr>
          <w:sz w:val="20"/>
          <w:szCs w:val="20"/>
          <w:color w:val="auto"/>
        </w:rPr>
      </w:pPr>
      <w:r>
        <w:rPr>
          <w:rFonts w:ascii="Calibri" w:cs="Calibri" w:eastAsia="Calibri" w:hAnsi="Calibri"/>
          <w:sz w:val="16"/>
          <w:szCs w:val="16"/>
          <w:color w:val="auto"/>
        </w:rPr>
        <w:t>Management also separately engaged Aon Consultng in 2019 for the purpose of providing a survey of compensaton data (the parameters of which were not prepared by Aon Consultng) for individuals in our global industry holding analogous positons to our executve ofcers. While the Compensaton Commitee reviewed and considered the data provided by these surveys, it did not consider or review the compensaton paid to executves at the component companies included within such surveys and did not use this informaton or any other data as a defnitve benchmark to set executve compensaton for fscal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-600710</wp:posOffset>
            </wp:positionV>
            <wp:extent cx="8255" cy="18999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1899920"/>
                    </a:xfrm>
                    <a:prstGeom prst="rect">
                      <a:avLst/>
                    </a:prstGeom>
                    <a:noFill/>
                  </pic:spPr>
                </pic:pic>
              </a:graphicData>
            </a:graphic>
          </wp:anchor>
        </w:drawing>
      </w:r>
    </w:p>
    <w:p>
      <w:pPr>
        <w:spacing w:after="0" w:line="251" w:lineRule="exact"/>
        <w:rPr>
          <w:sz w:val="20"/>
          <w:szCs w:val="20"/>
          <w:color w:val="auto"/>
        </w:rPr>
      </w:pPr>
    </w:p>
    <w:p>
      <w:pPr>
        <w:ind w:left="2000" w:right="200"/>
        <w:spacing w:after="0" w:line="235" w:lineRule="auto"/>
        <w:rPr>
          <w:sz w:val="20"/>
          <w:szCs w:val="20"/>
          <w:color w:val="auto"/>
        </w:rPr>
      </w:pPr>
      <w:r>
        <w:rPr>
          <w:rFonts w:ascii="Calibri" w:cs="Calibri" w:eastAsia="Calibri" w:hAnsi="Calibri"/>
          <w:sz w:val="16"/>
          <w:szCs w:val="16"/>
          <w:color w:val="auto"/>
        </w:rPr>
        <w:t>Our Compensaton Commitee reviews compensaton informaton provided by Farient and other third party data in order to evaluate each executve’s base pay, incentve bonus and equity incentves when changes in compensaton are considered. Compensaton decisions are designed to promote our fundamental business objectves and strategy.</w:t>
      </w:r>
    </w:p>
    <w:p>
      <w:pPr>
        <w:spacing w:after="0" w:line="272" w:lineRule="exact"/>
        <w:rPr>
          <w:sz w:val="20"/>
          <w:szCs w:val="20"/>
          <w:color w:val="auto"/>
        </w:rPr>
      </w:pPr>
    </w:p>
    <w:p>
      <w:pPr>
        <w:ind w:left="2000" w:right="220"/>
        <w:spacing w:after="0" w:line="235" w:lineRule="auto"/>
        <w:rPr>
          <w:sz w:val="20"/>
          <w:szCs w:val="20"/>
          <w:color w:val="auto"/>
        </w:rPr>
      </w:pPr>
      <w:r>
        <w:rPr>
          <w:rFonts w:ascii="Calibri" w:cs="Calibri" w:eastAsia="Calibri" w:hAnsi="Calibri"/>
          <w:sz w:val="16"/>
          <w:szCs w:val="16"/>
          <w:color w:val="auto"/>
        </w:rPr>
        <w:t>Our Compensaton Commitee uses the compensaton data to obtain a general understanding of current market practces, so it can design our executve compensaton program to be compettve. Market data is not used exclusively, but rather as a point of reference to draw comparisons and distnctons.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224790</wp:posOffset>
            </wp:positionV>
            <wp:extent cx="6740525" cy="165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Components of executve compensaton for 2021</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2021, the compensaton of executve ofcers consisted of the following fve primary components:</w:t>
      </w: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520" w:type="dxa"/>
            <w:vAlign w:val="bottom"/>
          </w:tcPr>
          <w:p>
            <w:pPr>
              <w:ind w:left="80"/>
              <w:spacing w:after="0"/>
              <w:rPr>
                <w:sz w:val="20"/>
                <w:szCs w:val="20"/>
                <w:color w:val="auto"/>
              </w:rPr>
            </w:pPr>
            <w:r>
              <w:rPr>
                <w:rFonts w:ascii="Calibri" w:cs="Calibri" w:eastAsia="Calibri" w:hAnsi="Calibri"/>
                <w:sz w:val="17"/>
                <w:szCs w:val="17"/>
                <w:b w:val="1"/>
                <w:bCs w:val="1"/>
                <w:color w:val="FB4E0B"/>
              </w:rPr>
              <w:t>Compensaton component</w:t>
            </w:r>
          </w:p>
        </w:tc>
        <w:tc>
          <w:tcPr>
            <w:tcW w:w="3620" w:type="dxa"/>
            <w:vAlign w:val="bottom"/>
          </w:tcPr>
          <w:p>
            <w:pPr>
              <w:ind w:left="200"/>
              <w:spacing w:after="0"/>
              <w:rPr>
                <w:sz w:val="20"/>
                <w:szCs w:val="20"/>
                <w:color w:val="auto"/>
              </w:rPr>
            </w:pPr>
            <w:r>
              <w:rPr>
                <w:rFonts w:ascii="Calibri" w:cs="Calibri" w:eastAsia="Calibri" w:hAnsi="Calibri"/>
                <w:sz w:val="17"/>
                <w:szCs w:val="17"/>
                <w:b w:val="1"/>
                <w:bCs w:val="1"/>
                <w:color w:val="FB4E0B"/>
              </w:rPr>
              <w:t>Descripton</w:t>
            </w:r>
          </w:p>
        </w:tc>
        <w:tc>
          <w:tcPr>
            <w:tcW w:w="2520" w:type="dxa"/>
            <w:vAlign w:val="bottom"/>
          </w:tcPr>
          <w:p>
            <w:pPr>
              <w:ind w:left="180"/>
              <w:spacing w:after="0"/>
              <w:rPr>
                <w:sz w:val="20"/>
                <w:szCs w:val="20"/>
                <w:color w:val="auto"/>
              </w:rPr>
            </w:pPr>
            <w:r>
              <w:rPr>
                <w:rFonts w:ascii="Calibri" w:cs="Calibri" w:eastAsia="Calibri" w:hAnsi="Calibri"/>
                <w:sz w:val="17"/>
                <w:szCs w:val="17"/>
                <w:b w:val="1"/>
                <w:bCs w:val="1"/>
                <w:color w:val="FB4E0B"/>
              </w:rPr>
              <w:t>Objectves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3520" w:type="dxa"/>
            <w:vAlign w:val="bottom"/>
            <w:tcBorders>
              <w:bottom w:val="single" w:sz="8" w:color="FB4E0B"/>
            </w:tcBorders>
          </w:tcPr>
          <w:p>
            <w:pPr>
              <w:spacing w:after="0"/>
              <w:rPr>
                <w:sz w:val="4"/>
                <w:szCs w:val="4"/>
                <w:color w:val="auto"/>
              </w:rPr>
            </w:pPr>
          </w:p>
        </w:tc>
        <w:tc>
          <w:tcPr>
            <w:tcW w:w="3620" w:type="dxa"/>
            <w:vAlign w:val="bottom"/>
            <w:tcBorders>
              <w:bottom w:val="single" w:sz="8" w:color="FB4E0B"/>
            </w:tcBorders>
          </w:tcPr>
          <w:p>
            <w:pPr>
              <w:spacing w:after="0"/>
              <w:rPr>
                <w:sz w:val="4"/>
                <w:szCs w:val="4"/>
                <w:color w:val="auto"/>
              </w:rPr>
            </w:pPr>
          </w:p>
        </w:tc>
        <w:tc>
          <w:tcPr>
            <w:tcW w:w="3480" w:type="dxa"/>
            <w:vAlign w:val="bottom"/>
            <w:tcBorders>
              <w:bottom w:val="single" w:sz="8" w:color="FB4E0B"/>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Base salary</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Fixed compensaton that is reviewed annually and is</w:t>
            </w:r>
          </w:p>
        </w:tc>
        <w:tc>
          <w:tcPr>
            <w:tcW w:w="3480" w:type="dxa"/>
            <w:vAlign w:val="bottom"/>
            <w:gridSpan w:val="2"/>
          </w:tcPr>
          <w:p>
            <w:pPr>
              <w:ind w:left="180"/>
              <w:spacing w:after="0"/>
              <w:rPr>
                <w:sz w:val="20"/>
                <w:szCs w:val="20"/>
                <w:color w:val="auto"/>
              </w:rPr>
            </w:pPr>
            <w:r>
              <w:rPr>
                <w:rFonts w:ascii="Calibri" w:cs="Calibri" w:eastAsia="Calibri" w:hAnsi="Calibri"/>
                <w:sz w:val="16"/>
                <w:szCs w:val="16"/>
                <w:color w:val="auto"/>
              </w:rPr>
              <w:t>Provide a base level of compensaton that</w:t>
            </w:r>
          </w:p>
        </w:tc>
        <w:tc>
          <w:tcPr>
            <w:tcW w:w="0" w:type="dxa"/>
            <w:vAlign w:val="bottom"/>
          </w:tcPr>
          <w:p>
            <w:pPr>
              <w:spacing w:after="0"/>
              <w:rPr>
                <w:sz w:val="1"/>
                <w:szCs w:val="1"/>
                <w:color w:val="auto"/>
              </w:rPr>
            </w:pPr>
          </w:p>
        </w:tc>
      </w:tr>
      <w:tr>
        <w:trPr>
          <w:trHeight w:val="18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based on performance, experience, responsibilites,</w:t>
            </w:r>
          </w:p>
        </w:tc>
        <w:tc>
          <w:tcPr>
            <w:tcW w:w="3480" w:type="dxa"/>
            <w:vAlign w:val="bottom"/>
            <w:gridSpan w:val="2"/>
          </w:tcPr>
          <w:p>
            <w:pPr>
              <w:ind w:left="180"/>
              <w:spacing w:after="0" w:line="185" w:lineRule="exact"/>
              <w:rPr>
                <w:sz w:val="20"/>
                <w:szCs w:val="20"/>
                <w:color w:val="auto"/>
              </w:rPr>
            </w:pPr>
            <w:r>
              <w:rPr>
                <w:rFonts w:ascii="Calibri" w:cs="Calibri" w:eastAsia="Calibri" w:hAnsi="Calibri"/>
                <w:sz w:val="16"/>
                <w:szCs w:val="16"/>
                <w:color w:val="auto"/>
              </w:rPr>
              <w:t>corresponds to the job functon performed.</w:t>
            </w: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skill set and market value.</w:t>
            </w:r>
          </w:p>
        </w:tc>
        <w:tc>
          <w:tcPr>
            <w:tcW w:w="3480" w:type="dxa"/>
            <w:vAlign w:val="bottom"/>
            <w:gridSpan w:val="2"/>
            <w:vMerge w:val="restart"/>
          </w:tcPr>
          <w:p>
            <w:pPr>
              <w:ind w:left="180"/>
              <w:spacing w:after="0"/>
              <w:rPr>
                <w:sz w:val="20"/>
                <w:szCs w:val="20"/>
                <w:color w:val="auto"/>
              </w:rPr>
            </w:pPr>
            <w:r>
              <w:rPr>
                <w:rFonts w:ascii="Calibri" w:cs="Calibri" w:eastAsia="Calibri" w:hAnsi="Calibri"/>
                <w:sz w:val="16"/>
                <w:szCs w:val="16"/>
                <w:color w:val="auto"/>
              </w:rPr>
              <w:t>Atract, retain, reward and motvate qualifed and</w:t>
            </w:r>
          </w:p>
        </w:tc>
        <w:tc>
          <w:tcPr>
            <w:tcW w:w="0" w:type="dxa"/>
            <w:vAlign w:val="bottom"/>
          </w:tcPr>
          <w:p>
            <w:pPr>
              <w:spacing w:after="0"/>
              <w:rPr>
                <w:sz w:val="1"/>
                <w:szCs w:val="1"/>
                <w:color w:val="auto"/>
              </w:rPr>
            </w:pPr>
          </w:p>
        </w:tc>
      </w:tr>
      <w:tr>
        <w:trPr>
          <w:trHeight w:val="117"/>
        </w:trPr>
        <w:tc>
          <w:tcPr>
            <w:tcW w:w="352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tcPr>
          <w:p>
            <w:pPr>
              <w:spacing w:after="0"/>
              <w:rPr>
                <w:sz w:val="10"/>
                <w:szCs w:val="10"/>
                <w:color w:val="auto"/>
              </w:rPr>
            </w:pPr>
          </w:p>
        </w:tc>
        <w:tc>
          <w:tcPr>
            <w:tcW w:w="3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2520" w:type="dxa"/>
            <w:vAlign w:val="bottom"/>
          </w:tcPr>
          <w:p>
            <w:pPr>
              <w:ind w:left="180"/>
              <w:spacing w:after="0"/>
              <w:rPr>
                <w:sz w:val="20"/>
                <w:szCs w:val="20"/>
                <w:color w:val="auto"/>
              </w:rPr>
            </w:pPr>
            <w:r>
              <w:rPr>
                <w:rFonts w:ascii="Calibri" w:cs="Calibri" w:eastAsia="Calibri" w:hAnsi="Calibri"/>
                <w:sz w:val="16"/>
                <w:szCs w:val="16"/>
                <w:color w:val="auto"/>
              </w:rPr>
              <w:t>experienced executves.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2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Annual incentves</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“At-risk” compensaton earned based on</w:t>
            </w:r>
          </w:p>
        </w:tc>
        <w:tc>
          <w:tcPr>
            <w:tcW w:w="3480" w:type="dxa"/>
            <w:vAlign w:val="bottom"/>
            <w:gridSpan w:val="2"/>
          </w:tcPr>
          <w:p>
            <w:pPr>
              <w:ind w:left="180"/>
              <w:spacing w:after="0"/>
              <w:rPr>
                <w:sz w:val="20"/>
                <w:szCs w:val="20"/>
                <w:color w:val="auto"/>
              </w:rPr>
            </w:pPr>
            <w:r>
              <w:rPr>
                <w:rFonts w:ascii="Calibri" w:cs="Calibri" w:eastAsia="Calibri" w:hAnsi="Calibri"/>
                <w:sz w:val="16"/>
                <w:szCs w:val="16"/>
                <w:color w:val="auto"/>
              </w:rPr>
              <w:t>Incentvize executves to achieve annual goals that</w:t>
            </w:r>
          </w:p>
        </w:tc>
        <w:tc>
          <w:tcPr>
            <w:tcW w:w="0" w:type="dxa"/>
            <w:vAlign w:val="bottom"/>
          </w:tcPr>
          <w:p>
            <w:pPr>
              <w:spacing w:after="0"/>
              <w:rPr>
                <w:sz w:val="1"/>
                <w:szCs w:val="1"/>
                <w:color w:val="auto"/>
              </w:rPr>
            </w:pPr>
          </w:p>
        </w:tc>
      </w:tr>
      <w:tr>
        <w:trPr>
          <w:trHeight w:val="18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performance measured against pre-established</w:t>
            </w:r>
          </w:p>
        </w:tc>
        <w:tc>
          <w:tcPr>
            <w:tcW w:w="3480" w:type="dxa"/>
            <w:vAlign w:val="bottom"/>
            <w:gridSpan w:val="2"/>
          </w:tcPr>
          <w:p>
            <w:pPr>
              <w:ind w:left="180"/>
              <w:spacing w:after="0" w:line="185" w:lineRule="exact"/>
              <w:rPr>
                <w:sz w:val="20"/>
                <w:szCs w:val="20"/>
                <w:color w:val="auto"/>
              </w:rPr>
            </w:pPr>
            <w:r>
              <w:rPr>
                <w:rFonts w:ascii="Calibri" w:cs="Calibri" w:eastAsia="Calibri" w:hAnsi="Calibri"/>
                <w:sz w:val="16"/>
                <w:szCs w:val="16"/>
                <w:color w:val="auto"/>
                <w:w w:val="98"/>
              </w:rPr>
              <w:t>ultmately contribute to long-term company growth</w:t>
            </w: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annual goals.</w:t>
            </w:r>
          </w:p>
        </w:tc>
        <w:tc>
          <w:tcPr>
            <w:tcW w:w="2520" w:type="dxa"/>
            <w:vAlign w:val="bottom"/>
          </w:tcPr>
          <w:p>
            <w:pPr>
              <w:ind w:left="180"/>
              <w:spacing w:after="0"/>
              <w:rPr>
                <w:sz w:val="20"/>
                <w:szCs w:val="20"/>
                <w:color w:val="auto"/>
              </w:rPr>
            </w:pPr>
            <w:r>
              <w:rPr>
                <w:rFonts w:ascii="Calibri" w:cs="Calibri" w:eastAsia="Calibri" w:hAnsi="Calibri"/>
                <w:sz w:val="16"/>
                <w:szCs w:val="16"/>
                <w:color w:val="auto"/>
              </w:rPr>
              <w:t>and stockholder return.</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52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75% of each NEOs award is ted to company-wide</w:t>
            </w: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performance with the remaining 25% to the</w:t>
            </w:r>
          </w:p>
        </w:tc>
        <w:tc>
          <w:tcPr>
            <w:tcW w:w="2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achievement of individualized goals.</w:t>
            </w:r>
          </w:p>
        </w:tc>
        <w:tc>
          <w:tcPr>
            <w:tcW w:w="2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2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Long-term incentves</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w w:val="97"/>
              </w:rPr>
              <w:t>“At-risk” compensaton in the form of restricted stock</w:t>
            </w:r>
          </w:p>
        </w:tc>
        <w:tc>
          <w:tcPr>
            <w:tcW w:w="3480" w:type="dxa"/>
            <w:vAlign w:val="bottom"/>
            <w:gridSpan w:val="2"/>
          </w:tcPr>
          <w:p>
            <w:pPr>
              <w:ind w:left="180"/>
              <w:spacing w:after="0"/>
              <w:rPr>
                <w:sz w:val="20"/>
                <w:szCs w:val="20"/>
                <w:color w:val="auto"/>
              </w:rPr>
            </w:pPr>
            <w:r>
              <w:rPr>
                <w:rFonts w:ascii="Calibri" w:cs="Calibri" w:eastAsia="Calibri" w:hAnsi="Calibri"/>
                <w:sz w:val="16"/>
                <w:szCs w:val="16"/>
                <w:color w:val="auto"/>
                <w:w w:val="97"/>
              </w:rPr>
              <w:t>Align executve interests with those of stockholders.</w:t>
            </w:r>
          </w:p>
        </w:tc>
        <w:tc>
          <w:tcPr>
            <w:tcW w:w="0" w:type="dxa"/>
            <w:vAlign w:val="bottom"/>
          </w:tcPr>
          <w:p>
            <w:pPr>
              <w:spacing w:after="0"/>
              <w:rPr>
                <w:sz w:val="1"/>
                <w:szCs w:val="1"/>
                <w:color w:val="auto"/>
              </w:rPr>
            </w:pPr>
          </w:p>
        </w:tc>
      </w:tr>
      <w:tr>
        <w:trPr>
          <w:trHeight w:val="18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unit awards whose value fuctuates according to</w:t>
            </w:r>
          </w:p>
        </w:tc>
        <w:tc>
          <w:tcPr>
            <w:tcW w:w="3480" w:type="dxa"/>
            <w:vAlign w:val="bottom"/>
            <w:gridSpan w:val="2"/>
            <w:vMerge w:val="restart"/>
          </w:tcPr>
          <w:p>
            <w:pPr>
              <w:ind w:left="180"/>
              <w:spacing w:after="0"/>
              <w:rPr>
                <w:sz w:val="20"/>
                <w:szCs w:val="20"/>
                <w:color w:val="auto"/>
              </w:rPr>
            </w:pPr>
            <w:r>
              <w:rPr>
                <w:rFonts w:ascii="Calibri" w:cs="Calibri" w:eastAsia="Calibri" w:hAnsi="Calibri"/>
                <w:sz w:val="16"/>
                <w:szCs w:val="16"/>
                <w:color w:val="auto"/>
              </w:rPr>
              <w:t>Reward contnuous service with the company.</w:t>
            </w:r>
          </w:p>
        </w:tc>
        <w:tc>
          <w:tcPr>
            <w:tcW w:w="0" w:type="dxa"/>
            <w:vAlign w:val="bottom"/>
          </w:tcPr>
          <w:p>
            <w:pPr>
              <w:spacing w:after="0"/>
              <w:rPr>
                <w:sz w:val="1"/>
                <w:szCs w:val="1"/>
                <w:color w:val="auto"/>
              </w:rPr>
            </w:pPr>
          </w:p>
        </w:tc>
      </w:tr>
      <w:tr>
        <w:trPr>
          <w:trHeight w:val="117"/>
        </w:trPr>
        <w:tc>
          <w:tcPr>
            <w:tcW w:w="352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vMerge w:val="restart"/>
          </w:tcPr>
          <w:p>
            <w:pPr>
              <w:ind w:left="200"/>
              <w:spacing w:after="0"/>
              <w:rPr>
                <w:sz w:val="20"/>
                <w:szCs w:val="20"/>
                <w:color w:val="auto"/>
              </w:rPr>
            </w:pPr>
            <w:r>
              <w:rPr>
                <w:rFonts w:ascii="Calibri" w:cs="Calibri" w:eastAsia="Calibri" w:hAnsi="Calibri"/>
                <w:sz w:val="16"/>
                <w:szCs w:val="16"/>
                <w:color w:val="auto"/>
              </w:rPr>
              <w:t>stockholder value.</w:t>
            </w:r>
          </w:p>
        </w:tc>
        <w:tc>
          <w:tcPr>
            <w:tcW w:w="3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520" w:type="dxa"/>
            <w:vAlign w:val="bottom"/>
            <w:tcBorders>
              <w:right w:val="single" w:sz="8" w:color="auto"/>
            </w:tcBorders>
          </w:tcPr>
          <w:p>
            <w:pPr>
              <w:spacing w:after="0"/>
              <w:rPr>
                <w:sz w:val="6"/>
                <w:szCs w:val="6"/>
                <w:color w:val="auto"/>
              </w:rPr>
            </w:pPr>
          </w:p>
        </w:tc>
        <w:tc>
          <w:tcPr>
            <w:tcW w:w="3620" w:type="dxa"/>
            <w:vAlign w:val="bottom"/>
            <w:tcBorders>
              <w:right w:val="single" w:sz="8" w:color="auto"/>
            </w:tcBorders>
            <w:vMerge w:val="continue"/>
          </w:tcPr>
          <w:p>
            <w:pPr>
              <w:spacing w:after="0"/>
              <w:rPr>
                <w:sz w:val="6"/>
                <w:szCs w:val="6"/>
                <w:color w:val="auto"/>
              </w:rPr>
            </w:pPr>
          </w:p>
        </w:tc>
        <w:tc>
          <w:tcPr>
            <w:tcW w:w="252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52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vMerge w:val="restart"/>
          </w:tcPr>
          <w:p>
            <w:pPr>
              <w:ind w:left="200"/>
              <w:spacing w:after="0"/>
              <w:rPr>
                <w:sz w:val="20"/>
                <w:szCs w:val="20"/>
                <w:color w:val="auto"/>
              </w:rPr>
            </w:pPr>
            <w:r>
              <w:rPr>
                <w:rFonts w:ascii="Calibri" w:cs="Calibri" w:eastAsia="Calibri" w:hAnsi="Calibri"/>
                <w:sz w:val="16"/>
                <w:szCs w:val="16"/>
                <w:color w:val="auto"/>
              </w:rPr>
              <w:t>50% of the award vests based on contnued service.</w:t>
            </w:r>
          </w:p>
        </w:tc>
        <w:tc>
          <w:tcPr>
            <w:tcW w:w="3480" w:type="dxa"/>
            <w:vAlign w:val="bottom"/>
            <w:gridSpan w:val="2"/>
          </w:tcPr>
          <w:p>
            <w:pPr>
              <w:ind w:left="180"/>
              <w:spacing w:after="0"/>
              <w:rPr>
                <w:sz w:val="20"/>
                <w:szCs w:val="20"/>
                <w:color w:val="auto"/>
              </w:rPr>
            </w:pPr>
            <w:r>
              <w:rPr>
                <w:rFonts w:ascii="Calibri" w:cs="Calibri" w:eastAsia="Calibri" w:hAnsi="Calibri"/>
                <w:sz w:val="16"/>
                <w:szCs w:val="16"/>
                <w:color w:val="auto"/>
              </w:rPr>
              <w:t>Incentvize executves to achieve goals that drive</w:t>
            </w:r>
          </w:p>
        </w:tc>
        <w:tc>
          <w:tcPr>
            <w:tcW w:w="0" w:type="dxa"/>
            <w:vAlign w:val="bottom"/>
          </w:tcPr>
          <w:p>
            <w:pPr>
              <w:spacing w:after="0"/>
              <w:rPr>
                <w:sz w:val="1"/>
                <w:szCs w:val="1"/>
                <w:color w:val="auto"/>
              </w:rPr>
            </w:pPr>
          </w:p>
        </w:tc>
      </w:tr>
      <w:tr>
        <w:trPr>
          <w:trHeight w:val="78"/>
        </w:trPr>
        <w:tc>
          <w:tcPr>
            <w:tcW w:w="3520" w:type="dxa"/>
            <w:vAlign w:val="bottom"/>
            <w:tcBorders>
              <w:right w:val="single" w:sz="8" w:color="auto"/>
            </w:tcBorders>
          </w:tcPr>
          <w:p>
            <w:pPr>
              <w:spacing w:after="0"/>
              <w:rPr>
                <w:sz w:val="6"/>
                <w:szCs w:val="6"/>
                <w:color w:val="auto"/>
              </w:rPr>
            </w:pPr>
          </w:p>
        </w:tc>
        <w:tc>
          <w:tcPr>
            <w:tcW w:w="3620" w:type="dxa"/>
            <w:vAlign w:val="bottom"/>
            <w:tcBorders>
              <w:right w:val="single" w:sz="8" w:color="auto"/>
            </w:tcBorders>
            <w:vMerge w:val="continue"/>
          </w:tcPr>
          <w:p>
            <w:pPr>
              <w:spacing w:after="0"/>
              <w:rPr>
                <w:sz w:val="6"/>
                <w:szCs w:val="6"/>
                <w:color w:val="auto"/>
              </w:rPr>
            </w:pPr>
          </w:p>
        </w:tc>
        <w:tc>
          <w:tcPr>
            <w:tcW w:w="3480" w:type="dxa"/>
            <w:vAlign w:val="bottom"/>
            <w:gridSpan w:val="2"/>
            <w:vMerge w:val="restart"/>
          </w:tcPr>
          <w:p>
            <w:pPr>
              <w:ind w:left="180"/>
              <w:spacing w:after="0"/>
              <w:rPr>
                <w:sz w:val="20"/>
                <w:szCs w:val="20"/>
                <w:color w:val="auto"/>
              </w:rPr>
            </w:pPr>
            <w:r>
              <w:rPr>
                <w:rFonts w:ascii="Calibri" w:cs="Calibri" w:eastAsia="Calibri" w:hAnsi="Calibri"/>
                <w:sz w:val="16"/>
                <w:szCs w:val="16"/>
                <w:color w:val="auto"/>
              </w:rPr>
              <w:t>company performance over the long-term.</w:t>
            </w:r>
          </w:p>
        </w:tc>
        <w:tc>
          <w:tcPr>
            <w:tcW w:w="0" w:type="dxa"/>
            <w:vAlign w:val="bottom"/>
          </w:tcPr>
          <w:p>
            <w:pPr>
              <w:spacing w:after="0"/>
              <w:rPr>
                <w:sz w:val="1"/>
                <w:szCs w:val="1"/>
                <w:color w:val="auto"/>
              </w:rPr>
            </w:pPr>
          </w:p>
        </w:tc>
      </w:tr>
      <w:tr>
        <w:trPr>
          <w:trHeight w:val="117"/>
        </w:trPr>
        <w:tc>
          <w:tcPr>
            <w:tcW w:w="352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tcPr>
          <w:p>
            <w:pPr>
              <w:spacing w:after="0"/>
              <w:rPr>
                <w:sz w:val="10"/>
                <w:szCs w:val="10"/>
                <w:color w:val="auto"/>
              </w:rPr>
            </w:pPr>
          </w:p>
        </w:tc>
        <w:tc>
          <w:tcPr>
            <w:tcW w:w="3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w w:val="97"/>
              </w:rPr>
              <w:t>50% vests based on achievement of total stockholder</w:t>
            </w:r>
          </w:p>
        </w:tc>
        <w:tc>
          <w:tcPr>
            <w:tcW w:w="2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return goals.</w:t>
            </w:r>
          </w:p>
        </w:tc>
        <w:tc>
          <w:tcPr>
            <w:tcW w:w="2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2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Other benefts</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Broad-based benefts provided to company</w:t>
            </w:r>
          </w:p>
        </w:tc>
        <w:tc>
          <w:tcPr>
            <w:tcW w:w="3480" w:type="dxa"/>
            <w:vAlign w:val="bottom"/>
            <w:gridSpan w:val="2"/>
          </w:tcPr>
          <w:p>
            <w:pPr>
              <w:ind w:left="180"/>
              <w:spacing w:after="0"/>
              <w:rPr>
                <w:sz w:val="20"/>
                <w:szCs w:val="20"/>
                <w:color w:val="auto"/>
              </w:rPr>
            </w:pPr>
            <w:r>
              <w:rPr>
                <w:rFonts w:ascii="Calibri" w:cs="Calibri" w:eastAsia="Calibri" w:hAnsi="Calibri"/>
                <w:sz w:val="16"/>
                <w:szCs w:val="16"/>
                <w:color w:val="auto"/>
              </w:rPr>
              <w:t>Provide a total compensaton package that is</w:t>
            </w:r>
          </w:p>
        </w:tc>
        <w:tc>
          <w:tcPr>
            <w:tcW w:w="0" w:type="dxa"/>
            <w:vAlign w:val="bottom"/>
          </w:tcPr>
          <w:p>
            <w:pPr>
              <w:spacing w:after="0"/>
              <w:rPr>
                <w:sz w:val="1"/>
                <w:szCs w:val="1"/>
                <w:color w:val="auto"/>
              </w:rPr>
            </w:pPr>
          </w:p>
        </w:tc>
      </w:tr>
      <w:tr>
        <w:trPr>
          <w:trHeight w:val="18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employees (e.g., health and group insurance), a</w:t>
            </w:r>
          </w:p>
        </w:tc>
        <w:tc>
          <w:tcPr>
            <w:tcW w:w="3480" w:type="dxa"/>
            <w:vAlign w:val="bottom"/>
            <w:gridSpan w:val="2"/>
          </w:tcPr>
          <w:p>
            <w:pPr>
              <w:ind w:left="180"/>
              <w:spacing w:after="0" w:line="185" w:lineRule="exact"/>
              <w:rPr>
                <w:sz w:val="20"/>
                <w:szCs w:val="20"/>
                <w:color w:val="auto"/>
              </w:rPr>
            </w:pPr>
            <w:r>
              <w:rPr>
                <w:rFonts w:ascii="Calibri" w:cs="Calibri" w:eastAsia="Calibri" w:hAnsi="Calibri"/>
                <w:sz w:val="16"/>
                <w:szCs w:val="16"/>
                <w:color w:val="auto"/>
              </w:rPr>
              <w:t>compettve with the marketplace and addresses</w:t>
            </w: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retrement savings plan and other personal benefts</w:t>
            </w:r>
          </w:p>
        </w:tc>
        <w:tc>
          <w:tcPr>
            <w:tcW w:w="3480" w:type="dxa"/>
            <w:vAlign w:val="bottom"/>
            <w:gridSpan w:val="2"/>
          </w:tcPr>
          <w:p>
            <w:pPr>
              <w:ind w:left="180"/>
              <w:spacing w:after="0"/>
              <w:rPr>
                <w:sz w:val="20"/>
                <w:szCs w:val="20"/>
                <w:color w:val="auto"/>
              </w:rPr>
            </w:pPr>
            <w:r>
              <w:rPr>
                <w:rFonts w:ascii="Calibri" w:cs="Calibri" w:eastAsia="Calibri" w:hAnsi="Calibri"/>
                <w:sz w:val="16"/>
                <w:szCs w:val="16"/>
                <w:color w:val="auto"/>
              </w:rPr>
              <w:t>unique needs, especially for overseas executves.</w:t>
            </w: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where appropriate.</w:t>
            </w:r>
          </w:p>
        </w:tc>
        <w:tc>
          <w:tcPr>
            <w:tcW w:w="2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52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Severance and change</w:t>
            </w: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Protect executves during potentally tumultuous</w:t>
            </w:r>
          </w:p>
        </w:tc>
        <w:tc>
          <w:tcPr>
            <w:tcW w:w="3480" w:type="dxa"/>
            <w:vAlign w:val="bottom"/>
            <w:gridSpan w:val="2"/>
          </w:tcPr>
          <w:p>
            <w:pPr>
              <w:ind w:left="180"/>
              <w:spacing w:after="0"/>
              <w:rPr>
                <w:sz w:val="20"/>
                <w:szCs w:val="20"/>
                <w:color w:val="auto"/>
              </w:rPr>
            </w:pPr>
            <w:r>
              <w:rPr>
                <w:rFonts w:ascii="Calibri" w:cs="Calibri" w:eastAsia="Calibri" w:hAnsi="Calibri"/>
                <w:sz w:val="16"/>
                <w:szCs w:val="16"/>
                <w:color w:val="auto"/>
                <w:w w:val="98"/>
              </w:rPr>
              <w:t>Allow executves to focus on generatng stockholder</w:t>
            </w:r>
          </w:p>
        </w:tc>
        <w:tc>
          <w:tcPr>
            <w:tcW w:w="0" w:type="dxa"/>
            <w:vAlign w:val="bottom"/>
          </w:tcPr>
          <w:p>
            <w:pPr>
              <w:spacing w:after="0"/>
              <w:rPr>
                <w:sz w:val="1"/>
                <w:szCs w:val="1"/>
                <w:color w:val="auto"/>
              </w:rPr>
            </w:pPr>
          </w:p>
        </w:tc>
      </w:tr>
      <w:tr>
        <w:trPr>
          <w:trHeight w:val="215"/>
        </w:trPr>
        <w:tc>
          <w:tcPr>
            <w:tcW w:w="35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in control protectons</w:t>
            </w:r>
          </w:p>
        </w:tc>
        <w:tc>
          <w:tcPr>
            <w:tcW w:w="3620" w:type="dxa"/>
            <w:vAlign w:val="bottom"/>
            <w:tcBorders>
              <w:right w:val="single" w:sz="8" w:color="auto"/>
            </w:tcBorders>
          </w:tcPr>
          <w:p>
            <w:pPr>
              <w:ind w:left="200"/>
              <w:spacing w:after="0" w:line="185" w:lineRule="exact"/>
              <w:rPr>
                <w:sz w:val="20"/>
                <w:szCs w:val="20"/>
                <w:color w:val="auto"/>
              </w:rPr>
            </w:pPr>
            <w:r>
              <w:rPr>
                <w:rFonts w:ascii="Calibri" w:cs="Calibri" w:eastAsia="Calibri" w:hAnsi="Calibri"/>
                <w:sz w:val="16"/>
                <w:szCs w:val="16"/>
                <w:color w:val="auto"/>
              </w:rPr>
              <w:t>corporate transacton.</w:t>
            </w:r>
          </w:p>
        </w:tc>
        <w:tc>
          <w:tcPr>
            <w:tcW w:w="3480" w:type="dxa"/>
            <w:vAlign w:val="bottom"/>
            <w:gridSpan w:val="2"/>
          </w:tcPr>
          <w:p>
            <w:pPr>
              <w:ind w:left="180"/>
              <w:spacing w:after="0" w:line="185" w:lineRule="exact"/>
              <w:rPr>
                <w:sz w:val="20"/>
                <w:szCs w:val="20"/>
                <w:color w:val="auto"/>
              </w:rPr>
            </w:pPr>
            <w:r>
              <w:rPr>
                <w:rFonts w:ascii="Calibri" w:cs="Calibri" w:eastAsia="Calibri" w:hAnsi="Calibri"/>
                <w:sz w:val="16"/>
                <w:szCs w:val="16"/>
                <w:color w:val="auto"/>
              </w:rPr>
              <w:t>value during a change in control transacton.</w:t>
            </w:r>
          </w:p>
        </w:tc>
        <w:tc>
          <w:tcPr>
            <w:tcW w:w="0" w:type="dxa"/>
            <w:vAlign w:val="bottom"/>
          </w:tcPr>
          <w:p>
            <w:pPr>
              <w:spacing w:after="0"/>
              <w:rPr>
                <w:sz w:val="1"/>
                <w:szCs w:val="1"/>
                <w:color w:val="auto"/>
              </w:rPr>
            </w:pPr>
          </w:p>
        </w:tc>
      </w:tr>
      <w:tr>
        <w:trPr>
          <w:trHeight w:val="282"/>
        </w:trPr>
        <w:tc>
          <w:tcPr>
            <w:tcW w:w="352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Provide reduced post-employment compensaton</w:t>
            </w:r>
          </w:p>
        </w:tc>
        <w:tc>
          <w:tcPr>
            <w:tcW w:w="3480" w:type="dxa"/>
            <w:vAlign w:val="bottom"/>
            <w:gridSpan w:val="2"/>
          </w:tcPr>
          <w:p>
            <w:pPr>
              <w:ind w:left="180"/>
              <w:spacing w:after="0"/>
              <w:rPr>
                <w:sz w:val="20"/>
                <w:szCs w:val="20"/>
                <w:color w:val="auto"/>
              </w:rPr>
            </w:pPr>
            <w:r>
              <w:rPr>
                <w:rFonts w:ascii="Calibri" w:cs="Calibri" w:eastAsia="Calibri" w:hAnsi="Calibri"/>
                <w:sz w:val="16"/>
                <w:szCs w:val="16"/>
                <w:color w:val="auto"/>
              </w:rPr>
              <w:t>Provide market-compettve post-employment</w:t>
            </w: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ind w:left="200"/>
              <w:spacing w:after="0"/>
              <w:rPr>
                <w:sz w:val="20"/>
                <w:szCs w:val="20"/>
                <w:color w:val="auto"/>
              </w:rPr>
            </w:pPr>
            <w:r>
              <w:rPr>
                <w:rFonts w:ascii="Calibri" w:cs="Calibri" w:eastAsia="Calibri" w:hAnsi="Calibri"/>
                <w:sz w:val="16"/>
                <w:szCs w:val="16"/>
                <w:color w:val="auto"/>
              </w:rPr>
              <w:t>upon other involuntary terminatons.</w:t>
            </w:r>
          </w:p>
        </w:tc>
        <w:tc>
          <w:tcPr>
            <w:tcW w:w="3480" w:type="dxa"/>
            <w:vAlign w:val="bottom"/>
            <w:gridSpan w:val="2"/>
          </w:tcPr>
          <w:p>
            <w:pPr>
              <w:ind w:left="180"/>
              <w:spacing w:after="0"/>
              <w:rPr>
                <w:sz w:val="20"/>
                <w:szCs w:val="20"/>
                <w:color w:val="auto"/>
              </w:rPr>
            </w:pPr>
            <w:r>
              <w:rPr>
                <w:rFonts w:ascii="Calibri" w:cs="Calibri" w:eastAsia="Calibri" w:hAnsi="Calibri"/>
                <w:sz w:val="16"/>
                <w:szCs w:val="16"/>
                <w:color w:val="auto"/>
              </w:rPr>
              <w:t>compensaton recognizing executves likely require</w:t>
            </w:r>
          </w:p>
        </w:tc>
        <w:tc>
          <w:tcPr>
            <w:tcW w:w="0" w:type="dxa"/>
            <w:vAlign w:val="bottom"/>
          </w:tcPr>
          <w:p>
            <w:pPr>
              <w:spacing w:after="0"/>
              <w:rPr>
                <w:sz w:val="1"/>
                <w:szCs w:val="1"/>
                <w:color w:val="auto"/>
              </w:rPr>
            </w:pPr>
          </w:p>
        </w:tc>
      </w:tr>
      <w:tr>
        <w:trPr>
          <w:trHeight w:val="195"/>
        </w:trPr>
        <w:tc>
          <w:tcPr>
            <w:tcW w:w="352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480" w:type="dxa"/>
            <w:vAlign w:val="bottom"/>
            <w:gridSpan w:val="2"/>
          </w:tcPr>
          <w:p>
            <w:pPr>
              <w:ind w:left="180"/>
              <w:spacing w:after="0"/>
              <w:rPr>
                <w:sz w:val="20"/>
                <w:szCs w:val="20"/>
                <w:color w:val="auto"/>
              </w:rPr>
            </w:pPr>
            <w:r>
              <w:rPr>
                <w:rFonts w:ascii="Calibri" w:cs="Calibri" w:eastAsia="Calibri" w:hAnsi="Calibri"/>
                <w:sz w:val="16"/>
                <w:szCs w:val="16"/>
                <w:color w:val="auto"/>
              </w:rPr>
              <w:t>more tme to fnd subsequent employment.</w:t>
            </w:r>
          </w:p>
        </w:tc>
        <w:tc>
          <w:tcPr>
            <w:tcW w:w="0" w:type="dxa"/>
            <w:vAlign w:val="bottom"/>
          </w:tcPr>
          <w:p>
            <w:pPr>
              <w:spacing w:after="0"/>
              <w:rPr>
                <w:sz w:val="1"/>
                <w:szCs w:val="1"/>
                <w:color w:val="auto"/>
              </w:rPr>
            </w:pPr>
          </w:p>
        </w:tc>
      </w:tr>
      <w:tr>
        <w:trPr>
          <w:trHeight w:val="163"/>
        </w:trPr>
        <w:tc>
          <w:tcPr>
            <w:tcW w:w="3520" w:type="dxa"/>
            <w:vAlign w:val="bottom"/>
            <w:tcBorders>
              <w:bottom w:val="single" w:sz="8" w:color="FB4E0B"/>
              <w:right w:val="single" w:sz="8" w:color="auto"/>
            </w:tcBorders>
          </w:tcPr>
          <w:p>
            <w:pPr>
              <w:spacing w:after="0"/>
              <w:rPr>
                <w:sz w:val="14"/>
                <w:szCs w:val="14"/>
                <w:color w:val="auto"/>
              </w:rPr>
            </w:pPr>
          </w:p>
        </w:tc>
        <w:tc>
          <w:tcPr>
            <w:tcW w:w="3620" w:type="dxa"/>
            <w:vAlign w:val="bottom"/>
            <w:tcBorders>
              <w:bottom w:val="single" w:sz="8" w:color="FB4E0B"/>
              <w:right w:val="single" w:sz="8" w:color="auto"/>
            </w:tcBorders>
          </w:tcPr>
          <w:p>
            <w:pPr>
              <w:spacing w:after="0"/>
              <w:rPr>
                <w:sz w:val="14"/>
                <w:szCs w:val="14"/>
                <w:color w:val="auto"/>
              </w:rPr>
            </w:pPr>
          </w:p>
        </w:tc>
        <w:tc>
          <w:tcPr>
            <w:tcW w:w="2520" w:type="dxa"/>
            <w:vAlign w:val="bottom"/>
            <w:tcBorders>
              <w:bottom w:val="single" w:sz="8" w:color="FB4E0B"/>
            </w:tcBorders>
          </w:tcPr>
          <w:p>
            <w:pPr>
              <w:spacing w:after="0"/>
              <w:rPr>
                <w:sz w:val="14"/>
                <w:szCs w:val="14"/>
                <w:color w:val="auto"/>
              </w:rPr>
            </w:pPr>
          </w:p>
        </w:tc>
        <w:tc>
          <w:tcPr>
            <w:tcW w:w="960" w:type="dxa"/>
            <w:vAlign w:val="bottom"/>
            <w:tcBorders>
              <w:bottom w:val="single" w:sz="8" w:color="FB4E0B"/>
            </w:tcBorders>
          </w:tcPr>
          <w:p>
            <w:pPr>
              <w:spacing w:after="0"/>
              <w:rPr>
                <w:sz w:val="14"/>
                <w:szCs w:val="14"/>
                <w:color w:val="auto"/>
              </w:rPr>
            </w:pPr>
          </w:p>
        </w:tc>
        <w:tc>
          <w:tcPr>
            <w:tcW w:w="0" w:type="dxa"/>
            <w:vAlign w:val="bottom"/>
          </w:tcPr>
          <w:p>
            <w:pPr>
              <w:spacing w:after="0"/>
              <w:rPr>
                <w:sz w:val="1"/>
                <w:szCs w:val="1"/>
                <w:color w:val="auto"/>
              </w:rPr>
            </w:pPr>
          </w:p>
        </w:tc>
      </w:tr>
      <w:tr>
        <w:trPr>
          <w:trHeight w:val="445"/>
        </w:trPr>
        <w:tc>
          <w:tcPr>
            <w:tcW w:w="3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520" w:type="dxa"/>
            <w:vAlign w:val="bottom"/>
          </w:tcPr>
          <w:p>
            <w:pPr>
              <w:ind w:left="640"/>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960" w:type="dxa"/>
            <w:vAlign w:val="bottom"/>
          </w:tcPr>
          <w:p>
            <w:pPr>
              <w:jc w:val="right"/>
              <w:ind w:right="573"/>
              <w:spacing w:after="0"/>
              <w:rPr>
                <w:sz w:val="20"/>
                <w:szCs w:val="20"/>
                <w:color w:val="auto"/>
              </w:rPr>
            </w:pPr>
            <w:r>
              <w:rPr>
                <w:rFonts w:ascii="Calibri" w:cs="Calibri" w:eastAsia="Calibri" w:hAnsi="Calibri"/>
                <w:sz w:val="17"/>
                <w:szCs w:val="17"/>
                <w:b w:val="1"/>
                <w:bCs w:val="1"/>
                <w:color w:val="auto"/>
              </w:rPr>
              <w:t>71</w:t>
            </w:r>
          </w:p>
        </w:tc>
        <w:tc>
          <w:tcPr>
            <w:tcW w:w="0" w:type="dxa"/>
            <w:vAlign w:val="bottom"/>
          </w:tcPr>
          <w:p>
            <w:pPr>
              <w:spacing w:after="0"/>
              <w:rPr>
                <w:sz w:val="1"/>
                <w:szCs w:val="1"/>
                <w:color w:val="auto"/>
              </w:rPr>
            </w:pPr>
          </w:p>
        </w:tc>
      </w:tr>
    </w:tbl>
    <w:p>
      <w:pPr>
        <w:sectPr>
          <w:pgSz w:w="11900" w:h="16838" w:orient="portrait"/>
          <w:cols w:equalWidth="0" w:num="1">
            <w:col w:w="10940"/>
          </w:cols>
          <w:pgMar w:left="320" w:top="445" w:right="6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Detailed review of compensaton components</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Base salary</w:t>
      </w:r>
    </w:p>
    <w:p>
      <w:pPr>
        <w:spacing w:after="0" w:line="115"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As discussed above, we provide our executve ofcers fxed compensaton commensurate with their performance, experience, responsibilites, skill set and market value. This atracts and retains an appropriate caliber of talent for the positon and provides a base wage that is not subject to our performance risk. In setng base salaries for 2021, our Compensaton Commitee considered:</w:t>
      </w:r>
    </w:p>
    <w:p>
      <w:pPr>
        <w:spacing w:after="0" w:line="357"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3200" w:type="dxa"/>
            <w:vAlign w:val="bottom"/>
            <w:tcBorders>
              <w:top w:val="single" w:sz="8" w:color="FB4E0B"/>
              <w:right w:val="single" w:sz="8" w:color="auto"/>
            </w:tcBorders>
          </w:tcPr>
          <w:p>
            <w:pPr>
              <w:ind w:left="180"/>
              <w:spacing w:after="0"/>
              <w:rPr>
                <w:sz w:val="20"/>
                <w:szCs w:val="20"/>
                <w:color w:val="auto"/>
              </w:rPr>
            </w:pPr>
            <w:r>
              <w:rPr>
                <w:rFonts w:ascii="Calibri" w:cs="Calibri" w:eastAsia="Calibri" w:hAnsi="Calibri"/>
                <w:sz w:val="17"/>
                <w:szCs w:val="17"/>
                <w:b w:val="1"/>
                <w:bCs w:val="1"/>
                <w:color w:val="auto"/>
              </w:rPr>
              <w:t>Individual performance</w:t>
            </w:r>
          </w:p>
        </w:tc>
        <w:tc>
          <w:tcPr>
            <w:tcW w:w="7420" w:type="dxa"/>
            <w:vAlign w:val="bottom"/>
            <w:tcBorders>
              <w:top w:val="single" w:sz="8" w:color="FB4E0B"/>
            </w:tcBorders>
          </w:tcPr>
          <w:p>
            <w:pPr>
              <w:ind w:left="80"/>
              <w:spacing w:after="0"/>
              <w:rPr>
                <w:sz w:val="20"/>
                <w:szCs w:val="20"/>
                <w:color w:val="auto"/>
              </w:rPr>
            </w:pPr>
            <w:r>
              <w:rPr>
                <w:rFonts w:ascii="Calibri" w:cs="Calibri" w:eastAsia="Calibri" w:hAnsi="Calibri"/>
                <w:sz w:val="17"/>
                <w:szCs w:val="17"/>
                <w:color w:val="auto"/>
              </w:rPr>
              <w:t>The degree to which the executve met and exceeded expectatons.</w:t>
            </w:r>
          </w:p>
        </w:tc>
      </w:tr>
      <w:tr>
        <w:trPr>
          <w:trHeight w:val="119"/>
        </w:trPr>
        <w:tc>
          <w:tcPr>
            <w:tcW w:w="3200" w:type="dxa"/>
            <w:vAlign w:val="bottom"/>
            <w:tcBorders>
              <w:bottom w:val="single" w:sz="8" w:color="auto"/>
              <w:right w:val="single" w:sz="8" w:color="auto"/>
            </w:tcBorders>
          </w:tcPr>
          <w:p>
            <w:pPr>
              <w:spacing w:after="0"/>
              <w:rPr>
                <w:sz w:val="10"/>
                <w:szCs w:val="10"/>
                <w:color w:val="auto"/>
              </w:rPr>
            </w:pPr>
          </w:p>
        </w:tc>
        <w:tc>
          <w:tcPr>
            <w:tcW w:w="7420" w:type="dxa"/>
            <w:vAlign w:val="bottom"/>
            <w:tcBorders>
              <w:bottom w:val="single" w:sz="8" w:color="auto"/>
            </w:tcBorders>
          </w:tcPr>
          <w:p>
            <w:pPr>
              <w:spacing w:after="0"/>
              <w:rPr>
                <w:sz w:val="10"/>
                <w:szCs w:val="10"/>
                <w:color w:val="auto"/>
              </w:rPr>
            </w:pPr>
          </w:p>
        </w:tc>
      </w:tr>
      <w:tr>
        <w:trPr>
          <w:trHeight w:val="199"/>
        </w:trPr>
        <w:tc>
          <w:tcPr>
            <w:tcW w:w="3200" w:type="dxa"/>
            <w:vAlign w:val="bottom"/>
            <w:tcBorders>
              <w:right w:val="single" w:sz="8" w:color="auto"/>
            </w:tcBorders>
          </w:tcPr>
          <w:p>
            <w:pPr>
              <w:ind w:left="180"/>
              <w:spacing w:after="0" w:line="199" w:lineRule="exact"/>
              <w:rPr>
                <w:sz w:val="20"/>
                <w:szCs w:val="20"/>
                <w:color w:val="auto"/>
              </w:rPr>
            </w:pPr>
            <w:r>
              <w:rPr>
                <w:rFonts w:ascii="Calibri" w:cs="Calibri" w:eastAsia="Calibri" w:hAnsi="Calibri"/>
                <w:sz w:val="17"/>
                <w:szCs w:val="17"/>
                <w:b w:val="1"/>
                <w:bCs w:val="1"/>
                <w:color w:val="auto"/>
              </w:rPr>
              <w:t>Market data</w:t>
            </w:r>
          </w:p>
        </w:tc>
        <w:tc>
          <w:tcPr>
            <w:tcW w:w="7420" w:type="dxa"/>
            <w:vAlign w:val="bottom"/>
          </w:tcPr>
          <w:p>
            <w:pPr>
              <w:ind w:left="80"/>
              <w:spacing w:after="0" w:line="199" w:lineRule="exact"/>
              <w:rPr>
                <w:sz w:val="20"/>
                <w:szCs w:val="20"/>
                <w:color w:val="auto"/>
              </w:rPr>
            </w:pPr>
            <w:r>
              <w:rPr>
                <w:rFonts w:ascii="Calibri" w:cs="Calibri" w:eastAsia="Calibri" w:hAnsi="Calibri"/>
                <w:sz w:val="17"/>
                <w:szCs w:val="17"/>
                <w:color w:val="auto"/>
              </w:rPr>
              <w:t>Market data to test reasonableness of compensaton.</w:t>
            </w:r>
          </w:p>
        </w:tc>
      </w:tr>
      <w:tr>
        <w:trPr>
          <w:trHeight w:val="119"/>
        </w:trPr>
        <w:tc>
          <w:tcPr>
            <w:tcW w:w="3200" w:type="dxa"/>
            <w:vAlign w:val="bottom"/>
            <w:tcBorders>
              <w:bottom w:val="single" w:sz="8" w:color="auto"/>
              <w:right w:val="single" w:sz="8" w:color="auto"/>
            </w:tcBorders>
          </w:tcPr>
          <w:p>
            <w:pPr>
              <w:spacing w:after="0"/>
              <w:rPr>
                <w:sz w:val="10"/>
                <w:szCs w:val="10"/>
                <w:color w:val="auto"/>
              </w:rPr>
            </w:pPr>
          </w:p>
        </w:tc>
        <w:tc>
          <w:tcPr>
            <w:tcW w:w="7420" w:type="dxa"/>
            <w:vAlign w:val="bottom"/>
            <w:tcBorders>
              <w:bottom w:val="single" w:sz="8" w:color="auto"/>
            </w:tcBorders>
          </w:tcPr>
          <w:p>
            <w:pPr>
              <w:spacing w:after="0"/>
              <w:rPr>
                <w:sz w:val="10"/>
                <w:szCs w:val="10"/>
                <w:color w:val="auto"/>
              </w:rPr>
            </w:pPr>
          </w:p>
        </w:tc>
      </w:tr>
      <w:tr>
        <w:trPr>
          <w:trHeight w:val="193"/>
        </w:trPr>
        <w:tc>
          <w:tcPr>
            <w:tcW w:w="3200" w:type="dxa"/>
            <w:vAlign w:val="bottom"/>
            <w:tcBorders>
              <w:right w:val="single" w:sz="8" w:color="auto"/>
            </w:tcBorders>
          </w:tcPr>
          <w:p>
            <w:pPr>
              <w:ind w:left="180"/>
              <w:spacing w:after="0" w:line="193" w:lineRule="exact"/>
              <w:rPr>
                <w:sz w:val="20"/>
                <w:szCs w:val="20"/>
                <w:color w:val="auto"/>
              </w:rPr>
            </w:pPr>
            <w:r>
              <w:rPr>
                <w:rFonts w:ascii="Calibri" w:cs="Calibri" w:eastAsia="Calibri" w:hAnsi="Calibri"/>
                <w:sz w:val="17"/>
                <w:szCs w:val="17"/>
                <w:b w:val="1"/>
                <w:bCs w:val="1"/>
                <w:color w:val="auto"/>
              </w:rPr>
              <w:t>Overall compensaton mix</w:t>
            </w:r>
          </w:p>
        </w:tc>
        <w:tc>
          <w:tcPr>
            <w:tcW w:w="7420" w:type="dxa"/>
            <w:vAlign w:val="bottom"/>
          </w:tcPr>
          <w:p>
            <w:pPr>
              <w:ind w:left="80"/>
              <w:spacing w:after="0" w:line="193" w:lineRule="exact"/>
              <w:rPr>
                <w:sz w:val="20"/>
                <w:szCs w:val="20"/>
                <w:color w:val="auto"/>
              </w:rPr>
            </w:pPr>
            <w:r>
              <w:rPr>
                <w:rFonts w:ascii="Calibri" w:cs="Calibri" w:eastAsia="Calibri" w:hAnsi="Calibri"/>
                <w:sz w:val="17"/>
                <w:szCs w:val="17"/>
                <w:color w:val="auto"/>
              </w:rPr>
              <w:t>Senior employees should have a greater porton of their compensaton ted to increasing stockholder</w:t>
            </w:r>
          </w:p>
        </w:tc>
      </w:tr>
      <w:tr>
        <w:trPr>
          <w:trHeight w:val="206"/>
        </w:trPr>
        <w:tc>
          <w:tcPr>
            <w:tcW w:w="3200" w:type="dxa"/>
            <w:vAlign w:val="bottom"/>
            <w:tcBorders>
              <w:right w:val="single" w:sz="8" w:color="auto"/>
            </w:tcBorders>
          </w:tcPr>
          <w:p>
            <w:pPr>
              <w:spacing w:after="0"/>
              <w:rPr>
                <w:sz w:val="17"/>
                <w:szCs w:val="17"/>
                <w:color w:val="auto"/>
              </w:rPr>
            </w:pPr>
          </w:p>
        </w:tc>
        <w:tc>
          <w:tcPr>
            <w:tcW w:w="7420" w:type="dxa"/>
            <w:vAlign w:val="bottom"/>
          </w:tcPr>
          <w:p>
            <w:pPr>
              <w:ind w:left="80"/>
              <w:spacing w:after="0" w:line="206" w:lineRule="exact"/>
              <w:rPr>
                <w:sz w:val="20"/>
                <w:szCs w:val="20"/>
                <w:color w:val="auto"/>
              </w:rPr>
            </w:pPr>
            <w:r>
              <w:rPr>
                <w:rFonts w:ascii="Calibri" w:cs="Calibri" w:eastAsia="Calibri" w:hAnsi="Calibri"/>
                <w:sz w:val="17"/>
                <w:szCs w:val="17"/>
                <w:color w:val="auto"/>
              </w:rPr>
              <w:t>value.</w:t>
            </w:r>
          </w:p>
        </w:tc>
      </w:tr>
      <w:tr>
        <w:trPr>
          <w:trHeight w:val="133"/>
        </w:trPr>
        <w:tc>
          <w:tcPr>
            <w:tcW w:w="3200" w:type="dxa"/>
            <w:vAlign w:val="bottom"/>
            <w:tcBorders>
              <w:bottom w:val="single" w:sz="8" w:color="FB4E0B"/>
              <w:right w:val="single" w:sz="8" w:color="auto"/>
            </w:tcBorders>
          </w:tcPr>
          <w:p>
            <w:pPr>
              <w:spacing w:after="0"/>
              <w:rPr>
                <w:sz w:val="11"/>
                <w:szCs w:val="11"/>
                <w:color w:val="auto"/>
              </w:rPr>
            </w:pPr>
          </w:p>
        </w:tc>
        <w:tc>
          <w:tcPr>
            <w:tcW w:w="7420" w:type="dxa"/>
            <w:vAlign w:val="bottom"/>
            <w:tcBorders>
              <w:bottom w:val="single" w:sz="8" w:color="FB4E0B"/>
            </w:tcBorders>
          </w:tcPr>
          <w:p>
            <w:pPr>
              <w:spacing w:after="0"/>
              <w:rPr>
                <w:sz w:val="11"/>
                <w:szCs w:val="11"/>
                <w:color w:val="auto"/>
              </w:rPr>
            </w:pPr>
          </w:p>
        </w:tc>
      </w:tr>
    </w:tbl>
    <w:p>
      <w:pPr>
        <w:spacing w:after="0" w:line="304"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Upon completng its review, the Compensaton Commitee determined it was appropriate to maintain current base salaries for all of our named executve ofcers. While these salaries were frst approved in February 2020, they did not take efect untl April 1, 2021. The fxed compensaton amount for Mr. Bhalla covers not only base salary, but also amounts available as a travel allowance, an automobile allowance, a housing allowance, a medical allowance and a cash supplementary allowance, consistent with compensaton practces in India.</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alibri" w:cs="Calibri" w:eastAsia="Calibri" w:hAnsi="Calibri"/>
                <w:sz w:val="14"/>
                <w:szCs w:val="14"/>
                <w:b w:val="1"/>
                <w:bCs w:val="1"/>
                <w:color w:val="auto"/>
              </w:rPr>
              <w:t>2021 Base salary /</w:t>
            </w:r>
          </w:p>
        </w:tc>
        <w:tc>
          <w:tcPr>
            <w:tcW w:w="0" w:type="dxa"/>
            <w:vAlign w:val="bottom"/>
          </w:tcPr>
          <w:p>
            <w:pPr>
              <w:spacing w:after="0"/>
              <w:rPr>
                <w:sz w:val="1"/>
                <w:szCs w:val="1"/>
                <w:color w:val="auto"/>
              </w:rPr>
            </w:pPr>
          </w:p>
        </w:tc>
      </w:tr>
      <w:tr>
        <w:trPr>
          <w:trHeight w:val="169"/>
        </w:trPr>
        <w:tc>
          <w:tcPr>
            <w:tcW w:w="8920" w:type="dxa"/>
            <w:vAlign w:val="bottom"/>
            <w:vMerge w:val="restart"/>
          </w:tcPr>
          <w:p>
            <w:pPr>
              <w:ind w:left="160"/>
              <w:spacing w:after="0"/>
              <w:rPr>
                <w:sz w:val="20"/>
                <w:szCs w:val="20"/>
                <w:color w:val="auto"/>
              </w:rPr>
            </w:pPr>
            <w:r>
              <w:rPr>
                <w:rFonts w:ascii="Calibri" w:cs="Calibri" w:eastAsia="Calibri" w:hAnsi="Calibri"/>
                <w:sz w:val="17"/>
                <w:szCs w:val="17"/>
                <w:b w:val="1"/>
                <w:bCs w:val="1"/>
                <w:color w:val="FB4E0B"/>
              </w:rPr>
              <w:t>Name</w:t>
            </w:r>
          </w:p>
        </w:tc>
        <w:tc>
          <w:tcPr>
            <w:tcW w:w="17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annual fxed</w:t>
            </w:r>
          </w:p>
        </w:tc>
        <w:tc>
          <w:tcPr>
            <w:tcW w:w="0" w:type="dxa"/>
            <w:vAlign w:val="bottom"/>
          </w:tcPr>
          <w:p>
            <w:pPr>
              <w:spacing w:after="0"/>
              <w:rPr>
                <w:sz w:val="1"/>
                <w:szCs w:val="1"/>
                <w:color w:val="auto"/>
              </w:rPr>
            </w:pPr>
          </w:p>
        </w:tc>
      </w:tr>
      <w:tr>
        <w:trPr>
          <w:trHeight w:val="169"/>
        </w:trPr>
        <w:tc>
          <w:tcPr>
            <w:tcW w:w="8920" w:type="dxa"/>
            <w:vAlign w:val="bottom"/>
            <w:vMerge w:val="continue"/>
          </w:tcPr>
          <w:p>
            <w:pPr>
              <w:spacing w:after="0"/>
              <w:rPr>
                <w:sz w:val="14"/>
                <w:szCs w:val="14"/>
                <w:color w:val="auto"/>
              </w:rPr>
            </w:pPr>
          </w:p>
        </w:tc>
        <w:tc>
          <w:tcPr>
            <w:tcW w:w="17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 ($)</w:t>
            </w:r>
          </w:p>
        </w:tc>
        <w:tc>
          <w:tcPr>
            <w:tcW w:w="0" w:type="dxa"/>
            <w:vAlign w:val="bottom"/>
          </w:tcPr>
          <w:p>
            <w:pPr>
              <w:spacing w:after="0"/>
              <w:rPr>
                <w:sz w:val="1"/>
                <w:szCs w:val="1"/>
                <w:color w:val="auto"/>
              </w:rPr>
            </w:pPr>
          </w:p>
        </w:tc>
      </w:tr>
      <w:tr>
        <w:trPr>
          <w:trHeight w:val="37"/>
        </w:trPr>
        <w:tc>
          <w:tcPr>
            <w:tcW w:w="8920" w:type="dxa"/>
            <w:vAlign w:val="bottom"/>
            <w:tcBorders>
              <w:bottom w:val="single" w:sz="8" w:color="FB4E0B"/>
            </w:tcBorders>
          </w:tcPr>
          <w:p>
            <w:pPr>
              <w:spacing w:after="0"/>
              <w:rPr>
                <w:sz w:val="3"/>
                <w:szCs w:val="3"/>
                <w:color w:val="auto"/>
              </w:rPr>
            </w:pPr>
          </w:p>
        </w:tc>
        <w:tc>
          <w:tcPr>
            <w:tcW w:w="1720" w:type="dxa"/>
            <w:vAlign w:val="bottom"/>
            <w:tcBorders>
              <w:bottom w:val="single" w:sz="8" w:color="FB4E0B"/>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8920" w:type="dxa"/>
            <w:vAlign w:val="bottom"/>
            <w:tcBorders>
              <w:right w:val="single" w:sz="8" w:color="auto"/>
            </w:tcBorders>
          </w:tcPr>
          <w:p>
            <w:pPr>
              <w:ind w:left="180"/>
              <w:spacing w:after="0"/>
              <w:rPr>
                <w:sz w:val="20"/>
                <w:szCs w:val="20"/>
                <w:color w:val="auto"/>
              </w:rPr>
            </w:pPr>
            <w:r>
              <w:rPr>
                <w:rFonts w:ascii="Calibri" w:cs="Calibri" w:eastAsia="Calibri" w:hAnsi="Calibri"/>
                <w:sz w:val="17"/>
                <w:szCs w:val="17"/>
                <w:b w:val="1"/>
                <w:bCs w:val="1"/>
                <w:color w:val="auto"/>
              </w:rPr>
              <w:t>Rohit Kapoor</w:t>
            </w:r>
          </w:p>
        </w:tc>
        <w:tc>
          <w:tcPr>
            <w:tcW w:w="1720" w:type="dxa"/>
            <w:vAlign w:val="bottom"/>
            <w:tcBorders>
              <w:right w:val="single" w:sz="8" w:color="auto"/>
            </w:tcBorders>
          </w:tcPr>
          <w:p>
            <w:pPr>
              <w:jc w:val="right"/>
              <w:ind w:right="40"/>
              <w:spacing w:after="0"/>
              <w:rPr>
                <w:sz w:val="20"/>
                <w:szCs w:val="20"/>
                <w:color w:val="auto"/>
              </w:rPr>
            </w:pPr>
            <w:r>
              <w:rPr>
                <w:rFonts w:ascii="Calibri" w:cs="Calibri" w:eastAsia="Calibri" w:hAnsi="Calibri"/>
                <w:sz w:val="17"/>
                <w:szCs w:val="17"/>
                <w:color w:val="auto"/>
              </w:rPr>
              <w:t>750,000</w:t>
            </w:r>
          </w:p>
        </w:tc>
        <w:tc>
          <w:tcPr>
            <w:tcW w:w="0" w:type="dxa"/>
            <w:vAlign w:val="bottom"/>
          </w:tcPr>
          <w:p>
            <w:pPr>
              <w:spacing w:after="0"/>
              <w:rPr>
                <w:sz w:val="1"/>
                <w:szCs w:val="1"/>
                <w:color w:val="auto"/>
              </w:rPr>
            </w:pPr>
          </w:p>
        </w:tc>
      </w:tr>
      <w:tr>
        <w:trPr>
          <w:trHeight w:val="127"/>
        </w:trPr>
        <w:tc>
          <w:tcPr>
            <w:tcW w:w="892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8920" w:type="dxa"/>
            <w:vAlign w:val="bottom"/>
            <w:tcBorders>
              <w:right w:val="single" w:sz="8" w:color="auto"/>
            </w:tcBorders>
          </w:tcPr>
          <w:p>
            <w:pPr>
              <w:ind w:left="180"/>
              <w:spacing w:after="0"/>
              <w:rPr>
                <w:sz w:val="20"/>
                <w:szCs w:val="20"/>
                <w:color w:val="auto"/>
              </w:rPr>
            </w:pPr>
            <w:r>
              <w:rPr>
                <w:rFonts w:ascii="Calibri" w:cs="Calibri" w:eastAsia="Calibri" w:hAnsi="Calibri"/>
                <w:sz w:val="17"/>
                <w:szCs w:val="17"/>
                <w:b w:val="1"/>
                <w:bCs w:val="1"/>
                <w:color w:val="auto"/>
              </w:rPr>
              <w:t>Maurizio Nicolelli</w:t>
            </w:r>
          </w:p>
        </w:tc>
        <w:tc>
          <w:tcPr>
            <w:tcW w:w="1720" w:type="dxa"/>
            <w:vAlign w:val="bottom"/>
            <w:tcBorders>
              <w:right w:val="single" w:sz="8" w:color="auto"/>
            </w:tcBorders>
          </w:tcPr>
          <w:p>
            <w:pPr>
              <w:jc w:val="right"/>
              <w:ind w:right="40"/>
              <w:spacing w:after="0"/>
              <w:rPr>
                <w:sz w:val="20"/>
                <w:szCs w:val="20"/>
                <w:color w:val="auto"/>
              </w:rPr>
            </w:pPr>
            <w:r>
              <w:rPr>
                <w:rFonts w:ascii="Calibri" w:cs="Calibri" w:eastAsia="Calibri" w:hAnsi="Calibri"/>
                <w:sz w:val="17"/>
                <w:szCs w:val="17"/>
                <w:color w:val="auto"/>
              </w:rPr>
              <w:t>475,000</w:t>
            </w:r>
          </w:p>
        </w:tc>
        <w:tc>
          <w:tcPr>
            <w:tcW w:w="0" w:type="dxa"/>
            <w:vAlign w:val="bottom"/>
          </w:tcPr>
          <w:p>
            <w:pPr>
              <w:spacing w:after="0"/>
              <w:rPr>
                <w:sz w:val="1"/>
                <w:szCs w:val="1"/>
                <w:color w:val="auto"/>
              </w:rPr>
            </w:pPr>
          </w:p>
        </w:tc>
      </w:tr>
      <w:tr>
        <w:trPr>
          <w:trHeight w:val="127"/>
        </w:trPr>
        <w:tc>
          <w:tcPr>
            <w:tcW w:w="892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6"/>
        </w:trPr>
        <w:tc>
          <w:tcPr>
            <w:tcW w:w="8920" w:type="dxa"/>
            <w:vAlign w:val="bottom"/>
            <w:tcBorders>
              <w:bottom w:val="single" w:sz="8" w:color="auto"/>
              <w:right w:val="single" w:sz="8" w:color="auto"/>
            </w:tcBorders>
          </w:tcPr>
          <w:p>
            <w:pPr>
              <w:ind w:left="180"/>
              <w:spacing w:after="0"/>
              <w:rPr>
                <w:sz w:val="20"/>
                <w:szCs w:val="20"/>
                <w:color w:val="auto"/>
              </w:rPr>
            </w:pPr>
            <w:r>
              <w:rPr>
                <w:rFonts w:ascii="Calibri" w:cs="Calibri" w:eastAsia="Calibri" w:hAnsi="Calibri"/>
                <w:sz w:val="17"/>
                <w:szCs w:val="17"/>
                <w:b w:val="1"/>
                <w:bCs w:val="1"/>
                <w:color w:val="auto"/>
              </w:rPr>
              <w:t>Vikas Bhalla</w:t>
            </w:r>
          </w:p>
        </w:tc>
        <w:tc>
          <w:tcPr>
            <w:tcW w:w="1720" w:type="dxa"/>
            <w:vAlign w:val="bottom"/>
            <w:tcBorders>
              <w:bottom w:val="single" w:sz="8" w:color="auto"/>
              <w:right w:val="single" w:sz="8" w:color="auto"/>
            </w:tcBorders>
          </w:tcPr>
          <w:p>
            <w:pPr>
              <w:jc w:val="right"/>
              <w:ind w:right="60"/>
              <w:spacing w:after="0"/>
              <w:rPr>
                <w:sz w:val="20"/>
                <w:szCs w:val="20"/>
                <w:color w:val="auto"/>
              </w:rPr>
            </w:pPr>
            <w:r>
              <w:rPr>
                <w:rFonts w:ascii="Calibri" w:cs="Calibri" w:eastAsia="Calibri" w:hAnsi="Calibri"/>
                <w:sz w:val="17"/>
                <w:szCs w:val="17"/>
                <w:color w:val="auto"/>
              </w:rPr>
              <w:t>INR24,500,000</w:t>
            </w:r>
            <w:r>
              <w:rPr>
                <w:rFonts w:ascii="Calibri" w:cs="Calibri" w:eastAsia="Calibri" w:hAnsi="Calibri"/>
                <w:sz w:val="29"/>
                <w:szCs w:val="29"/>
                <w:color w:val="auto"/>
                <w:vertAlign w:val="superscript"/>
              </w:rPr>
              <w:t>(1)</w:t>
            </w:r>
          </w:p>
        </w:tc>
        <w:tc>
          <w:tcPr>
            <w:tcW w:w="0" w:type="dxa"/>
            <w:vAlign w:val="bottom"/>
          </w:tcPr>
          <w:p>
            <w:pPr>
              <w:spacing w:after="0"/>
              <w:rPr>
                <w:sz w:val="1"/>
                <w:szCs w:val="1"/>
                <w:color w:val="auto"/>
              </w:rPr>
            </w:pPr>
          </w:p>
        </w:tc>
      </w:tr>
      <w:tr>
        <w:trPr>
          <w:trHeight w:val="282"/>
        </w:trPr>
        <w:tc>
          <w:tcPr>
            <w:tcW w:w="8920" w:type="dxa"/>
            <w:vAlign w:val="bottom"/>
            <w:tcBorders>
              <w:right w:val="single" w:sz="8" w:color="auto"/>
            </w:tcBorders>
          </w:tcPr>
          <w:p>
            <w:pPr>
              <w:ind w:left="180"/>
              <w:spacing w:after="0"/>
              <w:rPr>
                <w:sz w:val="20"/>
                <w:szCs w:val="20"/>
                <w:color w:val="auto"/>
              </w:rPr>
            </w:pPr>
            <w:r>
              <w:rPr>
                <w:rFonts w:ascii="Calibri" w:cs="Calibri" w:eastAsia="Calibri" w:hAnsi="Calibri"/>
                <w:sz w:val="17"/>
                <w:szCs w:val="17"/>
                <w:b w:val="1"/>
                <w:bCs w:val="1"/>
                <w:color w:val="auto"/>
              </w:rPr>
              <w:t>Vivek Jetley</w:t>
            </w:r>
          </w:p>
        </w:tc>
        <w:tc>
          <w:tcPr>
            <w:tcW w:w="1720" w:type="dxa"/>
            <w:vAlign w:val="bottom"/>
            <w:tcBorders>
              <w:right w:val="single" w:sz="8" w:color="auto"/>
            </w:tcBorders>
          </w:tcPr>
          <w:p>
            <w:pPr>
              <w:jc w:val="right"/>
              <w:ind w:right="40"/>
              <w:spacing w:after="0"/>
              <w:rPr>
                <w:sz w:val="20"/>
                <w:szCs w:val="20"/>
                <w:color w:val="auto"/>
              </w:rPr>
            </w:pPr>
            <w:r>
              <w:rPr>
                <w:rFonts w:ascii="Calibri" w:cs="Calibri" w:eastAsia="Calibri" w:hAnsi="Calibri"/>
                <w:sz w:val="17"/>
                <w:szCs w:val="17"/>
                <w:color w:val="auto"/>
              </w:rPr>
              <w:t>420,000</w:t>
            </w:r>
          </w:p>
        </w:tc>
        <w:tc>
          <w:tcPr>
            <w:tcW w:w="0" w:type="dxa"/>
            <w:vAlign w:val="bottom"/>
          </w:tcPr>
          <w:p>
            <w:pPr>
              <w:spacing w:after="0"/>
              <w:rPr>
                <w:sz w:val="1"/>
                <w:szCs w:val="1"/>
                <w:color w:val="auto"/>
              </w:rPr>
            </w:pPr>
          </w:p>
        </w:tc>
      </w:tr>
      <w:tr>
        <w:trPr>
          <w:trHeight w:val="127"/>
        </w:trPr>
        <w:tc>
          <w:tcPr>
            <w:tcW w:w="892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8920" w:type="dxa"/>
            <w:vAlign w:val="bottom"/>
            <w:tcBorders>
              <w:right w:val="single" w:sz="8" w:color="auto"/>
            </w:tcBorders>
          </w:tcPr>
          <w:p>
            <w:pPr>
              <w:ind w:left="180"/>
              <w:spacing w:after="0"/>
              <w:rPr>
                <w:sz w:val="20"/>
                <w:szCs w:val="20"/>
                <w:color w:val="auto"/>
              </w:rPr>
            </w:pPr>
            <w:r>
              <w:rPr>
                <w:rFonts w:ascii="Calibri" w:cs="Calibri" w:eastAsia="Calibri" w:hAnsi="Calibri"/>
                <w:sz w:val="17"/>
                <w:szCs w:val="17"/>
                <w:b w:val="1"/>
                <w:bCs w:val="1"/>
                <w:color w:val="auto"/>
              </w:rPr>
              <w:t>Samuel Meckey</w:t>
            </w:r>
          </w:p>
        </w:tc>
        <w:tc>
          <w:tcPr>
            <w:tcW w:w="1720" w:type="dxa"/>
            <w:vAlign w:val="bottom"/>
            <w:tcBorders>
              <w:right w:val="single" w:sz="8" w:color="auto"/>
            </w:tcBorders>
          </w:tcPr>
          <w:p>
            <w:pPr>
              <w:jc w:val="right"/>
              <w:ind w:right="40"/>
              <w:spacing w:after="0"/>
              <w:rPr>
                <w:sz w:val="20"/>
                <w:szCs w:val="20"/>
                <w:color w:val="auto"/>
              </w:rPr>
            </w:pPr>
            <w:r>
              <w:rPr>
                <w:rFonts w:ascii="Calibri" w:cs="Calibri" w:eastAsia="Calibri" w:hAnsi="Calibri"/>
                <w:sz w:val="17"/>
                <w:szCs w:val="17"/>
                <w:color w:val="auto"/>
              </w:rPr>
              <w:t>442,000</w:t>
            </w:r>
          </w:p>
        </w:tc>
        <w:tc>
          <w:tcPr>
            <w:tcW w:w="0" w:type="dxa"/>
            <w:vAlign w:val="bottom"/>
          </w:tcPr>
          <w:p>
            <w:pPr>
              <w:spacing w:after="0"/>
              <w:rPr>
                <w:sz w:val="1"/>
                <w:szCs w:val="1"/>
                <w:color w:val="auto"/>
              </w:rPr>
            </w:pPr>
          </w:p>
        </w:tc>
      </w:tr>
      <w:tr>
        <w:trPr>
          <w:trHeight w:val="133"/>
        </w:trPr>
        <w:tc>
          <w:tcPr>
            <w:tcW w:w="8920" w:type="dxa"/>
            <w:vAlign w:val="bottom"/>
            <w:tcBorders>
              <w:bottom w:val="single" w:sz="8" w:color="FB4E0B"/>
              <w:right w:val="single" w:sz="8" w:color="auto"/>
            </w:tcBorders>
          </w:tcPr>
          <w:p>
            <w:pPr>
              <w:spacing w:after="0"/>
              <w:rPr>
                <w:sz w:val="11"/>
                <w:szCs w:val="11"/>
                <w:color w:val="auto"/>
              </w:rPr>
            </w:pPr>
          </w:p>
        </w:tc>
        <w:tc>
          <w:tcPr>
            <w:tcW w:w="1720" w:type="dxa"/>
            <w:vAlign w:val="bottom"/>
            <w:tcBorders>
              <w:bottom w:val="single" w:sz="8" w:color="FB4E0B"/>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(1) Equivalent to $329,611, converted at 74.33 INR to 1 USD, which was the exchange rate on December 31, 2021.</w:t>
      </w:r>
    </w:p>
    <w:p>
      <w:pPr>
        <w:spacing w:after="0" w:line="198"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Incentve bonus</w:t>
      </w:r>
    </w:p>
    <w:p>
      <w:pPr>
        <w:spacing w:after="0" w:line="1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have established an annual incentve bonus program in order to align our executve ofcers’ goals with our performance targets for the current year and to encourage meaningful contributons to our future fnancial performance. Our Compensaton Commitee approved the framework of our incentve bonus program in late 2020 for the year 2021 for bonuses payable in respect of 2021 performance. Under the program, bonus target amounts, expressed as a percentage of base salary or annual fxed compensaton, are established for partcipants at the beginning of each year unless their employment agreements contain diferent terms. Funding of potental bonus payouts for the year are determined by our fnancial results for the year relatve to predetermined performance measures and our assessment of each named executve ofcer’s performance relatve to his predetermined individual performance goals. If our performance falls short of target, our aggregate funding of the annual cash bonus incentve pool declines. If we do not achieve a minimum threshold for the established fnancial performance objectves, then the bonus pool is not funded for that partcular objectve. Although the Compensaton Commitee has not historically done so, it has the discreton under the 2018 Plan to adjust an award payout from the amount yielded by the formula at the end of the performance period for reasons such as the efect of changes in laws or regulatory rules, acquisitons or divesttures, extraordinary accountng items, foreign exchange gains or losses, and/or any specifc unusual or non-recurring events. The Compensaton Commitee did not utlize any discreton for the 2021 bonus awards.</w:t>
      </w:r>
    </w:p>
    <w:p>
      <w:pPr>
        <w:spacing w:after="0" w:line="132"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72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34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Compensaton Commitee considered the following when establishing the awards for 2021:</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Bonus targets</w:t>
      </w:r>
    </w:p>
    <w:p>
      <w:pPr>
        <w:spacing w:after="0" w:line="106"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Bonus targets were established based on job responsibilites and comparable market data. Our objectve was to set bonus targets such that total annual cash compensaton was within the broad middle range of market data and a substantal porton of that compensaton was linked to our performance. Consistent with our executve compensaton policy, individuals with greater job responsibilites had a greater proporton of their total compensaton ted to our performance. During 2021, our Compensaton Commitee established the following bonus targets (expressed as a percentage of base salary or annual fxed compensaton) as well as maximum bonus targets for each named executve ofcer.</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900" w:type="dxa"/>
            <w:vAlign w:val="bottom"/>
          </w:tcPr>
          <w:p>
            <w:pPr>
              <w:ind w:left="200"/>
              <w:spacing w:after="0"/>
              <w:rPr>
                <w:sz w:val="20"/>
                <w:szCs w:val="20"/>
                <w:color w:val="auto"/>
              </w:rPr>
            </w:pPr>
            <w:r>
              <w:rPr>
                <w:rFonts w:ascii="Calibri" w:cs="Calibri" w:eastAsia="Calibri" w:hAnsi="Calibri"/>
                <w:sz w:val="17"/>
                <w:szCs w:val="17"/>
                <w:b w:val="1"/>
                <w:bCs w:val="1"/>
                <w:color w:val="FB4E0B"/>
              </w:rPr>
              <w:t>Name</w:t>
            </w:r>
          </w:p>
        </w:tc>
        <w:tc>
          <w:tcPr>
            <w:tcW w:w="3820" w:type="dxa"/>
            <w:vAlign w:val="bottom"/>
          </w:tcPr>
          <w:p>
            <w:pPr>
              <w:ind w:left="80"/>
              <w:spacing w:after="0"/>
              <w:rPr>
                <w:sz w:val="20"/>
                <w:szCs w:val="20"/>
                <w:color w:val="auto"/>
              </w:rPr>
            </w:pPr>
            <w:r>
              <w:rPr>
                <w:rFonts w:ascii="Calibri" w:cs="Calibri" w:eastAsia="Calibri" w:hAnsi="Calibri"/>
                <w:sz w:val="17"/>
                <w:szCs w:val="17"/>
                <w:b w:val="1"/>
                <w:bCs w:val="1"/>
                <w:color w:val="FB4E0B"/>
              </w:rPr>
              <w:t>Bonus target</w:t>
            </w:r>
          </w:p>
        </w:tc>
        <w:tc>
          <w:tcPr>
            <w:tcW w:w="3900" w:type="dxa"/>
            <w:vAlign w:val="bottom"/>
          </w:tcPr>
          <w:p>
            <w:pPr>
              <w:ind w:left="80"/>
              <w:spacing w:after="0"/>
              <w:rPr>
                <w:sz w:val="20"/>
                <w:szCs w:val="20"/>
                <w:color w:val="auto"/>
              </w:rPr>
            </w:pPr>
            <w:r>
              <w:rPr>
                <w:rFonts w:ascii="Calibri" w:cs="Calibri" w:eastAsia="Calibri" w:hAnsi="Calibri"/>
                <w:sz w:val="17"/>
                <w:szCs w:val="17"/>
                <w:b w:val="1"/>
                <w:bCs w:val="1"/>
                <w:color w:val="FB4E0B"/>
              </w:rPr>
              <w:t>Bonus maximum</w:t>
            </w:r>
          </w:p>
        </w:tc>
      </w:tr>
      <w:tr>
        <w:trPr>
          <w:trHeight w:val="81"/>
        </w:trPr>
        <w:tc>
          <w:tcPr>
            <w:tcW w:w="2900" w:type="dxa"/>
            <w:vAlign w:val="bottom"/>
            <w:tcBorders>
              <w:bottom w:val="single" w:sz="8" w:color="FB4E0B"/>
            </w:tcBorders>
          </w:tcPr>
          <w:p>
            <w:pPr>
              <w:spacing w:after="0"/>
              <w:rPr>
                <w:sz w:val="7"/>
                <w:szCs w:val="7"/>
                <w:color w:val="auto"/>
              </w:rPr>
            </w:pPr>
          </w:p>
        </w:tc>
        <w:tc>
          <w:tcPr>
            <w:tcW w:w="3820" w:type="dxa"/>
            <w:vAlign w:val="bottom"/>
            <w:tcBorders>
              <w:bottom w:val="single" w:sz="8" w:color="FB4E0B"/>
            </w:tcBorders>
          </w:tcPr>
          <w:p>
            <w:pPr>
              <w:spacing w:after="0"/>
              <w:rPr>
                <w:sz w:val="7"/>
                <w:szCs w:val="7"/>
                <w:color w:val="auto"/>
              </w:rPr>
            </w:pPr>
          </w:p>
        </w:tc>
        <w:tc>
          <w:tcPr>
            <w:tcW w:w="3900" w:type="dxa"/>
            <w:vAlign w:val="bottom"/>
            <w:tcBorders>
              <w:bottom w:val="single" w:sz="8" w:color="FB4E0B"/>
            </w:tcBorders>
          </w:tcPr>
          <w:p>
            <w:pPr>
              <w:spacing w:after="0"/>
              <w:rPr>
                <w:sz w:val="7"/>
                <w:szCs w:val="7"/>
                <w:color w:val="auto"/>
              </w:rPr>
            </w:pPr>
          </w:p>
        </w:tc>
      </w:tr>
      <w:tr>
        <w:trPr>
          <w:trHeight w:val="276"/>
        </w:trPr>
        <w:tc>
          <w:tcPr>
            <w:tcW w:w="2900" w:type="dxa"/>
            <w:vAlign w:val="bottom"/>
            <w:tcBorders>
              <w:right w:val="single" w:sz="8" w:color="auto"/>
            </w:tcBorders>
          </w:tcPr>
          <w:p>
            <w:pPr>
              <w:ind w:left="220"/>
              <w:spacing w:after="0"/>
              <w:rPr>
                <w:sz w:val="20"/>
                <w:szCs w:val="20"/>
                <w:color w:val="auto"/>
              </w:rPr>
            </w:pPr>
            <w:r>
              <w:rPr>
                <w:rFonts w:ascii="Calibri" w:cs="Calibri" w:eastAsia="Calibri" w:hAnsi="Calibri"/>
                <w:sz w:val="17"/>
                <w:szCs w:val="17"/>
                <w:b w:val="1"/>
                <w:bCs w:val="1"/>
                <w:color w:val="auto"/>
              </w:rPr>
              <w:t>Rohit Kapoor</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150%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311% of base salary</w:t>
            </w:r>
          </w:p>
        </w:tc>
      </w:tr>
      <w:tr>
        <w:trPr>
          <w:trHeight w:val="127"/>
        </w:trPr>
        <w:tc>
          <w:tcPr>
            <w:tcW w:w="2900" w:type="dxa"/>
            <w:vAlign w:val="bottom"/>
            <w:tcBorders>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900" w:type="dxa"/>
            <w:vAlign w:val="bottom"/>
            <w:tcBorders>
              <w:right w:val="single" w:sz="8" w:color="auto"/>
            </w:tcBorders>
          </w:tcPr>
          <w:p>
            <w:pPr>
              <w:ind w:left="220"/>
              <w:spacing w:after="0"/>
              <w:rPr>
                <w:sz w:val="20"/>
                <w:szCs w:val="20"/>
                <w:color w:val="auto"/>
              </w:rPr>
            </w:pPr>
            <w:r>
              <w:rPr>
                <w:rFonts w:ascii="Calibri" w:cs="Calibri" w:eastAsia="Calibri" w:hAnsi="Calibri"/>
                <w:sz w:val="17"/>
                <w:szCs w:val="17"/>
                <w:b w:val="1"/>
                <w:bCs w:val="1"/>
                <w:color w:val="auto"/>
              </w:rPr>
              <w:t>Maurizio Nicolelli</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75%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156% of base salary</w:t>
            </w:r>
          </w:p>
        </w:tc>
      </w:tr>
      <w:tr>
        <w:trPr>
          <w:trHeight w:val="127"/>
        </w:trPr>
        <w:tc>
          <w:tcPr>
            <w:tcW w:w="2900" w:type="dxa"/>
            <w:vAlign w:val="bottom"/>
            <w:tcBorders>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900" w:type="dxa"/>
            <w:vAlign w:val="bottom"/>
            <w:tcBorders>
              <w:right w:val="single" w:sz="8" w:color="auto"/>
            </w:tcBorders>
          </w:tcPr>
          <w:p>
            <w:pPr>
              <w:ind w:left="220"/>
              <w:spacing w:after="0"/>
              <w:rPr>
                <w:sz w:val="20"/>
                <w:szCs w:val="20"/>
                <w:color w:val="auto"/>
              </w:rPr>
            </w:pPr>
            <w:r>
              <w:rPr>
                <w:rFonts w:ascii="Calibri" w:cs="Calibri" w:eastAsia="Calibri" w:hAnsi="Calibri"/>
                <w:sz w:val="17"/>
                <w:szCs w:val="17"/>
                <w:b w:val="1"/>
                <w:bCs w:val="1"/>
                <w:color w:val="auto"/>
              </w:rPr>
              <w:t>Vikas Bhalla</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75% of annual fxed compensaton</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156% of annual fxed compensaton</w:t>
            </w:r>
          </w:p>
        </w:tc>
      </w:tr>
      <w:tr>
        <w:trPr>
          <w:trHeight w:val="127"/>
        </w:trPr>
        <w:tc>
          <w:tcPr>
            <w:tcW w:w="2900" w:type="dxa"/>
            <w:vAlign w:val="bottom"/>
            <w:tcBorders>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900" w:type="dxa"/>
            <w:vAlign w:val="bottom"/>
            <w:tcBorders>
              <w:right w:val="single" w:sz="8" w:color="auto"/>
            </w:tcBorders>
          </w:tcPr>
          <w:p>
            <w:pPr>
              <w:ind w:left="220"/>
              <w:spacing w:after="0"/>
              <w:rPr>
                <w:sz w:val="20"/>
                <w:szCs w:val="20"/>
                <w:color w:val="auto"/>
              </w:rPr>
            </w:pPr>
            <w:r>
              <w:rPr>
                <w:rFonts w:ascii="Calibri" w:cs="Calibri" w:eastAsia="Calibri" w:hAnsi="Calibri"/>
                <w:sz w:val="17"/>
                <w:szCs w:val="17"/>
                <w:b w:val="1"/>
                <w:bCs w:val="1"/>
                <w:color w:val="auto"/>
              </w:rPr>
              <w:t>Vivek Jetley</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75%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156% of base salary</w:t>
            </w:r>
          </w:p>
        </w:tc>
      </w:tr>
      <w:tr>
        <w:trPr>
          <w:trHeight w:val="127"/>
        </w:trPr>
        <w:tc>
          <w:tcPr>
            <w:tcW w:w="2900" w:type="dxa"/>
            <w:vAlign w:val="bottom"/>
            <w:tcBorders>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r>
      <w:tr>
        <w:trPr>
          <w:trHeight w:val="269"/>
        </w:trPr>
        <w:tc>
          <w:tcPr>
            <w:tcW w:w="2900" w:type="dxa"/>
            <w:vAlign w:val="bottom"/>
            <w:tcBorders>
              <w:right w:val="single" w:sz="8" w:color="auto"/>
            </w:tcBorders>
          </w:tcPr>
          <w:p>
            <w:pPr>
              <w:ind w:left="220"/>
              <w:spacing w:after="0"/>
              <w:rPr>
                <w:sz w:val="20"/>
                <w:szCs w:val="20"/>
                <w:color w:val="auto"/>
              </w:rPr>
            </w:pPr>
            <w:r>
              <w:rPr>
                <w:rFonts w:ascii="Calibri" w:cs="Calibri" w:eastAsia="Calibri" w:hAnsi="Calibri"/>
                <w:sz w:val="17"/>
                <w:szCs w:val="17"/>
                <w:b w:val="1"/>
                <w:bCs w:val="1"/>
                <w:color w:val="auto"/>
              </w:rPr>
              <w:t>Samuel Meckey</w:t>
            </w:r>
          </w:p>
        </w:tc>
        <w:tc>
          <w:tcPr>
            <w:tcW w:w="382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75% of base salary</w:t>
            </w:r>
          </w:p>
        </w:tc>
        <w:tc>
          <w:tcPr>
            <w:tcW w:w="3900" w:type="dxa"/>
            <w:vAlign w:val="bottom"/>
          </w:tcPr>
          <w:p>
            <w:pPr>
              <w:ind w:left="80"/>
              <w:spacing w:after="0"/>
              <w:rPr>
                <w:sz w:val="20"/>
                <w:szCs w:val="20"/>
                <w:color w:val="auto"/>
              </w:rPr>
            </w:pPr>
            <w:r>
              <w:rPr>
                <w:rFonts w:ascii="Calibri" w:cs="Calibri" w:eastAsia="Calibri" w:hAnsi="Calibri"/>
                <w:sz w:val="17"/>
                <w:szCs w:val="17"/>
                <w:color w:val="auto"/>
              </w:rPr>
              <w:t>156% of base salary</w:t>
            </w:r>
          </w:p>
        </w:tc>
      </w:tr>
      <w:tr>
        <w:trPr>
          <w:trHeight w:val="133"/>
        </w:trPr>
        <w:tc>
          <w:tcPr>
            <w:tcW w:w="2900" w:type="dxa"/>
            <w:vAlign w:val="bottom"/>
            <w:tcBorders>
              <w:bottom w:val="single" w:sz="8" w:color="FB4E0B"/>
              <w:right w:val="single" w:sz="8" w:color="auto"/>
            </w:tcBorders>
          </w:tcPr>
          <w:p>
            <w:pPr>
              <w:spacing w:after="0"/>
              <w:rPr>
                <w:sz w:val="11"/>
                <w:szCs w:val="11"/>
                <w:color w:val="auto"/>
              </w:rPr>
            </w:pPr>
          </w:p>
        </w:tc>
        <w:tc>
          <w:tcPr>
            <w:tcW w:w="3820" w:type="dxa"/>
            <w:vAlign w:val="bottom"/>
            <w:tcBorders>
              <w:bottom w:val="single" w:sz="8" w:color="FB4E0B"/>
              <w:right w:val="single" w:sz="8" w:color="auto"/>
            </w:tcBorders>
          </w:tcPr>
          <w:p>
            <w:pPr>
              <w:spacing w:after="0"/>
              <w:rPr>
                <w:sz w:val="11"/>
                <w:szCs w:val="11"/>
                <w:color w:val="auto"/>
              </w:rPr>
            </w:pPr>
          </w:p>
        </w:tc>
        <w:tc>
          <w:tcPr>
            <w:tcW w:w="3900" w:type="dxa"/>
            <w:vAlign w:val="bottom"/>
            <w:tcBorders>
              <w:bottom w:val="single" w:sz="8" w:color="FB4E0B"/>
            </w:tcBorders>
          </w:tcPr>
          <w:p>
            <w:pPr>
              <w:spacing w:after="0"/>
              <w:rPr>
                <w:sz w:val="11"/>
                <w:szCs w:val="11"/>
                <w:color w:val="auto"/>
              </w:rPr>
            </w:pPr>
          </w:p>
        </w:tc>
      </w:tr>
    </w:tbl>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Performance measures</w:t>
      </w:r>
    </w:p>
    <w:p>
      <w:pPr>
        <w:spacing w:after="0" w:line="106"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Our executves were eligible to earn annual bonuses based 75% on their achievement of Company-wide performance metrics with the remaining 25% based on individual performance. The Company-wide porton of 2021 annual bonuses were based 30% on the Company’s Adjusted EPS goal, 40% on the Company’s revenue goal, and 30% on the Company’s adjusted operatng proft margin (AOPM) for all employees whose incentve bonus is linked to Company-wide fnancial performance, including our named executve ofcers.</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In 2021, the Compensaton Commitee contnued to set the Company-wide performance goals as well as the individual performance goals described above for all named executve ofcers to ensure the executves were properly focused on the Company’s Adjusted EPS, revenue, and AOPM goals and other areas of performance that are unique to their positons within the organizaton. The Compensaton Commitee believes achievement of these performance metrics will drive our business and, in turn, lead to increased stockholder value.</w:t>
      </w:r>
    </w:p>
    <w:p>
      <w:pPr>
        <w:spacing w:after="0" w:line="127"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73</w:t>
            </w:r>
          </w:p>
        </w:tc>
      </w:tr>
    </w:tbl>
    <w:p>
      <w:pPr>
        <w:sectPr>
          <w:pgSz w:w="11900" w:h="16838" w:orient="portrait"/>
          <w:cols w:equalWidth="0" w:num="1">
            <w:col w:w="10940"/>
          </w:cols>
          <w:pgMar w:left="320" w:top="445" w:right="6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Determinaton of fnancial performance achievement</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For 2021, our Compensaton Commitee established an Adjusted EPS target of $4.05 14.7% higher than our actual Adjusted EPS for the prior year and</w:t>
      </w:r>
    </w:p>
    <w:p>
      <w:pPr>
        <w:spacing w:after="0" w:line="2"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11.0% higher than the prior year’s target performance), a revenue target of $1.075 billion (12.0% higher than our actual revenue for the prior year and the same as our prior year’s target performance), and an AOPM target of $178.9 million (16.6% higher than our actual for the prior year and 8.2% higher than our prior year’s target). As shown below, the porton of incentve bonus payments that were subject to these fnancial performance measures could have ranged from zero to 210% of target depending on the achievement of the performance goals:</w:t>
      </w:r>
    </w:p>
    <w:p>
      <w:pPr>
        <w:spacing w:after="0" w:line="352" w:lineRule="exact"/>
        <w:rPr>
          <w:sz w:val="20"/>
          <w:szCs w:val="20"/>
          <w:color w:val="auto"/>
        </w:rPr>
      </w:pPr>
    </w:p>
    <w:p>
      <w:pPr>
        <w:ind w:left="400"/>
        <w:spacing w:after="0"/>
        <w:rPr>
          <w:sz w:val="20"/>
          <w:szCs w:val="20"/>
          <w:color w:val="auto"/>
        </w:rPr>
      </w:pPr>
      <w:r>
        <w:rPr>
          <w:rFonts w:ascii="Calibri" w:cs="Calibri" w:eastAsia="Calibri" w:hAnsi="Calibri"/>
          <w:sz w:val="17"/>
          <w:szCs w:val="17"/>
          <w:b w:val="1"/>
          <w:bCs w:val="1"/>
          <w:color w:val="FB4E0B"/>
        </w:rPr>
        <w:t>Performance targets: adjusted EPS ($4.05); revenue ($1.075 billion); and AOPM ($178.9 million)</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46"/>
        </w:trPr>
        <w:tc>
          <w:tcPr>
            <w:tcW w:w="5320" w:type="dxa"/>
            <w:vAlign w:val="bottom"/>
            <w:tcBorders>
              <w:top w:val="single" w:sz="8" w:color="FB4E0B"/>
            </w:tcBorders>
            <w:vMerge w:val="restart"/>
          </w:tcPr>
          <w:p>
            <w:pPr>
              <w:ind w:left="80"/>
              <w:spacing w:after="0"/>
              <w:rPr>
                <w:sz w:val="20"/>
                <w:szCs w:val="20"/>
                <w:color w:val="auto"/>
              </w:rPr>
            </w:pPr>
            <w:r>
              <w:rPr>
                <w:rFonts w:ascii="Calibri" w:cs="Calibri" w:eastAsia="Calibri" w:hAnsi="Calibri"/>
                <w:sz w:val="17"/>
                <w:szCs w:val="17"/>
                <w:b w:val="1"/>
                <w:bCs w:val="1"/>
                <w:color w:val="auto"/>
              </w:rPr>
              <w:t>% of performance achieved compared to target goal</w:t>
            </w:r>
          </w:p>
        </w:tc>
        <w:tc>
          <w:tcPr>
            <w:tcW w:w="20" w:type="dxa"/>
            <w:vAlign w:val="bottom"/>
            <w:tcBorders>
              <w:top w:val="single" w:sz="8" w:color="FB4E0B"/>
            </w:tcBorders>
          </w:tcPr>
          <w:p>
            <w:pPr>
              <w:spacing w:after="0"/>
              <w:rPr>
                <w:sz w:val="4"/>
                <w:szCs w:val="4"/>
                <w:color w:val="auto"/>
              </w:rPr>
            </w:pPr>
          </w:p>
        </w:tc>
        <w:tc>
          <w:tcPr>
            <w:tcW w:w="5280" w:type="dxa"/>
            <w:vAlign w:val="bottom"/>
            <w:tcBorders>
              <w:top w:val="single" w:sz="8" w:color="FB4E0B"/>
            </w:tcBorders>
            <w:vMerge w:val="restart"/>
          </w:tcPr>
          <w:p>
            <w:pPr>
              <w:ind w:left="80"/>
              <w:spacing w:after="0"/>
              <w:rPr>
                <w:sz w:val="20"/>
                <w:szCs w:val="20"/>
                <w:color w:val="auto"/>
              </w:rPr>
            </w:pPr>
            <w:r>
              <w:rPr>
                <w:rFonts w:ascii="Calibri" w:cs="Calibri" w:eastAsia="Calibri" w:hAnsi="Calibri"/>
                <w:sz w:val="17"/>
                <w:szCs w:val="17"/>
                <w:b w:val="1"/>
                <w:bCs w:val="1"/>
                <w:color w:val="auto"/>
              </w:rPr>
              <w:t>% of target porton funded</w:t>
            </w:r>
          </w:p>
        </w:tc>
        <w:tc>
          <w:tcPr>
            <w:tcW w:w="0" w:type="dxa"/>
            <w:vAlign w:val="bottom"/>
          </w:tcPr>
          <w:p>
            <w:pPr>
              <w:spacing w:after="0"/>
              <w:rPr>
                <w:sz w:val="1"/>
                <w:szCs w:val="1"/>
                <w:color w:val="auto"/>
              </w:rPr>
            </w:pPr>
          </w:p>
        </w:tc>
      </w:tr>
      <w:tr>
        <w:trPr>
          <w:trHeight w:val="282"/>
        </w:trPr>
        <w:tc>
          <w:tcPr>
            <w:tcW w:w="532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Above 110%</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210%</w:t>
            </w:r>
          </w:p>
        </w:tc>
        <w:tc>
          <w:tcPr>
            <w:tcW w:w="0" w:type="dxa"/>
            <w:vAlign w:val="bottom"/>
          </w:tcPr>
          <w:p>
            <w:pPr>
              <w:spacing w:after="0"/>
              <w:rPr>
                <w:sz w:val="1"/>
                <w:szCs w:val="1"/>
                <w:color w:val="auto"/>
              </w:rPr>
            </w:pPr>
          </w:p>
        </w:tc>
      </w:tr>
      <w:tr>
        <w:trPr>
          <w:trHeight w:val="88"/>
        </w:trPr>
        <w:tc>
          <w:tcPr>
            <w:tcW w:w="5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105%</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160%</w:t>
            </w:r>
          </w:p>
        </w:tc>
        <w:tc>
          <w:tcPr>
            <w:tcW w:w="0" w:type="dxa"/>
            <w:vAlign w:val="bottom"/>
          </w:tcPr>
          <w:p>
            <w:pPr>
              <w:spacing w:after="0"/>
              <w:rPr>
                <w:sz w:val="1"/>
                <w:szCs w:val="1"/>
                <w:color w:val="auto"/>
              </w:rPr>
            </w:pPr>
          </w:p>
        </w:tc>
      </w:tr>
      <w:tr>
        <w:trPr>
          <w:trHeight w:val="88"/>
        </w:trPr>
        <w:tc>
          <w:tcPr>
            <w:tcW w:w="5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At 100%</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100%</w:t>
            </w:r>
          </w:p>
        </w:tc>
        <w:tc>
          <w:tcPr>
            <w:tcW w:w="0" w:type="dxa"/>
            <w:vAlign w:val="bottom"/>
          </w:tcPr>
          <w:p>
            <w:pPr>
              <w:spacing w:after="0"/>
              <w:rPr>
                <w:sz w:val="1"/>
                <w:szCs w:val="1"/>
                <w:color w:val="auto"/>
              </w:rPr>
            </w:pPr>
          </w:p>
        </w:tc>
      </w:tr>
      <w:tr>
        <w:trPr>
          <w:trHeight w:val="88"/>
        </w:trPr>
        <w:tc>
          <w:tcPr>
            <w:tcW w:w="5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At 90%</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10%</w:t>
            </w:r>
          </w:p>
        </w:tc>
        <w:tc>
          <w:tcPr>
            <w:tcW w:w="0" w:type="dxa"/>
            <w:vAlign w:val="bottom"/>
          </w:tcPr>
          <w:p>
            <w:pPr>
              <w:spacing w:after="0"/>
              <w:rPr>
                <w:sz w:val="1"/>
                <w:szCs w:val="1"/>
                <w:color w:val="auto"/>
              </w:rPr>
            </w:pPr>
          </w:p>
        </w:tc>
      </w:tr>
      <w:tr>
        <w:trPr>
          <w:trHeight w:val="88"/>
        </w:trPr>
        <w:tc>
          <w:tcPr>
            <w:tcW w:w="5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5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80"/>
              <w:spacing w:after="0"/>
              <w:rPr>
                <w:sz w:val="20"/>
                <w:szCs w:val="20"/>
                <w:color w:val="auto"/>
              </w:rPr>
            </w:pPr>
            <w:r>
              <w:rPr>
                <w:rFonts w:ascii="Calibri" w:cs="Calibri" w:eastAsia="Calibri" w:hAnsi="Calibri"/>
                <w:sz w:val="17"/>
                <w:szCs w:val="17"/>
                <w:color w:val="auto"/>
              </w:rPr>
              <w:t>Less than 90%</w:t>
            </w:r>
          </w:p>
        </w:tc>
        <w:tc>
          <w:tcPr>
            <w:tcW w:w="20" w:type="dxa"/>
            <w:vAlign w:val="bottom"/>
            <w:shd w:val="clear" w:color="auto" w:fill="000000"/>
          </w:tcPr>
          <w:p>
            <w:pPr>
              <w:spacing w:after="0"/>
              <w:rPr>
                <w:sz w:val="20"/>
                <w:szCs w:val="20"/>
                <w:color w:val="auto"/>
              </w:rPr>
            </w:pPr>
          </w:p>
        </w:tc>
        <w:tc>
          <w:tcPr>
            <w:tcW w:w="5280" w:type="dxa"/>
            <w:vAlign w:val="bottom"/>
          </w:tcPr>
          <w:p>
            <w:pPr>
              <w:ind w:left="80"/>
              <w:spacing w:after="0"/>
              <w:rPr>
                <w:sz w:val="20"/>
                <w:szCs w:val="20"/>
                <w:color w:val="auto"/>
              </w:rPr>
            </w:pPr>
            <w:r>
              <w:rPr>
                <w:rFonts w:ascii="Calibri" w:cs="Calibri" w:eastAsia="Calibri" w:hAnsi="Calibri"/>
                <w:sz w:val="17"/>
                <w:szCs w:val="17"/>
                <w:color w:val="auto"/>
              </w:rPr>
              <w:t>0%</w:t>
            </w:r>
          </w:p>
        </w:tc>
        <w:tc>
          <w:tcPr>
            <w:tcW w:w="0" w:type="dxa"/>
            <w:vAlign w:val="bottom"/>
          </w:tcPr>
          <w:p>
            <w:pPr>
              <w:spacing w:after="0"/>
              <w:rPr>
                <w:sz w:val="1"/>
                <w:szCs w:val="1"/>
                <w:color w:val="auto"/>
              </w:rPr>
            </w:pPr>
          </w:p>
        </w:tc>
      </w:tr>
      <w:tr>
        <w:trPr>
          <w:trHeight w:val="107"/>
        </w:trPr>
        <w:tc>
          <w:tcPr>
            <w:tcW w:w="5320" w:type="dxa"/>
            <w:vAlign w:val="bottom"/>
            <w:tcBorders>
              <w:bottom w:val="single" w:sz="8" w:color="FB4E0B"/>
            </w:tcBorders>
          </w:tcPr>
          <w:p>
            <w:pPr>
              <w:spacing w:after="0"/>
              <w:rPr>
                <w:sz w:val="9"/>
                <w:szCs w:val="9"/>
                <w:color w:val="auto"/>
              </w:rPr>
            </w:pPr>
          </w:p>
        </w:tc>
        <w:tc>
          <w:tcPr>
            <w:tcW w:w="20" w:type="dxa"/>
            <w:vAlign w:val="bottom"/>
            <w:tcBorders>
              <w:bottom w:val="single" w:sz="8" w:color="FB4E0B"/>
            </w:tcBorders>
            <w:shd w:val="clear" w:color="auto" w:fill="000000"/>
          </w:tcPr>
          <w:p>
            <w:pPr>
              <w:spacing w:after="0"/>
              <w:rPr>
                <w:sz w:val="9"/>
                <w:szCs w:val="9"/>
                <w:color w:val="auto"/>
              </w:rPr>
            </w:pPr>
          </w:p>
        </w:tc>
        <w:tc>
          <w:tcPr>
            <w:tcW w:w="5280" w:type="dxa"/>
            <w:vAlign w:val="bottom"/>
            <w:tcBorders>
              <w:bottom w:val="single" w:sz="8" w:color="FB4E0B"/>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Linear interpolaton for performance between discrete points</w:t>
      </w:r>
    </w:p>
    <w:p>
      <w:pPr>
        <w:spacing w:after="0" w:line="311" w:lineRule="exact"/>
        <w:rPr>
          <w:sz w:val="20"/>
          <w:szCs w:val="20"/>
          <w:color w:val="auto"/>
        </w:rPr>
      </w:pPr>
    </w:p>
    <w:p>
      <w:pPr>
        <w:ind w:left="320" w:right="360"/>
        <w:spacing w:after="0" w:line="268" w:lineRule="auto"/>
        <w:rPr>
          <w:sz w:val="20"/>
          <w:szCs w:val="20"/>
          <w:color w:val="auto"/>
        </w:rPr>
      </w:pPr>
      <w:r>
        <w:rPr>
          <w:rFonts w:ascii="Calibri" w:cs="Calibri" w:eastAsia="Calibri" w:hAnsi="Calibri"/>
          <w:sz w:val="16"/>
          <w:szCs w:val="16"/>
          <w:color w:val="auto"/>
        </w:rPr>
        <w:t>Based on our performance during the 2021 fscal year, we achieved 118.77% of our Adjusted EPS target (resultng in funding of 210%), 103.83% of our revenue target (resultng in funding of 145.96%), and 116.49% of our AOPM target (resultng in funding of 210%) for a weighted funding of 184.39%.</w:t>
      </w:r>
    </w:p>
    <w:p>
      <w:pPr>
        <w:spacing w:after="0" w:line="105"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74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D8D8D8"/>
        </w:rPr>
        <w:t>Executve compensaton</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Determinaton of individual performance measure achievement</w:t>
      </w:r>
    </w:p>
    <w:p>
      <w:pPr>
        <w:spacing w:after="0" w:line="106"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named executve ofcers earn a porton of their respectve annual incentve bonuses based on the achievement of individual performance measures that are designed to balance the atenton of the ofcer between the achievement of near-term objectves that improve specifc processes or performance metrics and long-term objectves for us. For more informaton on the process, roles and responsibilites for determining individual performance measure achievement, please see “Compensaton process: roles and responsibilites” on page 69. Below is a summary of each named executve ofcer’s individual performance measures, and a summary of the achievements and accomplishments toward meetng those performance measures:</w:t>
      </w: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040" w:type="dxa"/>
            <w:vAlign w:val="bottom"/>
          </w:tcPr>
          <w:p>
            <w:pPr>
              <w:spacing w:after="0"/>
              <w:rPr>
                <w:sz w:val="20"/>
                <w:szCs w:val="20"/>
                <w:color w:val="auto"/>
              </w:rPr>
            </w:pPr>
            <w:r>
              <w:rPr>
                <w:rFonts w:ascii="Calibri" w:cs="Calibri" w:eastAsia="Calibri" w:hAnsi="Calibri"/>
                <w:sz w:val="17"/>
                <w:szCs w:val="17"/>
                <w:b w:val="1"/>
                <w:bCs w:val="1"/>
                <w:color w:val="FB4E0B"/>
              </w:rPr>
              <w:t>Named Executve</w:t>
            </w:r>
          </w:p>
        </w:tc>
        <w:tc>
          <w:tcPr>
            <w:tcW w:w="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8"/>
        </w:trPr>
        <w:tc>
          <w:tcPr>
            <w:tcW w:w="2040" w:type="dxa"/>
            <w:vAlign w:val="bottom"/>
          </w:tcPr>
          <w:p>
            <w:pPr>
              <w:spacing w:after="0"/>
              <w:rPr>
                <w:sz w:val="20"/>
                <w:szCs w:val="20"/>
                <w:color w:val="auto"/>
              </w:rPr>
            </w:pPr>
            <w:r>
              <w:rPr>
                <w:rFonts w:ascii="Calibri" w:cs="Calibri" w:eastAsia="Calibri" w:hAnsi="Calibri"/>
                <w:sz w:val="17"/>
                <w:szCs w:val="17"/>
                <w:b w:val="1"/>
                <w:bCs w:val="1"/>
                <w:color w:val="FB4E0B"/>
              </w:rPr>
              <w:t>Ofcer</w:t>
            </w:r>
          </w:p>
        </w:tc>
        <w:tc>
          <w:tcPr>
            <w:tcW w:w="3500" w:type="dxa"/>
            <w:vAlign w:val="bottom"/>
            <w:gridSpan w:val="2"/>
          </w:tcPr>
          <w:p>
            <w:pPr>
              <w:ind w:left="440"/>
              <w:spacing w:after="0"/>
              <w:rPr>
                <w:sz w:val="20"/>
                <w:szCs w:val="20"/>
                <w:color w:val="auto"/>
              </w:rPr>
            </w:pPr>
            <w:r>
              <w:rPr>
                <w:rFonts w:ascii="Calibri" w:cs="Calibri" w:eastAsia="Calibri" w:hAnsi="Calibri"/>
                <w:sz w:val="17"/>
                <w:szCs w:val="17"/>
                <w:b w:val="1"/>
                <w:bCs w:val="1"/>
                <w:color w:val="FB4E0B"/>
              </w:rPr>
              <w:t>2021 Individual performance measure</w:t>
            </w:r>
          </w:p>
        </w:tc>
        <w:tc>
          <w:tcPr>
            <w:tcW w:w="580" w:type="dxa"/>
            <w:vAlign w:val="bottom"/>
          </w:tcPr>
          <w:p>
            <w:pPr>
              <w:spacing w:after="0"/>
              <w:rPr>
                <w:sz w:val="18"/>
                <w:szCs w:val="18"/>
                <w:color w:val="auto"/>
              </w:rPr>
            </w:pPr>
          </w:p>
        </w:tc>
        <w:tc>
          <w:tcPr>
            <w:tcW w:w="3600" w:type="dxa"/>
            <w:vAlign w:val="bottom"/>
          </w:tcPr>
          <w:p>
            <w:pPr>
              <w:ind w:left="520"/>
              <w:spacing w:after="0"/>
              <w:rPr>
                <w:sz w:val="20"/>
                <w:szCs w:val="20"/>
                <w:color w:val="auto"/>
              </w:rPr>
            </w:pPr>
            <w:r>
              <w:rPr>
                <w:rFonts w:ascii="Calibri" w:cs="Calibri" w:eastAsia="Calibri" w:hAnsi="Calibri"/>
                <w:sz w:val="17"/>
                <w:szCs w:val="17"/>
                <w:b w:val="1"/>
                <w:bCs w:val="1"/>
                <w:color w:val="FB4E0B"/>
              </w:rPr>
              <w:t>2021 Individual performance achievement</w:t>
            </w:r>
          </w:p>
        </w:tc>
        <w:tc>
          <w:tcPr>
            <w:tcW w:w="900" w:type="dxa"/>
            <w:vAlign w:val="bottom"/>
          </w:tcPr>
          <w:p>
            <w:pPr>
              <w:spacing w:after="0"/>
              <w:rPr>
                <w:sz w:val="18"/>
                <w:szCs w:val="18"/>
                <w:color w:val="auto"/>
              </w:rPr>
            </w:pPr>
          </w:p>
        </w:tc>
      </w:tr>
      <w:tr>
        <w:trPr>
          <w:trHeight w:val="42"/>
        </w:trPr>
        <w:tc>
          <w:tcPr>
            <w:tcW w:w="2040" w:type="dxa"/>
            <w:vAlign w:val="bottom"/>
            <w:tcBorders>
              <w:bottom w:val="single" w:sz="8" w:color="FB4E0B"/>
            </w:tcBorders>
          </w:tcPr>
          <w:p>
            <w:pPr>
              <w:spacing w:after="0"/>
              <w:rPr>
                <w:sz w:val="3"/>
                <w:szCs w:val="3"/>
                <w:color w:val="auto"/>
              </w:rPr>
            </w:pPr>
          </w:p>
        </w:tc>
        <w:tc>
          <w:tcPr>
            <w:tcW w:w="560" w:type="dxa"/>
            <w:vAlign w:val="bottom"/>
            <w:tcBorders>
              <w:bottom w:val="single" w:sz="8" w:color="FB4E0B"/>
            </w:tcBorders>
          </w:tcPr>
          <w:p>
            <w:pPr>
              <w:spacing w:after="0"/>
              <w:rPr>
                <w:sz w:val="3"/>
                <w:szCs w:val="3"/>
                <w:color w:val="auto"/>
              </w:rPr>
            </w:pPr>
          </w:p>
        </w:tc>
        <w:tc>
          <w:tcPr>
            <w:tcW w:w="2940" w:type="dxa"/>
            <w:vAlign w:val="bottom"/>
            <w:tcBorders>
              <w:bottom w:val="single" w:sz="8" w:color="FB4E0B"/>
            </w:tcBorders>
          </w:tcPr>
          <w:p>
            <w:pPr>
              <w:spacing w:after="0"/>
              <w:rPr>
                <w:sz w:val="3"/>
                <w:szCs w:val="3"/>
                <w:color w:val="auto"/>
              </w:rPr>
            </w:pPr>
          </w:p>
        </w:tc>
        <w:tc>
          <w:tcPr>
            <w:tcW w:w="580" w:type="dxa"/>
            <w:vAlign w:val="bottom"/>
            <w:tcBorders>
              <w:bottom w:val="single" w:sz="8" w:color="FB4E0B"/>
            </w:tcBorders>
          </w:tcPr>
          <w:p>
            <w:pPr>
              <w:spacing w:after="0"/>
              <w:rPr>
                <w:sz w:val="3"/>
                <w:szCs w:val="3"/>
                <w:color w:val="auto"/>
              </w:rPr>
            </w:pPr>
          </w:p>
        </w:tc>
        <w:tc>
          <w:tcPr>
            <w:tcW w:w="4500" w:type="dxa"/>
            <w:vAlign w:val="bottom"/>
            <w:tcBorders>
              <w:bottom w:val="single" w:sz="8" w:color="FB4E0B"/>
            </w:tcBorders>
            <w:gridSpan w:val="2"/>
          </w:tcPr>
          <w:p>
            <w:pPr>
              <w:spacing w:after="0"/>
              <w:rPr>
                <w:sz w:val="3"/>
                <w:szCs w:val="3"/>
                <w:color w:val="auto"/>
              </w:rPr>
            </w:pPr>
          </w:p>
        </w:tc>
      </w:tr>
      <w:tr>
        <w:trPr>
          <w:trHeight w:val="282"/>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Rohit Kapoor</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proftability</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rPr>
              <w:t>   Strong growth across all business units, resultng in revenues for</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line="185" w:lineRule="exact"/>
              <w:rPr>
                <w:sz w:val="20"/>
                <w:szCs w:val="20"/>
                <w:color w:val="auto"/>
              </w:rPr>
            </w:pPr>
            <w:r>
              <w:rPr>
                <w:rFonts w:ascii="Calibri" w:cs="Calibri" w:eastAsia="Calibri" w:hAnsi="Calibri"/>
                <w:sz w:val="16"/>
                <w:szCs w:val="16"/>
                <w:color w:val="auto"/>
                <w:w w:val="95"/>
              </w:rPr>
              <w:t>   Improve return on invested capital (“ROIC”)</w:t>
            </w:r>
          </w:p>
        </w:tc>
        <w:tc>
          <w:tcPr>
            <w:tcW w:w="580" w:type="dxa"/>
            <w:vAlign w:val="bottom"/>
          </w:tcPr>
          <w:p>
            <w:pPr>
              <w:spacing w:after="0"/>
              <w:rPr>
                <w:sz w:val="16"/>
                <w:szCs w:val="16"/>
                <w:color w:val="auto"/>
              </w:rPr>
            </w:pPr>
          </w:p>
        </w:tc>
        <w:tc>
          <w:tcPr>
            <w:tcW w:w="4500" w:type="dxa"/>
            <w:vAlign w:val="bottom"/>
            <w:gridSpan w:val="2"/>
          </w:tcPr>
          <w:p>
            <w:pPr>
              <w:ind w:left="140"/>
              <w:spacing w:after="0" w:line="185" w:lineRule="exact"/>
              <w:rPr>
                <w:sz w:val="20"/>
                <w:szCs w:val="20"/>
                <w:color w:val="auto"/>
              </w:rPr>
            </w:pPr>
            <w:r>
              <w:rPr>
                <w:rFonts w:ascii="Calibri" w:cs="Calibri" w:eastAsia="Calibri" w:hAnsi="Calibri"/>
                <w:sz w:val="16"/>
                <w:szCs w:val="16"/>
                <w:color w:val="auto"/>
              </w:rPr>
              <w:t>2021 that were up $163.9 million, or 17.1%, compared to 2020</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 Execute on EXL’s digital strategy</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rPr>
              <w:t>   ROIC increased to 12.6% in 2021, compared to 8.9% in 2020</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w w:val="99"/>
              </w:rPr>
              <w:t>   Improve talent acquisiton &amp; development</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rPr>
              <w:t>   Developed a strong foundaton of digital and established an AI:OS</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 Ensure agile decisioning and strengthen</w:t>
            </w:r>
          </w:p>
        </w:tc>
        <w:tc>
          <w:tcPr>
            <w:tcW w:w="580" w:type="dxa"/>
            <w:vAlign w:val="bottom"/>
          </w:tcPr>
          <w:p>
            <w:pPr>
              <w:spacing w:after="0"/>
              <w:rPr>
                <w:sz w:val="16"/>
                <w:szCs w:val="16"/>
                <w:color w:val="auto"/>
              </w:rPr>
            </w:pPr>
          </w:p>
        </w:tc>
        <w:tc>
          <w:tcPr>
            <w:tcW w:w="3600" w:type="dxa"/>
            <w:vAlign w:val="bottom"/>
          </w:tcPr>
          <w:p>
            <w:pPr>
              <w:ind w:left="140"/>
              <w:spacing w:after="0"/>
              <w:rPr>
                <w:sz w:val="20"/>
                <w:szCs w:val="20"/>
                <w:color w:val="auto"/>
              </w:rPr>
            </w:pPr>
            <w:r>
              <w:rPr>
                <w:rFonts w:ascii="Calibri" w:cs="Calibri" w:eastAsia="Calibri" w:hAnsi="Calibri"/>
                <w:sz w:val="16"/>
                <w:szCs w:val="16"/>
                <w:color w:val="auto"/>
              </w:rPr>
              <w:t>framework</w:t>
            </w:r>
          </w:p>
        </w:tc>
        <w:tc>
          <w:tcPr>
            <w:tcW w:w="90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Enterprise Risk Management</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w w:val="96"/>
              </w:rPr>
              <w:t>   Increased focus on talent acquisiton and strong progress on building</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 Contnue to advance ESG program</w:t>
            </w:r>
          </w:p>
        </w:tc>
        <w:tc>
          <w:tcPr>
            <w:tcW w:w="580" w:type="dxa"/>
            <w:vAlign w:val="bottom"/>
          </w:tcPr>
          <w:p>
            <w:pPr>
              <w:spacing w:after="0"/>
              <w:rPr>
                <w:sz w:val="16"/>
                <w:szCs w:val="16"/>
                <w:color w:val="auto"/>
              </w:rPr>
            </w:pPr>
          </w:p>
        </w:tc>
        <w:tc>
          <w:tcPr>
            <w:tcW w:w="3600" w:type="dxa"/>
            <w:vAlign w:val="bottom"/>
          </w:tcPr>
          <w:p>
            <w:pPr>
              <w:ind w:left="140"/>
              <w:spacing w:after="0"/>
              <w:rPr>
                <w:sz w:val="20"/>
                <w:szCs w:val="20"/>
                <w:color w:val="auto"/>
              </w:rPr>
            </w:pPr>
            <w:r>
              <w:rPr>
                <w:rFonts w:ascii="Calibri" w:cs="Calibri" w:eastAsia="Calibri" w:hAnsi="Calibri"/>
                <w:sz w:val="16"/>
                <w:szCs w:val="16"/>
                <w:color w:val="auto"/>
              </w:rPr>
              <w:t>expanded leadership and capabilites</w:t>
            </w:r>
          </w:p>
        </w:tc>
        <w:tc>
          <w:tcPr>
            <w:tcW w:w="90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3600" w:type="dxa"/>
            <w:vAlign w:val="bottom"/>
          </w:tcPr>
          <w:p>
            <w:pPr>
              <w:ind w:left="60"/>
              <w:spacing w:after="0"/>
              <w:rPr>
                <w:sz w:val="20"/>
                <w:szCs w:val="20"/>
                <w:color w:val="auto"/>
              </w:rPr>
            </w:pPr>
            <w:r>
              <w:rPr>
                <w:rFonts w:ascii="Calibri" w:cs="Calibri" w:eastAsia="Calibri" w:hAnsi="Calibri"/>
                <w:sz w:val="16"/>
                <w:szCs w:val="16"/>
                <w:color w:val="auto"/>
              </w:rPr>
              <w:t>   Strengthened overall risk culture</w:t>
            </w:r>
          </w:p>
        </w:tc>
        <w:tc>
          <w:tcPr>
            <w:tcW w:w="90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rPr>
              <w:t>   Strong progress on ESG as outlined in EXL’s second annual</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4500" w:type="dxa"/>
            <w:vAlign w:val="bottom"/>
            <w:gridSpan w:val="2"/>
          </w:tcPr>
          <w:p>
            <w:pPr>
              <w:ind w:left="140"/>
              <w:spacing w:after="0"/>
              <w:rPr>
                <w:sz w:val="20"/>
                <w:szCs w:val="20"/>
                <w:color w:val="auto"/>
              </w:rPr>
            </w:pPr>
            <w:r>
              <w:rPr>
                <w:rFonts w:ascii="Calibri" w:cs="Calibri" w:eastAsia="Calibri" w:hAnsi="Calibri"/>
                <w:sz w:val="16"/>
                <w:szCs w:val="16"/>
                <w:color w:val="auto"/>
              </w:rPr>
              <w:t>Sustainability Report, including through progress in environmental</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4500" w:type="dxa"/>
            <w:vAlign w:val="bottom"/>
            <w:gridSpan w:val="2"/>
          </w:tcPr>
          <w:p>
            <w:pPr>
              <w:ind w:left="140"/>
              <w:spacing w:after="0"/>
              <w:rPr>
                <w:sz w:val="20"/>
                <w:szCs w:val="20"/>
                <w:color w:val="auto"/>
              </w:rPr>
            </w:pPr>
            <w:r>
              <w:rPr>
                <w:rFonts w:ascii="Calibri" w:cs="Calibri" w:eastAsia="Calibri" w:hAnsi="Calibri"/>
                <w:sz w:val="16"/>
                <w:szCs w:val="16"/>
                <w:color w:val="auto"/>
                <w:w w:val="97"/>
              </w:rPr>
              <w:t>stewardship, emphasis on employee development and wellness, and</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3600" w:type="dxa"/>
            <w:vAlign w:val="bottom"/>
          </w:tcPr>
          <w:p>
            <w:pPr>
              <w:ind w:left="140"/>
              <w:spacing w:after="0"/>
              <w:rPr>
                <w:sz w:val="20"/>
                <w:szCs w:val="20"/>
                <w:color w:val="auto"/>
              </w:rPr>
            </w:pPr>
            <w:r>
              <w:rPr>
                <w:rFonts w:ascii="Calibri" w:cs="Calibri" w:eastAsia="Calibri" w:hAnsi="Calibri"/>
                <w:sz w:val="16"/>
                <w:szCs w:val="16"/>
                <w:color w:val="auto"/>
              </w:rPr>
              <w:t>expansion of CSR program, among others</w:t>
            </w:r>
          </w:p>
        </w:tc>
        <w:tc>
          <w:tcPr>
            <w:tcW w:w="900" w:type="dxa"/>
            <w:vAlign w:val="bottom"/>
          </w:tcPr>
          <w:p>
            <w:pPr>
              <w:spacing w:after="0"/>
              <w:rPr>
                <w:sz w:val="16"/>
                <w:szCs w:val="16"/>
                <w:color w:val="auto"/>
              </w:rPr>
            </w:pPr>
          </w:p>
        </w:tc>
      </w:tr>
      <w:tr>
        <w:trPr>
          <w:trHeight w:val="274"/>
        </w:trPr>
        <w:tc>
          <w:tcPr>
            <w:tcW w:w="20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500" w:type="dxa"/>
            <w:vAlign w:val="bottom"/>
            <w:tcBorders>
              <w:bottom w:val="single" w:sz="8" w:color="auto"/>
            </w:tcBorders>
            <w:gridSpan w:val="2"/>
          </w:tcPr>
          <w:p>
            <w:pPr>
              <w:spacing w:after="0"/>
              <w:rPr>
                <w:sz w:val="23"/>
                <w:szCs w:val="23"/>
                <w:color w:val="auto"/>
              </w:rPr>
            </w:pPr>
          </w:p>
        </w:tc>
      </w:tr>
      <w:tr>
        <w:trPr>
          <w:trHeight w:val="275"/>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Maurizio Nicolelli</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 Provide efectve leadership to fnance</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rPr>
              <w:t>   Led the fnance team efectvely, resultng in strong governance and</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line="185" w:lineRule="exact"/>
              <w:rPr>
                <w:sz w:val="20"/>
                <w:szCs w:val="20"/>
                <w:color w:val="auto"/>
              </w:rPr>
            </w:pPr>
            <w:r>
              <w:rPr>
                <w:rFonts w:ascii="Calibri" w:cs="Calibri" w:eastAsia="Calibri" w:hAnsi="Calibri"/>
                <w:sz w:val="16"/>
                <w:szCs w:val="16"/>
                <w:color w:val="auto"/>
              </w:rPr>
              <w:t>team</w:t>
            </w:r>
          </w:p>
        </w:tc>
        <w:tc>
          <w:tcPr>
            <w:tcW w:w="580" w:type="dxa"/>
            <w:vAlign w:val="bottom"/>
          </w:tcPr>
          <w:p>
            <w:pPr>
              <w:spacing w:after="0"/>
              <w:rPr>
                <w:sz w:val="16"/>
                <w:szCs w:val="16"/>
                <w:color w:val="auto"/>
              </w:rPr>
            </w:pPr>
          </w:p>
        </w:tc>
        <w:tc>
          <w:tcPr>
            <w:tcW w:w="3600" w:type="dxa"/>
            <w:vAlign w:val="bottom"/>
          </w:tcPr>
          <w:p>
            <w:pPr>
              <w:ind w:left="140"/>
              <w:spacing w:after="0" w:line="185" w:lineRule="exact"/>
              <w:rPr>
                <w:sz w:val="20"/>
                <w:szCs w:val="20"/>
                <w:color w:val="auto"/>
              </w:rPr>
            </w:pPr>
            <w:r>
              <w:rPr>
                <w:rFonts w:ascii="Calibri" w:cs="Calibri" w:eastAsia="Calibri" w:hAnsi="Calibri"/>
                <w:sz w:val="16"/>
                <w:szCs w:val="16"/>
                <w:color w:val="auto"/>
              </w:rPr>
              <w:t>high-quality controllership</w:t>
            </w:r>
          </w:p>
        </w:tc>
        <w:tc>
          <w:tcPr>
            <w:tcW w:w="90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proftability and improve ROIC</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rPr>
              <w:t>   Strong proftability and ROIC growth across all business units</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 Execute on long term M&amp;A strategy</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w w:val="98"/>
              </w:rPr>
              <w:t>   Led the acquisiton of Clairvoyant, broadening our data engineering</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 Strong capital allocaton</w:t>
            </w:r>
          </w:p>
        </w:tc>
        <w:tc>
          <w:tcPr>
            <w:tcW w:w="580" w:type="dxa"/>
            <w:vAlign w:val="bottom"/>
          </w:tcPr>
          <w:p>
            <w:pPr>
              <w:spacing w:after="0"/>
              <w:rPr>
                <w:sz w:val="16"/>
                <w:szCs w:val="16"/>
                <w:color w:val="auto"/>
              </w:rPr>
            </w:pPr>
          </w:p>
        </w:tc>
        <w:tc>
          <w:tcPr>
            <w:tcW w:w="3600" w:type="dxa"/>
            <w:vAlign w:val="bottom"/>
          </w:tcPr>
          <w:p>
            <w:pPr>
              <w:ind w:left="140"/>
              <w:spacing w:after="0"/>
              <w:rPr>
                <w:sz w:val="20"/>
                <w:szCs w:val="20"/>
                <w:color w:val="auto"/>
              </w:rPr>
            </w:pPr>
            <w:r>
              <w:rPr>
                <w:rFonts w:ascii="Calibri" w:cs="Calibri" w:eastAsia="Calibri" w:hAnsi="Calibri"/>
                <w:sz w:val="16"/>
                <w:szCs w:val="16"/>
                <w:color w:val="auto"/>
              </w:rPr>
              <w:t>and cloud computng capabilites</w:t>
            </w:r>
          </w:p>
        </w:tc>
        <w:tc>
          <w:tcPr>
            <w:tcW w:w="90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rPr>
              <w:t>   Drove capital allocaton through EXL’s share buyback program and</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4500" w:type="dxa"/>
            <w:vAlign w:val="bottom"/>
            <w:gridSpan w:val="2"/>
          </w:tcPr>
          <w:p>
            <w:pPr>
              <w:ind w:left="140"/>
              <w:spacing w:after="0"/>
              <w:rPr>
                <w:sz w:val="20"/>
                <w:szCs w:val="20"/>
                <w:color w:val="auto"/>
              </w:rPr>
            </w:pPr>
            <w:r>
              <w:rPr>
                <w:rFonts w:ascii="Calibri" w:cs="Calibri" w:eastAsia="Calibri" w:hAnsi="Calibri"/>
                <w:sz w:val="16"/>
                <w:szCs w:val="16"/>
                <w:color w:val="auto"/>
              </w:rPr>
              <w:t>repayment of our convertble debt facility to improve ROIC</w:t>
            </w:r>
          </w:p>
        </w:tc>
      </w:tr>
      <w:tr>
        <w:trPr>
          <w:trHeight w:val="274"/>
        </w:trPr>
        <w:tc>
          <w:tcPr>
            <w:tcW w:w="20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500" w:type="dxa"/>
            <w:vAlign w:val="bottom"/>
            <w:tcBorders>
              <w:bottom w:val="single" w:sz="8" w:color="auto"/>
            </w:tcBorders>
            <w:gridSpan w:val="2"/>
          </w:tcPr>
          <w:p>
            <w:pPr>
              <w:spacing w:after="0"/>
              <w:rPr>
                <w:sz w:val="23"/>
                <w:szCs w:val="23"/>
                <w:color w:val="auto"/>
              </w:rPr>
            </w:pPr>
          </w:p>
        </w:tc>
      </w:tr>
      <w:tr>
        <w:trPr>
          <w:trHeight w:val="275"/>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Vikas Bhalla</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proftability for Insurance</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w w:val="97"/>
              </w:rPr>
              <w:t>   Insurance revenue grew to $382.0 million with strong gross margins</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line="185" w:lineRule="exact"/>
              <w:rPr>
                <w:sz w:val="20"/>
                <w:szCs w:val="20"/>
                <w:color w:val="auto"/>
              </w:rPr>
            </w:pPr>
            <w:r>
              <w:rPr>
                <w:rFonts w:ascii="Calibri" w:cs="Calibri" w:eastAsia="Calibri" w:hAnsi="Calibri"/>
                <w:sz w:val="16"/>
                <w:szCs w:val="16"/>
                <w:color w:val="auto"/>
                <w:w w:val="98"/>
              </w:rPr>
              <w:t>   Create and implement innovatve data and</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3600" w:type="dxa"/>
            <w:vAlign w:val="bottom"/>
          </w:tcPr>
          <w:p>
            <w:pPr>
              <w:ind w:left="60"/>
              <w:spacing w:after="0" w:line="185" w:lineRule="exact"/>
              <w:rPr>
                <w:sz w:val="20"/>
                <w:szCs w:val="20"/>
                <w:color w:val="auto"/>
              </w:rPr>
            </w:pPr>
            <w:r>
              <w:rPr>
                <w:rFonts w:ascii="Calibri" w:cs="Calibri" w:eastAsia="Calibri" w:hAnsi="Calibri"/>
                <w:sz w:val="16"/>
                <w:szCs w:val="16"/>
                <w:color w:val="auto"/>
                <w:w w:val="98"/>
              </w:rPr>
              <w:t>   Developed digital-led solutons for insurance industry</w:t>
            </w:r>
          </w:p>
        </w:tc>
        <w:tc>
          <w:tcPr>
            <w:tcW w:w="90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analytcs solutons</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3600" w:type="dxa"/>
            <w:vAlign w:val="bottom"/>
          </w:tcPr>
          <w:p>
            <w:pPr>
              <w:ind w:left="60"/>
              <w:spacing w:after="0"/>
              <w:rPr>
                <w:sz w:val="20"/>
                <w:szCs w:val="20"/>
                <w:color w:val="auto"/>
              </w:rPr>
            </w:pPr>
            <w:r>
              <w:rPr>
                <w:rFonts w:ascii="Calibri" w:cs="Calibri" w:eastAsia="Calibri" w:hAnsi="Calibri"/>
                <w:sz w:val="16"/>
                <w:szCs w:val="16"/>
                <w:color w:val="auto"/>
              </w:rPr>
              <w:t>   Improved Insurance business ROIC in 2021</w:t>
            </w:r>
          </w:p>
        </w:tc>
        <w:tc>
          <w:tcPr>
            <w:tcW w:w="90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 Improve Insurance ROIC</w:t>
            </w:r>
          </w:p>
        </w:tc>
        <w:tc>
          <w:tcPr>
            <w:tcW w:w="5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40"/>
        </w:trPr>
        <w:tc>
          <w:tcPr>
            <w:tcW w:w="20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gridSpan w:val="2"/>
          </w:tcPr>
          <w:p>
            <w:pPr>
              <w:spacing w:after="0"/>
              <w:rPr>
                <w:sz w:val="3"/>
                <w:szCs w:val="3"/>
                <w:color w:val="auto"/>
              </w:rPr>
            </w:pPr>
          </w:p>
        </w:tc>
      </w:tr>
      <w:tr>
        <w:trPr>
          <w:trHeight w:val="275"/>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Vivek Jetley</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 Drive proftability and build high growth</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w w:val="99"/>
              </w:rPr>
              <w:t>   Analytcs revenue grew to $460.7 million with strong gross margins</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line="185" w:lineRule="exact"/>
              <w:rPr>
                <w:sz w:val="20"/>
                <w:szCs w:val="20"/>
                <w:color w:val="auto"/>
              </w:rPr>
            </w:pPr>
            <w:r>
              <w:rPr>
                <w:rFonts w:ascii="Calibri" w:cs="Calibri" w:eastAsia="Calibri" w:hAnsi="Calibri"/>
                <w:sz w:val="16"/>
                <w:szCs w:val="16"/>
                <w:color w:val="auto"/>
              </w:rPr>
              <w:t>business for Analytcs</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line="185" w:lineRule="exact"/>
              <w:rPr>
                <w:sz w:val="20"/>
                <w:szCs w:val="20"/>
                <w:color w:val="auto"/>
              </w:rPr>
            </w:pPr>
            <w:r>
              <w:rPr>
                <w:rFonts w:ascii="Calibri" w:cs="Calibri" w:eastAsia="Calibri" w:hAnsi="Calibri"/>
                <w:sz w:val="16"/>
                <w:szCs w:val="16"/>
                <w:color w:val="auto"/>
              </w:rPr>
              <w:t>   Created signifcant foundatonal capabilites in data management</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 Build EXL’s data management and cloud</w:t>
            </w:r>
          </w:p>
        </w:tc>
        <w:tc>
          <w:tcPr>
            <w:tcW w:w="580" w:type="dxa"/>
            <w:vAlign w:val="bottom"/>
          </w:tcPr>
          <w:p>
            <w:pPr>
              <w:spacing w:after="0"/>
              <w:rPr>
                <w:sz w:val="16"/>
                <w:szCs w:val="16"/>
                <w:color w:val="auto"/>
              </w:rPr>
            </w:pPr>
          </w:p>
        </w:tc>
        <w:tc>
          <w:tcPr>
            <w:tcW w:w="3600" w:type="dxa"/>
            <w:vAlign w:val="bottom"/>
          </w:tcPr>
          <w:p>
            <w:pPr>
              <w:ind w:left="140"/>
              <w:spacing w:after="0"/>
              <w:rPr>
                <w:sz w:val="20"/>
                <w:szCs w:val="20"/>
                <w:color w:val="auto"/>
              </w:rPr>
            </w:pPr>
            <w:r>
              <w:rPr>
                <w:rFonts w:ascii="Calibri" w:cs="Calibri" w:eastAsia="Calibri" w:hAnsi="Calibri"/>
                <w:sz w:val="16"/>
                <w:szCs w:val="16"/>
                <w:color w:val="auto"/>
              </w:rPr>
              <w:t>and cloud enablement areas</w:t>
            </w:r>
          </w:p>
        </w:tc>
        <w:tc>
          <w:tcPr>
            <w:tcW w:w="90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w w:val="99"/>
              </w:rPr>
              <w:t>enablement capabilites, and build our data</w:t>
            </w:r>
          </w:p>
        </w:tc>
        <w:tc>
          <w:tcPr>
            <w:tcW w:w="5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ind w:left="140"/>
              <w:spacing w:after="0"/>
              <w:rPr>
                <w:sz w:val="20"/>
                <w:szCs w:val="20"/>
                <w:color w:val="auto"/>
              </w:rPr>
            </w:pPr>
            <w:r>
              <w:rPr>
                <w:rFonts w:ascii="Calibri" w:cs="Calibri" w:eastAsia="Calibri" w:hAnsi="Calibri"/>
                <w:sz w:val="16"/>
                <w:szCs w:val="16"/>
                <w:color w:val="auto"/>
              </w:rPr>
              <w:t>assets</w:t>
            </w:r>
          </w:p>
        </w:tc>
        <w:tc>
          <w:tcPr>
            <w:tcW w:w="5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57"/>
        </w:trPr>
        <w:tc>
          <w:tcPr>
            <w:tcW w:w="204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9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500" w:type="dxa"/>
            <w:vAlign w:val="bottom"/>
            <w:tcBorders>
              <w:bottom w:val="single" w:sz="8" w:color="auto"/>
            </w:tcBorders>
            <w:gridSpan w:val="2"/>
          </w:tcPr>
          <w:p>
            <w:pPr>
              <w:spacing w:after="0"/>
              <w:rPr>
                <w:sz w:val="13"/>
                <w:szCs w:val="13"/>
                <w:color w:val="auto"/>
              </w:rPr>
            </w:pPr>
          </w:p>
        </w:tc>
      </w:tr>
      <w:tr>
        <w:trPr>
          <w:trHeight w:val="275"/>
        </w:trPr>
        <w:tc>
          <w:tcPr>
            <w:tcW w:w="2040" w:type="dxa"/>
            <w:vAlign w:val="bottom"/>
            <w:tcBorders>
              <w:right w:val="single" w:sz="8" w:color="auto"/>
            </w:tcBorders>
          </w:tcPr>
          <w:p>
            <w:pPr>
              <w:ind w:left="20"/>
              <w:spacing w:after="0"/>
              <w:rPr>
                <w:sz w:val="20"/>
                <w:szCs w:val="20"/>
                <w:color w:val="auto"/>
              </w:rPr>
            </w:pPr>
            <w:r>
              <w:rPr>
                <w:rFonts w:ascii="Calibri" w:cs="Calibri" w:eastAsia="Calibri" w:hAnsi="Calibri"/>
                <w:sz w:val="17"/>
                <w:szCs w:val="17"/>
                <w:b w:val="1"/>
                <w:bCs w:val="1"/>
                <w:color w:val="auto"/>
              </w:rPr>
              <w:t>Sam Meckey</w:t>
            </w: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 Deliver proftable growth for Healthcare</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rPr>
              <w:t>   Healthcare revenues grew to $112.4 million with strong gross</w:t>
            </w:r>
          </w:p>
        </w:tc>
      </w:tr>
      <w:tr>
        <w:trPr>
          <w:trHeight w:val="18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line="185" w:lineRule="exact"/>
              <w:rPr>
                <w:sz w:val="20"/>
                <w:szCs w:val="20"/>
                <w:color w:val="auto"/>
              </w:rPr>
            </w:pPr>
            <w:r>
              <w:rPr>
                <w:rFonts w:ascii="Calibri" w:cs="Calibri" w:eastAsia="Calibri" w:hAnsi="Calibri"/>
                <w:sz w:val="16"/>
                <w:szCs w:val="16"/>
                <w:color w:val="auto"/>
              </w:rPr>
              <w:t>   Execute on EXL’s digital strategy</w:t>
            </w:r>
          </w:p>
        </w:tc>
        <w:tc>
          <w:tcPr>
            <w:tcW w:w="580" w:type="dxa"/>
            <w:vAlign w:val="bottom"/>
          </w:tcPr>
          <w:p>
            <w:pPr>
              <w:spacing w:after="0"/>
              <w:rPr>
                <w:sz w:val="16"/>
                <w:szCs w:val="16"/>
                <w:color w:val="auto"/>
              </w:rPr>
            </w:pPr>
          </w:p>
        </w:tc>
        <w:tc>
          <w:tcPr>
            <w:tcW w:w="3600" w:type="dxa"/>
            <w:vAlign w:val="bottom"/>
          </w:tcPr>
          <w:p>
            <w:pPr>
              <w:ind w:left="140"/>
              <w:spacing w:after="0" w:line="185" w:lineRule="exact"/>
              <w:rPr>
                <w:sz w:val="20"/>
                <w:szCs w:val="20"/>
                <w:color w:val="auto"/>
              </w:rPr>
            </w:pPr>
            <w:r>
              <w:rPr>
                <w:rFonts w:ascii="Calibri" w:cs="Calibri" w:eastAsia="Calibri" w:hAnsi="Calibri"/>
                <w:sz w:val="16"/>
                <w:szCs w:val="16"/>
                <w:color w:val="auto"/>
              </w:rPr>
              <w:t>margins</w:t>
            </w:r>
          </w:p>
        </w:tc>
        <w:tc>
          <w:tcPr>
            <w:tcW w:w="900" w:type="dxa"/>
            <w:vAlign w:val="bottom"/>
          </w:tcPr>
          <w:p>
            <w:pPr>
              <w:spacing w:after="0"/>
              <w:rPr>
                <w:sz w:val="16"/>
                <w:szCs w:val="16"/>
                <w:color w:val="auto"/>
              </w:rPr>
            </w:pP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ind w:left="380"/>
              <w:spacing w:after="0"/>
              <w:rPr>
                <w:sz w:val="20"/>
                <w:szCs w:val="20"/>
                <w:color w:val="auto"/>
              </w:rPr>
            </w:pPr>
            <w:r>
              <w:rPr>
                <w:rFonts w:ascii="Calibri" w:cs="Calibri" w:eastAsia="Calibri" w:hAnsi="Calibri"/>
                <w:sz w:val="14"/>
                <w:szCs w:val="14"/>
                <w:color w:val="auto"/>
                <w:w w:val="76"/>
              </w:rPr>
              <w:t>• </w:t>
            </w:r>
          </w:p>
        </w:tc>
        <w:tc>
          <w:tcPr>
            <w:tcW w:w="2940" w:type="dxa"/>
            <w:vAlign w:val="bottom"/>
            <w:tcBorders>
              <w:right w:val="single" w:sz="8" w:color="auto"/>
            </w:tcBorders>
          </w:tcPr>
          <w:p>
            <w:pPr>
              <w:ind w:left="60"/>
              <w:spacing w:after="0"/>
              <w:rPr>
                <w:sz w:val="20"/>
                <w:szCs w:val="20"/>
                <w:color w:val="auto"/>
              </w:rPr>
            </w:pPr>
            <w:r>
              <w:rPr>
                <w:rFonts w:ascii="Calibri" w:cs="Calibri" w:eastAsia="Calibri" w:hAnsi="Calibri"/>
                <w:sz w:val="16"/>
                <w:szCs w:val="16"/>
                <w:color w:val="auto"/>
              </w:rPr>
              <w:t>   Improve ROIC for Healthcare</w:t>
            </w: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4500" w:type="dxa"/>
            <w:vAlign w:val="bottom"/>
            <w:gridSpan w:val="2"/>
          </w:tcPr>
          <w:p>
            <w:pPr>
              <w:ind w:left="60"/>
              <w:spacing w:after="0"/>
              <w:rPr>
                <w:sz w:val="20"/>
                <w:szCs w:val="20"/>
                <w:color w:val="auto"/>
              </w:rPr>
            </w:pPr>
            <w:r>
              <w:rPr>
                <w:rFonts w:ascii="Calibri" w:cs="Calibri" w:eastAsia="Calibri" w:hAnsi="Calibri"/>
                <w:sz w:val="16"/>
                <w:szCs w:val="16"/>
                <w:color w:val="auto"/>
              </w:rPr>
              <w:t>   Integrated digital solutons into EXL Healthcare business</w:t>
            </w:r>
          </w:p>
        </w:tc>
      </w:tr>
      <w:tr>
        <w:trPr>
          <w:trHeight w:val="195"/>
        </w:trPr>
        <w:tc>
          <w:tcPr>
            <w:tcW w:w="204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580" w:type="dxa"/>
            <w:vAlign w:val="bottom"/>
          </w:tcPr>
          <w:p>
            <w:pPr>
              <w:ind w:left="400"/>
              <w:spacing w:after="0"/>
              <w:rPr>
                <w:sz w:val="20"/>
                <w:szCs w:val="20"/>
                <w:color w:val="auto"/>
              </w:rPr>
            </w:pPr>
            <w:r>
              <w:rPr>
                <w:rFonts w:ascii="Calibri" w:cs="Calibri" w:eastAsia="Calibri" w:hAnsi="Calibri"/>
                <w:sz w:val="14"/>
                <w:szCs w:val="14"/>
                <w:color w:val="auto"/>
                <w:w w:val="76"/>
              </w:rPr>
              <w:t>• </w:t>
            </w:r>
          </w:p>
        </w:tc>
        <w:tc>
          <w:tcPr>
            <w:tcW w:w="3600" w:type="dxa"/>
            <w:vAlign w:val="bottom"/>
          </w:tcPr>
          <w:p>
            <w:pPr>
              <w:ind w:left="60"/>
              <w:spacing w:after="0"/>
              <w:rPr>
                <w:sz w:val="20"/>
                <w:szCs w:val="20"/>
                <w:color w:val="auto"/>
              </w:rPr>
            </w:pPr>
            <w:r>
              <w:rPr>
                <w:rFonts w:ascii="Calibri" w:cs="Calibri" w:eastAsia="Calibri" w:hAnsi="Calibri"/>
                <w:sz w:val="16"/>
                <w:szCs w:val="16"/>
                <w:color w:val="auto"/>
              </w:rPr>
              <w:t>   Improved Healthcare ROIC</w:t>
            </w:r>
          </w:p>
        </w:tc>
        <w:tc>
          <w:tcPr>
            <w:tcW w:w="900" w:type="dxa"/>
            <w:vAlign w:val="bottom"/>
          </w:tcPr>
          <w:p>
            <w:pPr>
              <w:spacing w:after="0"/>
              <w:rPr>
                <w:sz w:val="16"/>
                <w:szCs w:val="16"/>
                <w:color w:val="auto"/>
              </w:rPr>
            </w:pPr>
          </w:p>
        </w:tc>
      </w:tr>
      <w:tr>
        <w:trPr>
          <w:trHeight w:val="215"/>
        </w:trPr>
        <w:tc>
          <w:tcPr>
            <w:tcW w:w="2040" w:type="dxa"/>
            <w:vAlign w:val="bottom"/>
            <w:tcBorders>
              <w:bottom w:val="single" w:sz="8" w:color="FB4E0B"/>
              <w:right w:val="single" w:sz="8" w:color="auto"/>
            </w:tcBorders>
          </w:tcPr>
          <w:p>
            <w:pPr>
              <w:spacing w:after="0"/>
              <w:rPr>
                <w:sz w:val="18"/>
                <w:szCs w:val="18"/>
                <w:color w:val="auto"/>
              </w:rPr>
            </w:pPr>
          </w:p>
        </w:tc>
        <w:tc>
          <w:tcPr>
            <w:tcW w:w="560" w:type="dxa"/>
            <w:vAlign w:val="bottom"/>
            <w:tcBorders>
              <w:bottom w:val="single" w:sz="8" w:color="FB4E0B"/>
            </w:tcBorders>
          </w:tcPr>
          <w:p>
            <w:pPr>
              <w:spacing w:after="0"/>
              <w:rPr>
                <w:sz w:val="18"/>
                <w:szCs w:val="18"/>
                <w:color w:val="auto"/>
              </w:rPr>
            </w:pPr>
          </w:p>
        </w:tc>
        <w:tc>
          <w:tcPr>
            <w:tcW w:w="2940" w:type="dxa"/>
            <w:vAlign w:val="bottom"/>
            <w:tcBorders>
              <w:bottom w:val="single" w:sz="8" w:color="FB4E0B"/>
              <w:right w:val="single" w:sz="8" w:color="auto"/>
            </w:tcBorders>
          </w:tcPr>
          <w:p>
            <w:pPr>
              <w:spacing w:after="0"/>
              <w:rPr>
                <w:sz w:val="18"/>
                <w:szCs w:val="18"/>
                <w:color w:val="auto"/>
              </w:rPr>
            </w:pPr>
          </w:p>
        </w:tc>
        <w:tc>
          <w:tcPr>
            <w:tcW w:w="580" w:type="dxa"/>
            <w:vAlign w:val="bottom"/>
            <w:tcBorders>
              <w:bottom w:val="single" w:sz="8" w:color="FB4E0B"/>
            </w:tcBorders>
          </w:tcPr>
          <w:p>
            <w:pPr>
              <w:spacing w:after="0"/>
              <w:rPr>
                <w:sz w:val="18"/>
                <w:szCs w:val="18"/>
                <w:color w:val="auto"/>
              </w:rPr>
            </w:pPr>
          </w:p>
        </w:tc>
        <w:tc>
          <w:tcPr>
            <w:tcW w:w="3600" w:type="dxa"/>
            <w:vAlign w:val="bottom"/>
            <w:tcBorders>
              <w:bottom w:val="single" w:sz="8" w:color="FB4E0B"/>
            </w:tcBorders>
          </w:tcPr>
          <w:p>
            <w:pPr>
              <w:spacing w:after="0"/>
              <w:rPr>
                <w:sz w:val="18"/>
                <w:szCs w:val="18"/>
                <w:color w:val="auto"/>
              </w:rPr>
            </w:pPr>
          </w:p>
        </w:tc>
        <w:tc>
          <w:tcPr>
            <w:tcW w:w="900" w:type="dxa"/>
            <w:vAlign w:val="bottom"/>
            <w:tcBorders>
              <w:bottom w:val="single" w:sz="8" w:color="FB4E0B"/>
            </w:tcBorders>
          </w:tcPr>
          <w:p>
            <w:pPr>
              <w:spacing w:after="0"/>
              <w:rPr>
                <w:sz w:val="18"/>
                <w:szCs w:val="18"/>
                <w:color w:val="auto"/>
              </w:rPr>
            </w:pPr>
          </w:p>
        </w:tc>
      </w:tr>
      <w:tr>
        <w:trPr>
          <w:trHeight w:val="458"/>
        </w:trPr>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tcPr>
          <w:p>
            <w:pPr>
              <w:ind w:left="1660"/>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900" w:type="dxa"/>
            <w:vAlign w:val="bottom"/>
          </w:tcPr>
          <w:p>
            <w:pPr>
              <w:jc w:val="right"/>
              <w:ind w:right="573"/>
              <w:spacing w:after="0"/>
              <w:rPr>
                <w:sz w:val="20"/>
                <w:szCs w:val="20"/>
                <w:color w:val="auto"/>
              </w:rPr>
            </w:pPr>
            <w:r>
              <w:rPr>
                <w:rFonts w:ascii="Calibri" w:cs="Calibri" w:eastAsia="Calibri" w:hAnsi="Calibri"/>
                <w:sz w:val="17"/>
                <w:szCs w:val="17"/>
                <w:b w:val="1"/>
                <w:bCs w:val="1"/>
                <w:color w:val="auto"/>
              </w:rPr>
              <w:t>75</w:t>
            </w:r>
          </w:p>
        </w:tc>
      </w:tr>
    </w:tbl>
    <w:p>
      <w:pPr>
        <w:sectPr>
          <w:pgSz w:w="11900" w:h="16838" w:orient="portrait"/>
          <w:cols w:equalWidth="0" w:num="1">
            <w:col w:w="10940"/>
          </w:cols>
          <w:pgMar w:left="320" w:top="445" w:right="6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table below sets out the 2021 incentve bonuses paid to our named executve ofcers (paid in March 2022):</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744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Calibri" w:cs="Calibri" w:eastAsia="Calibri" w:hAnsi="Calibri"/>
                <w:sz w:val="17"/>
                <w:szCs w:val="17"/>
                <w:b w:val="1"/>
                <w:bCs w:val="1"/>
                <w:color w:val="FB4E0B"/>
              </w:rPr>
              <w:t>2021 Actual incentve</w:t>
            </w:r>
          </w:p>
        </w:tc>
      </w:tr>
      <w:tr>
        <w:trPr>
          <w:trHeight w:val="354"/>
        </w:trPr>
        <w:tc>
          <w:tcPr>
            <w:tcW w:w="7440" w:type="dxa"/>
            <w:vAlign w:val="bottom"/>
            <w:tcBorders>
              <w:bottom w:val="single" w:sz="8" w:color="FB4E0B"/>
            </w:tcBorders>
          </w:tcPr>
          <w:p>
            <w:pPr>
              <w:ind w:left="80"/>
              <w:spacing w:after="0"/>
              <w:rPr>
                <w:sz w:val="20"/>
                <w:szCs w:val="20"/>
                <w:color w:val="auto"/>
              </w:rPr>
            </w:pPr>
            <w:r>
              <w:rPr>
                <w:rFonts w:ascii="Calibri" w:cs="Calibri" w:eastAsia="Calibri" w:hAnsi="Calibri"/>
                <w:sz w:val="17"/>
                <w:szCs w:val="17"/>
                <w:b w:val="1"/>
                <w:bCs w:val="1"/>
                <w:color w:val="FB4E0B"/>
              </w:rPr>
              <w:t>Name</w:t>
            </w:r>
          </w:p>
        </w:tc>
        <w:tc>
          <w:tcPr>
            <w:tcW w:w="3200" w:type="dxa"/>
            <w:vAlign w:val="bottom"/>
            <w:tcBorders>
              <w:bottom w:val="single" w:sz="8" w:color="FB4E0B"/>
            </w:tcBorders>
          </w:tcPr>
          <w:p>
            <w:pPr>
              <w:ind w:left="80"/>
              <w:spacing w:after="0" w:line="341" w:lineRule="exact"/>
              <w:rPr>
                <w:sz w:val="20"/>
                <w:szCs w:val="20"/>
                <w:color w:val="auto"/>
              </w:rPr>
            </w:pPr>
            <w:r>
              <w:rPr>
                <w:rFonts w:ascii="Calibri" w:cs="Calibri" w:eastAsia="Calibri" w:hAnsi="Calibri"/>
                <w:sz w:val="17"/>
                <w:szCs w:val="17"/>
                <w:b w:val="1"/>
                <w:bCs w:val="1"/>
                <w:color w:val="FB4E0B"/>
              </w:rPr>
              <w:t>bonus awarded ($)</w:t>
            </w:r>
            <w:r>
              <w:rPr>
                <w:rFonts w:ascii="Calibri" w:cs="Calibri" w:eastAsia="Calibri" w:hAnsi="Calibri"/>
                <w:sz w:val="29"/>
                <w:szCs w:val="29"/>
                <w:b w:val="1"/>
                <w:bCs w:val="1"/>
                <w:color w:val="FB4E0B"/>
                <w:vertAlign w:val="superscript"/>
              </w:rPr>
              <w:t>(1)</w:t>
            </w:r>
          </w:p>
        </w:tc>
      </w:tr>
      <w:tr>
        <w:trPr>
          <w:trHeight w:val="302"/>
        </w:trPr>
        <w:tc>
          <w:tcPr>
            <w:tcW w:w="74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Rohit Kapoor</w:t>
            </w:r>
          </w:p>
        </w:tc>
        <w:tc>
          <w:tcPr>
            <w:tcW w:w="320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2,050,000</w:t>
            </w:r>
          </w:p>
        </w:tc>
      </w:tr>
      <w:tr>
        <w:trPr>
          <w:trHeight w:val="127"/>
        </w:trPr>
        <w:tc>
          <w:tcPr>
            <w:tcW w:w="7440" w:type="dxa"/>
            <w:vAlign w:val="bottom"/>
            <w:tcBorders>
              <w:bottom w:val="single" w:sz="8" w:color="auto"/>
              <w:right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spacing w:after="0"/>
              <w:rPr>
                <w:sz w:val="11"/>
                <w:szCs w:val="11"/>
                <w:color w:val="auto"/>
              </w:rPr>
            </w:pPr>
          </w:p>
        </w:tc>
      </w:tr>
      <w:tr>
        <w:trPr>
          <w:trHeight w:val="269"/>
        </w:trPr>
        <w:tc>
          <w:tcPr>
            <w:tcW w:w="74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Maurizio Nicolelli</w:t>
            </w:r>
          </w:p>
        </w:tc>
        <w:tc>
          <w:tcPr>
            <w:tcW w:w="320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640,498</w:t>
            </w:r>
          </w:p>
        </w:tc>
      </w:tr>
      <w:tr>
        <w:trPr>
          <w:trHeight w:val="127"/>
        </w:trPr>
        <w:tc>
          <w:tcPr>
            <w:tcW w:w="7440" w:type="dxa"/>
            <w:vAlign w:val="bottom"/>
            <w:tcBorders>
              <w:bottom w:val="single" w:sz="8" w:color="auto"/>
              <w:right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spacing w:after="0"/>
              <w:rPr>
                <w:sz w:val="11"/>
                <w:szCs w:val="11"/>
                <w:color w:val="auto"/>
              </w:rPr>
            </w:pPr>
          </w:p>
        </w:tc>
      </w:tr>
      <w:tr>
        <w:trPr>
          <w:trHeight w:val="269"/>
        </w:trPr>
        <w:tc>
          <w:tcPr>
            <w:tcW w:w="74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Vikas Bhalla</w:t>
            </w:r>
          </w:p>
        </w:tc>
        <w:tc>
          <w:tcPr>
            <w:tcW w:w="320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444,718</w:t>
            </w:r>
          </w:p>
        </w:tc>
      </w:tr>
      <w:tr>
        <w:trPr>
          <w:trHeight w:val="127"/>
        </w:trPr>
        <w:tc>
          <w:tcPr>
            <w:tcW w:w="7440" w:type="dxa"/>
            <w:vAlign w:val="bottom"/>
            <w:tcBorders>
              <w:bottom w:val="single" w:sz="8" w:color="auto"/>
              <w:right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spacing w:after="0"/>
              <w:rPr>
                <w:sz w:val="11"/>
                <w:szCs w:val="11"/>
                <w:color w:val="auto"/>
              </w:rPr>
            </w:pPr>
          </w:p>
        </w:tc>
      </w:tr>
      <w:tr>
        <w:trPr>
          <w:trHeight w:val="269"/>
        </w:trPr>
        <w:tc>
          <w:tcPr>
            <w:tcW w:w="74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Vivek Jetley</w:t>
            </w:r>
          </w:p>
        </w:tc>
        <w:tc>
          <w:tcPr>
            <w:tcW w:w="320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586,146</w:t>
            </w:r>
          </w:p>
        </w:tc>
      </w:tr>
      <w:tr>
        <w:trPr>
          <w:trHeight w:val="127"/>
        </w:trPr>
        <w:tc>
          <w:tcPr>
            <w:tcW w:w="7440" w:type="dxa"/>
            <w:vAlign w:val="bottom"/>
            <w:tcBorders>
              <w:bottom w:val="single" w:sz="8" w:color="auto"/>
              <w:right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spacing w:after="0"/>
              <w:rPr>
                <w:sz w:val="11"/>
                <w:szCs w:val="11"/>
                <w:color w:val="auto"/>
              </w:rPr>
            </w:pPr>
          </w:p>
        </w:tc>
      </w:tr>
      <w:tr>
        <w:trPr>
          <w:trHeight w:val="269"/>
        </w:trPr>
        <w:tc>
          <w:tcPr>
            <w:tcW w:w="744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Samuel Meckey</w:t>
            </w:r>
          </w:p>
        </w:tc>
        <w:tc>
          <w:tcPr>
            <w:tcW w:w="320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color w:val="auto"/>
              </w:rPr>
              <w:t>577,214</w:t>
            </w:r>
          </w:p>
        </w:tc>
      </w:tr>
      <w:tr>
        <w:trPr>
          <w:trHeight w:val="133"/>
        </w:trPr>
        <w:tc>
          <w:tcPr>
            <w:tcW w:w="7440" w:type="dxa"/>
            <w:vAlign w:val="bottom"/>
            <w:tcBorders>
              <w:bottom w:val="single" w:sz="8" w:color="FB4E0B"/>
              <w:right w:val="single" w:sz="8" w:color="auto"/>
            </w:tcBorders>
          </w:tcPr>
          <w:p>
            <w:pPr>
              <w:spacing w:after="0"/>
              <w:rPr>
                <w:sz w:val="11"/>
                <w:szCs w:val="11"/>
                <w:color w:val="auto"/>
              </w:rPr>
            </w:pPr>
          </w:p>
        </w:tc>
        <w:tc>
          <w:tcPr>
            <w:tcW w:w="3200" w:type="dxa"/>
            <w:vAlign w:val="bottom"/>
            <w:tcBorders>
              <w:bottom w:val="single" w:sz="8" w:color="FB4E0B"/>
              <w:right w:val="single" w:sz="8" w:color="auto"/>
            </w:tcBorders>
          </w:tcPr>
          <w:p>
            <w:pPr>
              <w:spacing w:after="0"/>
              <w:rPr>
                <w:sz w:val="11"/>
                <w:szCs w:val="11"/>
                <w:color w:val="auto"/>
              </w:rPr>
            </w:pPr>
          </w:p>
        </w:tc>
      </w:tr>
    </w:tbl>
    <w:p>
      <w:pPr>
        <w:spacing w:after="0" w:line="42" w:lineRule="exact"/>
        <w:rPr>
          <w:sz w:val="20"/>
          <w:szCs w:val="20"/>
          <w:color w:val="auto"/>
        </w:rPr>
      </w:pPr>
    </w:p>
    <w:p>
      <w:pPr>
        <w:ind w:left="1140" w:hanging="407"/>
        <w:spacing w:after="0"/>
        <w:tabs>
          <w:tab w:leader="none" w:pos="1140" w:val="left"/>
        </w:tabs>
        <w:numPr>
          <w:ilvl w:val="0"/>
          <w:numId w:val="22"/>
        </w:numPr>
        <w:rPr>
          <w:rFonts w:ascii="Calibri" w:cs="Calibri" w:eastAsia="Calibri" w:hAnsi="Calibri"/>
          <w:sz w:val="13"/>
          <w:szCs w:val="13"/>
          <w:color w:val="auto"/>
        </w:rPr>
      </w:pPr>
      <w:r>
        <w:rPr>
          <w:rFonts w:ascii="Calibri" w:cs="Calibri" w:eastAsia="Calibri" w:hAnsi="Calibri"/>
          <w:sz w:val="13"/>
          <w:szCs w:val="13"/>
          <w:color w:val="auto"/>
        </w:rPr>
        <w:t>The exchange rate used for the bonus conversion from Indian rupees to U.S. dollars for Mr. Bhalla was 74.33 INR to 1 USD, which was the exchange rate on December 31, 2021.</w:t>
      </w:r>
    </w:p>
    <w:p>
      <w:pPr>
        <w:spacing w:after="0" w:line="30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Long-term equity incentves</w:t>
      </w:r>
    </w:p>
    <w:p>
      <w:pPr>
        <w:spacing w:after="0" w:line="115"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The Compensaton Commitee contnues to believe that long-term equity awards provide employees with the incentve to stay with us for longer periods of tme, which in turn provides us with greater stability as we grow. These incentves foster the long-term perspectve necessary for contnued success in our business because the value of the awards is directly linked to long-term stock price performance, and they ensure that our executve ofcers are properly focused on stockholder value.</w:t>
      </w:r>
    </w:p>
    <w:p>
      <w:pPr>
        <w:spacing w:after="0" w:line="211"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Moreover, the Compensaton Commitee favors restricted stock unit awards as these awards ofer executves the opportunity to receive shares of our common stock on or shortly following the date that the restrictons lapse. Such awards serve both to reward and retain executves because value is linked to the price of our stock on the date that the restricton lapses, and the executve must generally remain in employment through the date that the restrictons lapse. Restricted stock unit awards provide a signifcant degree of alignment of interests between our executves and stockholders.</w:t>
      </w:r>
    </w:p>
    <w:p>
      <w:pPr>
        <w:spacing w:after="0" w:line="211"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The Compensaton Commitee also believes that the mix between Time-Vested RSUs and Performance-Vested RSUs provides an appropriate balance between incentvizing our executves to contnue their employment with the Company and to ensure they are focused on long-term fnancial performance and generatng stockholder value, which will enable them to realize additonal compensaton.</w:t>
      </w:r>
    </w:p>
    <w:p>
      <w:pPr>
        <w:spacing w:after="0" w:line="213"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Finally, restricted stock units are potentally less dilutve to stockholders’ equity than stock optons because restricted stock awards are full value awards, and our Compensaton Commitee can award fewer shares than an equivalent value of stock optons.</w:t>
      </w:r>
    </w:p>
    <w:p>
      <w:pPr>
        <w:spacing w:after="0" w:line="127"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76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Compensaton</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Fiscal year 2021 awards</w:t>
      </w:r>
    </w:p>
    <w:p>
      <w:pPr>
        <w:spacing w:after="0" w:line="106"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Under our equity compensaton program, our executve ofcers received restricted stock units under the 2018 Omnibus Incentve Plan approved by the Company’s stockholders at the annual meetng of stockholders held in June 2018 (the “2018 Plan”). We awarded restricted stock units to nearly all of our named executve ofcers in the proportons shown below. In response to the contnuing COVID-19 pandemic, we revised our long-term equity incentve program for 2021 to remove the revenue performance metric because the uncertainty and market volatlity caused by the pandemic made it difcult to predict a three-year revenue target. As a result, the 2021 PRSUs are based solely on TSR performance as compared to a pre-determined set of peer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1800" w:type="dxa"/>
        <w:tblCellMar>
          <w:top w:w="0" w:type="dxa"/>
          <w:left w:w="0" w:type="dxa"/>
          <w:bottom w:w="0" w:type="dxa"/>
          <w:right w:w="0" w:type="dxa"/>
        </w:tblCellMar>
      </w:tblPr>
      <w:tr>
        <w:trPr>
          <w:trHeight w:val="549"/>
        </w:trPr>
        <w:tc>
          <w:tcPr>
            <w:tcW w:w="1620" w:type="dxa"/>
            <w:vAlign w:val="bottom"/>
          </w:tcPr>
          <w:p>
            <w:pPr>
              <w:jc w:val="center"/>
              <w:ind w:right="713"/>
              <w:spacing w:after="0"/>
              <w:rPr>
                <w:sz w:val="20"/>
                <w:szCs w:val="20"/>
                <w:color w:val="auto"/>
              </w:rPr>
            </w:pPr>
            <w:r>
              <w:rPr>
                <w:rFonts w:ascii="Calibri" w:cs="Calibri" w:eastAsia="Calibri" w:hAnsi="Calibri"/>
                <w:sz w:val="45"/>
                <w:szCs w:val="45"/>
                <w:b w:val="1"/>
                <w:bCs w:val="1"/>
                <w:color w:val="FB4E0B"/>
                <w:w w:val="99"/>
              </w:rPr>
              <w:t>50%</w:t>
            </w:r>
          </w:p>
        </w:tc>
        <w:tc>
          <w:tcPr>
            <w:tcW w:w="1740" w:type="dxa"/>
            <w:vAlign w:val="bottom"/>
          </w:tcPr>
          <w:p>
            <w:pPr>
              <w:jc w:val="right"/>
              <w:ind w:right="455"/>
              <w:spacing w:after="0"/>
              <w:rPr>
                <w:sz w:val="20"/>
                <w:szCs w:val="20"/>
                <w:color w:val="auto"/>
              </w:rPr>
            </w:pPr>
            <w:r>
              <w:rPr>
                <w:rFonts w:ascii="Calibri" w:cs="Calibri" w:eastAsia="Calibri" w:hAnsi="Calibri"/>
                <w:sz w:val="45"/>
                <w:szCs w:val="45"/>
                <w:b w:val="1"/>
                <w:bCs w:val="1"/>
                <w:color w:val="FB4E0B"/>
              </w:rPr>
              <w:t>+</w:t>
            </w:r>
          </w:p>
        </w:tc>
        <w:tc>
          <w:tcPr>
            <w:tcW w:w="2560" w:type="dxa"/>
            <w:vAlign w:val="bottom"/>
          </w:tcPr>
          <w:p>
            <w:pPr>
              <w:jc w:val="center"/>
              <w:spacing w:after="0"/>
              <w:rPr>
                <w:sz w:val="20"/>
                <w:szCs w:val="20"/>
                <w:color w:val="auto"/>
              </w:rPr>
            </w:pPr>
            <w:r>
              <w:rPr>
                <w:rFonts w:ascii="Calibri" w:cs="Calibri" w:eastAsia="Calibri" w:hAnsi="Calibri"/>
                <w:sz w:val="45"/>
                <w:szCs w:val="45"/>
                <w:b w:val="1"/>
                <w:bCs w:val="1"/>
                <w:color w:val="FB4E0B"/>
                <w:w w:val="99"/>
              </w:rPr>
              <w:t>50%</w:t>
            </w:r>
          </w:p>
        </w:tc>
        <w:tc>
          <w:tcPr>
            <w:tcW w:w="1300" w:type="dxa"/>
            <w:vAlign w:val="bottom"/>
          </w:tcPr>
          <w:p>
            <w:pPr>
              <w:jc w:val="right"/>
              <w:ind w:right="215"/>
              <w:spacing w:after="0"/>
              <w:rPr>
                <w:sz w:val="20"/>
                <w:szCs w:val="20"/>
                <w:color w:val="auto"/>
              </w:rPr>
            </w:pPr>
            <w:r>
              <w:rPr>
                <w:rFonts w:ascii="Calibri" w:cs="Calibri" w:eastAsia="Calibri" w:hAnsi="Calibri"/>
                <w:sz w:val="45"/>
                <w:szCs w:val="45"/>
                <w:b w:val="1"/>
                <w:bCs w:val="1"/>
                <w:color w:val="FB4E0B"/>
              </w:rPr>
              <w:t>=</w:t>
            </w:r>
          </w:p>
        </w:tc>
        <w:tc>
          <w:tcPr>
            <w:tcW w:w="1340" w:type="dxa"/>
            <w:vAlign w:val="bottom"/>
          </w:tcPr>
          <w:p>
            <w:pPr>
              <w:jc w:val="center"/>
              <w:ind w:left="313"/>
              <w:spacing w:after="0"/>
              <w:rPr>
                <w:sz w:val="20"/>
                <w:szCs w:val="20"/>
                <w:color w:val="auto"/>
              </w:rPr>
            </w:pPr>
            <w:r>
              <w:rPr>
                <w:rFonts w:ascii="Calibri" w:cs="Calibri" w:eastAsia="Calibri" w:hAnsi="Calibri"/>
                <w:sz w:val="45"/>
                <w:szCs w:val="45"/>
                <w:b w:val="1"/>
                <w:bCs w:val="1"/>
                <w:color w:val="auto"/>
                <w:w w:val="94"/>
              </w:rPr>
              <w:t>Total</w:t>
            </w:r>
          </w:p>
        </w:tc>
      </w:tr>
      <w:tr>
        <w:trPr>
          <w:trHeight w:val="277"/>
        </w:trPr>
        <w:tc>
          <w:tcPr>
            <w:tcW w:w="1620" w:type="dxa"/>
            <w:vAlign w:val="bottom"/>
          </w:tcPr>
          <w:p>
            <w:pPr>
              <w:jc w:val="center"/>
              <w:ind w:right="693"/>
              <w:spacing w:after="0"/>
              <w:rPr>
                <w:sz w:val="20"/>
                <w:szCs w:val="20"/>
                <w:color w:val="auto"/>
              </w:rPr>
            </w:pPr>
            <w:r>
              <w:rPr>
                <w:rFonts w:ascii="Calibri" w:cs="Calibri" w:eastAsia="Calibri" w:hAnsi="Calibri"/>
                <w:sz w:val="16"/>
                <w:szCs w:val="16"/>
                <w:b w:val="1"/>
                <w:bCs w:val="1"/>
                <w:color w:val="auto"/>
                <w:w w:val="97"/>
              </w:rPr>
              <w:t>Time-vested</w:t>
            </w:r>
          </w:p>
        </w:tc>
        <w:tc>
          <w:tcPr>
            <w:tcW w:w="174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Calibri" w:cs="Calibri" w:eastAsia="Calibri" w:hAnsi="Calibri"/>
                <w:sz w:val="16"/>
                <w:szCs w:val="16"/>
                <w:b w:val="1"/>
                <w:bCs w:val="1"/>
                <w:color w:val="auto"/>
              </w:rPr>
              <w:t>Relatve TSR-linked</w:t>
            </w:r>
          </w:p>
        </w:tc>
        <w:tc>
          <w:tcPr>
            <w:tcW w:w="1300" w:type="dxa"/>
            <w:vAlign w:val="bottom"/>
          </w:tcPr>
          <w:p>
            <w:pPr>
              <w:spacing w:after="0"/>
              <w:rPr>
                <w:sz w:val="24"/>
                <w:szCs w:val="24"/>
                <w:color w:val="auto"/>
              </w:rPr>
            </w:pPr>
          </w:p>
        </w:tc>
        <w:tc>
          <w:tcPr>
            <w:tcW w:w="1340" w:type="dxa"/>
            <w:vAlign w:val="bottom"/>
          </w:tcPr>
          <w:p>
            <w:pPr>
              <w:jc w:val="center"/>
              <w:ind w:left="313"/>
              <w:spacing w:after="0"/>
              <w:rPr>
                <w:sz w:val="20"/>
                <w:szCs w:val="20"/>
                <w:color w:val="auto"/>
              </w:rPr>
            </w:pPr>
            <w:r>
              <w:rPr>
                <w:rFonts w:ascii="Calibri" w:cs="Calibri" w:eastAsia="Calibri" w:hAnsi="Calibri"/>
                <w:sz w:val="16"/>
                <w:szCs w:val="16"/>
                <w:b w:val="1"/>
                <w:bCs w:val="1"/>
                <w:color w:val="auto"/>
                <w:w w:val="94"/>
              </w:rPr>
              <w:t>LTI</w:t>
            </w:r>
          </w:p>
        </w:tc>
      </w:tr>
      <w:tr>
        <w:trPr>
          <w:trHeight w:val="195"/>
        </w:trPr>
        <w:tc>
          <w:tcPr>
            <w:tcW w:w="1620" w:type="dxa"/>
            <w:vAlign w:val="bottom"/>
          </w:tcPr>
          <w:p>
            <w:pPr>
              <w:jc w:val="center"/>
              <w:ind w:right="693"/>
              <w:spacing w:after="0"/>
              <w:rPr>
                <w:sz w:val="20"/>
                <w:szCs w:val="20"/>
                <w:color w:val="auto"/>
              </w:rPr>
            </w:pPr>
            <w:r>
              <w:rPr>
                <w:rFonts w:ascii="Calibri" w:cs="Calibri" w:eastAsia="Calibri" w:hAnsi="Calibri"/>
                <w:sz w:val="16"/>
                <w:szCs w:val="16"/>
                <w:b w:val="1"/>
                <w:bCs w:val="1"/>
                <w:color w:val="auto"/>
                <w:w w:val="95"/>
              </w:rPr>
              <w:t>RSUs</w:t>
            </w:r>
          </w:p>
        </w:tc>
        <w:tc>
          <w:tcPr>
            <w:tcW w:w="174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Calibri" w:cs="Calibri" w:eastAsia="Calibri" w:hAnsi="Calibri"/>
                <w:sz w:val="16"/>
                <w:szCs w:val="16"/>
                <w:b w:val="1"/>
                <w:bCs w:val="1"/>
                <w:color w:val="auto"/>
                <w:w w:val="95"/>
              </w:rPr>
              <w:t>PRSUs</w:t>
            </w:r>
          </w:p>
        </w:tc>
        <w:tc>
          <w:tcPr>
            <w:tcW w:w="1300" w:type="dxa"/>
            <w:vAlign w:val="bottom"/>
          </w:tcPr>
          <w:p>
            <w:pPr>
              <w:spacing w:after="0"/>
              <w:rPr>
                <w:sz w:val="16"/>
                <w:szCs w:val="16"/>
                <w:color w:val="auto"/>
              </w:rPr>
            </w:pPr>
          </w:p>
        </w:tc>
        <w:tc>
          <w:tcPr>
            <w:tcW w:w="1340" w:type="dxa"/>
            <w:vAlign w:val="bottom"/>
          </w:tcPr>
          <w:p>
            <w:pPr>
              <w:jc w:val="center"/>
              <w:ind w:left="313"/>
              <w:spacing w:after="0"/>
              <w:rPr>
                <w:sz w:val="20"/>
                <w:szCs w:val="20"/>
                <w:color w:val="auto"/>
              </w:rPr>
            </w:pPr>
            <w:r>
              <w:rPr>
                <w:rFonts w:ascii="Calibri" w:cs="Calibri" w:eastAsia="Calibri" w:hAnsi="Calibri"/>
                <w:sz w:val="16"/>
                <w:szCs w:val="16"/>
                <w:b w:val="1"/>
                <w:bCs w:val="1"/>
                <w:color w:val="auto"/>
                <w:w w:val="99"/>
              </w:rPr>
              <w:t>award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320" w:right="100"/>
        <w:spacing w:after="0" w:line="239" w:lineRule="auto"/>
        <w:rPr>
          <w:sz w:val="20"/>
          <w:szCs w:val="20"/>
          <w:color w:val="auto"/>
        </w:rPr>
      </w:pPr>
      <w:r>
        <w:rPr>
          <w:rFonts w:ascii="Calibri" w:cs="Calibri" w:eastAsia="Calibri" w:hAnsi="Calibri"/>
          <w:sz w:val="17"/>
          <w:szCs w:val="17"/>
          <w:color w:val="auto"/>
        </w:rPr>
        <w:t>The table below shows the amount of Time-Vested and Performance-Vested RSUs our Compensaton Commitee awarded our named executve ofcers in 2021. In general, the Compensaton Commitee believes that the size of the award granted to an executve ofcer should increase based on the executve ofcer’s level of responsibility within the Company.</w:t>
      </w:r>
    </w:p>
    <w:p>
      <w:pPr>
        <w:spacing w:after="0" w:line="200" w:lineRule="exact"/>
        <w:rPr>
          <w:sz w:val="20"/>
          <w:szCs w:val="20"/>
          <w:color w:val="auto"/>
        </w:rPr>
      </w:pPr>
    </w:p>
    <w:p>
      <w:pPr>
        <w:spacing w:after="0" w:line="317" w:lineRule="exact"/>
        <w:rPr>
          <w:sz w:val="20"/>
          <w:szCs w:val="20"/>
          <w:color w:val="auto"/>
        </w:rPr>
      </w:pPr>
    </w:p>
    <w:tbl>
      <w:tblPr>
        <w:tblLayout w:type="fixed"/>
        <w:tblInd w:w="380" w:type="dxa"/>
        <w:tblCellMar>
          <w:top w:w="0" w:type="dxa"/>
          <w:left w:w="0" w:type="dxa"/>
          <w:bottom w:w="0" w:type="dxa"/>
          <w:right w:w="0" w:type="dxa"/>
        </w:tblCellMar>
      </w:tblPr>
      <w:tr>
        <w:trPr>
          <w:trHeight w:val="360"/>
        </w:trPr>
        <w:tc>
          <w:tcPr>
            <w:tcW w:w="5680" w:type="dxa"/>
            <w:vAlign w:val="bottom"/>
            <w:tcBorders>
              <w:bottom w:val="single" w:sz="8" w:color="FB4E0B"/>
            </w:tcBorders>
          </w:tcPr>
          <w:p>
            <w:pPr>
              <w:ind w:left="80"/>
              <w:spacing w:after="0"/>
              <w:rPr>
                <w:sz w:val="20"/>
                <w:szCs w:val="20"/>
                <w:color w:val="auto"/>
              </w:rPr>
            </w:pPr>
            <w:r>
              <w:rPr>
                <w:rFonts w:ascii="Calibri" w:cs="Calibri" w:eastAsia="Calibri" w:hAnsi="Calibri"/>
                <w:sz w:val="17"/>
                <w:szCs w:val="17"/>
                <w:b w:val="1"/>
                <w:bCs w:val="1"/>
                <w:color w:val="FB4E0B"/>
              </w:rPr>
              <w:t>Name</w:t>
            </w:r>
          </w:p>
        </w:tc>
        <w:tc>
          <w:tcPr>
            <w:tcW w:w="2500" w:type="dxa"/>
            <w:vAlign w:val="bottom"/>
            <w:tcBorders>
              <w:bottom w:val="single" w:sz="8" w:color="FB4E0B"/>
            </w:tcBorders>
          </w:tcPr>
          <w:p>
            <w:pPr>
              <w:jc w:val="right"/>
              <w:ind w:right="173"/>
              <w:spacing w:after="0"/>
              <w:rPr>
                <w:sz w:val="20"/>
                <w:szCs w:val="20"/>
                <w:color w:val="auto"/>
              </w:rPr>
            </w:pPr>
            <w:r>
              <w:rPr>
                <w:rFonts w:ascii="Calibri" w:cs="Calibri" w:eastAsia="Calibri" w:hAnsi="Calibri"/>
                <w:sz w:val="17"/>
                <w:szCs w:val="17"/>
                <w:b w:val="1"/>
                <w:bCs w:val="1"/>
                <w:color w:val="FB4E0B"/>
              </w:rPr>
              <w:t>Annual Time-Vested RSUs</w:t>
            </w:r>
            <w:r>
              <w:rPr>
                <w:rFonts w:ascii="Calibri" w:cs="Calibri" w:eastAsia="Calibri" w:hAnsi="Calibri"/>
                <w:sz w:val="29"/>
                <w:szCs w:val="29"/>
                <w:b w:val="1"/>
                <w:bCs w:val="1"/>
                <w:color w:val="FB4E0B"/>
                <w:vertAlign w:val="superscript"/>
              </w:rPr>
              <w:t>(1)</w:t>
            </w:r>
          </w:p>
        </w:tc>
        <w:tc>
          <w:tcPr>
            <w:tcW w:w="2320" w:type="dxa"/>
            <w:vAlign w:val="bottom"/>
            <w:tcBorders>
              <w:bottom w:val="single" w:sz="8" w:color="FB4E0B"/>
            </w:tcBorders>
          </w:tcPr>
          <w:p>
            <w:pPr>
              <w:jc w:val="right"/>
              <w:ind w:right="153"/>
              <w:spacing w:after="0"/>
              <w:rPr>
                <w:sz w:val="20"/>
                <w:szCs w:val="20"/>
                <w:color w:val="auto"/>
              </w:rPr>
            </w:pPr>
            <w:r>
              <w:rPr>
                <w:rFonts w:ascii="Calibri" w:cs="Calibri" w:eastAsia="Calibri" w:hAnsi="Calibri"/>
                <w:sz w:val="17"/>
                <w:szCs w:val="17"/>
                <w:b w:val="1"/>
                <w:bCs w:val="1"/>
                <w:color w:val="FB4E0B"/>
              </w:rPr>
              <w:t>Relatve TSR-Linked PRSUs</w:t>
            </w:r>
          </w:p>
        </w:tc>
      </w:tr>
      <w:tr>
        <w:trPr>
          <w:trHeight w:val="289"/>
        </w:trPr>
        <w:tc>
          <w:tcPr>
            <w:tcW w:w="56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Rohit Kapoor</w:t>
            </w:r>
          </w:p>
        </w:tc>
        <w:tc>
          <w:tcPr>
            <w:tcW w:w="2500" w:type="dxa"/>
            <w:vAlign w:val="bottom"/>
            <w:tcBorders>
              <w:right w:val="single" w:sz="8" w:color="auto"/>
            </w:tcBorders>
          </w:tcPr>
          <w:p>
            <w:pPr>
              <w:jc w:val="right"/>
              <w:ind w:right="253"/>
              <w:spacing w:after="0"/>
              <w:rPr>
                <w:sz w:val="20"/>
                <w:szCs w:val="20"/>
                <w:color w:val="auto"/>
              </w:rPr>
            </w:pPr>
            <w:r>
              <w:rPr>
                <w:rFonts w:ascii="Calibri" w:cs="Calibri" w:eastAsia="Calibri" w:hAnsi="Calibri"/>
                <w:sz w:val="17"/>
                <w:szCs w:val="17"/>
                <w:color w:val="auto"/>
              </w:rPr>
              <w:t>35,400</w:t>
            </w:r>
          </w:p>
        </w:tc>
        <w:tc>
          <w:tcPr>
            <w:tcW w:w="2320" w:type="dxa"/>
            <w:vAlign w:val="bottom"/>
          </w:tcPr>
          <w:p>
            <w:pPr>
              <w:jc w:val="right"/>
              <w:ind w:right="233"/>
              <w:spacing w:after="0"/>
              <w:rPr>
                <w:sz w:val="20"/>
                <w:szCs w:val="20"/>
                <w:color w:val="auto"/>
              </w:rPr>
            </w:pPr>
            <w:r>
              <w:rPr>
                <w:rFonts w:ascii="Calibri" w:cs="Calibri" w:eastAsia="Calibri" w:hAnsi="Calibri"/>
                <w:sz w:val="17"/>
                <w:szCs w:val="17"/>
                <w:color w:val="auto"/>
              </w:rPr>
              <w:t>35,400</w:t>
            </w:r>
          </w:p>
        </w:tc>
      </w:tr>
      <w:tr>
        <w:trPr>
          <w:trHeight w:val="127"/>
        </w:trPr>
        <w:tc>
          <w:tcPr>
            <w:tcW w:w="568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r>
      <w:tr>
        <w:trPr>
          <w:trHeight w:val="269"/>
        </w:trPr>
        <w:tc>
          <w:tcPr>
            <w:tcW w:w="56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Maurizio Nicolelli</w:t>
            </w:r>
          </w:p>
        </w:tc>
        <w:tc>
          <w:tcPr>
            <w:tcW w:w="2500" w:type="dxa"/>
            <w:vAlign w:val="bottom"/>
            <w:tcBorders>
              <w:right w:val="single" w:sz="8" w:color="auto"/>
            </w:tcBorders>
          </w:tcPr>
          <w:p>
            <w:pPr>
              <w:jc w:val="right"/>
              <w:ind w:right="253"/>
              <w:spacing w:after="0"/>
              <w:rPr>
                <w:sz w:val="20"/>
                <w:szCs w:val="20"/>
                <w:color w:val="auto"/>
              </w:rPr>
            </w:pPr>
            <w:r>
              <w:rPr>
                <w:rFonts w:ascii="Calibri" w:cs="Calibri" w:eastAsia="Calibri" w:hAnsi="Calibri"/>
                <w:sz w:val="17"/>
                <w:szCs w:val="17"/>
                <w:color w:val="auto"/>
              </w:rPr>
              <w:t>6,920</w:t>
            </w:r>
          </w:p>
        </w:tc>
        <w:tc>
          <w:tcPr>
            <w:tcW w:w="2320" w:type="dxa"/>
            <w:vAlign w:val="bottom"/>
          </w:tcPr>
          <w:p>
            <w:pPr>
              <w:jc w:val="right"/>
              <w:ind w:right="233"/>
              <w:spacing w:after="0"/>
              <w:rPr>
                <w:sz w:val="20"/>
                <w:szCs w:val="20"/>
                <w:color w:val="auto"/>
              </w:rPr>
            </w:pPr>
            <w:r>
              <w:rPr>
                <w:rFonts w:ascii="Calibri" w:cs="Calibri" w:eastAsia="Calibri" w:hAnsi="Calibri"/>
                <w:sz w:val="17"/>
                <w:szCs w:val="17"/>
                <w:color w:val="auto"/>
              </w:rPr>
              <w:t>6,920</w:t>
            </w:r>
          </w:p>
        </w:tc>
      </w:tr>
      <w:tr>
        <w:trPr>
          <w:trHeight w:val="127"/>
        </w:trPr>
        <w:tc>
          <w:tcPr>
            <w:tcW w:w="568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r>
      <w:tr>
        <w:trPr>
          <w:trHeight w:val="269"/>
        </w:trPr>
        <w:tc>
          <w:tcPr>
            <w:tcW w:w="56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Vikas Bhalla</w:t>
            </w:r>
          </w:p>
        </w:tc>
        <w:tc>
          <w:tcPr>
            <w:tcW w:w="2500" w:type="dxa"/>
            <w:vAlign w:val="bottom"/>
            <w:tcBorders>
              <w:right w:val="single" w:sz="8" w:color="auto"/>
            </w:tcBorders>
          </w:tcPr>
          <w:p>
            <w:pPr>
              <w:jc w:val="right"/>
              <w:ind w:right="253"/>
              <w:spacing w:after="0"/>
              <w:rPr>
                <w:sz w:val="20"/>
                <w:szCs w:val="20"/>
                <w:color w:val="auto"/>
              </w:rPr>
            </w:pPr>
            <w:r>
              <w:rPr>
                <w:rFonts w:ascii="Calibri" w:cs="Calibri" w:eastAsia="Calibri" w:hAnsi="Calibri"/>
                <w:sz w:val="17"/>
                <w:szCs w:val="17"/>
                <w:color w:val="auto"/>
              </w:rPr>
              <w:t>7,340</w:t>
            </w:r>
          </w:p>
        </w:tc>
        <w:tc>
          <w:tcPr>
            <w:tcW w:w="2320" w:type="dxa"/>
            <w:vAlign w:val="bottom"/>
          </w:tcPr>
          <w:p>
            <w:pPr>
              <w:jc w:val="right"/>
              <w:ind w:right="233"/>
              <w:spacing w:after="0"/>
              <w:rPr>
                <w:sz w:val="20"/>
                <w:szCs w:val="20"/>
                <w:color w:val="auto"/>
              </w:rPr>
            </w:pPr>
            <w:r>
              <w:rPr>
                <w:rFonts w:ascii="Calibri" w:cs="Calibri" w:eastAsia="Calibri" w:hAnsi="Calibri"/>
                <w:sz w:val="17"/>
                <w:szCs w:val="17"/>
                <w:color w:val="auto"/>
              </w:rPr>
              <w:t>7,340</w:t>
            </w:r>
          </w:p>
        </w:tc>
      </w:tr>
      <w:tr>
        <w:trPr>
          <w:trHeight w:val="127"/>
        </w:trPr>
        <w:tc>
          <w:tcPr>
            <w:tcW w:w="568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r>
      <w:tr>
        <w:trPr>
          <w:trHeight w:val="269"/>
        </w:trPr>
        <w:tc>
          <w:tcPr>
            <w:tcW w:w="56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Vivek Jetley</w:t>
            </w:r>
          </w:p>
        </w:tc>
        <w:tc>
          <w:tcPr>
            <w:tcW w:w="2500" w:type="dxa"/>
            <w:vAlign w:val="bottom"/>
            <w:tcBorders>
              <w:right w:val="single" w:sz="8" w:color="auto"/>
            </w:tcBorders>
          </w:tcPr>
          <w:p>
            <w:pPr>
              <w:jc w:val="right"/>
              <w:ind w:right="253"/>
              <w:spacing w:after="0"/>
              <w:rPr>
                <w:sz w:val="20"/>
                <w:szCs w:val="20"/>
                <w:color w:val="auto"/>
              </w:rPr>
            </w:pPr>
            <w:r>
              <w:rPr>
                <w:rFonts w:ascii="Calibri" w:cs="Calibri" w:eastAsia="Calibri" w:hAnsi="Calibri"/>
                <w:sz w:val="17"/>
                <w:szCs w:val="17"/>
                <w:color w:val="auto"/>
              </w:rPr>
              <w:t>5,955</w:t>
            </w:r>
          </w:p>
        </w:tc>
        <w:tc>
          <w:tcPr>
            <w:tcW w:w="2320" w:type="dxa"/>
            <w:vAlign w:val="bottom"/>
          </w:tcPr>
          <w:p>
            <w:pPr>
              <w:jc w:val="right"/>
              <w:ind w:right="233"/>
              <w:spacing w:after="0"/>
              <w:rPr>
                <w:sz w:val="20"/>
                <w:szCs w:val="20"/>
                <w:color w:val="auto"/>
              </w:rPr>
            </w:pPr>
            <w:r>
              <w:rPr>
                <w:rFonts w:ascii="Calibri" w:cs="Calibri" w:eastAsia="Calibri" w:hAnsi="Calibri"/>
                <w:sz w:val="17"/>
                <w:szCs w:val="17"/>
                <w:color w:val="auto"/>
              </w:rPr>
              <w:t>5,955</w:t>
            </w:r>
          </w:p>
        </w:tc>
      </w:tr>
      <w:tr>
        <w:trPr>
          <w:trHeight w:val="127"/>
        </w:trPr>
        <w:tc>
          <w:tcPr>
            <w:tcW w:w="568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r>
      <w:tr>
        <w:trPr>
          <w:trHeight w:val="269"/>
        </w:trPr>
        <w:tc>
          <w:tcPr>
            <w:tcW w:w="5680" w:type="dxa"/>
            <w:vAlign w:val="bottom"/>
            <w:tcBorders>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Samuel Meckey</w:t>
            </w:r>
          </w:p>
        </w:tc>
        <w:tc>
          <w:tcPr>
            <w:tcW w:w="2500" w:type="dxa"/>
            <w:vAlign w:val="bottom"/>
            <w:tcBorders>
              <w:right w:val="single" w:sz="8" w:color="auto"/>
            </w:tcBorders>
          </w:tcPr>
          <w:p>
            <w:pPr>
              <w:jc w:val="right"/>
              <w:ind w:right="253"/>
              <w:spacing w:after="0"/>
              <w:rPr>
                <w:sz w:val="20"/>
                <w:szCs w:val="20"/>
                <w:color w:val="auto"/>
              </w:rPr>
            </w:pPr>
            <w:r>
              <w:rPr>
                <w:rFonts w:ascii="Calibri" w:cs="Calibri" w:eastAsia="Calibri" w:hAnsi="Calibri"/>
                <w:sz w:val="17"/>
                <w:szCs w:val="17"/>
                <w:color w:val="auto"/>
              </w:rPr>
              <w:t>7,415</w:t>
            </w:r>
          </w:p>
        </w:tc>
        <w:tc>
          <w:tcPr>
            <w:tcW w:w="2320" w:type="dxa"/>
            <w:vAlign w:val="bottom"/>
          </w:tcPr>
          <w:p>
            <w:pPr>
              <w:jc w:val="right"/>
              <w:ind w:right="233"/>
              <w:spacing w:after="0"/>
              <w:rPr>
                <w:sz w:val="20"/>
                <w:szCs w:val="20"/>
                <w:color w:val="auto"/>
              </w:rPr>
            </w:pPr>
            <w:r>
              <w:rPr>
                <w:rFonts w:ascii="Calibri" w:cs="Calibri" w:eastAsia="Calibri" w:hAnsi="Calibri"/>
                <w:sz w:val="17"/>
                <w:szCs w:val="17"/>
                <w:color w:val="auto"/>
              </w:rPr>
              <w:t>7,415</w:t>
            </w:r>
          </w:p>
        </w:tc>
      </w:tr>
      <w:tr>
        <w:trPr>
          <w:trHeight w:val="133"/>
        </w:trPr>
        <w:tc>
          <w:tcPr>
            <w:tcW w:w="5680" w:type="dxa"/>
            <w:vAlign w:val="bottom"/>
            <w:tcBorders>
              <w:bottom w:val="single" w:sz="8" w:color="FB4E0B"/>
              <w:right w:val="single" w:sz="8" w:color="auto"/>
            </w:tcBorders>
          </w:tcPr>
          <w:p>
            <w:pPr>
              <w:spacing w:after="0"/>
              <w:rPr>
                <w:sz w:val="11"/>
                <w:szCs w:val="11"/>
                <w:color w:val="auto"/>
              </w:rPr>
            </w:pPr>
          </w:p>
        </w:tc>
        <w:tc>
          <w:tcPr>
            <w:tcW w:w="2500" w:type="dxa"/>
            <w:vAlign w:val="bottom"/>
            <w:tcBorders>
              <w:bottom w:val="single" w:sz="8" w:color="FB4E0B"/>
              <w:right w:val="single" w:sz="8" w:color="auto"/>
            </w:tcBorders>
          </w:tcPr>
          <w:p>
            <w:pPr>
              <w:spacing w:after="0"/>
              <w:rPr>
                <w:sz w:val="11"/>
                <w:szCs w:val="11"/>
                <w:color w:val="auto"/>
              </w:rPr>
            </w:pPr>
          </w:p>
        </w:tc>
        <w:tc>
          <w:tcPr>
            <w:tcW w:w="2320" w:type="dxa"/>
            <w:vAlign w:val="bottom"/>
            <w:tcBorders>
              <w:bottom w:val="single" w:sz="8" w:color="FB4E0B"/>
            </w:tcBorders>
          </w:tcPr>
          <w:p>
            <w:pPr>
              <w:spacing w:after="0"/>
              <w:rPr>
                <w:sz w:val="11"/>
                <w:szCs w:val="11"/>
                <w:color w:val="auto"/>
              </w:rPr>
            </w:pPr>
          </w:p>
        </w:tc>
      </w:tr>
    </w:tbl>
    <w:p>
      <w:pPr>
        <w:spacing w:after="0" w:line="55" w:lineRule="exact"/>
        <w:rPr>
          <w:sz w:val="20"/>
          <w:szCs w:val="20"/>
          <w:color w:val="auto"/>
        </w:rPr>
      </w:pPr>
    </w:p>
    <w:p>
      <w:pPr>
        <w:ind w:left="1140" w:hanging="407"/>
        <w:spacing w:after="0"/>
        <w:tabs>
          <w:tab w:leader="none" w:pos="1140" w:val="left"/>
        </w:tabs>
        <w:numPr>
          <w:ilvl w:val="0"/>
          <w:numId w:val="23"/>
        </w:numPr>
        <w:rPr>
          <w:rFonts w:ascii="Calibri" w:cs="Calibri" w:eastAsia="Calibri" w:hAnsi="Calibri"/>
          <w:sz w:val="13"/>
          <w:szCs w:val="13"/>
          <w:color w:val="auto"/>
        </w:rPr>
      </w:pPr>
      <w:r>
        <w:rPr>
          <w:rFonts w:ascii="Calibri" w:cs="Calibri" w:eastAsia="Calibri" w:hAnsi="Calibri"/>
          <w:sz w:val="13"/>
          <w:szCs w:val="13"/>
          <w:color w:val="auto"/>
        </w:rPr>
        <w:t>Time-Vested RSUs do not include the additonal equity grant awarded in September 2021 for all NEOs except Mr. Kapoor, see page 78 for more informaton on these awards.</w:t>
      </w:r>
    </w:p>
    <w:p>
      <w:pPr>
        <w:spacing w:after="0" w:line="116" w:lineRule="exact"/>
        <w:rPr>
          <w:sz w:val="20"/>
          <w:szCs w:val="20"/>
          <w:color w:val="auto"/>
        </w:rPr>
      </w:pPr>
    </w:p>
    <w:p>
      <w:pPr>
        <w:ind w:left="1140" w:right="160" w:hanging="407"/>
        <w:spacing w:after="0" w:line="239" w:lineRule="auto"/>
        <w:tabs>
          <w:tab w:leader="none" w:pos="1140"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The “Time-Vested RSUs” will vest in increments of 25% on each of the frst four anniversaries of the grant date, subject to contnuous service with the Company through the applicable vestng date.</w:t>
      </w:r>
    </w:p>
    <w:p>
      <w:pPr>
        <w:spacing w:after="0" w:line="120" w:lineRule="exact"/>
        <w:rPr>
          <w:rFonts w:ascii="Calibri" w:cs="Calibri" w:eastAsia="Calibri" w:hAnsi="Calibri"/>
          <w:sz w:val="17"/>
          <w:szCs w:val="17"/>
          <w:color w:val="auto"/>
        </w:rPr>
      </w:pPr>
    </w:p>
    <w:p>
      <w:pPr>
        <w:ind w:left="1580" w:right="440" w:hanging="416"/>
        <w:spacing w:after="0" w:line="239" w:lineRule="auto"/>
        <w:rPr>
          <w:rFonts w:ascii="Calibri" w:cs="Calibri" w:eastAsia="Calibri" w:hAnsi="Calibri"/>
          <w:sz w:val="17"/>
          <w:szCs w:val="17"/>
          <w:color w:val="auto"/>
        </w:rPr>
      </w:pPr>
      <w:r>
        <w:rPr>
          <w:rFonts w:ascii="Calibri" w:cs="Calibri" w:eastAsia="Calibri" w:hAnsi="Calibri"/>
          <w:sz w:val="17"/>
          <w:szCs w:val="17"/>
          <w:color w:val="auto"/>
        </w:rPr>
        <w:t>–The Compensaton Commitee believes these Time-Vested RSUs provide an important role in promotng retenton of our executve ofcers.</w:t>
      </w:r>
    </w:p>
    <w:p>
      <w:pPr>
        <w:spacing w:after="0" w:line="120" w:lineRule="exact"/>
        <w:rPr>
          <w:rFonts w:ascii="Calibri" w:cs="Calibri" w:eastAsia="Calibri" w:hAnsi="Calibri"/>
          <w:sz w:val="17"/>
          <w:szCs w:val="17"/>
          <w:color w:val="auto"/>
        </w:rPr>
      </w:pPr>
    </w:p>
    <w:p>
      <w:pPr>
        <w:ind w:left="1140" w:right="120" w:hanging="407"/>
        <w:spacing w:after="0"/>
        <w:tabs>
          <w:tab w:leader="none" w:pos="1140" w:val="left"/>
        </w:tabs>
        <w:numPr>
          <w:ilvl w:val="0"/>
          <w:numId w:val="24"/>
        </w:numPr>
        <w:rPr>
          <w:rFonts w:ascii="Calibri" w:cs="Calibri" w:eastAsia="Calibri" w:hAnsi="Calibri"/>
          <w:sz w:val="17"/>
          <w:szCs w:val="17"/>
          <w:color w:val="auto"/>
        </w:rPr>
      </w:pPr>
      <w:r>
        <w:rPr>
          <w:rFonts w:ascii="Calibri" w:cs="Calibri" w:eastAsia="Calibri" w:hAnsi="Calibri"/>
          <w:sz w:val="17"/>
          <w:szCs w:val="17"/>
          <w:color w:val="auto"/>
        </w:rPr>
        <w:t>The “Performance-Vested” porton of the 2021 RSUs (“PRSUs”) clif-vest on December 31 of the third fscal year in the performance period, based on the achievement of relatve total stockholder return performance of the Company against a peer group over the grant’s three-year performance period of January 1, 2021 to December 31, 2023 and contnuous employment through December 31, 2023 — we call these awards “Relatve TSR-Linked PRSUs.” The Company’s TSR for the TSR performance period will be computed and then compared to the TSR of the companies in the TSR peer group, which is comprised of the public companies traded on either the NYSE or NASDAQ stock markets in our 8-digit Global</w:t>
      </w:r>
    </w:p>
    <w:p>
      <w:pPr>
        <w:sectPr>
          <w:pgSz w:w="11900" w:h="16838" w:orient="portrait"/>
          <w:cols w:equalWidth="0" w:num="1">
            <w:col w:w="10940"/>
          </w:cols>
          <w:pgMar w:left="320" w:top="445" w:right="639" w:bottom="1440" w:gutter="0" w:footer="0" w:header="0"/>
        </w:sectPr>
      </w:pPr>
    </w:p>
    <w:p>
      <w:pPr>
        <w:spacing w:after="0" w:line="128" w:lineRule="exact"/>
        <w:rPr>
          <w:sz w:val="20"/>
          <w:szCs w:val="20"/>
          <w:color w:val="auto"/>
        </w:rPr>
      </w:pPr>
    </w:p>
    <w:p>
      <w:pPr>
        <w:ind w:left="8100"/>
        <w:spacing w:after="0"/>
        <w:tabs>
          <w:tab w:leader="none" w:pos="9700" w:val="left"/>
          <w:tab w:leader="none" w:pos="10080" w:val="left"/>
        </w:tabs>
        <w:rPr>
          <w:sz w:val="20"/>
          <w:szCs w:val="20"/>
          <w:color w:val="auto"/>
        </w:rPr>
      </w:pPr>
      <w:r>
        <w:rPr>
          <w:rFonts w:ascii="Calibri" w:cs="Calibri" w:eastAsia="Calibri" w:hAnsi="Calibri"/>
          <w:sz w:val="13"/>
          <w:szCs w:val="13"/>
          <w:color w:val="auto"/>
        </w:rPr>
        <w:t>EXL 2022 Proxy Statement</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7"/>
          <w:szCs w:val="17"/>
          <w:b w:val="1"/>
          <w:bCs w:val="1"/>
          <w:color w:val="auto"/>
        </w:rPr>
        <w:t>77</w:t>
      </w:r>
    </w:p>
    <w:p>
      <w:pPr>
        <w:sectPr>
          <w:pgSz w:w="11900" w:h="16838" w:orient="portrait"/>
          <w:cols w:equalWidth="0" w:num="1">
            <w:col w:w="10940"/>
          </w:cols>
          <w:pgMar w:left="320" w:top="445" w:right="6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40" w:lineRule="exact"/>
        <w:rPr>
          <w:sz w:val="20"/>
          <w:szCs w:val="20"/>
          <w:color w:val="auto"/>
        </w:rPr>
      </w:pPr>
    </w:p>
    <w:p>
      <w:pPr>
        <w:ind w:left="1160" w:right="60"/>
        <w:spacing w:after="0"/>
        <w:rPr>
          <w:sz w:val="20"/>
          <w:szCs w:val="20"/>
          <w:color w:val="auto"/>
        </w:rPr>
      </w:pPr>
      <w:r>
        <w:rPr>
          <w:rFonts w:ascii="Calibri" w:cs="Calibri" w:eastAsia="Calibri" w:hAnsi="Calibri"/>
          <w:sz w:val="17"/>
          <w:szCs w:val="17"/>
          <w:color w:val="auto"/>
        </w:rPr>
        <w:t>Industry Classifcaton Standard sub-industry group. This comparator set is more appropriate than the compensaton peer group for this purpose as it provides a more robust comparison of our performance to the marketplace by the inclusion of more companies and eliminatng size as a selecton criteria, which is more relevant for compensaton than performance comparison. For the Relatve TSR-Linked PRSUs granted in 2021, the Company included a negatve TSR cap. Under the negatve TSR cap, if the total stockholder return is negatve over the course of the three year performance period, no named executve ofcer may receive greater than 100% funding of the TSR-Linked PRSUs.</w:t>
      </w:r>
    </w:p>
    <w:p>
      <w:pPr>
        <w:spacing w:after="0" w:line="120" w:lineRule="exact"/>
        <w:rPr>
          <w:sz w:val="20"/>
          <w:szCs w:val="20"/>
          <w:color w:val="auto"/>
        </w:rPr>
      </w:pPr>
    </w:p>
    <w:p>
      <w:pPr>
        <w:ind w:left="1580" w:right="780" w:hanging="416"/>
        <w:spacing w:after="0" w:line="239" w:lineRule="auto"/>
        <w:rPr>
          <w:sz w:val="20"/>
          <w:szCs w:val="20"/>
          <w:color w:val="auto"/>
        </w:rPr>
      </w:pPr>
      <w:r>
        <w:rPr>
          <w:rFonts w:ascii="Calibri" w:cs="Calibri" w:eastAsia="Calibri" w:hAnsi="Calibri"/>
          <w:sz w:val="17"/>
          <w:szCs w:val="17"/>
          <w:color w:val="auto"/>
        </w:rPr>
        <w:t>–The percentage of Relatve TSR-Linked PRSUs earned will be determined based on straight-line interpolaton to the extent the Company’s TSR falls in between the 20th and 80th percentles, as per the chart below:</w:t>
      </w:r>
    </w:p>
    <w:p>
      <w:pPr>
        <w:spacing w:after="0" w:line="236" w:lineRule="exact"/>
        <w:rPr>
          <w:sz w:val="20"/>
          <w:szCs w:val="20"/>
          <w:color w:val="auto"/>
        </w:rPr>
      </w:pPr>
    </w:p>
    <w:tbl>
      <w:tblPr>
        <w:tblLayout w:type="fixed"/>
        <w:tblInd w:w="1600" w:type="dxa"/>
        <w:tblCellMar>
          <w:top w:w="0" w:type="dxa"/>
          <w:left w:w="0" w:type="dxa"/>
          <w:bottom w:w="0" w:type="dxa"/>
          <w:right w:w="0" w:type="dxa"/>
        </w:tblCellMar>
      </w:tblPr>
      <w:tr>
        <w:trPr>
          <w:trHeight w:val="208"/>
        </w:trPr>
        <w:tc>
          <w:tcPr>
            <w:tcW w:w="5040" w:type="dxa"/>
            <w:vAlign w:val="bottom"/>
          </w:tcPr>
          <w:p>
            <w:pPr>
              <w:jc w:val="center"/>
              <w:spacing w:after="0"/>
              <w:rPr>
                <w:sz w:val="20"/>
                <w:szCs w:val="20"/>
                <w:color w:val="auto"/>
              </w:rPr>
            </w:pPr>
            <w:r>
              <w:rPr>
                <w:rFonts w:ascii="Calibri" w:cs="Calibri" w:eastAsia="Calibri" w:hAnsi="Calibri"/>
                <w:sz w:val="17"/>
                <w:szCs w:val="17"/>
                <w:b w:val="1"/>
                <w:bCs w:val="1"/>
                <w:color w:val="FB4E0B"/>
              </w:rPr>
              <w:t>TSR peer group percentle</w:t>
            </w:r>
          </w:p>
        </w:tc>
        <w:tc>
          <w:tcPr>
            <w:tcW w:w="4300" w:type="dxa"/>
            <w:vAlign w:val="bottom"/>
          </w:tcPr>
          <w:p>
            <w:pPr>
              <w:ind w:left="880"/>
              <w:spacing w:after="0"/>
              <w:rPr>
                <w:sz w:val="20"/>
                <w:szCs w:val="20"/>
                <w:color w:val="auto"/>
              </w:rPr>
            </w:pPr>
            <w:r>
              <w:rPr>
                <w:rFonts w:ascii="Calibri" w:cs="Calibri" w:eastAsia="Calibri" w:hAnsi="Calibri"/>
                <w:sz w:val="17"/>
                <w:szCs w:val="17"/>
                <w:b w:val="1"/>
                <w:bCs w:val="1"/>
                <w:color w:val="FB4E0B"/>
              </w:rPr>
              <w:t>Percentage of Relatve TSR-Linked PRSUs earned</w:t>
            </w:r>
          </w:p>
        </w:tc>
      </w:tr>
      <w:tr>
        <w:trPr>
          <w:trHeight w:val="55"/>
        </w:trPr>
        <w:tc>
          <w:tcPr>
            <w:tcW w:w="5040" w:type="dxa"/>
            <w:vAlign w:val="bottom"/>
            <w:tcBorders>
              <w:bottom w:val="single" w:sz="8" w:color="FB4E0B"/>
            </w:tcBorders>
          </w:tcPr>
          <w:p>
            <w:pPr>
              <w:spacing w:after="0"/>
              <w:rPr>
                <w:sz w:val="4"/>
                <w:szCs w:val="4"/>
                <w:color w:val="auto"/>
              </w:rPr>
            </w:pPr>
          </w:p>
        </w:tc>
        <w:tc>
          <w:tcPr>
            <w:tcW w:w="4300" w:type="dxa"/>
            <w:vAlign w:val="bottom"/>
            <w:tcBorders>
              <w:bottom w:val="single" w:sz="8" w:color="FB4E0B"/>
            </w:tcBorders>
          </w:tcPr>
          <w:p>
            <w:pPr>
              <w:spacing w:after="0"/>
              <w:rPr>
                <w:sz w:val="4"/>
                <w:szCs w:val="4"/>
                <w:color w:val="auto"/>
              </w:rPr>
            </w:pPr>
          </w:p>
        </w:tc>
      </w:tr>
      <w:tr>
        <w:trPr>
          <w:trHeight w:val="28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9"/>
              </w:rPr>
              <w:t>80.0 or more</w:t>
            </w:r>
          </w:p>
        </w:tc>
        <w:tc>
          <w:tcPr>
            <w:tcW w:w="4300" w:type="dxa"/>
            <w:vAlign w:val="bottom"/>
          </w:tcPr>
          <w:p>
            <w:pPr>
              <w:jc w:val="center"/>
              <w:ind w:left="793"/>
              <w:spacing w:after="0"/>
              <w:rPr>
                <w:sz w:val="20"/>
                <w:szCs w:val="20"/>
                <w:color w:val="auto"/>
              </w:rPr>
            </w:pPr>
            <w:r>
              <w:rPr>
                <w:rFonts w:ascii="Calibri" w:cs="Calibri" w:eastAsia="Calibri" w:hAnsi="Calibri"/>
                <w:sz w:val="17"/>
                <w:szCs w:val="17"/>
                <w:color w:val="auto"/>
                <w:w w:val="99"/>
              </w:rPr>
              <w:t>200%</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65.0</w:t>
            </w:r>
          </w:p>
        </w:tc>
        <w:tc>
          <w:tcPr>
            <w:tcW w:w="4300" w:type="dxa"/>
            <w:vAlign w:val="bottom"/>
          </w:tcPr>
          <w:p>
            <w:pPr>
              <w:jc w:val="center"/>
              <w:ind w:left="793"/>
              <w:spacing w:after="0"/>
              <w:rPr>
                <w:sz w:val="20"/>
                <w:szCs w:val="20"/>
                <w:color w:val="auto"/>
              </w:rPr>
            </w:pPr>
            <w:r>
              <w:rPr>
                <w:rFonts w:ascii="Calibri" w:cs="Calibri" w:eastAsia="Calibri" w:hAnsi="Calibri"/>
                <w:sz w:val="17"/>
                <w:szCs w:val="17"/>
                <w:color w:val="auto"/>
                <w:w w:val="99"/>
              </w:rPr>
              <w:t>150%</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50.0</w:t>
            </w:r>
          </w:p>
        </w:tc>
        <w:tc>
          <w:tcPr>
            <w:tcW w:w="4300" w:type="dxa"/>
            <w:vAlign w:val="bottom"/>
          </w:tcPr>
          <w:p>
            <w:pPr>
              <w:jc w:val="center"/>
              <w:ind w:left="793"/>
              <w:spacing w:after="0"/>
              <w:rPr>
                <w:sz w:val="20"/>
                <w:szCs w:val="20"/>
                <w:color w:val="auto"/>
              </w:rPr>
            </w:pPr>
            <w:r>
              <w:rPr>
                <w:rFonts w:ascii="Calibri" w:cs="Calibri" w:eastAsia="Calibri" w:hAnsi="Calibri"/>
                <w:sz w:val="17"/>
                <w:szCs w:val="17"/>
                <w:color w:val="auto"/>
                <w:w w:val="99"/>
              </w:rPr>
              <w:t>100%</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35.0</w:t>
            </w:r>
          </w:p>
        </w:tc>
        <w:tc>
          <w:tcPr>
            <w:tcW w:w="4300" w:type="dxa"/>
            <w:vAlign w:val="bottom"/>
          </w:tcPr>
          <w:p>
            <w:pPr>
              <w:jc w:val="center"/>
              <w:ind w:left="793"/>
              <w:spacing w:after="0"/>
              <w:rPr>
                <w:sz w:val="20"/>
                <w:szCs w:val="20"/>
                <w:color w:val="auto"/>
              </w:rPr>
            </w:pPr>
            <w:r>
              <w:rPr>
                <w:rFonts w:ascii="Calibri" w:cs="Calibri" w:eastAsia="Calibri" w:hAnsi="Calibri"/>
                <w:sz w:val="17"/>
                <w:szCs w:val="17"/>
                <w:color w:val="auto"/>
              </w:rPr>
              <w:t>50%</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7"/>
              </w:rPr>
              <w:t>20.0 or less</w:t>
            </w:r>
          </w:p>
        </w:tc>
        <w:tc>
          <w:tcPr>
            <w:tcW w:w="4300" w:type="dxa"/>
            <w:vAlign w:val="bottom"/>
          </w:tcPr>
          <w:p>
            <w:pPr>
              <w:jc w:val="center"/>
              <w:ind w:left="773"/>
              <w:spacing w:after="0"/>
              <w:rPr>
                <w:sz w:val="20"/>
                <w:szCs w:val="20"/>
                <w:color w:val="auto"/>
              </w:rPr>
            </w:pPr>
            <w:r>
              <w:rPr>
                <w:rFonts w:ascii="Calibri" w:cs="Calibri" w:eastAsia="Calibri" w:hAnsi="Calibri"/>
                <w:sz w:val="17"/>
                <w:szCs w:val="17"/>
                <w:color w:val="auto"/>
                <w:w w:val="96"/>
              </w:rPr>
              <w:t>0%</w:t>
            </w:r>
          </w:p>
        </w:tc>
      </w:tr>
      <w:tr>
        <w:trPr>
          <w:trHeight w:val="133"/>
        </w:trPr>
        <w:tc>
          <w:tcPr>
            <w:tcW w:w="5040" w:type="dxa"/>
            <w:vAlign w:val="bottom"/>
            <w:tcBorders>
              <w:bottom w:val="single" w:sz="8" w:color="FB4E0B"/>
              <w:right w:val="single" w:sz="8" w:color="auto"/>
            </w:tcBorders>
          </w:tcPr>
          <w:p>
            <w:pPr>
              <w:spacing w:after="0"/>
              <w:rPr>
                <w:sz w:val="11"/>
                <w:szCs w:val="11"/>
                <w:color w:val="auto"/>
              </w:rPr>
            </w:pPr>
          </w:p>
        </w:tc>
        <w:tc>
          <w:tcPr>
            <w:tcW w:w="4300" w:type="dxa"/>
            <w:vAlign w:val="bottom"/>
            <w:tcBorders>
              <w:bottom w:val="single" w:sz="8" w:color="FB4E0B"/>
            </w:tcBorders>
          </w:tcPr>
          <w:p>
            <w:pPr>
              <w:spacing w:after="0"/>
              <w:rPr>
                <w:sz w:val="11"/>
                <w:szCs w:val="11"/>
                <w:color w:val="auto"/>
              </w:rPr>
            </w:pPr>
          </w:p>
        </w:tc>
      </w:tr>
    </w:tbl>
    <w:p>
      <w:pPr>
        <w:spacing w:after="0" w:line="330" w:lineRule="exact"/>
        <w:rPr>
          <w:sz w:val="20"/>
          <w:szCs w:val="20"/>
          <w:color w:val="auto"/>
        </w:rPr>
      </w:pPr>
    </w:p>
    <w:p>
      <w:pPr>
        <w:ind w:left="1580" w:right="320" w:hanging="416"/>
        <w:spacing w:after="0" w:line="239" w:lineRule="auto"/>
        <w:rPr>
          <w:sz w:val="20"/>
          <w:szCs w:val="20"/>
          <w:color w:val="auto"/>
        </w:rPr>
      </w:pPr>
      <w:r>
        <w:rPr>
          <w:rFonts w:ascii="Calibri" w:cs="Calibri" w:eastAsia="Calibri" w:hAnsi="Calibri"/>
          <w:sz w:val="17"/>
          <w:szCs w:val="17"/>
          <w:color w:val="auto"/>
        </w:rPr>
        <w:t>–The Compensaton Commitee believes the PRSUs focus our executves on key drivers of our Company’s business that will ultmately lead to creaton of additonal stockholder value.</w:t>
      </w:r>
    </w:p>
    <w:p>
      <w:pPr>
        <w:spacing w:after="0" w:line="211"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In September 2021, we made additonal equity grants to certain executves (other than the CEO) who are critcal, sought-afer talent needed for executng the Company’s strategy to promote long-term ownership, and alignment of executve and stockholder interests. Therefore, these additonal equity grants were comprised of tme-based RSUs that vest 1/3 on the second anniversary of the grant date and 2/3 on the third anniversary of the grant date, subject to contnued employment. In additon, each award requires the executve to hold any acquired shares of Company stock for a period of two years following the applicable setlement date. The table below shows the amount of additonal restricted stock units our Compensaton Commitee awarded our named executve ofcer subject to these terms and conditons. Relatedly, in 2022 we also adopted a Share Matching Program (see “2022 Incentve compensaton” on page 79) to progress the same objectves. Finally, our modifed executve stock ownership policy see “Maintain a robust stock ownership policy” on page 67) doubles the amount of Company equity that each executve ofcer other than the CEO is expected to maintain and went into efect in 2022, which serves to further align executve and stockholder interests.</w:t>
      </w:r>
    </w:p>
    <w:p>
      <w:pPr>
        <w:spacing w:after="0" w:line="238" w:lineRule="exact"/>
        <w:rPr>
          <w:sz w:val="20"/>
          <w:szCs w:val="20"/>
          <w:color w:val="auto"/>
        </w:rPr>
      </w:pPr>
    </w:p>
    <w:tbl>
      <w:tblPr>
        <w:tblLayout w:type="fixed"/>
        <w:tblInd w:w="1600" w:type="dxa"/>
        <w:tblCellMar>
          <w:top w:w="0" w:type="dxa"/>
          <w:left w:w="0" w:type="dxa"/>
          <w:bottom w:w="0" w:type="dxa"/>
          <w:right w:w="0" w:type="dxa"/>
        </w:tblCellMar>
      </w:tblPr>
      <w:tr>
        <w:trPr>
          <w:trHeight w:val="208"/>
        </w:trPr>
        <w:tc>
          <w:tcPr>
            <w:tcW w:w="504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Name</w:t>
            </w:r>
          </w:p>
        </w:tc>
        <w:tc>
          <w:tcPr>
            <w:tcW w:w="4300" w:type="dxa"/>
            <w:vAlign w:val="bottom"/>
          </w:tcPr>
          <w:p>
            <w:pPr>
              <w:ind w:left="2300"/>
              <w:spacing w:after="0"/>
              <w:rPr>
                <w:sz w:val="20"/>
                <w:szCs w:val="20"/>
                <w:color w:val="auto"/>
              </w:rPr>
            </w:pPr>
            <w:r>
              <w:rPr>
                <w:rFonts w:ascii="Calibri" w:cs="Calibri" w:eastAsia="Calibri" w:hAnsi="Calibri"/>
                <w:sz w:val="17"/>
                <w:szCs w:val="17"/>
                <w:b w:val="1"/>
                <w:bCs w:val="1"/>
                <w:color w:val="FB4E0B"/>
              </w:rPr>
              <w:t>Additonal Time-Based RSUs</w:t>
            </w:r>
          </w:p>
        </w:tc>
      </w:tr>
      <w:tr>
        <w:trPr>
          <w:trHeight w:val="55"/>
        </w:trPr>
        <w:tc>
          <w:tcPr>
            <w:tcW w:w="5040" w:type="dxa"/>
            <w:vAlign w:val="bottom"/>
            <w:tcBorders>
              <w:bottom w:val="single" w:sz="8" w:color="FB4E0B"/>
            </w:tcBorders>
          </w:tcPr>
          <w:p>
            <w:pPr>
              <w:spacing w:after="0"/>
              <w:rPr>
                <w:sz w:val="4"/>
                <w:szCs w:val="4"/>
                <w:color w:val="auto"/>
              </w:rPr>
            </w:pPr>
          </w:p>
        </w:tc>
        <w:tc>
          <w:tcPr>
            <w:tcW w:w="4300" w:type="dxa"/>
            <w:vAlign w:val="bottom"/>
            <w:tcBorders>
              <w:bottom w:val="single" w:sz="8" w:color="FB4E0B"/>
            </w:tcBorders>
          </w:tcPr>
          <w:p>
            <w:pPr>
              <w:spacing w:after="0"/>
              <w:rPr>
                <w:sz w:val="4"/>
                <w:szCs w:val="4"/>
                <w:color w:val="auto"/>
              </w:rPr>
            </w:pPr>
          </w:p>
        </w:tc>
      </w:tr>
      <w:tr>
        <w:trPr>
          <w:trHeight w:val="302"/>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Maurizio Nicolelli</w:t>
            </w:r>
          </w:p>
        </w:tc>
        <w:tc>
          <w:tcPr>
            <w:tcW w:w="4300" w:type="dxa"/>
            <w:vAlign w:val="bottom"/>
          </w:tcPr>
          <w:p>
            <w:pPr>
              <w:jc w:val="center"/>
              <w:ind w:left="2213"/>
              <w:spacing w:after="0"/>
              <w:rPr>
                <w:sz w:val="20"/>
                <w:szCs w:val="20"/>
                <w:color w:val="auto"/>
              </w:rPr>
            </w:pPr>
            <w:r>
              <w:rPr>
                <w:rFonts w:ascii="Calibri" w:cs="Calibri" w:eastAsia="Calibri" w:hAnsi="Calibri"/>
                <w:sz w:val="17"/>
                <w:szCs w:val="17"/>
                <w:color w:val="auto"/>
              </w:rPr>
              <w:t>8,121</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rPr>
              <w:t>Vikas Bhalla</w:t>
            </w:r>
          </w:p>
        </w:tc>
        <w:tc>
          <w:tcPr>
            <w:tcW w:w="4300" w:type="dxa"/>
            <w:vAlign w:val="bottom"/>
          </w:tcPr>
          <w:p>
            <w:pPr>
              <w:jc w:val="center"/>
              <w:ind w:left="2213"/>
              <w:spacing w:after="0"/>
              <w:rPr>
                <w:sz w:val="20"/>
                <w:szCs w:val="20"/>
                <w:color w:val="auto"/>
              </w:rPr>
            </w:pPr>
            <w:r>
              <w:rPr>
                <w:rFonts w:ascii="Calibri" w:cs="Calibri" w:eastAsia="Calibri" w:hAnsi="Calibri"/>
                <w:sz w:val="17"/>
                <w:szCs w:val="17"/>
                <w:color w:val="auto"/>
              </w:rPr>
              <w:t>12,181</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82"/>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7"/>
              </w:rPr>
              <w:t>Vivek Jetley</w:t>
            </w:r>
          </w:p>
        </w:tc>
        <w:tc>
          <w:tcPr>
            <w:tcW w:w="4300" w:type="dxa"/>
            <w:vAlign w:val="bottom"/>
          </w:tcPr>
          <w:p>
            <w:pPr>
              <w:jc w:val="center"/>
              <w:ind w:left="2213"/>
              <w:spacing w:after="0"/>
              <w:rPr>
                <w:sz w:val="20"/>
                <w:szCs w:val="20"/>
                <w:color w:val="auto"/>
              </w:rPr>
            </w:pPr>
            <w:r>
              <w:rPr>
                <w:rFonts w:ascii="Calibri" w:cs="Calibri" w:eastAsia="Calibri" w:hAnsi="Calibri"/>
                <w:sz w:val="17"/>
                <w:szCs w:val="17"/>
                <w:color w:val="auto"/>
              </w:rPr>
              <w:t>12,181</w:t>
            </w:r>
          </w:p>
        </w:tc>
      </w:tr>
      <w:tr>
        <w:trPr>
          <w:trHeight w:val="127"/>
        </w:trPr>
        <w:tc>
          <w:tcPr>
            <w:tcW w:w="5040" w:type="dxa"/>
            <w:vAlign w:val="bottom"/>
            <w:tcBorders>
              <w:bottom w:val="single" w:sz="8" w:color="auto"/>
              <w:right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r>
      <w:tr>
        <w:trPr>
          <w:trHeight w:val="269"/>
        </w:trPr>
        <w:tc>
          <w:tcPr>
            <w:tcW w:w="504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b w:val="1"/>
                <w:bCs w:val="1"/>
                <w:color w:val="auto"/>
                <w:w w:val="98"/>
              </w:rPr>
              <w:t>Samuel Meckey</w:t>
            </w:r>
          </w:p>
        </w:tc>
        <w:tc>
          <w:tcPr>
            <w:tcW w:w="4300" w:type="dxa"/>
            <w:vAlign w:val="bottom"/>
          </w:tcPr>
          <w:p>
            <w:pPr>
              <w:jc w:val="center"/>
              <w:ind w:left="2213"/>
              <w:spacing w:after="0"/>
              <w:rPr>
                <w:sz w:val="20"/>
                <w:szCs w:val="20"/>
                <w:color w:val="auto"/>
              </w:rPr>
            </w:pPr>
            <w:r>
              <w:rPr>
                <w:rFonts w:ascii="Calibri" w:cs="Calibri" w:eastAsia="Calibri" w:hAnsi="Calibri"/>
                <w:sz w:val="17"/>
                <w:szCs w:val="17"/>
                <w:color w:val="auto"/>
              </w:rPr>
              <w:t>8,121</w:t>
            </w:r>
          </w:p>
        </w:tc>
      </w:tr>
      <w:tr>
        <w:trPr>
          <w:trHeight w:val="133"/>
        </w:trPr>
        <w:tc>
          <w:tcPr>
            <w:tcW w:w="5040" w:type="dxa"/>
            <w:vAlign w:val="bottom"/>
            <w:tcBorders>
              <w:bottom w:val="single" w:sz="8" w:color="FB4E0B"/>
              <w:right w:val="single" w:sz="8" w:color="auto"/>
            </w:tcBorders>
          </w:tcPr>
          <w:p>
            <w:pPr>
              <w:spacing w:after="0"/>
              <w:rPr>
                <w:sz w:val="11"/>
                <w:szCs w:val="11"/>
                <w:color w:val="auto"/>
              </w:rPr>
            </w:pPr>
          </w:p>
        </w:tc>
        <w:tc>
          <w:tcPr>
            <w:tcW w:w="4300" w:type="dxa"/>
            <w:vAlign w:val="bottom"/>
            <w:tcBorders>
              <w:bottom w:val="single" w:sz="8" w:color="FB4E0B"/>
            </w:tcBorders>
          </w:tcPr>
          <w:p>
            <w:pPr>
              <w:spacing w:after="0"/>
              <w:rPr>
                <w:sz w:val="11"/>
                <w:szCs w:val="11"/>
                <w:color w:val="auto"/>
              </w:rPr>
            </w:pPr>
          </w:p>
        </w:tc>
      </w:tr>
    </w:tbl>
    <w:p>
      <w:pPr>
        <w:spacing w:after="0" w:line="200" w:lineRule="exact"/>
        <w:rPr>
          <w:sz w:val="20"/>
          <w:szCs w:val="20"/>
          <w:color w:val="auto"/>
        </w:rPr>
      </w:pPr>
    </w:p>
    <w:p>
      <w:pPr>
        <w:spacing w:after="0" w:line="255"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78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Payout of awards granted in prior fscal years</w:t>
      </w:r>
    </w:p>
    <w:p>
      <w:pPr>
        <w:spacing w:after="0" w:line="106"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This was the third and fnal performance year for the 2019 performance-based restricted stock units. We achieved 96.65% of the revenue target for the revenue-linked restricted stock units resultng in 66.52% of target funding of those grants. The Company’s TSR performance was at the 87.23 percentle amongst its peer group, resultng in the executves earning 200% of the 2019 relatve TSR-linked restricted stock units pursuant to the terms of the original grant. No adjustments were made to the 2019 performance-based restricted stock units or the associated performance targets to account for the impact of the COVID-19 pandemic in the 2020 and 2021 fscal year.</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2022 Incentve compensaton</w:t>
      </w:r>
    </w:p>
    <w:p>
      <w:pPr>
        <w:spacing w:after="0" w:line="106" w:lineRule="exact"/>
        <w:rPr>
          <w:sz w:val="20"/>
          <w:szCs w:val="20"/>
          <w:color w:val="auto"/>
        </w:rPr>
      </w:pPr>
    </w:p>
    <w:p>
      <w:pPr>
        <w:ind w:left="320" w:right="160"/>
        <w:spacing w:after="0" w:line="258" w:lineRule="auto"/>
        <w:rPr>
          <w:sz w:val="20"/>
          <w:szCs w:val="20"/>
          <w:color w:val="auto"/>
        </w:rPr>
      </w:pPr>
      <w:r>
        <w:rPr>
          <w:rFonts w:ascii="Calibri" w:cs="Calibri" w:eastAsia="Calibri" w:hAnsi="Calibri"/>
          <w:sz w:val="16"/>
          <w:szCs w:val="16"/>
          <w:color w:val="auto"/>
        </w:rPr>
        <w:t>As noted above, for fscal year 2021, we removed the revenue performance metric from our long-term equity incentve program because the uncertainty and market volatlity resultng from the COVID-19 pandemic made it difcult to predict a three-year revenue target. The decision to remove the revenue metric for 2021 was only made with respect to the 2021 grants and was not intended to refect a permanent change to the long-term equity incentve program. Therefore, for fscal year 2022, we again revised our long-term equity incentve program to re-insert a revenue performance metric that will apply to 40% of our executve ofcers’ PRSUs. We have also adjusted the weightng of our restricted stock units to increase the percentage of PRSUs to 60% of the annual award for each executve ofcer, which further increases the percentage of incentve compensaton ted to performance.</w:t>
      </w:r>
    </w:p>
    <w:p>
      <w:pPr>
        <w:spacing w:after="0" w:line="197"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For fscal year 2022, we also adopted a Share Matching Program (“SMP”) under the 2018 Plan for certain employees, including NEOs (other than the CEO). The SMP generally enttles a partcipant to one restricted stock unit for every share of Company common stock newly acquired and held by the partcipant during a specifed acquisiton period, up to a pre-established maximum. In general, as long as a partcipant contnues to hold their newly acquired shares and remains employed with the Company, the associated restricted stock units received will clif vest in two installments with 1/3 vestng on the second anniversary of the grant date and the remaining 2/3 vestng on the third anniversary of the grant date. In additon, each award requires the executve to hold any acquired shares of Company stock for a period of two years following the applicable setlement date such that each award tes the executve’s compensaton to the Company’s stock performance for a total of fve years. This SMP is designed to encourage key executves to acquire a larger equity ownership interest in the Company thereby further aligning the personal interests of these key executves with the interest of stockholders.</w:t>
      </w:r>
    </w:p>
    <w:p>
      <w:pPr>
        <w:spacing w:after="0" w:line="213"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In April 2022, we entered into employment agreements with Messrs. Bhalla and Jetley. These employment agreements are substantally similar to those in efect for our other executve ofcers and will contnue throughout their employment with the Company. The employment agreements generally enttle Messrs. Bhalla and Jetley to base salary, an annual cash bonus based upon performance, annual equity awards (tme and/or performance-based) at the discreton of the Compensaton Commitee, and a cash severance payment upon a terminaton without cause or for good reason. They also conditon the severance payments and terminaton-related equity acceleraton on the executon of a release of claims against us and subject each executve to confdentality restrictons at all tmes, as well as noncompetton, nondisparagement and nonsolicitaton restrictons during his employment and for one year thereafer.</w:t>
      </w:r>
    </w:p>
    <w:p>
      <w:pPr>
        <w:spacing w:after="0" w:line="129"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79</w:t>
            </w:r>
          </w:p>
        </w:tc>
      </w:tr>
    </w:tbl>
    <w:p>
      <w:pPr>
        <w:sectPr>
          <w:pgSz w:w="11900" w:h="16838" w:orient="portrait"/>
          <w:cols w:equalWidth="0" w:num="1">
            <w:col w:w="10940"/>
          </w:cols>
          <w:pgMar w:left="320" w:top="445" w:right="6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Benefts and perquisites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ofer employee benefts coverage in order to:</w:t>
      </w:r>
    </w:p>
    <w:p>
      <w:pPr>
        <w:spacing w:after="0" w:line="118" w:lineRule="exact"/>
        <w:rPr>
          <w:sz w:val="20"/>
          <w:szCs w:val="20"/>
          <w:color w:val="auto"/>
        </w:rPr>
      </w:pPr>
    </w:p>
    <w:p>
      <w:pPr>
        <w:ind w:left="1140" w:hanging="407"/>
        <w:spacing w:after="0"/>
        <w:tabs>
          <w:tab w:leader="none" w:pos="114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provide our global workforce with a reasonable level of fnancial support in the event of illness or injury;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27"/>
        </w:numPr>
        <w:rPr>
          <w:rFonts w:ascii="Calibri" w:cs="Calibri" w:eastAsia="Calibri" w:hAnsi="Calibri"/>
          <w:sz w:val="17"/>
          <w:szCs w:val="17"/>
          <w:color w:val="auto"/>
        </w:rPr>
      </w:pPr>
      <w:r>
        <w:rPr>
          <w:rFonts w:ascii="Calibri" w:cs="Calibri" w:eastAsia="Calibri" w:hAnsi="Calibri"/>
          <w:sz w:val="17"/>
          <w:szCs w:val="17"/>
          <w:color w:val="auto"/>
        </w:rPr>
        <w:t>provide market-compettve benefts that enhance productvity and job satsfacton through programs that focus on work/life balance.</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benefts available for all U.S. employees include customary medical and dental coverage, disability insurance and life insurance. In additon, our 401(k) plan provides a reasonable level of retrement income refectng employees’ careers with us. A number of our U.S. employees, including our U.S.-based named executve ofcers, partcipate in these plans. The cost of employee benefts is partally borne by our employees, including our named executve ofcers. Our named executve ofcers in India, Mr. Bhalla, is eligible to partcipate in the Company’s pension beneft, health and welfare and fringe beneft plans otherwise available to executve employees in India.</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We generally do not provide signifcant perquisites or personal benefts to executve ofcers other than our Vice Chairman and CEO and our executve ofcers in India. Our Vice Chairman and CEO is provided a limited number of perquisites which we believe are reasonable and consistent with market trends, which are intended to be part of a compettve overall compensaton program. A discussion of the benefts provided to our Vice Chairman and CEO is provided under “Employment agreements” beginning on page 86.</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Risk and compensaton policies</w:t>
      </w:r>
    </w:p>
    <w:p>
      <w:pPr>
        <w:spacing w:after="0" w:line="115"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Our Compensaton Commitee has taken into account its discussions with management and Farient regarding our compensaton practces and has concluded that any risks arising from our compensaton policies and practces are not reasonably likely to have a material adverse efect on the Company. This conclusion was based on the features of our compensaton programs, practces and policies set forth under “Executve compensaton program, practces and policies” on page 66.</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Severance and change-in-control benefts</w:t>
      </w:r>
    </w:p>
    <w:p>
      <w:pPr>
        <w:spacing w:after="0" w:line="1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Each named executve ofcer, including Mr. Bhalla and Jetley as of April 2022, is party to an employment agreement or leter that sets forth the terms of his or her employment, including compensaton, which was negotated through arms’-length contract negotatons. Under these employment agreements or leters, we are obligated to pay severance or other enhanced benefts upon terminaton of their employment. A discussion of the severance and other enhanced benefts provided to our named executve ofcers is provided under “Potental payments upon terminaton or change in control at fscal 2021 year-end” beginning on page 91.</w:t>
      </w:r>
    </w:p>
    <w:p>
      <w:pPr>
        <w:spacing w:after="0" w:line="315" w:lineRule="exact"/>
        <w:rPr>
          <w:sz w:val="20"/>
          <w:szCs w:val="20"/>
          <w:color w:val="auto"/>
        </w:rPr>
      </w:pPr>
    </w:p>
    <w:p>
      <w:pPr>
        <w:jc w:val="both"/>
        <w:ind w:left="320"/>
        <w:spacing w:after="0"/>
        <w:rPr>
          <w:sz w:val="20"/>
          <w:szCs w:val="20"/>
          <w:color w:val="auto"/>
        </w:rPr>
      </w:pPr>
      <w:r>
        <w:rPr>
          <w:rFonts w:ascii="Calibri" w:cs="Calibri" w:eastAsia="Calibri" w:hAnsi="Calibri"/>
          <w:sz w:val="17"/>
          <w:szCs w:val="17"/>
          <w:color w:val="auto"/>
        </w:rPr>
        <w:t>We have provided change-in-control severance protecton for some of our executve ofcers, including our named executve ofcers. Our Compensaton Commitee believes that such protecton is intended to preserve employee morale and productvity and encourage retenton in the face of the disruptve impact of an actual or rumored change in control. In additon, for executve ofcers, the program is intended to align executve ofcers’ and stockholders’ interests by enabling executve ofcers to consider corporate transactons that are in the best interests of our stockholders and other consttuents without undue concern over whether the transactons may jeopardize the executve ofcers’ own employment.</w:t>
      </w:r>
    </w:p>
    <w:p>
      <w:pPr>
        <w:spacing w:after="0" w:line="128"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80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880"/>
          </w:cols>
          <w:pgMar w:left="320" w:top="445" w:right="6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40"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Senior executve ofcers, including our named executve ofcers, have enhanced levels of benefts based on their job level, seniority and probable loss of employment afer a change in control. We also consider it likely that it will take more tme for senior executve ofcers to fnd new employment.</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Deductbility cap on executve compensaton</w:t>
      </w:r>
    </w:p>
    <w:p>
      <w:pPr>
        <w:spacing w:after="0" w:line="114"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As in the past, our Compensaton Commitee expects to contnue to take into consideraton the tax deductbility of compensaton, but reserves the right to authorize payments that may not be deductble if it believes that the payments are appropriate and consistent with our compensaton philosophy.</w:t>
      </w:r>
    </w:p>
    <w:p>
      <w:pPr>
        <w:spacing w:after="0" w:line="211" w:lineRule="exact"/>
        <w:rPr>
          <w:sz w:val="20"/>
          <w:szCs w:val="20"/>
          <w:color w:val="auto"/>
        </w:rPr>
      </w:pPr>
    </w:p>
    <w:p>
      <w:pPr>
        <w:ind w:left="320" w:right="260"/>
        <w:spacing w:after="0"/>
        <w:rPr>
          <w:sz w:val="20"/>
          <w:szCs w:val="20"/>
          <w:color w:val="auto"/>
        </w:rPr>
      </w:pPr>
      <w:r>
        <w:rPr>
          <w:rFonts w:ascii="Calibri" w:cs="Calibri" w:eastAsia="Calibri" w:hAnsi="Calibri"/>
          <w:sz w:val="17"/>
          <w:szCs w:val="17"/>
          <w:color w:val="auto"/>
        </w:rPr>
        <w:t>Despite the limited availability of Code Secton 162(m) performance-based compensaton exceptons following the Tax Cuts and Jobs Act of 2017, our Compensaton Commitee does not antcipate a shif away from variable or performance-based compensaton payable to our named executve ofcers. Similarly, we do not expect to apply less rigor in the process by which we establish performance goals or evaluate performance against pre-established goals with respect to compensaton paid to our named executve ofcers.</w:t>
      </w:r>
    </w:p>
    <w:p>
      <w:pPr>
        <w:spacing w:after="0" w:line="127"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81</w:t>
            </w:r>
          </w:p>
        </w:tc>
      </w:tr>
    </w:tbl>
    <w:p>
      <w:pPr>
        <w:sectPr>
          <w:pgSz w:w="11900" w:h="16838" w:orient="portrait"/>
          <w:cols w:equalWidth="0" w:num="1">
            <w:col w:w="10940"/>
          </w:cols>
          <w:pgMar w:left="320" w:top="445" w:right="6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Compensaton Commitee Report</w:t>
      </w:r>
    </w:p>
    <w:p>
      <w:pPr>
        <w:spacing w:after="0" w:line="21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Compensaton Commitee of the board of directors of ExlService Holdings, Inc. has reviewed and discussed the Compensaton Discussion and Analysis with our management and, based on such review and discussion, has recommended to the board of directors of ExlService Holdings, Inc. that the Compensaton Discussion and Analysis be included in our Annual Report on Form 10-K for the fscal year ended December 31, 2021, and our Proxy Statement relatng to the Annual Meetng.</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Compensaton Commitee</w:t>
      </w:r>
    </w:p>
    <w:p>
      <w:pPr>
        <w:spacing w:after="0" w:line="105"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Jaynie M. Studenmund (Chair)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Anne Minto</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Som Mital</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Clyde W. Ostler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Kristy Pipes</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Garen K. Staglin</w:t>
      </w:r>
    </w:p>
    <w:p>
      <w:pPr>
        <w:spacing w:after="0" w:line="127"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82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860"/>
          </w:cols>
          <w:pgMar w:left="320" w:top="445" w:right="7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D8D8D8"/>
        </w:rPr>
        <w:t>Executve compensaton</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Summary compensaton table for fscal year 2021</w:t>
      </w: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sets forth informaton for compensaton earned in fscal years 2019, 2020 and 2021 by our named executve ofcers: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29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spacing w:after="0" w:line="167" w:lineRule="exact"/>
              <w:rPr>
                <w:sz w:val="20"/>
                <w:szCs w:val="20"/>
                <w:color w:val="auto"/>
              </w:rPr>
            </w:pPr>
            <w:r>
              <w:rPr>
                <w:rFonts w:ascii="Calibri" w:cs="Calibri" w:eastAsia="Calibri" w:hAnsi="Calibri"/>
                <w:sz w:val="14"/>
                <w:szCs w:val="14"/>
                <w:b w:val="1"/>
                <w:bCs w:val="1"/>
                <w:color w:val="auto"/>
                <w:w w:val="97"/>
              </w:rPr>
              <w:t>Change in</w:t>
            </w:r>
          </w:p>
        </w:tc>
        <w:tc>
          <w:tcPr>
            <w:tcW w:w="10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w w:val="98"/>
              </w:rPr>
              <w:t>pension value</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and</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Non-equity</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nonqualifed</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incentve</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deferred</w:t>
            </w: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Stock</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plan</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All other</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FB4E0B"/>
              </w:rPr>
              <w:t>Name and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151"/>
              <w:spacing w:after="0" w:line="169" w:lineRule="exact"/>
              <w:rPr>
                <w:sz w:val="20"/>
                <w:szCs w:val="20"/>
                <w:color w:val="auto"/>
              </w:rPr>
            </w:pPr>
            <w:r>
              <w:rPr>
                <w:rFonts w:ascii="Calibri" w:cs="Calibri" w:eastAsia="Calibri" w:hAnsi="Calibri"/>
                <w:sz w:val="14"/>
                <w:szCs w:val="14"/>
                <w:b w:val="1"/>
                <w:bCs w:val="1"/>
                <w:color w:val="auto"/>
              </w:rPr>
              <w:t>Salary</w:t>
            </w:r>
          </w:p>
        </w:tc>
        <w:tc>
          <w:tcPr>
            <w:tcW w:w="400" w:type="dxa"/>
            <w:vAlign w:val="bottom"/>
          </w:tcPr>
          <w:p>
            <w:pPr>
              <w:spacing w:after="0"/>
              <w:rPr>
                <w:sz w:val="14"/>
                <w:szCs w:val="14"/>
                <w:color w:val="auto"/>
              </w:rPr>
            </w:pPr>
          </w:p>
        </w:tc>
        <w:tc>
          <w:tcPr>
            <w:tcW w:w="720" w:type="dxa"/>
            <w:vAlign w:val="bottom"/>
          </w:tcPr>
          <w:p>
            <w:pPr>
              <w:jc w:val="right"/>
              <w:ind w:right="131"/>
              <w:spacing w:after="0" w:line="169" w:lineRule="exact"/>
              <w:rPr>
                <w:sz w:val="20"/>
                <w:szCs w:val="20"/>
                <w:color w:val="auto"/>
              </w:rPr>
            </w:pPr>
            <w:r>
              <w:rPr>
                <w:rFonts w:ascii="Calibri" w:cs="Calibri" w:eastAsia="Calibri" w:hAnsi="Calibri"/>
                <w:sz w:val="14"/>
                <w:szCs w:val="14"/>
                <w:b w:val="1"/>
                <w:bCs w:val="1"/>
                <w:color w:val="auto"/>
              </w:rPr>
              <w:t>Bonus</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awards</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earnings</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compensaton</w:t>
            </w:r>
          </w:p>
        </w:tc>
        <w:tc>
          <w:tcPr>
            <w:tcW w:w="360" w:type="dxa"/>
            <w:vAlign w:val="bottom"/>
          </w:tcPr>
          <w:p>
            <w:pPr>
              <w:spacing w:after="0"/>
              <w:rPr>
                <w:sz w:val="14"/>
                <w:szCs w:val="14"/>
                <w:color w:val="auto"/>
              </w:rPr>
            </w:pPr>
          </w:p>
        </w:tc>
        <w:tc>
          <w:tcPr>
            <w:tcW w:w="860" w:type="dxa"/>
            <w:vAlign w:val="bottom"/>
          </w:tcPr>
          <w:p>
            <w:pPr>
              <w:jc w:val="right"/>
              <w:ind w:right="211"/>
              <w:spacing w:after="0" w:line="169" w:lineRule="exact"/>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98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FB4E0B"/>
              </w:rPr>
              <w:t>principal positon</w:t>
            </w:r>
          </w:p>
        </w:tc>
        <w:tc>
          <w:tcPr>
            <w:tcW w:w="160" w:type="dxa"/>
            <w:vAlign w:val="bottom"/>
          </w:tcPr>
          <w:p>
            <w:pPr>
              <w:spacing w:after="0"/>
              <w:rPr>
                <w:sz w:val="14"/>
                <w:szCs w:val="14"/>
                <w:color w:val="auto"/>
              </w:rPr>
            </w:pPr>
          </w:p>
        </w:tc>
        <w:tc>
          <w:tcPr>
            <w:tcW w:w="360" w:type="dxa"/>
            <w:vAlign w:val="bottom"/>
          </w:tcPr>
          <w:p>
            <w:pPr>
              <w:ind w:left="40"/>
              <w:spacing w:after="0" w:line="169" w:lineRule="exact"/>
              <w:rPr>
                <w:sz w:val="20"/>
                <w:szCs w:val="20"/>
                <w:color w:val="auto"/>
              </w:rPr>
            </w:pPr>
            <w:r>
              <w:rPr>
                <w:rFonts w:ascii="Calibri" w:cs="Calibri" w:eastAsia="Calibri" w:hAnsi="Calibri"/>
                <w:sz w:val="14"/>
                <w:szCs w:val="14"/>
                <w:b w:val="1"/>
                <w:bCs w:val="1"/>
                <w:color w:val="auto"/>
              </w:rPr>
              <w:t>Year</w:t>
            </w:r>
          </w:p>
        </w:tc>
        <w:tc>
          <w:tcPr>
            <w:tcW w:w="840" w:type="dxa"/>
            <w:vAlign w:val="bottom"/>
          </w:tcPr>
          <w:p>
            <w:pPr>
              <w:jc w:val="right"/>
              <w:ind w:right="251"/>
              <w:spacing w:after="0" w:line="169" w:lineRule="exact"/>
              <w:rPr>
                <w:sz w:val="20"/>
                <w:szCs w:val="20"/>
                <w:color w:val="auto"/>
              </w:rPr>
            </w:pPr>
            <w:r>
              <w:rPr>
                <w:rFonts w:ascii="Calibri" w:cs="Calibri" w:eastAsia="Calibri" w:hAnsi="Calibri"/>
                <w:sz w:val="14"/>
                <w:szCs w:val="14"/>
                <w:b w:val="1"/>
                <w:bCs w:val="1"/>
                <w:color w:val="auto"/>
              </w:rPr>
              <w:t>($)</w:t>
            </w:r>
          </w:p>
        </w:tc>
        <w:tc>
          <w:tcPr>
            <w:tcW w:w="400" w:type="dxa"/>
            <w:vAlign w:val="bottom"/>
          </w:tcPr>
          <w:p>
            <w:pPr>
              <w:spacing w:after="0"/>
              <w:rPr>
                <w:sz w:val="14"/>
                <w:szCs w:val="14"/>
                <w:color w:val="auto"/>
              </w:rPr>
            </w:pPr>
          </w:p>
        </w:tc>
        <w:tc>
          <w:tcPr>
            <w:tcW w:w="720" w:type="dxa"/>
            <w:vAlign w:val="bottom"/>
          </w:tcPr>
          <w:p>
            <w:pPr>
              <w:jc w:val="right"/>
              <w:ind w:right="131"/>
              <w:spacing w:after="0" w:line="169" w:lineRule="exact"/>
              <w:rPr>
                <w:sz w:val="20"/>
                <w:szCs w:val="20"/>
                <w:color w:val="auto"/>
              </w:rPr>
            </w:pPr>
            <w:r>
              <w:rPr>
                <w:rFonts w:ascii="Calibri" w:cs="Calibri" w:eastAsia="Calibri" w:hAnsi="Calibri"/>
                <w:sz w:val="14"/>
                <w:szCs w:val="14"/>
                <w:b w:val="1"/>
                <w:bCs w:val="1"/>
                <w:color w:val="auto"/>
              </w:rPr>
              <w:t>($)</w:t>
            </w:r>
            <w:r>
              <w:rPr>
                <w:rFonts w:ascii="Calibri" w:cs="Calibri" w:eastAsia="Calibri" w:hAnsi="Calibri"/>
                <w:sz w:val="11"/>
                <w:szCs w:val="11"/>
                <w:b w:val="1"/>
                <w:bCs w:val="1"/>
                <w:color w:val="auto"/>
              </w:rPr>
              <w:t>(10)</w:t>
            </w:r>
          </w:p>
        </w:tc>
        <w:tc>
          <w:tcPr>
            <w:tcW w:w="8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w:t>
            </w:r>
            <w:r>
              <w:rPr>
                <w:rFonts w:ascii="Calibri" w:cs="Calibri" w:eastAsia="Calibri" w:hAnsi="Calibri"/>
                <w:sz w:val="11"/>
                <w:szCs w:val="11"/>
                <w:b w:val="1"/>
                <w:bCs w:val="1"/>
                <w:color w:val="auto"/>
                <w:w w:val="98"/>
              </w:rPr>
              <w:t>(2)</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r>
              <w:rPr>
                <w:rFonts w:ascii="Calibri" w:cs="Calibri" w:eastAsia="Calibri" w:hAnsi="Calibri"/>
                <w:sz w:val="11"/>
                <w:szCs w:val="11"/>
                <w:b w:val="1"/>
                <w:bCs w:val="1"/>
                <w:color w:val="auto"/>
              </w:rPr>
              <w:t>(3)</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r>
              <w:rPr>
                <w:rFonts w:ascii="Calibri" w:cs="Calibri" w:eastAsia="Calibri" w:hAnsi="Calibri"/>
                <w:sz w:val="11"/>
                <w:szCs w:val="11"/>
                <w:b w:val="1"/>
                <w:bCs w:val="1"/>
                <w:color w:val="auto"/>
              </w:rPr>
              <w:t>(4)</w:t>
            </w:r>
          </w:p>
        </w:tc>
        <w:tc>
          <w:tcPr>
            <w:tcW w:w="104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c>
          <w:tcPr>
            <w:tcW w:w="360" w:type="dxa"/>
            <w:vAlign w:val="bottom"/>
          </w:tcPr>
          <w:p>
            <w:pPr>
              <w:spacing w:after="0"/>
              <w:rPr>
                <w:sz w:val="14"/>
                <w:szCs w:val="14"/>
                <w:color w:val="auto"/>
              </w:rPr>
            </w:pPr>
          </w:p>
        </w:tc>
        <w:tc>
          <w:tcPr>
            <w:tcW w:w="860" w:type="dxa"/>
            <w:vAlign w:val="bottom"/>
          </w:tcPr>
          <w:p>
            <w:pPr>
              <w:jc w:val="right"/>
              <w:ind w:right="271"/>
              <w:spacing w:after="0" w:line="169" w:lineRule="exact"/>
              <w:rPr>
                <w:sz w:val="20"/>
                <w:szCs w:val="20"/>
                <w:color w:val="auto"/>
              </w:rPr>
            </w:pPr>
            <w:r>
              <w:rPr>
                <w:rFonts w:ascii="Calibri" w:cs="Calibri" w:eastAsia="Calibri" w:hAnsi="Calibri"/>
                <w:sz w:val="14"/>
                <w:szCs w:val="14"/>
                <w:b w:val="1"/>
                <w:bCs w:val="1"/>
                <w:color w:val="auto"/>
              </w:rPr>
              <w:t>($)</w:t>
            </w:r>
          </w:p>
        </w:tc>
        <w:tc>
          <w:tcPr>
            <w:tcW w:w="0" w:type="dxa"/>
            <w:vAlign w:val="bottom"/>
          </w:tcPr>
          <w:p>
            <w:pPr>
              <w:spacing w:after="0"/>
              <w:rPr>
                <w:sz w:val="1"/>
                <w:szCs w:val="1"/>
                <w:color w:val="auto"/>
              </w:rPr>
            </w:pPr>
          </w:p>
        </w:tc>
      </w:tr>
      <w:tr>
        <w:trPr>
          <w:trHeight w:val="70"/>
        </w:trPr>
        <w:tc>
          <w:tcPr>
            <w:tcW w:w="2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980" w:type="dxa"/>
            <w:vAlign w:val="bottom"/>
          </w:tcPr>
          <w:p>
            <w:pPr>
              <w:ind w:left="60"/>
              <w:spacing w:after="0" w:line="159" w:lineRule="exact"/>
              <w:rPr>
                <w:sz w:val="20"/>
                <w:szCs w:val="20"/>
                <w:color w:val="auto"/>
              </w:rPr>
            </w:pPr>
            <w:r>
              <w:rPr>
                <w:rFonts w:ascii="Calibri" w:cs="Calibri" w:eastAsia="Calibri" w:hAnsi="Calibri"/>
                <w:sz w:val="14"/>
                <w:szCs w:val="14"/>
                <w:b w:val="1"/>
                <w:bCs w:val="1"/>
                <w:color w:val="auto"/>
              </w:rPr>
              <w:t>Rohit Kapoor</w:t>
            </w:r>
          </w:p>
        </w:tc>
        <w:tc>
          <w:tcPr>
            <w:tcW w:w="520" w:type="dxa"/>
            <w:vAlign w:val="bottom"/>
            <w:gridSpan w:val="2"/>
          </w:tcPr>
          <w:p>
            <w:pPr>
              <w:ind w:left="200"/>
              <w:spacing w:after="0" w:line="159" w:lineRule="exact"/>
              <w:rPr>
                <w:sz w:val="20"/>
                <w:szCs w:val="20"/>
                <w:color w:val="auto"/>
              </w:rPr>
            </w:pPr>
            <w:r>
              <w:rPr>
                <w:rFonts w:ascii="Calibri" w:cs="Calibri" w:eastAsia="Calibri" w:hAnsi="Calibri"/>
                <w:sz w:val="14"/>
                <w:szCs w:val="14"/>
                <w:color w:val="auto"/>
              </w:rPr>
              <w:t>2021</w:t>
            </w:r>
          </w:p>
        </w:tc>
        <w:tc>
          <w:tcPr>
            <w:tcW w:w="840" w:type="dxa"/>
            <w:vAlign w:val="bottom"/>
          </w:tcPr>
          <w:p>
            <w:pPr>
              <w:jc w:val="right"/>
              <w:ind w:right="71"/>
              <w:spacing w:after="0" w:line="159" w:lineRule="exact"/>
              <w:rPr>
                <w:sz w:val="20"/>
                <w:szCs w:val="20"/>
                <w:color w:val="auto"/>
              </w:rPr>
            </w:pPr>
            <w:r>
              <w:rPr>
                <w:rFonts w:ascii="Calibri" w:cs="Calibri" w:eastAsia="Calibri" w:hAnsi="Calibri"/>
                <w:sz w:val="14"/>
                <w:szCs w:val="14"/>
                <w:color w:val="auto"/>
              </w:rPr>
              <w:t>742,603</w:t>
            </w:r>
          </w:p>
        </w:tc>
        <w:tc>
          <w:tcPr>
            <w:tcW w:w="400" w:type="dxa"/>
            <w:vAlign w:val="bottom"/>
          </w:tcPr>
          <w:p>
            <w:pPr>
              <w:spacing w:after="0"/>
              <w:rPr>
                <w:sz w:val="13"/>
                <w:szCs w:val="13"/>
                <w:color w:val="auto"/>
              </w:rPr>
            </w:pPr>
          </w:p>
        </w:tc>
        <w:tc>
          <w:tcPr>
            <w:tcW w:w="72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7,209,918</w:t>
            </w:r>
          </w:p>
        </w:tc>
        <w:tc>
          <w:tcPr>
            <w:tcW w:w="104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2,050,000</w:t>
            </w:r>
          </w:p>
        </w:tc>
        <w:tc>
          <w:tcPr>
            <w:tcW w:w="104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31,068</w:t>
            </w:r>
          </w:p>
        </w:tc>
        <w:tc>
          <w:tcPr>
            <w:tcW w:w="360" w:type="dxa"/>
            <w:vAlign w:val="bottom"/>
          </w:tcPr>
          <w:p>
            <w:pPr>
              <w:jc w:val="right"/>
              <w:ind w:right="61"/>
              <w:spacing w:after="0" w:line="138" w:lineRule="exact"/>
              <w:rPr>
                <w:sz w:val="20"/>
                <w:szCs w:val="20"/>
                <w:color w:val="auto"/>
              </w:rPr>
            </w:pPr>
            <w:r>
              <w:rPr>
                <w:rFonts w:ascii="Calibri" w:cs="Calibri" w:eastAsia="Calibri" w:hAnsi="Calibri"/>
                <w:sz w:val="12"/>
                <w:szCs w:val="12"/>
                <w:color w:val="auto"/>
              </w:rPr>
              <w:t>(5)</w:t>
            </w:r>
          </w:p>
        </w:tc>
        <w:tc>
          <w:tcPr>
            <w:tcW w:w="860" w:type="dxa"/>
            <w:vAlign w:val="bottom"/>
          </w:tcPr>
          <w:p>
            <w:pPr>
              <w:jc w:val="right"/>
              <w:ind w:right="31"/>
              <w:spacing w:after="0" w:line="159" w:lineRule="exact"/>
              <w:rPr>
                <w:sz w:val="20"/>
                <w:szCs w:val="20"/>
                <w:color w:val="auto"/>
              </w:rPr>
            </w:pPr>
            <w:r>
              <w:rPr>
                <w:rFonts w:ascii="Calibri" w:cs="Calibri" w:eastAsia="Calibri" w:hAnsi="Calibri"/>
                <w:sz w:val="14"/>
                <w:szCs w:val="14"/>
                <w:color w:val="auto"/>
              </w:rPr>
              <w:t>10,033,589</w:t>
            </w:r>
          </w:p>
        </w:tc>
        <w:tc>
          <w:tcPr>
            <w:tcW w:w="0" w:type="dxa"/>
            <w:vAlign w:val="bottom"/>
          </w:tcPr>
          <w:p>
            <w:pPr>
              <w:spacing w:after="0"/>
              <w:rPr>
                <w:sz w:val="1"/>
                <w:szCs w:val="1"/>
                <w:color w:val="auto"/>
              </w:rPr>
            </w:pPr>
          </w:p>
        </w:tc>
      </w:tr>
      <w:tr>
        <w:trPr>
          <w:trHeight w:val="284"/>
        </w:trPr>
        <w:tc>
          <w:tcPr>
            <w:tcW w:w="2980" w:type="dxa"/>
            <w:vAlign w:val="bottom"/>
          </w:tcPr>
          <w:p>
            <w:pPr>
              <w:ind w:left="60"/>
              <w:spacing w:after="0"/>
              <w:rPr>
                <w:sz w:val="20"/>
                <w:szCs w:val="20"/>
                <w:color w:val="auto"/>
              </w:rPr>
            </w:pPr>
            <w:r>
              <w:rPr>
                <w:rFonts w:ascii="Calibri" w:cs="Calibri" w:eastAsia="Calibri" w:hAnsi="Calibri"/>
                <w:sz w:val="14"/>
                <w:szCs w:val="14"/>
                <w:color w:val="auto"/>
              </w:rPr>
              <w:t>Vice Chairman &amp; CEO</w:t>
            </w:r>
          </w:p>
        </w:tc>
        <w:tc>
          <w:tcPr>
            <w:tcW w:w="520" w:type="dxa"/>
            <w:vAlign w:val="bottom"/>
            <w:gridSpan w:val="2"/>
          </w:tcPr>
          <w:p>
            <w:pPr>
              <w:ind w:left="200"/>
              <w:spacing w:after="0"/>
              <w:rPr>
                <w:sz w:val="20"/>
                <w:szCs w:val="20"/>
                <w:color w:val="auto"/>
              </w:rPr>
            </w:pPr>
            <w:r>
              <w:rPr>
                <w:rFonts w:ascii="Calibri" w:cs="Calibri" w:eastAsia="Calibri" w:hAnsi="Calibri"/>
                <w:sz w:val="14"/>
                <w:szCs w:val="14"/>
                <w:color w:val="auto"/>
              </w:rPr>
              <w:t>2020</w:t>
            </w:r>
          </w:p>
        </w:tc>
        <w:tc>
          <w:tcPr>
            <w:tcW w:w="840" w:type="dxa"/>
            <w:vAlign w:val="bottom"/>
          </w:tcPr>
          <w:p>
            <w:pPr>
              <w:jc w:val="right"/>
              <w:ind w:right="71"/>
              <w:spacing w:after="0"/>
              <w:rPr>
                <w:sz w:val="20"/>
                <w:szCs w:val="20"/>
                <w:color w:val="auto"/>
              </w:rPr>
            </w:pPr>
            <w:r>
              <w:rPr>
                <w:rFonts w:ascii="Calibri" w:cs="Calibri" w:eastAsia="Calibri" w:hAnsi="Calibri"/>
                <w:sz w:val="14"/>
                <w:szCs w:val="14"/>
                <w:color w:val="auto"/>
              </w:rPr>
              <w:t>599,016</w:t>
            </w:r>
          </w:p>
        </w:tc>
        <w:tc>
          <w:tcPr>
            <w:tcW w:w="400" w:type="dxa"/>
            <w:vAlign w:val="bottom"/>
          </w:tcPr>
          <w:p>
            <w:pPr>
              <w:spacing w:after="0"/>
              <w:rPr>
                <w:sz w:val="24"/>
                <w:szCs w:val="24"/>
                <w:color w:val="auto"/>
              </w:rPr>
            </w:pPr>
          </w:p>
        </w:tc>
        <w:tc>
          <w:tcPr>
            <w:tcW w:w="7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5,701,209</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810,000</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31,041</w:t>
            </w:r>
          </w:p>
        </w:tc>
        <w:tc>
          <w:tcPr>
            <w:tcW w:w="36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Calibri" w:cs="Calibri" w:eastAsia="Calibri" w:hAnsi="Calibri"/>
                <w:sz w:val="14"/>
                <w:szCs w:val="14"/>
                <w:color w:val="auto"/>
              </w:rPr>
              <w:t>7,141,267</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520" w:type="dxa"/>
            <w:vAlign w:val="bottom"/>
            <w:gridSpan w:val="2"/>
          </w:tcPr>
          <w:p>
            <w:pPr>
              <w:ind w:left="200"/>
              <w:spacing w:after="0"/>
              <w:rPr>
                <w:sz w:val="20"/>
                <w:szCs w:val="20"/>
                <w:color w:val="auto"/>
              </w:rPr>
            </w:pPr>
            <w:r>
              <w:rPr>
                <w:rFonts w:ascii="Calibri" w:cs="Calibri" w:eastAsia="Calibri" w:hAnsi="Calibri"/>
                <w:sz w:val="14"/>
                <w:szCs w:val="14"/>
                <w:color w:val="auto"/>
              </w:rPr>
              <w:t>2019</w:t>
            </w:r>
          </w:p>
        </w:tc>
        <w:tc>
          <w:tcPr>
            <w:tcW w:w="840" w:type="dxa"/>
            <w:vAlign w:val="bottom"/>
          </w:tcPr>
          <w:p>
            <w:pPr>
              <w:jc w:val="right"/>
              <w:ind w:right="71"/>
              <w:spacing w:after="0"/>
              <w:rPr>
                <w:sz w:val="20"/>
                <w:szCs w:val="20"/>
                <w:color w:val="auto"/>
              </w:rPr>
            </w:pPr>
            <w:r>
              <w:rPr>
                <w:rFonts w:ascii="Calibri" w:cs="Calibri" w:eastAsia="Calibri" w:hAnsi="Calibri"/>
                <w:sz w:val="14"/>
                <w:szCs w:val="14"/>
                <w:color w:val="auto"/>
              </w:rPr>
              <w:t>720,000</w:t>
            </w:r>
          </w:p>
        </w:tc>
        <w:tc>
          <w:tcPr>
            <w:tcW w:w="400" w:type="dxa"/>
            <w:vAlign w:val="bottom"/>
          </w:tcPr>
          <w:p>
            <w:pPr>
              <w:spacing w:after="0"/>
              <w:rPr>
                <w:sz w:val="17"/>
                <w:szCs w:val="17"/>
                <w:color w:val="auto"/>
              </w:rPr>
            </w:pPr>
          </w:p>
        </w:tc>
        <w:tc>
          <w:tcPr>
            <w:tcW w:w="7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4,121,410</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1,304,453</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49,354</w:t>
            </w:r>
          </w:p>
        </w:tc>
        <w:tc>
          <w:tcPr>
            <w:tcW w:w="360" w:type="dxa"/>
            <w:vAlign w:val="bottom"/>
          </w:tcPr>
          <w:p>
            <w:pPr>
              <w:spacing w:after="0"/>
              <w:rPr>
                <w:sz w:val="17"/>
                <w:szCs w:val="17"/>
                <w:color w:val="auto"/>
              </w:rPr>
            </w:pPr>
          </w:p>
        </w:tc>
        <w:tc>
          <w:tcPr>
            <w:tcW w:w="860" w:type="dxa"/>
            <w:vAlign w:val="bottom"/>
          </w:tcPr>
          <w:p>
            <w:pPr>
              <w:jc w:val="right"/>
              <w:ind w:right="31"/>
              <w:spacing w:after="0"/>
              <w:rPr>
                <w:sz w:val="20"/>
                <w:szCs w:val="20"/>
                <w:color w:val="auto"/>
              </w:rPr>
            </w:pPr>
            <w:r>
              <w:rPr>
                <w:rFonts w:ascii="Calibri" w:cs="Calibri" w:eastAsia="Calibri" w:hAnsi="Calibri"/>
                <w:sz w:val="14"/>
                <w:szCs w:val="14"/>
                <w:color w:val="auto"/>
              </w:rPr>
              <w:t>6,195,217</w:t>
            </w:r>
          </w:p>
        </w:tc>
        <w:tc>
          <w:tcPr>
            <w:tcW w:w="0" w:type="dxa"/>
            <w:vAlign w:val="bottom"/>
          </w:tcPr>
          <w:p>
            <w:pPr>
              <w:spacing w:after="0"/>
              <w:rPr>
                <w:sz w:val="1"/>
                <w:szCs w:val="1"/>
                <w:color w:val="auto"/>
              </w:rPr>
            </w:pPr>
          </w:p>
        </w:tc>
      </w:tr>
      <w:tr>
        <w:trPr>
          <w:trHeight w:val="186"/>
        </w:trPr>
        <w:tc>
          <w:tcPr>
            <w:tcW w:w="2980" w:type="dxa"/>
            <w:vAlign w:val="bottom"/>
            <w:shd w:val="clear" w:color="auto" w:fill="D8D8D8"/>
          </w:tcPr>
          <w:p>
            <w:pPr>
              <w:ind w:left="60"/>
              <w:spacing w:after="0"/>
              <w:rPr>
                <w:sz w:val="20"/>
                <w:szCs w:val="20"/>
                <w:color w:val="auto"/>
              </w:rPr>
            </w:pPr>
            <w:r>
              <w:rPr>
                <w:rFonts w:ascii="Calibri" w:cs="Calibri" w:eastAsia="Calibri" w:hAnsi="Calibri"/>
                <w:sz w:val="14"/>
                <w:szCs w:val="14"/>
                <w:b w:val="1"/>
                <w:bCs w:val="1"/>
                <w:color w:val="auto"/>
              </w:rPr>
              <w:t>Maurizio Nicolelli</w:t>
            </w:r>
          </w:p>
        </w:tc>
        <w:tc>
          <w:tcPr>
            <w:tcW w:w="520" w:type="dxa"/>
            <w:vAlign w:val="bottom"/>
            <w:gridSpan w:val="2"/>
            <w:shd w:val="clear" w:color="auto" w:fill="D8D8D8"/>
          </w:tcPr>
          <w:p>
            <w:pPr>
              <w:ind w:left="200"/>
              <w:spacing w:after="0"/>
              <w:rPr>
                <w:sz w:val="20"/>
                <w:szCs w:val="20"/>
                <w:color w:val="auto"/>
              </w:rPr>
            </w:pPr>
            <w:r>
              <w:rPr>
                <w:rFonts w:ascii="Calibri" w:cs="Calibri" w:eastAsia="Calibri" w:hAnsi="Calibri"/>
                <w:sz w:val="14"/>
                <w:szCs w:val="14"/>
                <w:color w:val="auto"/>
              </w:rPr>
              <w:t>2021</w:t>
            </w:r>
          </w:p>
        </w:tc>
        <w:tc>
          <w:tcPr>
            <w:tcW w:w="840" w:type="dxa"/>
            <w:vAlign w:val="bottom"/>
            <w:shd w:val="clear" w:color="auto" w:fill="D8D8D8"/>
          </w:tcPr>
          <w:p>
            <w:pPr>
              <w:jc w:val="right"/>
              <w:ind w:right="71"/>
              <w:spacing w:after="0"/>
              <w:rPr>
                <w:sz w:val="20"/>
                <w:szCs w:val="20"/>
                <w:color w:val="auto"/>
              </w:rPr>
            </w:pPr>
            <w:r>
              <w:rPr>
                <w:rFonts w:ascii="Calibri" w:cs="Calibri" w:eastAsia="Calibri" w:hAnsi="Calibri"/>
                <w:sz w:val="14"/>
                <w:szCs w:val="14"/>
                <w:color w:val="auto"/>
              </w:rPr>
              <w:t>475,000</w:t>
            </w:r>
          </w:p>
        </w:tc>
        <w:tc>
          <w:tcPr>
            <w:tcW w:w="400" w:type="dxa"/>
            <w:vAlign w:val="bottom"/>
            <w:shd w:val="clear" w:color="auto" w:fill="D8D8D8"/>
          </w:tcPr>
          <w:p>
            <w:pPr>
              <w:spacing w:after="0"/>
              <w:rPr>
                <w:sz w:val="16"/>
                <w:szCs w:val="16"/>
                <w:color w:val="auto"/>
              </w:rPr>
            </w:pPr>
          </w:p>
        </w:tc>
        <w:tc>
          <w:tcPr>
            <w:tcW w:w="72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100,000</w:t>
            </w:r>
          </w:p>
        </w:tc>
        <w:tc>
          <w:tcPr>
            <w:tcW w:w="82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2,220,441</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640,498</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9,204</w:t>
            </w:r>
          </w:p>
        </w:tc>
        <w:tc>
          <w:tcPr>
            <w:tcW w:w="360" w:type="dxa"/>
            <w:vAlign w:val="bottom"/>
            <w:shd w:val="clear" w:color="auto" w:fill="D8D8D8"/>
          </w:tcPr>
          <w:p>
            <w:pPr>
              <w:jc w:val="right"/>
              <w:ind w:right="61"/>
              <w:spacing w:after="0"/>
              <w:rPr>
                <w:sz w:val="20"/>
                <w:szCs w:val="20"/>
                <w:color w:val="auto"/>
              </w:rPr>
            </w:pPr>
            <w:r>
              <w:rPr>
                <w:rFonts w:ascii="Calibri" w:cs="Calibri" w:eastAsia="Calibri" w:hAnsi="Calibri"/>
                <w:sz w:val="12"/>
                <w:szCs w:val="12"/>
                <w:color w:val="auto"/>
              </w:rPr>
              <w:t>(6)</w:t>
            </w:r>
          </w:p>
        </w:tc>
        <w:tc>
          <w:tcPr>
            <w:tcW w:w="86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3,445,143</w:t>
            </w:r>
          </w:p>
        </w:tc>
        <w:tc>
          <w:tcPr>
            <w:tcW w:w="0" w:type="dxa"/>
            <w:vAlign w:val="bottom"/>
          </w:tcPr>
          <w:p>
            <w:pPr>
              <w:spacing w:after="0"/>
              <w:rPr>
                <w:sz w:val="1"/>
                <w:szCs w:val="1"/>
                <w:color w:val="auto"/>
              </w:rPr>
            </w:pPr>
          </w:p>
        </w:tc>
      </w:tr>
      <w:tr>
        <w:trPr>
          <w:trHeight w:val="299"/>
        </w:trPr>
        <w:tc>
          <w:tcPr>
            <w:tcW w:w="2980" w:type="dxa"/>
            <w:vAlign w:val="bottom"/>
            <w:shd w:val="clear" w:color="auto" w:fill="D8D8D8"/>
          </w:tcPr>
          <w:p>
            <w:pPr>
              <w:ind w:left="60"/>
              <w:spacing w:after="0"/>
              <w:rPr>
                <w:sz w:val="20"/>
                <w:szCs w:val="20"/>
                <w:color w:val="auto"/>
              </w:rPr>
            </w:pPr>
            <w:r>
              <w:rPr>
                <w:rFonts w:ascii="Calibri" w:cs="Calibri" w:eastAsia="Calibri" w:hAnsi="Calibri"/>
                <w:sz w:val="14"/>
                <w:szCs w:val="14"/>
                <w:color w:val="auto"/>
              </w:rPr>
              <w:t>Executve Vice</w:t>
            </w:r>
          </w:p>
        </w:tc>
        <w:tc>
          <w:tcPr>
            <w:tcW w:w="160" w:type="dxa"/>
            <w:vAlign w:val="bottom"/>
            <w:shd w:val="clear" w:color="auto" w:fill="D8D8D8"/>
          </w:tcPr>
          <w:p>
            <w:pPr>
              <w:spacing w:after="0"/>
              <w:rPr>
                <w:sz w:val="24"/>
                <w:szCs w:val="24"/>
                <w:color w:val="auto"/>
              </w:rPr>
            </w:pPr>
          </w:p>
        </w:tc>
        <w:tc>
          <w:tcPr>
            <w:tcW w:w="360" w:type="dxa"/>
            <w:vAlign w:val="bottom"/>
            <w:shd w:val="clear" w:color="auto" w:fill="D8D8D8"/>
          </w:tcPr>
          <w:p>
            <w:pPr>
              <w:ind w:left="40"/>
              <w:spacing w:after="0"/>
              <w:rPr>
                <w:sz w:val="20"/>
                <w:szCs w:val="20"/>
                <w:color w:val="auto"/>
              </w:rPr>
            </w:pPr>
            <w:r>
              <w:rPr>
                <w:rFonts w:ascii="Calibri" w:cs="Calibri" w:eastAsia="Calibri" w:hAnsi="Calibri"/>
                <w:sz w:val="14"/>
                <w:szCs w:val="14"/>
                <w:color w:val="auto"/>
              </w:rPr>
              <w:t>2020</w:t>
            </w:r>
          </w:p>
        </w:tc>
        <w:tc>
          <w:tcPr>
            <w:tcW w:w="840" w:type="dxa"/>
            <w:vAlign w:val="bottom"/>
            <w:shd w:val="clear" w:color="auto" w:fill="D8D8D8"/>
          </w:tcPr>
          <w:p>
            <w:pPr>
              <w:jc w:val="right"/>
              <w:ind w:right="71"/>
              <w:spacing w:after="0"/>
              <w:rPr>
                <w:sz w:val="20"/>
                <w:szCs w:val="20"/>
                <w:color w:val="auto"/>
              </w:rPr>
            </w:pPr>
            <w:r>
              <w:rPr>
                <w:rFonts w:ascii="Calibri" w:cs="Calibri" w:eastAsia="Calibri" w:hAnsi="Calibri"/>
                <w:sz w:val="14"/>
                <w:szCs w:val="14"/>
                <w:color w:val="auto"/>
              </w:rPr>
              <w:t>384,283</w:t>
            </w:r>
          </w:p>
        </w:tc>
        <w:tc>
          <w:tcPr>
            <w:tcW w:w="400" w:type="dxa"/>
            <w:vAlign w:val="bottom"/>
            <w:shd w:val="clear" w:color="auto" w:fill="D8D8D8"/>
          </w:tcPr>
          <w:p>
            <w:pPr>
              <w:spacing w:after="0"/>
              <w:rPr>
                <w:sz w:val="24"/>
                <w:szCs w:val="24"/>
                <w:color w:val="auto"/>
              </w:rPr>
            </w:pPr>
          </w:p>
        </w:tc>
        <w:tc>
          <w:tcPr>
            <w:tcW w:w="72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125,000</w:t>
            </w:r>
          </w:p>
        </w:tc>
        <w:tc>
          <w:tcPr>
            <w:tcW w:w="82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1,166,955</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243,097</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8,970</w:t>
            </w:r>
          </w:p>
        </w:tc>
        <w:tc>
          <w:tcPr>
            <w:tcW w:w="36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1,928,305</w:t>
            </w:r>
          </w:p>
        </w:tc>
        <w:tc>
          <w:tcPr>
            <w:tcW w:w="0" w:type="dxa"/>
            <w:vAlign w:val="bottom"/>
          </w:tcPr>
          <w:p>
            <w:pPr>
              <w:spacing w:after="0"/>
              <w:rPr>
                <w:sz w:val="1"/>
                <w:szCs w:val="1"/>
                <w:color w:val="auto"/>
              </w:rPr>
            </w:pPr>
          </w:p>
        </w:tc>
      </w:tr>
      <w:tr>
        <w:trPr>
          <w:trHeight w:val="193"/>
        </w:trPr>
        <w:tc>
          <w:tcPr>
            <w:tcW w:w="2980" w:type="dxa"/>
            <w:vAlign w:val="bottom"/>
            <w:tcBorders>
              <w:bottom w:val="single" w:sz="8" w:color="D8D8D8"/>
            </w:tcBorders>
            <w:shd w:val="clear" w:color="auto" w:fill="D8D8D8"/>
          </w:tcPr>
          <w:p>
            <w:pPr>
              <w:ind w:left="60"/>
              <w:spacing w:after="0"/>
              <w:rPr>
                <w:sz w:val="20"/>
                <w:szCs w:val="20"/>
                <w:color w:val="auto"/>
              </w:rPr>
            </w:pPr>
            <w:r>
              <w:rPr>
                <w:rFonts w:ascii="Calibri" w:cs="Calibri" w:eastAsia="Calibri" w:hAnsi="Calibri"/>
                <w:sz w:val="14"/>
                <w:szCs w:val="14"/>
                <w:color w:val="auto"/>
              </w:rPr>
              <w:t>President and CFO</w:t>
            </w:r>
          </w:p>
        </w:tc>
        <w:tc>
          <w:tcPr>
            <w:tcW w:w="160" w:type="dxa"/>
            <w:vAlign w:val="bottom"/>
            <w:tcBorders>
              <w:bottom w:val="single" w:sz="8" w:color="D8D8D8"/>
            </w:tcBorders>
            <w:shd w:val="clear" w:color="auto" w:fill="D8D8D8"/>
          </w:tcPr>
          <w:p>
            <w:pPr>
              <w:spacing w:after="0"/>
              <w:rPr>
                <w:sz w:val="16"/>
                <w:szCs w:val="16"/>
                <w:color w:val="auto"/>
              </w:rPr>
            </w:pPr>
          </w:p>
        </w:tc>
        <w:tc>
          <w:tcPr>
            <w:tcW w:w="360" w:type="dxa"/>
            <w:vAlign w:val="bottom"/>
            <w:tcBorders>
              <w:bottom w:val="single" w:sz="8" w:color="D8D8D8"/>
            </w:tcBorders>
            <w:shd w:val="clear" w:color="auto" w:fill="D8D8D8"/>
          </w:tcPr>
          <w:p>
            <w:pPr>
              <w:ind w:left="40"/>
              <w:spacing w:after="0"/>
              <w:rPr>
                <w:sz w:val="20"/>
                <w:szCs w:val="20"/>
                <w:color w:val="auto"/>
              </w:rPr>
            </w:pPr>
            <w:r>
              <w:rPr>
                <w:rFonts w:ascii="Calibri" w:cs="Calibri" w:eastAsia="Calibri" w:hAnsi="Calibri"/>
                <w:sz w:val="14"/>
                <w:szCs w:val="14"/>
                <w:color w:val="auto"/>
              </w:rPr>
              <w:t>2019</w:t>
            </w:r>
          </w:p>
        </w:tc>
        <w:tc>
          <w:tcPr>
            <w:tcW w:w="840" w:type="dxa"/>
            <w:vAlign w:val="bottom"/>
            <w:tcBorders>
              <w:bottom w:val="single" w:sz="8" w:color="D8D8D8"/>
            </w:tcBorders>
            <w:shd w:val="clear" w:color="auto" w:fill="D8D8D8"/>
          </w:tcPr>
          <w:p>
            <w:pPr>
              <w:jc w:val="right"/>
              <w:ind w:right="71"/>
              <w:spacing w:after="0"/>
              <w:rPr>
                <w:sz w:val="20"/>
                <w:szCs w:val="20"/>
                <w:color w:val="auto"/>
              </w:rPr>
            </w:pPr>
            <w:r>
              <w:rPr>
                <w:rFonts w:ascii="Calibri" w:cs="Calibri" w:eastAsia="Calibri" w:hAnsi="Calibri"/>
                <w:sz w:val="14"/>
                <w:szCs w:val="14"/>
                <w:color w:val="auto"/>
              </w:rPr>
              <w:t>—</w:t>
            </w:r>
          </w:p>
        </w:tc>
        <w:tc>
          <w:tcPr>
            <w:tcW w:w="400" w:type="dxa"/>
            <w:vAlign w:val="bottom"/>
            <w:tcBorders>
              <w:bottom w:val="single" w:sz="8" w:color="D8D8D8"/>
            </w:tcBorders>
            <w:shd w:val="clear" w:color="auto" w:fill="D8D8D8"/>
          </w:tcPr>
          <w:p>
            <w:pPr>
              <w:spacing w:after="0"/>
              <w:rPr>
                <w:sz w:val="16"/>
                <w:szCs w:val="16"/>
                <w:color w:val="auto"/>
              </w:rPr>
            </w:pPr>
          </w:p>
        </w:tc>
        <w:tc>
          <w:tcPr>
            <w:tcW w:w="720" w:type="dxa"/>
            <w:vAlign w:val="bottom"/>
            <w:tcBorders>
              <w:bottom w:val="single" w:sz="8" w:color="D8D8D8"/>
            </w:tcBorders>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Borders>
              <w:bottom w:val="single" w:sz="8" w:color="D8D8D8"/>
            </w:tcBorders>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8D8D8"/>
            </w:tcBorders>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8D8D8"/>
            </w:tcBorders>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tcBorders>
              <w:bottom w:val="single" w:sz="8" w:color="D8D8D8"/>
            </w:tcBorders>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360" w:type="dxa"/>
            <w:vAlign w:val="bottom"/>
            <w:tcBorders>
              <w:bottom w:val="single" w:sz="8" w:color="D8D8D8"/>
            </w:tcBorders>
            <w:shd w:val="clear" w:color="auto" w:fill="D8D8D8"/>
          </w:tcPr>
          <w:p>
            <w:pPr>
              <w:spacing w:after="0"/>
              <w:rPr>
                <w:sz w:val="16"/>
                <w:szCs w:val="16"/>
                <w:color w:val="auto"/>
              </w:rPr>
            </w:pPr>
          </w:p>
        </w:tc>
        <w:tc>
          <w:tcPr>
            <w:tcW w:w="860" w:type="dxa"/>
            <w:vAlign w:val="bottom"/>
            <w:tcBorders>
              <w:bottom w:val="single" w:sz="8" w:color="D8D8D8"/>
            </w:tcBorders>
            <w:shd w:val="clear" w:color="auto" w:fill="D8D8D8"/>
          </w:tcPr>
          <w:p>
            <w:pPr>
              <w:jc w:val="right"/>
              <w:ind w:right="31"/>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7"/>
        </w:trPr>
        <w:tc>
          <w:tcPr>
            <w:tcW w:w="2980" w:type="dxa"/>
            <w:vAlign w:val="bottom"/>
          </w:tcPr>
          <w:p>
            <w:pPr>
              <w:ind w:left="60"/>
              <w:spacing w:after="0"/>
              <w:rPr>
                <w:sz w:val="20"/>
                <w:szCs w:val="20"/>
                <w:color w:val="auto"/>
              </w:rPr>
            </w:pPr>
            <w:r>
              <w:rPr>
                <w:rFonts w:ascii="Calibri" w:cs="Calibri" w:eastAsia="Calibri" w:hAnsi="Calibri"/>
                <w:sz w:val="14"/>
                <w:szCs w:val="14"/>
                <w:b w:val="1"/>
                <w:bCs w:val="1"/>
                <w:color w:val="auto"/>
              </w:rPr>
              <w:t>Vikas Bhalla</w:t>
            </w:r>
          </w:p>
        </w:tc>
        <w:tc>
          <w:tcPr>
            <w:tcW w:w="520" w:type="dxa"/>
            <w:vAlign w:val="bottom"/>
            <w:gridSpan w:val="2"/>
          </w:tcPr>
          <w:p>
            <w:pPr>
              <w:ind w:left="200"/>
              <w:spacing w:after="0"/>
              <w:rPr>
                <w:sz w:val="20"/>
                <w:szCs w:val="20"/>
                <w:color w:val="auto"/>
              </w:rPr>
            </w:pPr>
            <w:r>
              <w:rPr>
                <w:rFonts w:ascii="Calibri" w:cs="Calibri" w:eastAsia="Calibri" w:hAnsi="Calibri"/>
                <w:sz w:val="14"/>
                <w:szCs w:val="14"/>
                <w:color w:val="auto"/>
              </w:rPr>
              <w:t>2021</w:t>
            </w:r>
          </w:p>
        </w:tc>
        <w:tc>
          <w:tcPr>
            <w:tcW w:w="840" w:type="dxa"/>
            <w:vAlign w:val="bottom"/>
          </w:tcPr>
          <w:p>
            <w:pPr>
              <w:jc w:val="right"/>
              <w:ind w:right="71"/>
              <w:spacing w:after="0"/>
              <w:rPr>
                <w:sz w:val="20"/>
                <w:szCs w:val="20"/>
                <w:color w:val="auto"/>
              </w:rPr>
            </w:pPr>
            <w:r>
              <w:rPr>
                <w:rFonts w:ascii="Calibri" w:cs="Calibri" w:eastAsia="Calibri" w:hAnsi="Calibri"/>
                <w:sz w:val="14"/>
                <w:szCs w:val="14"/>
                <w:color w:val="auto"/>
              </w:rPr>
              <w:t>276,716</w:t>
            </w:r>
          </w:p>
        </w:tc>
        <w:tc>
          <w:tcPr>
            <w:tcW w:w="400" w:type="dxa"/>
            <w:vAlign w:val="bottom"/>
          </w:tcPr>
          <w:p>
            <w:pPr>
              <w:jc w:val="right"/>
              <w:ind w:right="81"/>
              <w:spacing w:after="0" w:line="145" w:lineRule="exact"/>
              <w:rPr>
                <w:sz w:val="20"/>
                <w:szCs w:val="20"/>
                <w:color w:val="auto"/>
              </w:rPr>
            </w:pPr>
            <w:r>
              <w:rPr>
                <w:rFonts w:ascii="Calibri" w:cs="Calibri" w:eastAsia="Calibri" w:hAnsi="Calibri"/>
                <w:sz w:val="12"/>
                <w:szCs w:val="12"/>
                <w:color w:val="auto"/>
              </w:rPr>
              <w:t>(1)</w:t>
            </w:r>
          </w:p>
        </w:tc>
        <w:tc>
          <w:tcPr>
            <w:tcW w:w="7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2,711,454</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444,718</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16,865</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19,034</w:t>
            </w:r>
          </w:p>
        </w:tc>
        <w:tc>
          <w:tcPr>
            <w:tcW w:w="360" w:type="dxa"/>
            <w:vAlign w:val="bottom"/>
          </w:tcPr>
          <w:p>
            <w:pPr>
              <w:jc w:val="right"/>
              <w:ind w:right="61"/>
              <w:spacing w:after="0" w:line="145" w:lineRule="exact"/>
              <w:rPr>
                <w:sz w:val="20"/>
                <w:szCs w:val="20"/>
                <w:color w:val="auto"/>
              </w:rPr>
            </w:pPr>
            <w:r>
              <w:rPr>
                <w:rFonts w:ascii="Calibri" w:cs="Calibri" w:eastAsia="Calibri" w:hAnsi="Calibri"/>
                <w:sz w:val="12"/>
                <w:szCs w:val="12"/>
                <w:color w:val="auto"/>
              </w:rPr>
              <w:t>(7)</w:t>
            </w:r>
          </w:p>
        </w:tc>
        <w:tc>
          <w:tcPr>
            <w:tcW w:w="860" w:type="dxa"/>
            <w:vAlign w:val="bottom"/>
          </w:tcPr>
          <w:p>
            <w:pPr>
              <w:jc w:val="right"/>
              <w:ind w:right="31"/>
              <w:spacing w:after="0"/>
              <w:rPr>
                <w:sz w:val="20"/>
                <w:szCs w:val="20"/>
                <w:color w:val="auto"/>
              </w:rPr>
            </w:pPr>
            <w:r>
              <w:rPr>
                <w:rFonts w:ascii="Calibri" w:cs="Calibri" w:eastAsia="Calibri" w:hAnsi="Calibri"/>
                <w:sz w:val="14"/>
                <w:szCs w:val="14"/>
                <w:color w:val="auto"/>
              </w:rPr>
              <w:t>3,468,787</w:t>
            </w:r>
          </w:p>
        </w:tc>
        <w:tc>
          <w:tcPr>
            <w:tcW w:w="0" w:type="dxa"/>
            <w:vAlign w:val="bottom"/>
          </w:tcPr>
          <w:p>
            <w:pPr>
              <w:spacing w:after="0"/>
              <w:rPr>
                <w:sz w:val="1"/>
                <w:szCs w:val="1"/>
                <w:color w:val="auto"/>
              </w:rPr>
            </w:pPr>
          </w:p>
        </w:tc>
      </w:tr>
      <w:tr>
        <w:trPr>
          <w:trHeight w:val="299"/>
        </w:trPr>
        <w:tc>
          <w:tcPr>
            <w:tcW w:w="2980" w:type="dxa"/>
            <w:vAlign w:val="bottom"/>
          </w:tcPr>
          <w:p>
            <w:pPr>
              <w:ind w:left="60"/>
              <w:spacing w:after="0"/>
              <w:rPr>
                <w:sz w:val="20"/>
                <w:szCs w:val="20"/>
                <w:color w:val="auto"/>
              </w:rPr>
            </w:pPr>
            <w:r>
              <w:rPr>
                <w:rFonts w:ascii="Calibri" w:cs="Calibri" w:eastAsia="Calibri" w:hAnsi="Calibri"/>
                <w:sz w:val="14"/>
                <w:szCs w:val="14"/>
                <w:color w:val="auto"/>
              </w:rPr>
              <w:t>Executve Vice</w:t>
            </w:r>
          </w:p>
        </w:tc>
        <w:tc>
          <w:tcPr>
            <w:tcW w:w="520" w:type="dxa"/>
            <w:vAlign w:val="bottom"/>
            <w:gridSpan w:val="2"/>
          </w:tcPr>
          <w:p>
            <w:pPr>
              <w:ind w:left="200"/>
              <w:spacing w:after="0"/>
              <w:rPr>
                <w:sz w:val="20"/>
                <w:szCs w:val="20"/>
                <w:color w:val="auto"/>
              </w:rPr>
            </w:pPr>
            <w:r>
              <w:rPr>
                <w:rFonts w:ascii="Calibri" w:cs="Calibri" w:eastAsia="Calibri" w:hAnsi="Calibri"/>
                <w:sz w:val="14"/>
                <w:szCs w:val="14"/>
                <w:color w:val="auto"/>
              </w:rPr>
              <w:t>2020</w:t>
            </w:r>
          </w:p>
        </w:tc>
        <w:tc>
          <w:tcPr>
            <w:tcW w:w="840" w:type="dxa"/>
            <w:vAlign w:val="bottom"/>
          </w:tcPr>
          <w:p>
            <w:pPr>
              <w:jc w:val="right"/>
              <w:ind w:right="71"/>
              <w:spacing w:after="0"/>
              <w:rPr>
                <w:sz w:val="20"/>
                <w:szCs w:val="20"/>
                <w:color w:val="auto"/>
              </w:rPr>
            </w:pPr>
            <w:r>
              <w:rPr>
                <w:rFonts w:ascii="Calibri" w:cs="Calibri" w:eastAsia="Calibri" w:hAnsi="Calibri"/>
                <w:sz w:val="14"/>
                <w:szCs w:val="14"/>
                <w:color w:val="auto"/>
              </w:rPr>
              <w:t>229,016</w:t>
            </w:r>
          </w:p>
        </w:tc>
        <w:tc>
          <w:tcPr>
            <w:tcW w:w="400" w:type="dxa"/>
            <w:vAlign w:val="bottom"/>
          </w:tcPr>
          <w:p>
            <w:pPr>
              <w:spacing w:after="0"/>
              <w:rPr>
                <w:sz w:val="24"/>
                <w:szCs w:val="24"/>
                <w:color w:val="auto"/>
              </w:rPr>
            </w:pPr>
          </w:p>
        </w:tc>
        <w:tc>
          <w:tcPr>
            <w:tcW w:w="7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1,399,048</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169,370</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5,067</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37,962</w:t>
            </w:r>
          </w:p>
        </w:tc>
        <w:tc>
          <w:tcPr>
            <w:tcW w:w="36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Calibri" w:cs="Calibri" w:eastAsia="Calibri" w:hAnsi="Calibri"/>
                <w:sz w:val="14"/>
                <w:szCs w:val="14"/>
                <w:color w:val="auto"/>
              </w:rPr>
              <w:t>1,840,463</w:t>
            </w:r>
          </w:p>
        </w:tc>
        <w:tc>
          <w:tcPr>
            <w:tcW w:w="0" w:type="dxa"/>
            <w:vAlign w:val="bottom"/>
          </w:tcPr>
          <w:p>
            <w:pPr>
              <w:spacing w:after="0"/>
              <w:rPr>
                <w:sz w:val="1"/>
                <w:szCs w:val="1"/>
                <w:color w:val="auto"/>
              </w:rPr>
            </w:pPr>
          </w:p>
        </w:tc>
      </w:tr>
      <w:tr>
        <w:trPr>
          <w:trHeight w:val="182"/>
        </w:trPr>
        <w:tc>
          <w:tcPr>
            <w:tcW w:w="2980" w:type="dxa"/>
            <w:vAlign w:val="bottom"/>
          </w:tcPr>
          <w:p>
            <w:pPr>
              <w:ind w:left="60"/>
              <w:spacing w:after="0"/>
              <w:rPr>
                <w:sz w:val="20"/>
                <w:szCs w:val="20"/>
                <w:color w:val="auto"/>
              </w:rPr>
            </w:pPr>
            <w:r>
              <w:rPr>
                <w:rFonts w:ascii="Calibri" w:cs="Calibri" w:eastAsia="Calibri" w:hAnsi="Calibri"/>
                <w:sz w:val="14"/>
                <w:szCs w:val="14"/>
                <w:color w:val="auto"/>
              </w:rPr>
              <w:t>President and Business</w:t>
            </w:r>
          </w:p>
        </w:tc>
        <w:tc>
          <w:tcPr>
            <w:tcW w:w="520" w:type="dxa"/>
            <w:vAlign w:val="bottom"/>
            <w:gridSpan w:val="2"/>
            <w:vMerge w:val="restart"/>
          </w:tcPr>
          <w:p>
            <w:pPr>
              <w:ind w:left="200"/>
              <w:spacing w:after="0"/>
              <w:rPr>
                <w:sz w:val="20"/>
                <w:szCs w:val="20"/>
                <w:color w:val="auto"/>
              </w:rPr>
            </w:pPr>
            <w:r>
              <w:rPr>
                <w:rFonts w:ascii="Calibri" w:cs="Calibri" w:eastAsia="Calibri" w:hAnsi="Calibri"/>
                <w:sz w:val="14"/>
                <w:szCs w:val="14"/>
                <w:color w:val="auto"/>
              </w:rPr>
              <w:t>2019</w:t>
            </w:r>
          </w:p>
        </w:tc>
        <w:tc>
          <w:tcPr>
            <w:tcW w:w="84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263,809</w:t>
            </w:r>
          </w:p>
        </w:tc>
        <w:tc>
          <w:tcPr>
            <w:tcW w:w="400" w:type="dxa"/>
            <w:vAlign w:val="bottom"/>
          </w:tcPr>
          <w:p>
            <w:pPr>
              <w:spacing w:after="0"/>
              <w:rPr>
                <w:sz w:val="15"/>
                <w:szCs w:val="15"/>
                <w:color w:val="auto"/>
              </w:rPr>
            </w:pPr>
          </w:p>
        </w:tc>
        <w:tc>
          <w:tcPr>
            <w:tcW w:w="72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973,685</w:t>
            </w:r>
          </w:p>
        </w:tc>
        <w:tc>
          <w:tcPr>
            <w:tcW w:w="104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285,636</w:t>
            </w:r>
          </w:p>
        </w:tc>
        <w:tc>
          <w:tcPr>
            <w:tcW w:w="104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5,186</w:t>
            </w:r>
          </w:p>
        </w:tc>
        <w:tc>
          <w:tcPr>
            <w:tcW w:w="104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40,367</w:t>
            </w:r>
          </w:p>
        </w:tc>
        <w:tc>
          <w:tcPr>
            <w:tcW w:w="36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1,568,683</w:t>
            </w:r>
          </w:p>
        </w:tc>
        <w:tc>
          <w:tcPr>
            <w:tcW w:w="0" w:type="dxa"/>
            <w:vAlign w:val="bottom"/>
          </w:tcPr>
          <w:p>
            <w:pPr>
              <w:spacing w:after="0"/>
              <w:rPr>
                <w:sz w:val="1"/>
                <w:szCs w:val="1"/>
                <w:color w:val="auto"/>
              </w:rPr>
            </w:pPr>
          </w:p>
        </w:tc>
      </w:tr>
      <w:tr>
        <w:trPr>
          <w:trHeight w:val="78"/>
        </w:trPr>
        <w:tc>
          <w:tcPr>
            <w:tcW w:w="2980" w:type="dxa"/>
            <w:vAlign w:val="bottom"/>
            <w:vMerge w:val="restart"/>
          </w:tcPr>
          <w:p>
            <w:pPr>
              <w:ind w:left="60"/>
              <w:spacing w:after="0" w:line="169" w:lineRule="exact"/>
              <w:rPr>
                <w:sz w:val="20"/>
                <w:szCs w:val="20"/>
                <w:color w:val="auto"/>
              </w:rPr>
            </w:pPr>
            <w:r>
              <w:rPr>
                <w:rFonts w:ascii="Calibri" w:cs="Calibri" w:eastAsia="Calibri" w:hAnsi="Calibri"/>
                <w:sz w:val="14"/>
                <w:szCs w:val="14"/>
                <w:color w:val="auto"/>
              </w:rPr>
              <w:t>Head, Insurance</w:t>
            </w:r>
          </w:p>
        </w:tc>
        <w:tc>
          <w:tcPr>
            <w:tcW w:w="52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9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29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980" w:type="dxa"/>
            <w:vAlign w:val="bottom"/>
            <w:shd w:val="clear" w:color="auto" w:fill="D8D8D8"/>
          </w:tcPr>
          <w:p>
            <w:pPr>
              <w:ind w:left="60"/>
              <w:spacing w:after="0"/>
              <w:rPr>
                <w:sz w:val="20"/>
                <w:szCs w:val="20"/>
                <w:color w:val="auto"/>
              </w:rPr>
            </w:pPr>
            <w:r>
              <w:rPr>
                <w:rFonts w:ascii="Calibri" w:cs="Calibri" w:eastAsia="Calibri" w:hAnsi="Calibri"/>
                <w:sz w:val="14"/>
                <w:szCs w:val="14"/>
                <w:b w:val="1"/>
                <w:bCs w:val="1"/>
                <w:color w:val="auto"/>
              </w:rPr>
              <w:t>Vivek Jetley</w:t>
            </w:r>
          </w:p>
        </w:tc>
        <w:tc>
          <w:tcPr>
            <w:tcW w:w="520" w:type="dxa"/>
            <w:vAlign w:val="bottom"/>
            <w:gridSpan w:val="2"/>
            <w:shd w:val="clear" w:color="auto" w:fill="D8D8D8"/>
          </w:tcPr>
          <w:p>
            <w:pPr>
              <w:ind w:left="200"/>
              <w:spacing w:after="0"/>
              <w:rPr>
                <w:sz w:val="20"/>
                <w:szCs w:val="20"/>
                <w:color w:val="auto"/>
              </w:rPr>
            </w:pPr>
            <w:r>
              <w:rPr>
                <w:rFonts w:ascii="Calibri" w:cs="Calibri" w:eastAsia="Calibri" w:hAnsi="Calibri"/>
                <w:sz w:val="14"/>
                <w:szCs w:val="14"/>
                <w:color w:val="auto"/>
              </w:rPr>
              <w:t>2021</w:t>
            </w:r>
          </w:p>
        </w:tc>
        <w:tc>
          <w:tcPr>
            <w:tcW w:w="840" w:type="dxa"/>
            <w:vAlign w:val="bottom"/>
            <w:shd w:val="clear" w:color="auto" w:fill="D8D8D8"/>
          </w:tcPr>
          <w:p>
            <w:pPr>
              <w:jc w:val="right"/>
              <w:ind w:right="71"/>
              <w:spacing w:after="0"/>
              <w:rPr>
                <w:sz w:val="20"/>
                <w:szCs w:val="20"/>
                <w:color w:val="auto"/>
              </w:rPr>
            </w:pPr>
            <w:r>
              <w:rPr>
                <w:rFonts w:ascii="Calibri" w:cs="Calibri" w:eastAsia="Calibri" w:hAnsi="Calibri"/>
                <w:sz w:val="14"/>
                <w:szCs w:val="14"/>
                <w:color w:val="auto"/>
              </w:rPr>
              <w:t>415,068</w:t>
            </w:r>
          </w:p>
        </w:tc>
        <w:tc>
          <w:tcPr>
            <w:tcW w:w="400" w:type="dxa"/>
            <w:vAlign w:val="bottom"/>
            <w:shd w:val="clear" w:color="auto" w:fill="D8D8D8"/>
          </w:tcPr>
          <w:p>
            <w:pPr>
              <w:spacing w:after="0"/>
              <w:rPr>
                <w:sz w:val="15"/>
                <w:szCs w:val="15"/>
                <w:color w:val="auto"/>
              </w:rPr>
            </w:pPr>
          </w:p>
        </w:tc>
        <w:tc>
          <w:tcPr>
            <w:tcW w:w="72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2,429,371</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586,146</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9,204</w:t>
            </w:r>
          </w:p>
        </w:tc>
        <w:tc>
          <w:tcPr>
            <w:tcW w:w="360" w:type="dxa"/>
            <w:vAlign w:val="bottom"/>
            <w:shd w:val="clear" w:color="auto" w:fill="D8D8D8"/>
          </w:tcPr>
          <w:p>
            <w:pPr>
              <w:jc w:val="right"/>
              <w:ind w:right="61"/>
              <w:spacing w:after="0" w:line="145" w:lineRule="exact"/>
              <w:rPr>
                <w:sz w:val="20"/>
                <w:szCs w:val="20"/>
                <w:color w:val="auto"/>
              </w:rPr>
            </w:pPr>
            <w:r>
              <w:rPr>
                <w:rFonts w:ascii="Calibri" w:cs="Calibri" w:eastAsia="Calibri" w:hAnsi="Calibri"/>
                <w:sz w:val="12"/>
                <w:szCs w:val="12"/>
                <w:color w:val="auto"/>
              </w:rPr>
              <w:t>(8)</w:t>
            </w:r>
          </w:p>
        </w:tc>
        <w:tc>
          <w:tcPr>
            <w:tcW w:w="86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3,439,789</w:t>
            </w:r>
          </w:p>
        </w:tc>
        <w:tc>
          <w:tcPr>
            <w:tcW w:w="0" w:type="dxa"/>
            <w:vAlign w:val="bottom"/>
          </w:tcPr>
          <w:p>
            <w:pPr>
              <w:spacing w:after="0"/>
              <w:rPr>
                <w:sz w:val="1"/>
                <w:szCs w:val="1"/>
                <w:color w:val="auto"/>
              </w:rPr>
            </w:pPr>
          </w:p>
        </w:tc>
      </w:tr>
      <w:tr>
        <w:trPr>
          <w:trHeight w:val="299"/>
        </w:trPr>
        <w:tc>
          <w:tcPr>
            <w:tcW w:w="2980" w:type="dxa"/>
            <w:vAlign w:val="bottom"/>
            <w:shd w:val="clear" w:color="auto" w:fill="D8D8D8"/>
          </w:tcPr>
          <w:p>
            <w:pPr>
              <w:ind w:left="60"/>
              <w:spacing w:after="0"/>
              <w:rPr>
                <w:sz w:val="20"/>
                <w:szCs w:val="20"/>
                <w:color w:val="auto"/>
              </w:rPr>
            </w:pPr>
            <w:r>
              <w:rPr>
                <w:rFonts w:ascii="Calibri" w:cs="Calibri" w:eastAsia="Calibri" w:hAnsi="Calibri"/>
                <w:sz w:val="14"/>
                <w:szCs w:val="14"/>
                <w:color w:val="auto"/>
              </w:rPr>
              <w:t>Executve Vice</w:t>
            </w:r>
          </w:p>
        </w:tc>
        <w:tc>
          <w:tcPr>
            <w:tcW w:w="160" w:type="dxa"/>
            <w:vAlign w:val="bottom"/>
            <w:shd w:val="clear" w:color="auto" w:fill="D8D8D8"/>
          </w:tcPr>
          <w:p>
            <w:pPr>
              <w:spacing w:after="0"/>
              <w:rPr>
                <w:sz w:val="24"/>
                <w:szCs w:val="24"/>
                <w:color w:val="auto"/>
              </w:rPr>
            </w:pPr>
          </w:p>
        </w:tc>
        <w:tc>
          <w:tcPr>
            <w:tcW w:w="360" w:type="dxa"/>
            <w:vAlign w:val="bottom"/>
            <w:shd w:val="clear" w:color="auto" w:fill="D8D8D8"/>
          </w:tcPr>
          <w:p>
            <w:pPr>
              <w:ind w:left="40"/>
              <w:spacing w:after="0"/>
              <w:rPr>
                <w:sz w:val="20"/>
                <w:szCs w:val="20"/>
                <w:color w:val="auto"/>
              </w:rPr>
            </w:pPr>
            <w:r>
              <w:rPr>
                <w:rFonts w:ascii="Calibri" w:cs="Calibri" w:eastAsia="Calibri" w:hAnsi="Calibri"/>
                <w:sz w:val="14"/>
                <w:szCs w:val="14"/>
                <w:color w:val="auto"/>
              </w:rPr>
              <w:t>2020</w:t>
            </w:r>
          </w:p>
        </w:tc>
        <w:tc>
          <w:tcPr>
            <w:tcW w:w="840" w:type="dxa"/>
            <w:vAlign w:val="bottom"/>
            <w:shd w:val="clear" w:color="auto" w:fill="D8D8D8"/>
          </w:tcPr>
          <w:p>
            <w:pPr>
              <w:jc w:val="right"/>
              <w:ind w:right="71"/>
              <w:spacing w:after="0"/>
              <w:rPr>
                <w:sz w:val="20"/>
                <w:szCs w:val="20"/>
                <w:color w:val="auto"/>
              </w:rPr>
            </w:pPr>
            <w:r>
              <w:rPr>
                <w:rFonts w:ascii="Calibri" w:cs="Calibri" w:eastAsia="Calibri" w:hAnsi="Calibri"/>
                <w:sz w:val="14"/>
                <w:szCs w:val="14"/>
                <w:color w:val="auto"/>
              </w:rPr>
              <w:t>—</w:t>
            </w:r>
          </w:p>
        </w:tc>
        <w:tc>
          <w:tcPr>
            <w:tcW w:w="400" w:type="dxa"/>
            <w:vAlign w:val="bottom"/>
            <w:shd w:val="clear" w:color="auto" w:fill="D8D8D8"/>
          </w:tcPr>
          <w:p>
            <w:pPr>
              <w:spacing w:after="0"/>
              <w:rPr>
                <w:sz w:val="24"/>
                <w:szCs w:val="24"/>
                <w:color w:val="auto"/>
              </w:rPr>
            </w:pPr>
          </w:p>
        </w:tc>
        <w:tc>
          <w:tcPr>
            <w:tcW w:w="72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36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31"/>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2"/>
        </w:trPr>
        <w:tc>
          <w:tcPr>
            <w:tcW w:w="2980" w:type="dxa"/>
            <w:vAlign w:val="bottom"/>
            <w:shd w:val="clear" w:color="auto" w:fill="D8D8D8"/>
          </w:tcPr>
          <w:p>
            <w:pPr>
              <w:ind w:left="60"/>
              <w:spacing w:after="0"/>
              <w:rPr>
                <w:sz w:val="20"/>
                <w:szCs w:val="20"/>
                <w:color w:val="auto"/>
              </w:rPr>
            </w:pPr>
            <w:r>
              <w:rPr>
                <w:rFonts w:ascii="Calibri" w:cs="Calibri" w:eastAsia="Calibri" w:hAnsi="Calibri"/>
                <w:sz w:val="14"/>
                <w:szCs w:val="14"/>
                <w:color w:val="auto"/>
              </w:rPr>
              <w:t>President and Business</w:t>
            </w:r>
          </w:p>
        </w:tc>
        <w:tc>
          <w:tcPr>
            <w:tcW w:w="160" w:type="dxa"/>
            <w:vAlign w:val="bottom"/>
            <w:shd w:val="clear" w:color="auto" w:fill="D8D8D8"/>
          </w:tcPr>
          <w:p>
            <w:pPr>
              <w:spacing w:after="0"/>
              <w:rPr>
                <w:sz w:val="15"/>
                <w:szCs w:val="15"/>
                <w:color w:val="auto"/>
              </w:rPr>
            </w:pPr>
          </w:p>
        </w:tc>
        <w:tc>
          <w:tcPr>
            <w:tcW w:w="360" w:type="dxa"/>
            <w:vAlign w:val="bottom"/>
            <w:vMerge w:val="restart"/>
            <w:shd w:val="clear" w:color="auto" w:fill="D8D8D8"/>
          </w:tcPr>
          <w:p>
            <w:pPr>
              <w:ind w:left="40"/>
              <w:spacing w:after="0"/>
              <w:rPr>
                <w:sz w:val="20"/>
                <w:szCs w:val="20"/>
                <w:color w:val="auto"/>
              </w:rPr>
            </w:pPr>
            <w:r>
              <w:rPr>
                <w:rFonts w:ascii="Calibri" w:cs="Calibri" w:eastAsia="Calibri" w:hAnsi="Calibri"/>
                <w:sz w:val="14"/>
                <w:szCs w:val="14"/>
                <w:color w:val="auto"/>
              </w:rPr>
              <w:t>2019</w:t>
            </w:r>
          </w:p>
        </w:tc>
        <w:tc>
          <w:tcPr>
            <w:tcW w:w="840" w:type="dxa"/>
            <w:vAlign w:val="bottom"/>
            <w:vMerge w:val="restart"/>
            <w:shd w:val="clear" w:color="auto" w:fill="D8D8D8"/>
          </w:tcPr>
          <w:p>
            <w:pPr>
              <w:jc w:val="right"/>
              <w:ind w:right="71"/>
              <w:spacing w:after="0"/>
              <w:rPr>
                <w:sz w:val="20"/>
                <w:szCs w:val="20"/>
                <w:color w:val="auto"/>
              </w:rPr>
            </w:pPr>
            <w:r>
              <w:rPr>
                <w:rFonts w:ascii="Calibri" w:cs="Calibri" w:eastAsia="Calibri" w:hAnsi="Calibri"/>
                <w:sz w:val="14"/>
                <w:szCs w:val="14"/>
                <w:color w:val="auto"/>
              </w:rPr>
              <w:t>—</w:t>
            </w:r>
          </w:p>
        </w:tc>
        <w:tc>
          <w:tcPr>
            <w:tcW w:w="400" w:type="dxa"/>
            <w:vAlign w:val="bottom"/>
            <w:shd w:val="clear" w:color="auto" w:fill="D8D8D8"/>
          </w:tcPr>
          <w:p>
            <w:pPr>
              <w:spacing w:after="0"/>
              <w:rPr>
                <w:sz w:val="15"/>
                <w:szCs w:val="15"/>
                <w:color w:val="auto"/>
              </w:rPr>
            </w:pPr>
          </w:p>
        </w:tc>
        <w:tc>
          <w:tcPr>
            <w:tcW w:w="720" w:type="dxa"/>
            <w:vAlign w:val="bottom"/>
            <w:vMerge w:val="restart"/>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vMerge w:val="restart"/>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vMerge w:val="restart"/>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vMerge w:val="restart"/>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vMerge w:val="restart"/>
            <w:shd w:val="clear" w:color="auto" w:fill="D8D8D8"/>
          </w:tcPr>
          <w:p>
            <w:pPr>
              <w:jc w:val="right"/>
              <w:ind w:right="51"/>
              <w:spacing w:after="0"/>
              <w:rPr>
                <w:sz w:val="20"/>
                <w:szCs w:val="20"/>
                <w:color w:val="auto"/>
              </w:rPr>
            </w:pPr>
            <w:r>
              <w:rPr>
                <w:rFonts w:ascii="Calibri" w:cs="Calibri" w:eastAsia="Calibri" w:hAnsi="Calibri"/>
                <w:sz w:val="14"/>
                <w:szCs w:val="14"/>
                <w:color w:val="auto"/>
              </w:rPr>
              <w:t>—</w:t>
            </w:r>
          </w:p>
        </w:tc>
        <w:tc>
          <w:tcPr>
            <w:tcW w:w="360" w:type="dxa"/>
            <w:vAlign w:val="bottom"/>
            <w:shd w:val="clear" w:color="auto" w:fill="D8D8D8"/>
          </w:tcPr>
          <w:p>
            <w:pPr>
              <w:spacing w:after="0"/>
              <w:rPr>
                <w:sz w:val="15"/>
                <w:szCs w:val="15"/>
                <w:color w:val="auto"/>
              </w:rPr>
            </w:pPr>
          </w:p>
        </w:tc>
        <w:tc>
          <w:tcPr>
            <w:tcW w:w="860" w:type="dxa"/>
            <w:vAlign w:val="bottom"/>
            <w:vMerge w:val="restart"/>
            <w:shd w:val="clear" w:color="auto" w:fill="D8D8D8"/>
          </w:tcPr>
          <w:p>
            <w:pPr>
              <w:jc w:val="right"/>
              <w:ind w:right="31"/>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78"/>
        </w:trPr>
        <w:tc>
          <w:tcPr>
            <w:tcW w:w="2980" w:type="dxa"/>
            <w:vAlign w:val="bottom"/>
            <w:vMerge w:val="restart"/>
            <w:shd w:val="clear" w:color="auto" w:fill="D8D8D8"/>
          </w:tcPr>
          <w:p>
            <w:pPr>
              <w:ind w:left="60"/>
              <w:spacing w:after="0" w:line="169" w:lineRule="exact"/>
              <w:rPr>
                <w:sz w:val="20"/>
                <w:szCs w:val="20"/>
                <w:color w:val="auto"/>
              </w:rPr>
            </w:pPr>
            <w:r>
              <w:rPr>
                <w:rFonts w:ascii="Calibri" w:cs="Calibri" w:eastAsia="Calibri" w:hAnsi="Calibri"/>
                <w:sz w:val="14"/>
                <w:szCs w:val="14"/>
                <w:color w:val="auto"/>
              </w:rPr>
              <w:t>Head, Analytcs</w:t>
            </w:r>
          </w:p>
        </w:tc>
        <w:tc>
          <w:tcPr>
            <w:tcW w:w="160" w:type="dxa"/>
            <w:vAlign w:val="bottom"/>
            <w:shd w:val="clear" w:color="auto" w:fill="D8D8D8"/>
          </w:tcPr>
          <w:p>
            <w:pPr>
              <w:spacing w:after="0"/>
              <w:rPr>
                <w:sz w:val="6"/>
                <w:szCs w:val="6"/>
                <w:color w:val="auto"/>
              </w:rPr>
            </w:pPr>
          </w:p>
        </w:tc>
        <w:tc>
          <w:tcPr>
            <w:tcW w:w="360" w:type="dxa"/>
            <w:vAlign w:val="bottom"/>
            <w:vMerge w:val="continue"/>
            <w:shd w:val="clear" w:color="auto" w:fill="D8D8D8"/>
          </w:tcPr>
          <w:p>
            <w:pPr>
              <w:spacing w:after="0"/>
              <w:rPr>
                <w:sz w:val="6"/>
                <w:szCs w:val="6"/>
                <w:color w:val="auto"/>
              </w:rPr>
            </w:pPr>
          </w:p>
        </w:tc>
        <w:tc>
          <w:tcPr>
            <w:tcW w:w="840" w:type="dxa"/>
            <w:vAlign w:val="bottom"/>
            <w:vMerge w:val="continue"/>
            <w:shd w:val="clear" w:color="auto" w:fill="D8D8D8"/>
          </w:tcPr>
          <w:p>
            <w:pPr>
              <w:spacing w:after="0"/>
              <w:rPr>
                <w:sz w:val="6"/>
                <w:szCs w:val="6"/>
                <w:color w:val="auto"/>
              </w:rPr>
            </w:pPr>
          </w:p>
        </w:tc>
        <w:tc>
          <w:tcPr>
            <w:tcW w:w="400" w:type="dxa"/>
            <w:vAlign w:val="bottom"/>
            <w:shd w:val="clear" w:color="auto" w:fill="D8D8D8"/>
          </w:tcPr>
          <w:p>
            <w:pPr>
              <w:spacing w:after="0"/>
              <w:rPr>
                <w:sz w:val="6"/>
                <w:szCs w:val="6"/>
                <w:color w:val="auto"/>
              </w:rPr>
            </w:pPr>
          </w:p>
        </w:tc>
        <w:tc>
          <w:tcPr>
            <w:tcW w:w="720" w:type="dxa"/>
            <w:vAlign w:val="bottom"/>
            <w:vMerge w:val="continue"/>
            <w:shd w:val="clear" w:color="auto" w:fill="D8D8D8"/>
          </w:tcPr>
          <w:p>
            <w:pPr>
              <w:spacing w:after="0"/>
              <w:rPr>
                <w:sz w:val="6"/>
                <w:szCs w:val="6"/>
                <w:color w:val="auto"/>
              </w:rPr>
            </w:pPr>
          </w:p>
        </w:tc>
        <w:tc>
          <w:tcPr>
            <w:tcW w:w="820" w:type="dxa"/>
            <w:vAlign w:val="bottom"/>
            <w:vMerge w:val="continue"/>
            <w:shd w:val="clear" w:color="auto" w:fill="D8D8D8"/>
          </w:tcPr>
          <w:p>
            <w:pPr>
              <w:spacing w:after="0"/>
              <w:rPr>
                <w:sz w:val="6"/>
                <w:szCs w:val="6"/>
                <w:color w:val="auto"/>
              </w:rPr>
            </w:pPr>
          </w:p>
        </w:tc>
        <w:tc>
          <w:tcPr>
            <w:tcW w:w="1040" w:type="dxa"/>
            <w:vAlign w:val="bottom"/>
            <w:vMerge w:val="continue"/>
            <w:shd w:val="clear" w:color="auto" w:fill="D8D8D8"/>
          </w:tcPr>
          <w:p>
            <w:pPr>
              <w:spacing w:after="0"/>
              <w:rPr>
                <w:sz w:val="6"/>
                <w:szCs w:val="6"/>
                <w:color w:val="auto"/>
              </w:rPr>
            </w:pPr>
          </w:p>
        </w:tc>
        <w:tc>
          <w:tcPr>
            <w:tcW w:w="1040" w:type="dxa"/>
            <w:vAlign w:val="bottom"/>
            <w:vMerge w:val="continue"/>
            <w:shd w:val="clear" w:color="auto" w:fill="D8D8D8"/>
          </w:tcPr>
          <w:p>
            <w:pPr>
              <w:spacing w:after="0"/>
              <w:rPr>
                <w:sz w:val="6"/>
                <w:szCs w:val="6"/>
                <w:color w:val="auto"/>
              </w:rPr>
            </w:pPr>
          </w:p>
        </w:tc>
        <w:tc>
          <w:tcPr>
            <w:tcW w:w="1040" w:type="dxa"/>
            <w:vAlign w:val="bottom"/>
            <w:vMerge w:val="continue"/>
            <w:shd w:val="clear" w:color="auto" w:fill="D8D8D8"/>
          </w:tcPr>
          <w:p>
            <w:pPr>
              <w:spacing w:after="0"/>
              <w:rPr>
                <w:sz w:val="6"/>
                <w:szCs w:val="6"/>
                <w:color w:val="auto"/>
              </w:rPr>
            </w:pPr>
          </w:p>
        </w:tc>
        <w:tc>
          <w:tcPr>
            <w:tcW w:w="360" w:type="dxa"/>
            <w:vAlign w:val="bottom"/>
            <w:shd w:val="clear" w:color="auto" w:fill="D8D8D8"/>
          </w:tcPr>
          <w:p>
            <w:pPr>
              <w:spacing w:after="0"/>
              <w:rPr>
                <w:sz w:val="6"/>
                <w:szCs w:val="6"/>
                <w:color w:val="auto"/>
              </w:rPr>
            </w:pPr>
          </w:p>
        </w:tc>
        <w:tc>
          <w:tcPr>
            <w:tcW w:w="860" w:type="dxa"/>
            <w:vAlign w:val="bottom"/>
            <w:vMerge w:val="continue"/>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2980" w:type="dxa"/>
            <w:vAlign w:val="bottom"/>
            <w:tcBorders>
              <w:bottom w:val="single" w:sz="8" w:color="D8D8D8"/>
            </w:tcBorders>
            <w:vMerge w:val="continue"/>
            <w:shd w:val="clear" w:color="auto" w:fill="D8D8D8"/>
          </w:tcPr>
          <w:p>
            <w:pPr>
              <w:spacing w:after="0"/>
              <w:rPr>
                <w:sz w:val="8"/>
                <w:szCs w:val="8"/>
                <w:color w:val="auto"/>
              </w:rPr>
            </w:pPr>
          </w:p>
        </w:tc>
        <w:tc>
          <w:tcPr>
            <w:tcW w:w="160" w:type="dxa"/>
            <w:vAlign w:val="bottom"/>
            <w:tcBorders>
              <w:bottom w:val="single" w:sz="8" w:color="D8D8D8"/>
            </w:tcBorders>
            <w:shd w:val="clear" w:color="auto" w:fill="D8D8D8"/>
          </w:tcPr>
          <w:p>
            <w:pPr>
              <w:spacing w:after="0"/>
              <w:rPr>
                <w:sz w:val="8"/>
                <w:szCs w:val="8"/>
                <w:color w:val="auto"/>
              </w:rPr>
            </w:pPr>
          </w:p>
        </w:tc>
        <w:tc>
          <w:tcPr>
            <w:tcW w:w="360" w:type="dxa"/>
            <w:vAlign w:val="bottom"/>
            <w:tcBorders>
              <w:bottom w:val="single" w:sz="8" w:color="D8D8D8"/>
            </w:tcBorders>
            <w:shd w:val="clear" w:color="auto" w:fill="D8D8D8"/>
          </w:tcPr>
          <w:p>
            <w:pPr>
              <w:spacing w:after="0"/>
              <w:rPr>
                <w:sz w:val="8"/>
                <w:szCs w:val="8"/>
                <w:color w:val="auto"/>
              </w:rPr>
            </w:pPr>
          </w:p>
        </w:tc>
        <w:tc>
          <w:tcPr>
            <w:tcW w:w="840" w:type="dxa"/>
            <w:vAlign w:val="bottom"/>
            <w:tcBorders>
              <w:bottom w:val="single" w:sz="8" w:color="D8D8D8"/>
            </w:tcBorders>
            <w:shd w:val="clear" w:color="auto" w:fill="D8D8D8"/>
          </w:tcPr>
          <w:p>
            <w:pPr>
              <w:spacing w:after="0"/>
              <w:rPr>
                <w:sz w:val="8"/>
                <w:szCs w:val="8"/>
                <w:color w:val="auto"/>
              </w:rPr>
            </w:pPr>
          </w:p>
        </w:tc>
        <w:tc>
          <w:tcPr>
            <w:tcW w:w="400" w:type="dxa"/>
            <w:vAlign w:val="bottom"/>
            <w:tcBorders>
              <w:bottom w:val="single" w:sz="8" w:color="D8D8D8"/>
            </w:tcBorders>
            <w:shd w:val="clear" w:color="auto" w:fill="D8D8D8"/>
          </w:tcPr>
          <w:p>
            <w:pPr>
              <w:spacing w:after="0"/>
              <w:rPr>
                <w:sz w:val="8"/>
                <w:szCs w:val="8"/>
                <w:color w:val="auto"/>
              </w:rPr>
            </w:pPr>
          </w:p>
        </w:tc>
        <w:tc>
          <w:tcPr>
            <w:tcW w:w="720" w:type="dxa"/>
            <w:vAlign w:val="bottom"/>
            <w:tcBorders>
              <w:bottom w:val="single" w:sz="8" w:color="D8D8D8"/>
            </w:tcBorders>
            <w:shd w:val="clear" w:color="auto" w:fill="D8D8D8"/>
          </w:tcPr>
          <w:p>
            <w:pPr>
              <w:spacing w:after="0"/>
              <w:rPr>
                <w:sz w:val="8"/>
                <w:szCs w:val="8"/>
                <w:color w:val="auto"/>
              </w:rPr>
            </w:pPr>
          </w:p>
        </w:tc>
        <w:tc>
          <w:tcPr>
            <w:tcW w:w="820" w:type="dxa"/>
            <w:vAlign w:val="bottom"/>
            <w:tcBorders>
              <w:bottom w:val="single" w:sz="8" w:color="D8D8D8"/>
            </w:tcBorders>
            <w:shd w:val="clear" w:color="auto" w:fill="D8D8D8"/>
          </w:tcPr>
          <w:p>
            <w:pPr>
              <w:spacing w:after="0"/>
              <w:rPr>
                <w:sz w:val="8"/>
                <w:szCs w:val="8"/>
                <w:color w:val="auto"/>
              </w:rPr>
            </w:pPr>
          </w:p>
        </w:tc>
        <w:tc>
          <w:tcPr>
            <w:tcW w:w="1040" w:type="dxa"/>
            <w:vAlign w:val="bottom"/>
            <w:tcBorders>
              <w:bottom w:val="single" w:sz="8" w:color="D8D8D8"/>
            </w:tcBorders>
            <w:shd w:val="clear" w:color="auto" w:fill="D8D8D8"/>
          </w:tcPr>
          <w:p>
            <w:pPr>
              <w:spacing w:after="0"/>
              <w:rPr>
                <w:sz w:val="8"/>
                <w:szCs w:val="8"/>
                <w:color w:val="auto"/>
              </w:rPr>
            </w:pPr>
          </w:p>
        </w:tc>
        <w:tc>
          <w:tcPr>
            <w:tcW w:w="1040" w:type="dxa"/>
            <w:vAlign w:val="bottom"/>
            <w:tcBorders>
              <w:bottom w:val="single" w:sz="8" w:color="D8D8D8"/>
            </w:tcBorders>
            <w:shd w:val="clear" w:color="auto" w:fill="D8D8D8"/>
          </w:tcPr>
          <w:p>
            <w:pPr>
              <w:spacing w:after="0"/>
              <w:rPr>
                <w:sz w:val="8"/>
                <w:szCs w:val="8"/>
                <w:color w:val="auto"/>
              </w:rPr>
            </w:pPr>
          </w:p>
        </w:tc>
        <w:tc>
          <w:tcPr>
            <w:tcW w:w="1040" w:type="dxa"/>
            <w:vAlign w:val="bottom"/>
            <w:tcBorders>
              <w:bottom w:val="single" w:sz="8" w:color="D8D8D8"/>
            </w:tcBorders>
            <w:shd w:val="clear" w:color="auto" w:fill="D8D8D8"/>
          </w:tcPr>
          <w:p>
            <w:pPr>
              <w:spacing w:after="0"/>
              <w:rPr>
                <w:sz w:val="8"/>
                <w:szCs w:val="8"/>
                <w:color w:val="auto"/>
              </w:rPr>
            </w:pPr>
          </w:p>
        </w:tc>
        <w:tc>
          <w:tcPr>
            <w:tcW w:w="360" w:type="dxa"/>
            <w:vAlign w:val="bottom"/>
            <w:tcBorders>
              <w:bottom w:val="single" w:sz="8" w:color="D8D8D8"/>
            </w:tcBorders>
            <w:shd w:val="clear" w:color="auto" w:fill="D8D8D8"/>
          </w:tcPr>
          <w:p>
            <w:pPr>
              <w:spacing w:after="0"/>
              <w:rPr>
                <w:sz w:val="8"/>
                <w:szCs w:val="8"/>
                <w:color w:val="auto"/>
              </w:rPr>
            </w:pPr>
          </w:p>
        </w:tc>
        <w:tc>
          <w:tcPr>
            <w:tcW w:w="860" w:type="dxa"/>
            <w:vAlign w:val="bottom"/>
            <w:tcBorders>
              <w:bottom w:val="single" w:sz="8" w:color="D8D8D8"/>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980" w:type="dxa"/>
            <w:vAlign w:val="bottom"/>
          </w:tcPr>
          <w:p>
            <w:pPr>
              <w:ind w:left="60"/>
              <w:spacing w:after="0"/>
              <w:rPr>
                <w:sz w:val="20"/>
                <w:szCs w:val="20"/>
                <w:color w:val="auto"/>
              </w:rPr>
            </w:pPr>
            <w:r>
              <w:rPr>
                <w:rFonts w:ascii="Calibri" w:cs="Calibri" w:eastAsia="Calibri" w:hAnsi="Calibri"/>
                <w:sz w:val="14"/>
                <w:szCs w:val="14"/>
                <w:b w:val="1"/>
                <w:bCs w:val="1"/>
                <w:color w:val="auto"/>
              </w:rPr>
              <w:t>Samuel Meckey</w:t>
            </w:r>
          </w:p>
        </w:tc>
        <w:tc>
          <w:tcPr>
            <w:tcW w:w="520" w:type="dxa"/>
            <w:vAlign w:val="bottom"/>
            <w:gridSpan w:val="2"/>
          </w:tcPr>
          <w:p>
            <w:pPr>
              <w:ind w:left="200"/>
              <w:spacing w:after="0"/>
              <w:rPr>
                <w:sz w:val="20"/>
                <w:szCs w:val="20"/>
                <w:color w:val="auto"/>
              </w:rPr>
            </w:pPr>
            <w:r>
              <w:rPr>
                <w:rFonts w:ascii="Calibri" w:cs="Calibri" w:eastAsia="Calibri" w:hAnsi="Calibri"/>
                <w:sz w:val="14"/>
                <w:szCs w:val="14"/>
                <w:color w:val="auto"/>
              </w:rPr>
              <w:t>2021</w:t>
            </w:r>
          </w:p>
        </w:tc>
        <w:tc>
          <w:tcPr>
            <w:tcW w:w="840" w:type="dxa"/>
            <w:vAlign w:val="bottom"/>
          </w:tcPr>
          <w:p>
            <w:pPr>
              <w:jc w:val="right"/>
              <w:ind w:right="71"/>
              <w:spacing w:after="0"/>
              <w:rPr>
                <w:sz w:val="20"/>
                <w:szCs w:val="20"/>
                <w:color w:val="auto"/>
              </w:rPr>
            </w:pPr>
            <w:r>
              <w:rPr>
                <w:rFonts w:ascii="Calibri" w:cs="Calibri" w:eastAsia="Calibri" w:hAnsi="Calibri"/>
                <w:sz w:val="14"/>
                <w:szCs w:val="14"/>
                <w:color w:val="auto"/>
              </w:rPr>
              <w:t>437,808</w:t>
            </w:r>
          </w:p>
        </w:tc>
        <w:tc>
          <w:tcPr>
            <w:tcW w:w="400" w:type="dxa"/>
            <w:vAlign w:val="bottom"/>
          </w:tcPr>
          <w:p>
            <w:pPr>
              <w:spacing w:after="0"/>
              <w:rPr>
                <w:sz w:val="15"/>
                <w:szCs w:val="15"/>
                <w:color w:val="auto"/>
              </w:rPr>
            </w:pPr>
          </w:p>
        </w:tc>
        <w:tc>
          <w:tcPr>
            <w:tcW w:w="7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2,321,257</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577,214</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9,204</w:t>
            </w:r>
          </w:p>
        </w:tc>
        <w:tc>
          <w:tcPr>
            <w:tcW w:w="360" w:type="dxa"/>
            <w:vAlign w:val="bottom"/>
          </w:tcPr>
          <w:p>
            <w:pPr>
              <w:jc w:val="right"/>
              <w:ind w:right="61"/>
              <w:spacing w:after="0" w:line="145" w:lineRule="exact"/>
              <w:rPr>
                <w:sz w:val="20"/>
                <w:szCs w:val="20"/>
                <w:color w:val="auto"/>
              </w:rPr>
            </w:pPr>
            <w:r>
              <w:rPr>
                <w:rFonts w:ascii="Calibri" w:cs="Calibri" w:eastAsia="Calibri" w:hAnsi="Calibri"/>
                <w:sz w:val="12"/>
                <w:szCs w:val="12"/>
                <w:color w:val="auto"/>
              </w:rPr>
              <w:t>(9)</w:t>
            </w:r>
          </w:p>
        </w:tc>
        <w:tc>
          <w:tcPr>
            <w:tcW w:w="860" w:type="dxa"/>
            <w:vAlign w:val="bottom"/>
          </w:tcPr>
          <w:p>
            <w:pPr>
              <w:jc w:val="right"/>
              <w:ind w:right="31"/>
              <w:spacing w:after="0"/>
              <w:rPr>
                <w:sz w:val="20"/>
                <w:szCs w:val="20"/>
                <w:color w:val="auto"/>
              </w:rPr>
            </w:pPr>
            <w:r>
              <w:rPr>
                <w:rFonts w:ascii="Calibri" w:cs="Calibri" w:eastAsia="Calibri" w:hAnsi="Calibri"/>
                <w:sz w:val="14"/>
                <w:szCs w:val="14"/>
                <w:color w:val="auto"/>
              </w:rPr>
              <w:t>3,345,483</w:t>
            </w:r>
          </w:p>
        </w:tc>
        <w:tc>
          <w:tcPr>
            <w:tcW w:w="0" w:type="dxa"/>
            <w:vAlign w:val="bottom"/>
          </w:tcPr>
          <w:p>
            <w:pPr>
              <w:spacing w:after="0"/>
              <w:rPr>
                <w:sz w:val="1"/>
                <w:szCs w:val="1"/>
                <w:color w:val="auto"/>
              </w:rPr>
            </w:pPr>
          </w:p>
        </w:tc>
      </w:tr>
      <w:tr>
        <w:trPr>
          <w:trHeight w:val="299"/>
        </w:trPr>
        <w:tc>
          <w:tcPr>
            <w:tcW w:w="2980" w:type="dxa"/>
            <w:vAlign w:val="bottom"/>
          </w:tcPr>
          <w:p>
            <w:pPr>
              <w:ind w:left="60"/>
              <w:spacing w:after="0"/>
              <w:rPr>
                <w:sz w:val="20"/>
                <w:szCs w:val="20"/>
                <w:color w:val="auto"/>
              </w:rPr>
            </w:pPr>
            <w:r>
              <w:rPr>
                <w:rFonts w:ascii="Calibri" w:cs="Calibri" w:eastAsia="Calibri" w:hAnsi="Calibri"/>
                <w:sz w:val="14"/>
                <w:szCs w:val="14"/>
                <w:color w:val="auto"/>
              </w:rPr>
              <w:t>Executve Vice</w:t>
            </w:r>
          </w:p>
        </w:tc>
        <w:tc>
          <w:tcPr>
            <w:tcW w:w="520" w:type="dxa"/>
            <w:vAlign w:val="bottom"/>
            <w:gridSpan w:val="2"/>
          </w:tcPr>
          <w:p>
            <w:pPr>
              <w:ind w:left="200"/>
              <w:spacing w:after="0"/>
              <w:rPr>
                <w:sz w:val="20"/>
                <w:szCs w:val="20"/>
                <w:color w:val="auto"/>
              </w:rPr>
            </w:pPr>
            <w:r>
              <w:rPr>
                <w:rFonts w:ascii="Calibri" w:cs="Calibri" w:eastAsia="Calibri" w:hAnsi="Calibri"/>
                <w:sz w:val="14"/>
                <w:szCs w:val="14"/>
                <w:color w:val="auto"/>
              </w:rPr>
              <w:t>2020</w:t>
            </w:r>
          </w:p>
        </w:tc>
        <w:tc>
          <w:tcPr>
            <w:tcW w:w="840" w:type="dxa"/>
            <w:vAlign w:val="bottom"/>
          </w:tcPr>
          <w:p>
            <w:pPr>
              <w:jc w:val="right"/>
              <w:ind w:right="71"/>
              <w:spacing w:after="0"/>
              <w:rPr>
                <w:sz w:val="20"/>
                <w:szCs w:val="20"/>
                <w:color w:val="auto"/>
              </w:rPr>
            </w:pPr>
            <w:r>
              <w:rPr>
                <w:rFonts w:ascii="Calibri" w:cs="Calibri" w:eastAsia="Calibri" w:hAnsi="Calibri"/>
                <w:sz w:val="14"/>
                <w:szCs w:val="14"/>
                <w:color w:val="auto"/>
              </w:rPr>
              <w:t>382,152</w:t>
            </w:r>
          </w:p>
        </w:tc>
        <w:tc>
          <w:tcPr>
            <w:tcW w:w="400" w:type="dxa"/>
            <w:vAlign w:val="bottom"/>
          </w:tcPr>
          <w:p>
            <w:pPr>
              <w:spacing w:after="0"/>
              <w:rPr>
                <w:sz w:val="24"/>
                <w:szCs w:val="24"/>
                <w:color w:val="auto"/>
              </w:rPr>
            </w:pPr>
          </w:p>
        </w:tc>
        <w:tc>
          <w:tcPr>
            <w:tcW w:w="72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tcPr>
          <w:p>
            <w:pPr>
              <w:jc w:val="right"/>
              <w:ind w:right="51"/>
              <w:spacing w:after="0"/>
              <w:rPr>
                <w:sz w:val="20"/>
                <w:szCs w:val="20"/>
                <w:color w:val="auto"/>
              </w:rPr>
            </w:pPr>
            <w:r>
              <w:rPr>
                <w:rFonts w:ascii="Calibri" w:cs="Calibri" w:eastAsia="Calibri" w:hAnsi="Calibri"/>
                <w:sz w:val="14"/>
                <w:szCs w:val="14"/>
                <w:color w:val="auto"/>
              </w:rPr>
              <w:t>1,106,585</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239,063</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tcPr>
          <w:p>
            <w:pPr>
              <w:jc w:val="right"/>
              <w:ind w:right="51"/>
              <w:spacing w:after="0"/>
              <w:rPr>
                <w:sz w:val="20"/>
                <w:szCs w:val="20"/>
                <w:color w:val="auto"/>
              </w:rPr>
            </w:pPr>
            <w:r>
              <w:rPr>
                <w:rFonts w:ascii="Calibri" w:cs="Calibri" w:eastAsia="Calibri" w:hAnsi="Calibri"/>
                <w:sz w:val="14"/>
                <w:szCs w:val="14"/>
                <w:color w:val="auto"/>
              </w:rPr>
              <w:t>9,054</w:t>
            </w:r>
          </w:p>
        </w:tc>
        <w:tc>
          <w:tcPr>
            <w:tcW w:w="360" w:type="dxa"/>
            <w:vAlign w:val="bottom"/>
          </w:tcPr>
          <w:p>
            <w:pPr>
              <w:spacing w:after="0"/>
              <w:rPr>
                <w:sz w:val="24"/>
                <w:szCs w:val="24"/>
                <w:color w:val="auto"/>
              </w:rPr>
            </w:pPr>
          </w:p>
        </w:tc>
        <w:tc>
          <w:tcPr>
            <w:tcW w:w="860" w:type="dxa"/>
            <w:vAlign w:val="bottom"/>
          </w:tcPr>
          <w:p>
            <w:pPr>
              <w:jc w:val="right"/>
              <w:ind w:right="31"/>
              <w:spacing w:after="0"/>
              <w:rPr>
                <w:sz w:val="20"/>
                <w:szCs w:val="20"/>
                <w:color w:val="auto"/>
              </w:rPr>
            </w:pPr>
            <w:r>
              <w:rPr>
                <w:rFonts w:ascii="Calibri" w:cs="Calibri" w:eastAsia="Calibri" w:hAnsi="Calibri"/>
                <w:sz w:val="14"/>
                <w:szCs w:val="14"/>
                <w:color w:val="auto"/>
              </w:rPr>
              <w:t>1,736,853</w:t>
            </w:r>
          </w:p>
        </w:tc>
        <w:tc>
          <w:tcPr>
            <w:tcW w:w="0" w:type="dxa"/>
            <w:vAlign w:val="bottom"/>
          </w:tcPr>
          <w:p>
            <w:pPr>
              <w:spacing w:after="0"/>
              <w:rPr>
                <w:sz w:val="1"/>
                <w:szCs w:val="1"/>
                <w:color w:val="auto"/>
              </w:rPr>
            </w:pPr>
          </w:p>
        </w:tc>
      </w:tr>
      <w:tr>
        <w:trPr>
          <w:trHeight w:val="182"/>
        </w:trPr>
        <w:tc>
          <w:tcPr>
            <w:tcW w:w="2980" w:type="dxa"/>
            <w:vAlign w:val="bottom"/>
          </w:tcPr>
          <w:p>
            <w:pPr>
              <w:ind w:left="60"/>
              <w:spacing w:after="0"/>
              <w:rPr>
                <w:sz w:val="20"/>
                <w:szCs w:val="20"/>
                <w:color w:val="auto"/>
              </w:rPr>
            </w:pPr>
            <w:r>
              <w:rPr>
                <w:rFonts w:ascii="Calibri" w:cs="Calibri" w:eastAsia="Calibri" w:hAnsi="Calibri"/>
                <w:sz w:val="14"/>
                <w:szCs w:val="14"/>
                <w:color w:val="auto"/>
              </w:rPr>
              <w:t>President and Business</w:t>
            </w:r>
          </w:p>
        </w:tc>
        <w:tc>
          <w:tcPr>
            <w:tcW w:w="520" w:type="dxa"/>
            <w:vAlign w:val="bottom"/>
            <w:gridSpan w:val="2"/>
            <w:vMerge w:val="restart"/>
          </w:tcPr>
          <w:p>
            <w:pPr>
              <w:ind w:left="200"/>
              <w:spacing w:after="0"/>
              <w:rPr>
                <w:sz w:val="20"/>
                <w:szCs w:val="20"/>
                <w:color w:val="auto"/>
              </w:rPr>
            </w:pPr>
            <w:r>
              <w:rPr>
                <w:rFonts w:ascii="Calibri" w:cs="Calibri" w:eastAsia="Calibri" w:hAnsi="Calibri"/>
                <w:sz w:val="14"/>
                <w:szCs w:val="14"/>
                <w:color w:val="auto"/>
              </w:rPr>
              <w:t>2019</w:t>
            </w:r>
          </w:p>
        </w:tc>
        <w:tc>
          <w:tcPr>
            <w:tcW w:w="840" w:type="dxa"/>
            <w:vAlign w:val="bottom"/>
            <w:vMerge w:val="restart"/>
          </w:tcPr>
          <w:p>
            <w:pPr>
              <w:jc w:val="right"/>
              <w:ind w:right="71"/>
              <w:spacing w:after="0"/>
              <w:rPr>
                <w:sz w:val="20"/>
                <w:szCs w:val="20"/>
                <w:color w:val="auto"/>
              </w:rPr>
            </w:pPr>
            <w:r>
              <w:rPr>
                <w:rFonts w:ascii="Calibri" w:cs="Calibri" w:eastAsia="Calibri" w:hAnsi="Calibri"/>
                <w:sz w:val="14"/>
                <w:szCs w:val="14"/>
                <w:color w:val="auto"/>
              </w:rPr>
              <w:t>425,000</w:t>
            </w:r>
          </w:p>
        </w:tc>
        <w:tc>
          <w:tcPr>
            <w:tcW w:w="400" w:type="dxa"/>
            <w:vAlign w:val="bottom"/>
          </w:tcPr>
          <w:p>
            <w:pPr>
              <w:spacing w:after="0"/>
              <w:rPr>
                <w:sz w:val="15"/>
                <w:szCs w:val="15"/>
                <w:color w:val="auto"/>
              </w:rPr>
            </w:pPr>
          </w:p>
        </w:tc>
        <w:tc>
          <w:tcPr>
            <w:tcW w:w="72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w:t>
            </w:r>
          </w:p>
        </w:tc>
        <w:tc>
          <w:tcPr>
            <w:tcW w:w="82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765,547</w:t>
            </w:r>
          </w:p>
        </w:tc>
        <w:tc>
          <w:tcPr>
            <w:tcW w:w="104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364,320</w:t>
            </w:r>
          </w:p>
        </w:tc>
        <w:tc>
          <w:tcPr>
            <w:tcW w:w="104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9,444</w:t>
            </w:r>
          </w:p>
        </w:tc>
        <w:tc>
          <w:tcPr>
            <w:tcW w:w="360" w:type="dxa"/>
            <w:vAlign w:val="bottom"/>
          </w:tcPr>
          <w:p>
            <w:pPr>
              <w:spacing w:after="0"/>
              <w:rPr>
                <w:sz w:val="15"/>
                <w:szCs w:val="15"/>
                <w:color w:val="auto"/>
              </w:rPr>
            </w:pPr>
          </w:p>
        </w:tc>
        <w:tc>
          <w:tcPr>
            <w:tcW w:w="860" w:type="dxa"/>
            <w:vAlign w:val="bottom"/>
            <w:vMerge w:val="restart"/>
          </w:tcPr>
          <w:p>
            <w:pPr>
              <w:jc w:val="right"/>
              <w:ind w:right="31"/>
              <w:spacing w:after="0"/>
              <w:rPr>
                <w:sz w:val="20"/>
                <w:szCs w:val="20"/>
                <w:color w:val="auto"/>
              </w:rPr>
            </w:pPr>
            <w:r>
              <w:rPr>
                <w:rFonts w:ascii="Calibri" w:cs="Calibri" w:eastAsia="Calibri" w:hAnsi="Calibri"/>
                <w:sz w:val="14"/>
                <w:szCs w:val="14"/>
                <w:color w:val="auto"/>
              </w:rPr>
              <w:t>1,564,311</w:t>
            </w:r>
          </w:p>
        </w:tc>
        <w:tc>
          <w:tcPr>
            <w:tcW w:w="0" w:type="dxa"/>
            <w:vAlign w:val="bottom"/>
          </w:tcPr>
          <w:p>
            <w:pPr>
              <w:spacing w:after="0"/>
              <w:rPr>
                <w:sz w:val="1"/>
                <w:szCs w:val="1"/>
                <w:color w:val="auto"/>
              </w:rPr>
            </w:pPr>
          </w:p>
        </w:tc>
      </w:tr>
      <w:tr>
        <w:trPr>
          <w:trHeight w:val="78"/>
        </w:trPr>
        <w:tc>
          <w:tcPr>
            <w:tcW w:w="2980" w:type="dxa"/>
            <w:vAlign w:val="bottom"/>
            <w:vMerge w:val="restart"/>
          </w:tcPr>
          <w:p>
            <w:pPr>
              <w:ind w:left="60"/>
              <w:spacing w:after="0" w:line="169" w:lineRule="exact"/>
              <w:rPr>
                <w:sz w:val="20"/>
                <w:szCs w:val="20"/>
                <w:color w:val="auto"/>
              </w:rPr>
            </w:pPr>
            <w:r>
              <w:rPr>
                <w:rFonts w:ascii="Calibri" w:cs="Calibri" w:eastAsia="Calibri" w:hAnsi="Calibri"/>
                <w:sz w:val="14"/>
                <w:szCs w:val="14"/>
                <w:color w:val="auto"/>
              </w:rPr>
              <w:t>Head, Healthcare</w:t>
            </w:r>
          </w:p>
        </w:tc>
        <w:tc>
          <w:tcPr>
            <w:tcW w:w="52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9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320" w:right="140" w:hanging="4"/>
        <w:spacing w:after="0" w:line="277" w:lineRule="auto"/>
        <w:tabs>
          <w:tab w:leader="none" w:pos="494" w:val="left"/>
        </w:tabs>
        <w:numPr>
          <w:ilvl w:val="0"/>
          <w:numId w:val="28"/>
        </w:numPr>
        <w:rPr>
          <w:rFonts w:ascii="Calibri" w:cs="Calibri" w:eastAsia="Calibri" w:hAnsi="Calibri"/>
          <w:sz w:val="12"/>
          <w:szCs w:val="12"/>
          <w:color w:val="auto"/>
        </w:rPr>
      </w:pPr>
      <w:r>
        <w:rPr>
          <w:rFonts w:ascii="Calibri" w:cs="Calibri" w:eastAsia="Calibri" w:hAnsi="Calibri"/>
          <w:sz w:val="12"/>
          <w:szCs w:val="12"/>
          <w:color w:val="auto"/>
        </w:rPr>
        <w:t>The amount set forth in the “Salary” column for Mr. Bhalla includes $112,421 of base salary, $98,720 of a cash supplementary allowance, $36,030 of housing allowance (which Mr. Bhalla elected to receive instead in cash), $9,365 of travel allowance (which Mr. Bhalla elected to receive instead in cash), and $20,180 of a special car allowance (which Mr. Bhalla elected to receive instead in cash).</w:t>
      </w:r>
    </w:p>
    <w:p>
      <w:pPr>
        <w:ind w:left="320" w:right="40" w:hanging="4"/>
        <w:spacing w:after="0" w:line="255" w:lineRule="auto"/>
        <w:tabs>
          <w:tab w:leader="none" w:pos="494" w:val="left"/>
        </w:tabs>
        <w:numPr>
          <w:ilvl w:val="0"/>
          <w:numId w:val="28"/>
        </w:numPr>
        <w:rPr>
          <w:rFonts w:ascii="Calibri" w:cs="Calibri" w:eastAsia="Calibri" w:hAnsi="Calibri"/>
          <w:sz w:val="13"/>
          <w:szCs w:val="13"/>
          <w:color w:val="auto"/>
        </w:rPr>
      </w:pPr>
      <w:r>
        <w:rPr>
          <w:rFonts w:ascii="Calibri" w:cs="Calibri" w:eastAsia="Calibri" w:hAnsi="Calibri"/>
          <w:sz w:val="13"/>
          <w:szCs w:val="13"/>
          <w:color w:val="auto"/>
        </w:rPr>
        <w:t>Amounts refect the total grant date fair value of awards (RSUs and revenue based PRSUs) and Monte Carlo value of awards (TSR based PRSUs) (recognized for fnancial statement reportng purposes for the fscal years ended December 31, 2019, 2020 and 2021, in accordance with FASB ASC Topic 718 (disregarding any forfeiture assumptons). Assumptons used in the calculaton of these amounts are included (i) for 2021, in footnotes 2 and 22 to the audited fnancial statements for the fscal year ended December 31, 2021, included in the 2021 Form 10-K fled with the Securites and Exchange Commission; (ii) for 2020, in footnotes 2 and 23 to the audited fnancial statements for the fscal year ended December 31, 2020, included in our Annual Report on Form 10-K fled with the Securites and Exchange Commission on February 25, 2021; and (iii) for 2019, in footnotes 2 and 23 to the audited fnancial statements for the fscal year ended December 31, 2019, included in our Annual Report on Form 10-K fled with the Securites and Exchange Commission on February 27, 2020. With respect to stock awards granted in 2021, the table below sets forth the value atributable to performance restricted stock units valued at target achievement. Performance restricted stock units granted in 2021 may pay out up to 200% of the target award, which would have amounted to the grant date fair values listed as the maximum total grant date fair value for each named executve ofcer in the table below.</w:t>
      </w:r>
    </w:p>
    <w:p>
      <w:pPr>
        <w:spacing w:after="0" w:line="22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000" w:type="dxa"/>
            <w:vAlign w:val="bottom"/>
          </w:tcPr>
          <w:p>
            <w:pPr>
              <w:ind w:left="1060"/>
              <w:spacing w:after="0"/>
              <w:rPr>
                <w:sz w:val="20"/>
                <w:szCs w:val="20"/>
                <w:color w:val="auto"/>
              </w:rPr>
            </w:pPr>
            <w:r>
              <w:rPr>
                <w:rFonts w:ascii="Calibri" w:cs="Calibri" w:eastAsia="Calibri" w:hAnsi="Calibri"/>
                <w:sz w:val="14"/>
                <w:szCs w:val="14"/>
                <w:b w:val="1"/>
                <w:bCs w:val="1"/>
                <w:color w:val="FB4E0B"/>
                <w:w w:val="96"/>
              </w:rPr>
              <w:t>Total grant date</w:t>
            </w:r>
          </w:p>
        </w:tc>
        <w:tc>
          <w:tcPr>
            <w:tcW w:w="3260" w:type="dxa"/>
            <w:vAlign w:val="bottom"/>
            <w:gridSpan w:val="3"/>
          </w:tcPr>
          <w:p>
            <w:pPr>
              <w:jc w:val="right"/>
              <w:spacing w:after="0"/>
              <w:rPr>
                <w:sz w:val="20"/>
                <w:szCs w:val="20"/>
                <w:color w:val="auto"/>
              </w:rPr>
            </w:pPr>
            <w:r>
              <w:rPr>
                <w:rFonts w:ascii="Calibri" w:cs="Calibri" w:eastAsia="Calibri" w:hAnsi="Calibri"/>
                <w:sz w:val="14"/>
                <w:szCs w:val="14"/>
                <w:b w:val="1"/>
                <w:bCs w:val="1"/>
                <w:color w:val="FB4E0B"/>
              </w:rPr>
              <w:t>Maximum total grant date fair value ($)</w:t>
            </w:r>
          </w:p>
        </w:tc>
      </w:tr>
      <w:tr>
        <w:trPr>
          <w:trHeight w:val="193"/>
        </w:trPr>
        <w:tc>
          <w:tcPr>
            <w:tcW w:w="4300" w:type="dxa"/>
            <w:vAlign w:val="bottom"/>
            <w:tcBorders>
              <w:bottom w:val="single" w:sz="8" w:color="FB4E0B"/>
            </w:tcBorders>
          </w:tcPr>
          <w:p>
            <w:pPr>
              <w:ind w:left="60"/>
              <w:spacing w:after="0" w:line="169" w:lineRule="exact"/>
              <w:rPr>
                <w:sz w:val="20"/>
                <w:szCs w:val="20"/>
                <w:color w:val="auto"/>
              </w:rPr>
            </w:pPr>
            <w:r>
              <w:rPr>
                <w:rFonts w:ascii="Calibri" w:cs="Calibri" w:eastAsia="Calibri" w:hAnsi="Calibri"/>
                <w:sz w:val="14"/>
                <w:szCs w:val="14"/>
                <w:b w:val="1"/>
                <w:bCs w:val="1"/>
                <w:color w:val="FB4E0B"/>
              </w:rPr>
              <w:t>Name</w:t>
            </w:r>
          </w:p>
        </w:tc>
        <w:tc>
          <w:tcPr>
            <w:tcW w:w="2000" w:type="dxa"/>
            <w:vAlign w:val="bottom"/>
            <w:tcBorders>
              <w:bottom w:val="single" w:sz="8" w:color="FB4E0B"/>
            </w:tcBorders>
          </w:tcPr>
          <w:p>
            <w:pPr>
              <w:ind w:left="780"/>
              <w:spacing w:after="0" w:line="169" w:lineRule="exact"/>
              <w:rPr>
                <w:sz w:val="20"/>
                <w:szCs w:val="20"/>
                <w:color w:val="auto"/>
              </w:rPr>
            </w:pPr>
            <w:r>
              <w:rPr>
                <w:rFonts w:ascii="Calibri" w:cs="Calibri" w:eastAsia="Calibri" w:hAnsi="Calibri"/>
                <w:sz w:val="14"/>
                <w:szCs w:val="14"/>
                <w:b w:val="1"/>
                <w:bCs w:val="1"/>
                <w:color w:val="FB4E0B"/>
              </w:rPr>
              <w:t>fair value ($)</w:t>
            </w:r>
          </w:p>
        </w:tc>
        <w:tc>
          <w:tcPr>
            <w:tcW w:w="1920" w:type="dxa"/>
            <w:vAlign w:val="bottom"/>
            <w:tcBorders>
              <w:bottom w:val="single" w:sz="8" w:color="FB4E0B"/>
            </w:tcBorders>
          </w:tcPr>
          <w:p>
            <w:pPr>
              <w:spacing w:after="0"/>
              <w:rPr>
                <w:sz w:val="16"/>
                <w:szCs w:val="16"/>
                <w:color w:val="auto"/>
              </w:rPr>
            </w:pPr>
          </w:p>
        </w:tc>
        <w:tc>
          <w:tcPr>
            <w:tcW w:w="440" w:type="dxa"/>
            <w:vAlign w:val="bottom"/>
            <w:tcBorders>
              <w:bottom w:val="single" w:sz="8" w:color="FB4E0B"/>
            </w:tcBorders>
          </w:tcPr>
          <w:p>
            <w:pPr>
              <w:spacing w:after="0"/>
              <w:rPr>
                <w:sz w:val="16"/>
                <w:szCs w:val="16"/>
                <w:color w:val="auto"/>
              </w:rPr>
            </w:pPr>
          </w:p>
        </w:tc>
        <w:tc>
          <w:tcPr>
            <w:tcW w:w="900" w:type="dxa"/>
            <w:vAlign w:val="bottom"/>
            <w:tcBorders>
              <w:bottom w:val="single" w:sz="8" w:color="FB4E0B"/>
            </w:tcBorders>
          </w:tcPr>
          <w:p>
            <w:pPr>
              <w:spacing w:after="0"/>
              <w:rPr>
                <w:sz w:val="16"/>
                <w:szCs w:val="16"/>
                <w:color w:val="auto"/>
              </w:rPr>
            </w:pPr>
          </w:p>
        </w:tc>
      </w:tr>
      <w:tr>
        <w:trPr>
          <w:trHeight w:val="203"/>
        </w:trPr>
        <w:tc>
          <w:tcPr>
            <w:tcW w:w="430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b w:val="1"/>
                <w:bCs w:val="1"/>
                <w:color w:val="auto"/>
              </w:rPr>
              <w:t>Rohit Kapoor</w:t>
            </w:r>
          </w:p>
        </w:tc>
        <w:tc>
          <w:tcPr>
            <w:tcW w:w="2000" w:type="dxa"/>
            <w:vAlign w:val="bottom"/>
            <w:tcBorders>
              <w:right w:val="single" w:sz="8" w:color="auto"/>
            </w:tcBorders>
          </w:tcPr>
          <w:p>
            <w:pPr>
              <w:jc w:val="center"/>
              <w:ind w:left="591"/>
              <w:spacing w:after="0"/>
              <w:rPr>
                <w:sz w:val="20"/>
                <w:szCs w:val="20"/>
                <w:color w:val="auto"/>
              </w:rPr>
            </w:pPr>
            <w:r>
              <w:rPr>
                <w:rFonts w:ascii="Calibri" w:cs="Calibri" w:eastAsia="Calibri" w:hAnsi="Calibri"/>
                <w:sz w:val="14"/>
                <w:szCs w:val="14"/>
                <w:color w:val="auto"/>
              </w:rPr>
              <w:t>4,240,920</w:t>
            </w:r>
          </w:p>
        </w:tc>
        <w:tc>
          <w:tcPr>
            <w:tcW w:w="2360" w:type="dxa"/>
            <w:vAlign w:val="bottom"/>
            <w:gridSpan w:val="2"/>
          </w:tcPr>
          <w:p>
            <w:pPr>
              <w:jc w:val="right"/>
              <w:spacing w:after="0"/>
              <w:rPr>
                <w:sz w:val="20"/>
                <w:szCs w:val="20"/>
                <w:color w:val="auto"/>
              </w:rPr>
            </w:pPr>
            <w:r>
              <w:rPr>
                <w:rFonts w:ascii="Calibri" w:cs="Calibri" w:eastAsia="Calibri" w:hAnsi="Calibri"/>
                <w:sz w:val="14"/>
                <w:szCs w:val="14"/>
                <w:color w:val="auto"/>
              </w:rPr>
              <w:t>8,481,840</w:t>
            </w:r>
          </w:p>
        </w:tc>
        <w:tc>
          <w:tcPr>
            <w:tcW w:w="900" w:type="dxa"/>
            <w:vAlign w:val="bottom"/>
          </w:tcPr>
          <w:p>
            <w:pPr>
              <w:spacing w:after="0"/>
              <w:rPr>
                <w:sz w:val="17"/>
                <w:szCs w:val="17"/>
                <w:color w:val="auto"/>
              </w:rPr>
            </w:pPr>
          </w:p>
        </w:tc>
      </w:tr>
      <w:tr>
        <w:trPr>
          <w:trHeight w:val="122"/>
        </w:trPr>
        <w:tc>
          <w:tcPr>
            <w:tcW w:w="4300" w:type="dxa"/>
            <w:vAlign w:val="bottom"/>
            <w:tcBorders>
              <w:bottom w:val="single" w:sz="8" w:color="auto"/>
              <w:right w:val="single" w:sz="8" w:color="auto"/>
            </w:tcBorders>
          </w:tcPr>
          <w:p>
            <w:pPr>
              <w:spacing w:after="0"/>
              <w:rPr>
                <w:sz w:val="10"/>
                <w:szCs w:val="10"/>
                <w:color w:val="auto"/>
              </w:rPr>
            </w:pPr>
          </w:p>
        </w:tc>
        <w:tc>
          <w:tcPr>
            <w:tcW w:w="200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gridSpan w:val="2"/>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r>
        <w:trPr>
          <w:trHeight w:val="196"/>
        </w:trPr>
        <w:tc>
          <w:tcPr>
            <w:tcW w:w="430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b w:val="1"/>
                <w:bCs w:val="1"/>
                <w:color w:val="auto"/>
              </w:rPr>
              <w:t>Maurizio Nicolelli</w:t>
            </w:r>
          </w:p>
        </w:tc>
        <w:tc>
          <w:tcPr>
            <w:tcW w:w="2000" w:type="dxa"/>
            <w:vAlign w:val="bottom"/>
            <w:tcBorders>
              <w:right w:val="single" w:sz="8" w:color="auto"/>
            </w:tcBorders>
          </w:tcPr>
          <w:p>
            <w:pPr>
              <w:jc w:val="center"/>
              <w:ind w:left="591"/>
              <w:spacing w:after="0"/>
              <w:rPr>
                <w:sz w:val="20"/>
                <w:szCs w:val="20"/>
                <w:color w:val="auto"/>
              </w:rPr>
            </w:pPr>
            <w:r>
              <w:rPr>
                <w:rFonts w:ascii="Calibri" w:cs="Calibri" w:eastAsia="Calibri" w:hAnsi="Calibri"/>
                <w:sz w:val="14"/>
                <w:szCs w:val="14"/>
                <w:color w:val="auto"/>
                <w:w w:val="99"/>
              </w:rPr>
              <w:t>829,016</w:t>
            </w:r>
          </w:p>
        </w:tc>
        <w:tc>
          <w:tcPr>
            <w:tcW w:w="2360" w:type="dxa"/>
            <w:vAlign w:val="bottom"/>
            <w:gridSpan w:val="2"/>
          </w:tcPr>
          <w:p>
            <w:pPr>
              <w:jc w:val="right"/>
              <w:spacing w:after="0"/>
              <w:rPr>
                <w:sz w:val="20"/>
                <w:szCs w:val="20"/>
                <w:color w:val="auto"/>
              </w:rPr>
            </w:pPr>
            <w:r>
              <w:rPr>
                <w:rFonts w:ascii="Calibri" w:cs="Calibri" w:eastAsia="Calibri" w:hAnsi="Calibri"/>
                <w:sz w:val="14"/>
                <w:szCs w:val="14"/>
                <w:color w:val="auto"/>
              </w:rPr>
              <w:t>1,658,032</w:t>
            </w:r>
          </w:p>
        </w:tc>
        <w:tc>
          <w:tcPr>
            <w:tcW w:w="900" w:type="dxa"/>
            <w:vAlign w:val="bottom"/>
          </w:tcPr>
          <w:p>
            <w:pPr>
              <w:spacing w:after="0"/>
              <w:rPr>
                <w:sz w:val="17"/>
                <w:szCs w:val="17"/>
                <w:color w:val="auto"/>
              </w:rPr>
            </w:pPr>
          </w:p>
        </w:tc>
      </w:tr>
      <w:tr>
        <w:trPr>
          <w:trHeight w:val="122"/>
        </w:trPr>
        <w:tc>
          <w:tcPr>
            <w:tcW w:w="4300" w:type="dxa"/>
            <w:vAlign w:val="bottom"/>
            <w:tcBorders>
              <w:bottom w:val="single" w:sz="8" w:color="auto"/>
              <w:right w:val="single" w:sz="8" w:color="auto"/>
            </w:tcBorders>
          </w:tcPr>
          <w:p>
            <w:pPr>
              <w:spacing w:after="0"/>
              <w:rPr>
                <w:sz w:val="10"/>
                <w:szCs w:val="10"/>
                <w:color w:val="auto"/>
              </w:rPr>
            </w:pPr>
          </w:p>
        </w:tc>
        <w:tc>
          <w:tcPr>
            <w:tcW w:w="200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gridSpan w:val="2"/>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r>
        <w:trPr>
          <w:trHeight w:val="196"/>
        </w:trPr>
        <w:tc>
          <w:tcPr>
            <w:tcW w:w="430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b w:val="1"/>
                <w:bCs w:val="1"/>
                <w:color w:val="auto"/>
              </w:rPr>
              <w:t>Vikas Bhalla</w:t>
            </w:r>
          </w:p>
        </w:tc>
        <w:tc>
          <w:tcPr>
            <w:tcW w:w="2000" w:type="dxa"/>
            <w:vAlign w:val="bottom"/>
            <w:tcBorders>
              <w:right w:val="single" w:sz="8" w:color="auto"/>
            </w:tcBorders>
          </w:tcPr>
          <w:p>
            <w:pPr>
              <w:jc w:val="center"/>
              <w:ind w:left="591"/>
              <w:spacing w:after="0"/>
              <w:rPr>
                <w:sz w:val="20"/>
                <w:szCs w:val="20"/>
                <w:color w:val="auto"/>
              </w:rPr>
            </w:pPr>
            <w:r>
              <w:rPr>
                <w:rFonts w:ascii="Calibri" w:cs="Calibri" w:eastAsia="Calibri" w:hAnsi="Calibri"/>
                <w:sz w:val="14"/>
                <w:szCs w:val="14"/>
                <w:color w:val="auto"/>
                <w:w w:val="99"/>
              </w:rPr>
              <w:t>879,332</w:t>
            </w:r>
          </w:p>
        </w:tc>
        <w:tc>
          <w:tcPr>
            <w:tcW w:w="2360" w:type="dxa"/>
            <w:vAlign w:val="bottom"/>
            <w:gridSpan w:val="2"/>
          </w:tcPr>
          <w:p>
            <w:pPr>
              <w:jc w:val="right"/>
              <w:spacing w:after="0"/>
              <w:rPr>
                <w:sz w:val="20"/>
                <w:szCs w:val="20"/>
                <w:color w:val="auto"/>
              </w:rPr>
            </w:pPr>
            <w:r>
              <w:rPr>
                <w:rFonts w:ascii="Calibri" w:cs="Calibri" w:eastAsia="Calibri" w:hAnsi="Calibri"/>
                <w:sz w:val="14"/>
                <w:szCs w:val="14"/>
                <w:color w:val="auto"/>
              </w:rPr>
              <w:t>1,758,664</w:t>
            </w:r>
          </w:p>
        </w:tc>
        <w:tc>
          <w:tcPr>
            <w:tcW w:w="900" w:type="dxa"/>
            <w:vAlign w:val="bottom"/>
          </w:tcPr>
          <w:p>
            <w:pPr>
              <w:spacing w:after="0"/>
              <w:rPr>
                <w:sz w:val="17"/>
                <w:szCs w:val="17"/>
                <w:color w:val="auto"/>
              </w:rPr>
            </w:pPr>
          </w:p>
        </w:tc>
      </w:tr>
      <w:tr>
        <w:trPr>
          <w:trHeight w:val="122"/>
        </w:trPr>
        <w:tc>
          <w:tcPr>
            <w:tcW w:w="4300" w:type="dxa"/>
            <w:vAlign w:val="bottom"/>
            <w:tcBorders>
              <w:bottom w:val="single" w:sz="8" w:color="auto"/>
              <w:right w:val="single" w:sz="8" w:color="auto"/>
            </w:tcBorders>
          </w:tcPr>
          <w:p>
            <w:pPr>
              <w:spacing w:after="0"/>
              <w:rPr>
                <w:sz w:val="10"/>
                <w:szCs w:val="10"/>
                <w:color w:val="auto"/>
              </w:rPr>
            </w:pPr>
          </w:p>
        </w:tc>
        <w:tc>
          <w:tcPr>
            <w:tcW w:w="200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gridSpan w:val="2"/>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r>
        <w:trPr>
          <w:trHeight w:val="196"/>
        </w:trPr>
        <w:tc>
          <w:tcPr>
            <w:tcW w:w="430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b w:val="1"/>
                <w:bCs w:val="1"/>
                <w:color w:val="auto"/>
              </w:rPr>
              <w:t>Vivek Jetley</w:t>
            </w:r>
          </w:p>
        </w:tc>
        <w:tc>
          <w:tcPr>
            <w:tcW w:w="2000" w:type="dxa"/>
            <w:vAlign w:val="bottom"/>
            <w:tcBorders>
              <w:right w:val="single" w:sz="8" w:color="auto"/>
            </w:tcBorders>
          </w:tcPr>
          <w:p>
            <w:pPr>
              <w:jc w:val="center"/>
              <w:ind w:left="591"/>
              <w:spacing w:after="0"/>
              <w:rPr>
                <w:sz w:val="20"/>
                <w:szCs w:val="20"/>
                <w:color w:val="auto"/>
              </w:rPr>
            </w:pPr>
            <w:r>
              <w:rPr>
                <w:rFonts w:ascii="Calibri" w:cs="Calibri" w:eastAsia="Calibri" w:hAnsi="Calibri"/>
                <w:sz w:val="14"/>
                <w:szCs w:val="14"/>
                <w:color w:val="auto"/>
                <w:w w:val="99"/>
              </w:rPr>
              <w:t>713,409</w:t>
            </w:r>
          </w:p>
        </w:tc>
        <w:tc>
          <w:tcPr>
            <w:tcW w:w="2360" w:type="dxa"/>
            <w:vAlign w:val="bottom"/>
            <w:gridSpan w:val="2"/>
          </w:tcPr>
          <w:p>
            <w:pPr>
              <w:jc w:val="right"/>
              <w:spacing w:after="0"/>
              <w:rPr>
                <w:sz w:val="20"/>
                <w:szCs w:val="20"/>
                <w:color w:val="auto"/>
              </w:rPr>
            </w:pPr>
            <w:r>
              <w:rPr>
                <w:rFonts w:ascii="Calibri" w:cs="Calibri" w:eastAsia="Calibri" w:hAnsi="Calibri"/>
                <w:sz w:val="14"/>
                <w:szCs w:val="14"/>
                <w:color w:val="auto"/>
              </w:rPr>
              <w:t>1,426,818</w:t>
            </w:r>
          </w:p>
        </w:tc>
        <w:tc>
          <w:tcPr>
            <w:tcW w:w="900" w:type="dxa"/>
            <w:vAlign w:val="bottom"/>
          </w:tcPr>
          <w:p>
            <w:pPr>
              <w:spacing w:after="0"/>
              <w:rPr>
                <w:sz w:val="17"/>
                <w:szCs w:val="17"/>
                <w:color w:val="auto"/>
              </w:rPr>
            </w:pPr>
          </w:p>
        </w:tc>
      </w:tr>
      <w:tr>
        <w:trPr>
          <w:trHeight w:val="122"/>
        </w:trPr>
        <w:tc>
          <w:tcPr>
            <w:tcW w:w="4300" w:type="dxa"/>
            <w:vAlign w:val="bottom"/>
            <w:tcBorders>
              <w:bottom w:val="single" w:sz="8" w:color="auto"/>
              <w:right w:val="single" w:sz="8" w:color="auto"/>
            </w:tcBorders>
          </w:tcPr>
          <w:p>
            <w:pPr>
              <w:spacing w:after="0"/>
              <w:rPr>
                <w:sz w:val="10"/>
                <w:szCs w:val="10"/>
                <w:color w:val="auto"/>
              </w:rPr>
            </w:pPr>
          </w:p>
        </w:tc>
        <w:tc>
          <w:tcPr>
            <w:tcW w:w="200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gridSpan w:val="2"/>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r>
        <w:trPr>
          <w:trHeight w:val="196"/>
        </w:trPr>
        <w:tc>
          <w:tcPr>
            <w:tcW w:w="430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b w:val="1"/>
                <w:bCs w:val="1"/>
                <w:color w:val="auto"/>
              </w:rPr>
              <w:t>Samuel Meckey</w:t>
            </w:r>
          </w:p>
        </w:tc>
        <w:tc>
          <w:tcPr>
            <w:tcW w:w="2000" w:type="dxa"/>
            <w:vAlign w:val="bottom"/>
            <w:tcBorders>
              <w:right w:val="single" w:sz="8" w:color="auto"/>
            </w:tcBorders>
          </w:tcPr>
          <w:p>
            <w:pPr>
              <w:jc w:val="center"/>
              <w:ind w:left="591"/>
              <w:spacing w:after="0"/>
              <w:rPr>
                <w:sz w:val="20"/>
                <w:szCs w:val="20"/>
                <w:color w:val="auto"/>
              </w:rPr>
            </w:pPr>
            <w:r>
              <w:rPr>
                <w:rFonts w:ascii="Calibri" w:cs="Calibri" w:eastAsia="Calibri" w:hAnsi="Calibri"/>
                <w:sz w:val="14"/>
                <w:szCs w:val="14"/>
                <w:color w:val="auto"/>
                <w:w w:val="99"/>
              </w:rPr>
              <w:t>888,317</w:t>
            </w:r>
          </w:p>
        </w:tc>
        <w:tc>
          <w:tcPr>
            <w:tcW w:w="2360" w:type="dxa"/>
            <w:vAlign w:val="bottom"/>
            <w:gridSpan w:val="2"/>
          </w:tcPr>
          <w:p>
            <w:pPr>
              <w:jc w:val="right"/>
              <w:spacing w:after="0"/>
              <w:rPr>
                <w:sz w:val="20"/>
                <w:szCs w:val="20"/>
                <w:color w:val="auto"/>
              </w:rPr>
            </w:pPr>
            <w:r>
              <w:rPr>
                <w:rFonts w:ascii="Calibri" w:cs="Calibri" w:eastAsia="Calibri" w:hAnsi="Calibri"/>
                <w:sz w:val="14"/>
                <w:szCs w:val="14"/>
                <w:color w:val="auto"/>
              </w:rPr>
              <w:t>1,776,634</w:t>
            </w:r>
          </w:p>
        </w:tc>
        <w:tc>
          <w:tcPr>
            <w:tcW w:w="900" w:type="dxa"/>
            <w:vAlign w:val="bottom"/>
          </w:tcPr>
          <w:p>
            <w:pPr>
              <w:spacing w:after="0"/>
              <w:rPr>
                <w:sz w:val="17"/>
                <w:szCs w:val="17"/>
                <w:color w:val="auto"/>
              </w:rPr>
            </w:pPr>
          </w:p>
        </w:tc>
      </w:tr>
      <w:tr>
        <w:trPr>
          <w:trHeight w:val="128"/>
        </w:trPr>
        <w:tc>
          <w:tcPr>
            <w:tcW w:w="4300" w:type="dxa"/>
            <w:vAlign w:val="bottom"/>
            <w:tcBorders>
              <w:bottom w:val="single" w:sz="8" w:color="FB4E0B"/>
              <w:right w:val="single" w:sz="8" w:color="auto"/>
            </w:tcBorders>
          </w:tcPr>
          <w:p>
            <w:pPr>
              <w:spacing w:after="0"/>
              <w:rPr>
                <w:sz w:val="11"/>
                <w:szCs w:val="11"/>
                <w:color w:val="auto"/>
              </w:rPr>
            </w:pPr>
          </w:p>
        </w:tc>
        <w:tc>
          <w:tcPr>
            <w:tcW w:w="2000" w:type="dxa"/>
            <w:vAlign w:val="bottom"/>
            <w:tcBorders>
              <w:bottom w:val="single" w:sz="8" w:color="FB4E0B"/>
              <w:right w:val="single" w:sz="8" w:color="auto"/>
            </w:tcBorders>
          </w:tcPr>
          <w:p>
            <w:pPr>
              <w:spacing w:after="0"/>
              <w:rPr>
                <w:sz w:val="11"/>
                <w:szCs w:val="11"/>
                <w:color w:val="auto"/>
              </w:rPr>
            </w:pPr>
          </w:p>
        </w:tc>
        <w:tc>
          <w:tcPr>
            <w:tcW w:w="1920" w:type="dxa"/>
            <w:vAlign w:val="bottom"/>
            <w:tcBorders>
              <w:bottom w:val="single" w:sz="8" w:color="FB4E0B"/>
            </w:tcBorders>
          </w:tcPr>
          <w:p>
            <w:pPr>
              <w:spacing w:after="0"/>
              <w:rPr>
                <w:sz w:val="11"/>
                <w:szCs w:val="11"/>
                <w:color w:val="auto"/>
              </w:rPr>
            </w:pPr>
          </w:p>
        </w:tc>
        <w:tc>
          <w:tcPr>
            <w:tcW w:w="440" w:type="dxa"/>
            <w:vAlign w:val="bottom"/>
            <w:tcBorders>
              <w:bottom w:val="single" w:sz="8" w:color="FB4E0B"/>
            </w:tcBorders>
          </w:tcPr>
          <w:p>
            <w:pPr>
              <w:spacing w:after="0"/>
              <w:rPr>
                <w:sz w:val="11"/>
                <w:szCs w:val="11"/>
                <w:color w:val="auto"/>
              </w:rPr>
            </w:pPr>
          </w:p>
        </w:tc>
        <w:tc>
          <w:tcPr>
            <w:tcW w:w="900" w:type="dxa"/>
            <w:vAlign w:val="bottom"/>
            <w:tcBorders>
              <w:bottom w:val="single" w:sz="8" w:color="FB4E0B"/>
            </w:tcBorders>
          </w:tcPr>
          <w:p>
            <w:pPr>
              <w:spacing w:after="0"/>
              <w:rPr>
                <w:sz w:val="11"/>
                <w:szCs w:val="11"/>
                <w:color w:val="auto"/>
              </w:rPr>
            </w:pPr>
          </w:p>
        </w:tc>
      </w:tr>
      <w:tr>
        <w:trPr>
          <w:trHeight w:val="445"/>
        </w:trPr>
        <w:tc>
          <w:tcPr>
            <w:tcW w:w="4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20" w:type="dxa"/>
            <w:vAlign w:val="bottom"/>
          </w:tcPr>
          <w:p>
            <w:pPr>
              <w:ind w:left="420"/>
              <w:spacing w:after="0"/>
              <w:rPr>
                <w:sz w:val="20"/>
                <w:szCs w:val="20"/>
                <w:color w:val="auto"/>
              </w:rPr>
            </w:pPr>
            <w:r>
              <w:rPr>
                <w:rFonts w:ascii="Calibri" w:cs="Calibri" w:eastAsia="Calibri" w:hAnsi="Calibri"/>
                <w:sz w:val="13"/>
                <w:szCs w:val="13"/>
                <w:color w:val="auto"/>
              </w:rPr>
              <w:t>EXL 2022 Proxy Statement</w:t>
            </w:r>
          </w:p>
        </w:tc>
        <w:tc>
          <w:tcPr>
            <w:tcW w:w="440" w:type="dxa"/>
            <w:vAlign w:val="bottom"/>
          </w:tcPr>
          <w:p>
            <w:pPr>
              <w:jc w:val="right"/>
              <w:ind w:right="61"/>
              <w:spacing w:after="0"/>
              <w:rPr>
                <w:sz w:val="20"/>
                <w:szCs w:val="20"/>
                <w:color w:val="auto"/>
              </w:rPr>
            </w:pPr>
            <w:r>
              <w:rPr>
                <w:rFonts w:ascii="Calibri" w:cs="Calibri" w:eastAsia="Calibri" w:hAnsi="Calibri"/>
                <w:sz w:val="28"/>
                <w:szCs w:val="28"/>
                <w:b w:val="1"/>
                <w:bCs w:val="1"/>
                <w:color w:val="FB4E0B"/>
              </w:rPr>
              <w:t>/</w:t>
            </w:r>
          </w:p>
        </w:tc>
        <w:tc>
          <w:tcPr>
            <w:tcW w:w="900" w:type="dxa"/>
            <w:vAlign w:val="bottom"/>
          </w:tcPr>
          <w:p>
            <w:pPr>
              <w:jc w:val="right"/>
              <w:ind w:right="573"/>
              <w:spacing w:after="0"/>
              <w:rPr>
                <w:sz w:val="20"/>
                <w:szCs w:val="20"/>
                <w:color w:val="auto"/>
              </w:rPr>
            </w:pPr>
            <w:r>
              <w:rPr>
                <w:rFonts w:ascii="Calibri" w:cs="Calibri" w:eastAsia="Calibri" w:hAnsi="Calibri"/>
                <w:sz w:val="17"/>
                <w:szCs w:val="17"/>
                <w:b w:val="1"/>
                <w:bCs w:val="1"/>
                <w:color w:val="auto"/>
              </w:rPr>
              <w:t>83</w:t>
            </w:r>
          </w:p>
        </w:tc>
      </w:tr>
    </w:tbl>
    <w:p>
      <w:pPr>
        <w:sectPr>
          <w:pgSz w:w="11900" w:h="16838" w:orient="portrait"/>
          <w:cols w:equalWidth="0" w:num="1">
            <w:col w:w="10940"/>
          </w:cols>
          <w:pgMar w:left="320" w:top="445" w:right="6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46" w:lineRule="exact"/>
        <w:rPr>
          <w:sz w:val="20"/>
          <w:szCs w:val="20"/>
          <w:color w:val="auto"/>
        </w:rPr>
      </w:pPr>
    </w:p>
    <w:p>
      <w:pPr>
        <w:ind w:left="320" w:right="480" w:hanging="4"/>
        <w:spacing w:after="0" w:line="235" w:lineRule="auto"/>
        <w:tabs>
          <w:tab w:leader="none" w:pos="506"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Refects the cash incentve bonuses earned in respect of 2021 and paid in 2022. For details on our annual incentve bonus program, see “Compensaton Discussion and Analysis— Incentve bonus” beginning on page 72.</w:t>
      </w:r>
    </w:p>
    <w:p>
      <w:pPr>
        <w:spacing w:after="0" w:line="3" w:lineRule="exact"/>
        <w:rPr>
          <w:rFonts w:ascii="Calibri" w:cs="Calibri" w:eastAsia="Calibri" w:hAnsi="Calibri"/>
          <w:sz w:val="14"/>
          <w:szCs w:val="14"/>
          <w:color w:val="auto"/>
        </w:rPr>
      </w:pPr>
    </w:p>
    <w:p>
      <w:pPr>
        <w:ind w:left="320" w:right="60" w:hanging="4"/>
        <w:spacing w:after="0" w:line="235" w:lineRule="auto"/>
        <w:tabs>
          <w:tab w:leader="none" w:pos="506"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Refects the present value of accruals under the Gratuity Plan for Indian employees. Informaton regarding our Gratuity Plan (including the assumptons used to calculate these amounts) may be found under “Pension benefts for fscal year 2021” beginning on page 90.</w:t>
      </w:r>
    </w:p>
    <w:p>
      <w:pPr>
        <w:spacing w:after="0" w:line="3" w:lineRule="exact"/>
        <w:rPr>
          <w:rFonts w:ascii="Calibri" w:cs="Calibri" w:eastAsia="Calibri" w:hAnsi="Calibri"/>
          <w:sz w:val="14"/>
          <w:szCs w:val="14"/>
          <w:color w:val="auto"/>
        </w:rPr>
      </w:pPr>
    </w:p>
    <w:p>
      <w:pPr>
        <w:ind w:left="320" w:right="20" w:hanging="4"/>
        <w:spacing w:after="0" w:line="236" w:lineRule="auto"/>
        <w:tabs>
          <w:tab w:leader="none" w:pos="506"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Amount for Mr. Kapoor includes the travel allowance ($13,927) provided for under his employment agreement, to be used for once-a-year business class airfare for himself and his family between the United States and India, costs associated with use of an automobile and driver ($2,565), car lease rental ($5,372), contributon to our 401(k) plan ($8,700), and Company-paid Life Insurance ($504).</w:t>
      </w:r>
    </w:p>
    <w:p>
      <w:pPr>
        <w:ind w:left="500" w:hanging="184"/>
        <w:spacing w:after="0" w:line="237" w:lineRule="auto"/>
        <w:tabs>
          <w:tab w:leader="none" w:pos="50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Amount for Mr. Nicolelli includes contributon to our 401(k) plan ($8,700), Company-paid Life Insurance ($504).</w:t>
      </w:r>
    </w:p>
    <w:p>
      <w:pPr>
        <w:spacing w:after="0" w:line="3" w:lineRule="exact"/>
        <w:rPr>
          <w:rFonts w:ascii="Calibri" w:cs="Calibri" w:eastAsia="Calibri" w:hAnsi="Calibri"/>
          <w:sz w:val="14"/>
          <w:szCs w:val="14"/>
          <w:color w:val="auto"/>
        </w:rPr>
      </w:pPr>
    </w:p>
    <w:p>
      <w:pPr>
        <w:ind w:left="320" w:right="380" w:hanging="4"/>
        <w:spacing w:after="0" w:line="235" w:lineRule="auto"/>
        <w:tabs>
          <w:tab w:leader="none" w:pos="506"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Amount for Mr. Bhalla includes contributons to the Employees’ Provident Fund Scheme (a statutorily required defned contributon program for Indian employees) ($13,491), costs associated with use of an automobile and driver in India ($5,408), and home internet and telephone charges ($135).</w:t>
      </w:r>
    </w:p>
    <w:p>
      <w:pPr>
        <w:ind w:left="500" w:hanging="184"/>
        <w:spacing w:after="0" w:line="237" w:lineRule="auto"/>
        <w:tabs>
          <w:tab w:leader="none" w:pos="50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Amount for Mr. Jetley includes contributons to 401(k) plan ($8,700) and Company paid Life Insurance premiums ($504).</w:t>
      </w:r>
    </w:p>
    <w:p>
      <w:pPr>
        <w:ind w:left="500" w:hanging="184"/>
        <w:spacing w:after="0" w:line="237" w:lineRule="auto"/>
        <w:tabs>
          <w:tab w:leader="none" w:pos="50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Amount for Mr. Meckey includes contributons to 401(k) plan ($8,700) and Company paid Life Insurance premiums ($504).</w:t>
      </w:r>
    </w:p>
    <w:p>
      <w:pPr>
        <w:ind w:left="580" w:hanging="264"/>
        <w:spacing w:after="0" w:line="237" w:lineRule="auto"/>
        <w:tabs>
          <w:tab w:leader="none" w:pos="580" w:val="left"/>
        </w:tabs>
        <w:numPr>
          <w:ilvl w:val="0"/>
          <w:numId w:val="29"/>
        </w:numPr>
        <w:rPr>
          <w:rFonts w:ascii="Calibri" w:cs="Calibri" w:eastAsia="Calibri" w:hAnsi="Calibri"/>
          <w:sz w:val="14"/>
          <w:szCs w:val="14"/>
          <w:color w:val="auto"/>
        </w:rPr>
      </w:pPr>
      <w:r>
        <w:rPr>
          <w:rFonts w:ascii="Calibri" w:cs="Calibri" w:eastAsia="Calibri" w:hAnsi="Calibri"/>
          <w:sz w:val="14"/>
          <w:szCs w:val="14"/>
          <w:color w:val="auto"/>
        </w:rPr>
        <w:t>Mr. Nicolelli received $100,000 as the fnal payment of his joining bonus in 2021.</w:t>
      </w:r>
    </w:p>
    <w:p>
      <w:pPr>
        <w:spacing w:after="0" w:line="200" w:lineRule="exact"/>
        <w:rPr>
          <w:sz w:val="20"/>
          <w:szCs w:val="20"/>
          <w:color w:val="auto"/>
        </w:rPr>
      </w:pPr>
    </w:p>
    <w:p>
      <w:pPr>
        <w:spacing w:after="0" w:line="214" w:lineRule="exact"/>
        <w:rPr>
          <w:sz w:val="20"/>
          <w:szCs w:val="20"/>
          <w:color w:val="auto"/>
        </w:rPr>
      </w:pPr>
    </w:p>
    <w:p>
      <w:pPr>
        <w:jc w:val="both"/>
        <w:ind w:left="320" w:right="220"/>
        <w:spacing w:after="0" w:line="239" w:lineRule="auto"/>
        <w:rPr>
          <w:sz w:val="20"/>
          <w:szCs w:val="20"/>
          <w:color w:val="auto"/>
        </w:rPr>
      </w:pPr>
      <w:r>
        <w:rPr>
          <w:rFonts w:ascii="Calibri" w:cs="Calibri" w:eastAsia="Calibri" w:hAnsi="Calibri"/>
          <w:sz w:val="17"/>
          <w:szCs w:val="17"/>
          <w:color w:val="auto"/>
        </w:rPr>
        <w:t>Unless otherwise specifed, U.S. dollar fgures in this Proxy Statement have been converted from Indian rupees at a rate of 74.33 Indian rupees to $1.00, the Indian rupee to U.S. dollar exchange rate in efect as of December 31, 2021. Some of the informaton in the Summary Compensaton Tables for fscal years 2020 and 2019 was converted using the exchange rates in efect as set forth below:</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78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Fiscal year</w:t>
            </w:r>
          </w:p>
        </w:tc>
        <w:tc>
          <w:tcPr>
            <w:tcW w:w="3520" w:type="dxa"/>
            <w:vAlign w:val="bottom"/>
          </w:tcPr>
          <w:p>
            <w:pPr>
              <w:ind w:left="1600"/>
              <w:spacing w:after="0"/>
              <w:rPr>
                <w:sz w:val="20"/>
                <w:szCs w:val="20"/>
                <w:color w:val="auto"/>
              </w:rPr>
            </w:pPr>
            <w:r>
              <w:rPr>
                <w:rFonts w:ascii="Calibri" w:cs="Calibri" w:eastAsia="Calibri" w:hAnsi="Calibri"/>
                <w:sz w:val="17"/>
                <w:szCs w:val="17"/>
                <w:b w:val="1"/>
                <w:bCs w:val="1"/>
                <w:color w:val="FB4E0B"/>
              </w:rPr>
              <w:t>Rate</w:t>
            </w:r>
          </w:p>
        </w:tc>
        <w:tc>
          <w:tcPr>
            <w:tcW w:w="4320" w:type="dxa"/>
            <w:vAlign w:val="bottom"/>
          </w:tcPr>
          <w:p>
            <w:pPr>
              <w:jc w:val="right"/>
              <w:ind w:right="993"/>
              <w:spacing w:after="0"/>
              <w:rPr>
                <w:sz w:val="20"/>
                <w:szCs w:val="20"/>
                <w:color w:val="auto"/>
              </w:rPr>
            </w:pPr>
            <w:r>
              <w:rPr>
                <w:rFonts w:ascii="Calibri" w:cs="Calibri" w:eastAsia="Calibri" w:hAnsi="Calibri"/>
                <w:sz w:val="17"/>
                <w:szCs w:val="17"/>
                <w:b w:val="1"/>
                <w:bCs w:val="1"/>
                <w:color w:val="FB4E0B"/>
              </w:rPr>
              <w:t>Exchange rate of INR per US$1</w:t>
            </w:r>
          </w:p>
        </w:tc>
      </w:tr>
      <w:tr>
        <w:trPr>
          <w:trHeight w:val="29"/>
        </w:trPr>
        <w:tc>
          <w:tcPr>
            <w:tcW w:w="2780" w:type="dxa"/>
            <w:vAlign w:val="bottom"/>
            <w:tcBorders>
              <w:bottom w:val="single" w:sz="8" w:color="FB4E0B"/>
            </w:tcBorders>
          </w:tcPr>
          <w:p>
            <w:pPr>
              <w:spacing w:after="0"/>
              <w:rPr>
                <w:sz w:val="2"/>
                <w:szCs w:val="2"/>
                <w:color w:val="auto"/>
              </w:rPr>
            </w:pPr>
          </w:p>
        </w:tc>
        <w:tc>
          <w:tcPr>
            <w:tcW w:w="3520" w:type="dxa"/>
            <w:vAlign w:val="bottom"/>
            <w:tcBorders>
              <w:bottom w:val="single" w:sz="8" w:color="FB4E0B"/>
            </w:tcBorders>
          </w:tcPr>
          <w:p>
            <w:pPr>
              <w:spacing w:after="0"/>
              <w:rPr>
                <w:sz w:val="2"/>
                <w:szCs w:val="2"/>
                <w:color w:val="auto"/>
              </w:rPr>
            </w:pPr>
          </w:p>
        </w:tc>
        <w:tc>
          <w:tcPr>
            <w:tcW w:w="4320" w:type="dxa"/>
            <w:vAlign w:val="bottom"/>
            <w:tcBorders>
              <w:bottom w:val="single" w:sz="8" w:color="FB4E0B"/>
            </w:tcBorders>
          </w:tcPr>
          <w:p>
            <w:pPr>
              <w:spacing w:after="0"/>
              <w:rPr>
                <w:sz w:val="2"/>
                <w:szCs w:val="2"/>
                <w:color w:val="auto"/>
              </w:rPr>
            </w:pPr>
          </w:p>
        </w:tc>
      </w:tr>
      <w:tr>
        <w:trPr>
          <w:trHeight w:val="237"/>
        </w:trPr>
        <w:tc>
          <w:tcPr>
            <w:tcW w:w="2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2020</w:t>
            </w:r>
          </w:p>
        </w:tc>
        <w:tc>
          <w:tcPr>
            <w:tcW w:w="3520" w:type="dxa"/>
            <w:vAlign w:val="bottom"/>
            <w:tcBorders>
              <w:right w:val="single" w:sz="8" w:color="auto"/>
            </w:tcBorders>
          </w:tcPr>
          <w:p>
            <w:pPr>
              <w:ind w:left="1980"/>
              <w:spacing w:after="0"/>
              <w:rPr>
                <w:sz w:val="20"/>
                <w:szCs w:val="20"/>
                <w:color w:val="auto"/>
              </w:rPr>
            </w:pPr>
            <w:r>
              <w:rPr>
                <w:rFonts w:ascii="Calibri" w:cs="Calibri" w:eastAsia="Calibri" w:hAnsi="Calibri"/>
                <w:sz w:val="17"/>
                <w:szCs w:val="17"/>
                <w:color w:val="auto"/>
              </w:rPr>
              <w:t>December 31, 2020</w:t>
            </w:r>
          </w:p>
        </w:tc>
        <w:tc>
          <w:tcPr>
            <w:tcW w:w="4320" w:type="dxa"/>
            <w:vAlign w:val="bottom"/>
          </w:tcPr>
          <w:p>
            <w:pPr>
              <w:jc w:val="right"/>
              <w:ind w:right="93"/>
              <w:spacing w:after="0"/>
              <w:rPr>
                <w:sz w:val="20"/>
                <w:szCs w:val="20"/>
                <w:color w:val="auto"/>
              </w:rPr>
            </w:pPr>
            <w:r>
              <w:rPr>
                <w:rFonts w:ascii="Calibri" w:cs="Calibri" w:eastAsia="Calibri" w:hAnsi="Calibri"/>
                <w:sz w:val="17"/>
                <w:szCs w:val="17"/>
                <w:color w:val="auto"/>
              </w:rPr>
              <w:t>73.065</w:t>
            </w:r>
          </w:p>
        </w:tc>
      </w:tr>
      <w:tr>
        <w:trPr>
          <w:trHeight w:val="127"/>
        </w:trPr>
        <w:tc>
          <w:tcPr>
            <w:tcW w:w="2780" w:type="dxa"/>
            <w:vAlign w:val="bottom"/>
            <w:tcBorders>
              <w:bottom w:val="single" w:sz="8" w:color="auto"/>
              <w:right w:val="single" w:sz="8" w:color="auto"/>
            </w:tcBorders>
          </w:tcPr>
          <w:p>
            <w:pPr>
              <w:spacing w:after="0"/>
              <w:rPr>
                <w:sz w:val="11"/>
                <w:szCs w:val="11"/>
                <w:color w:val="auto"/>
              </w:rPr>
            </w:pPr>
          </w:p>
        </w:tc>
        <w:tc>
          <w:tcPr>
            <w:tcW w:w="3520" w:type="dxa"/>
            <w:vAlign w:val="bottom"/>
            <w:tcBorders>
              <w:bottom w:val="single" w:sz="8" w:color="auto"/>
              <w:right w:val="single" w:sz="8" w:color="auto"/>
            </w:tcBorders>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r>
      <w:tr>
        <w:trPr>
          <w:trHeight w:val="230"/>
        </w:trPr>
        <w:tc>
          <w:tcPr>
            <w:tcW w:w="27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2019</w:t>
            </w:r>
          </w:p>
        </w:tc>
        <w:tc>
          <w:tcPr>
            <w:tcW w:w="3520" w:type="dxa"/>
            <w:vAlign w:val="bottom"/>
            <w:tcBorders>
              <w:right w:val="single" w:sz="8" w:color="auto"/>
            </w:tcBorders>
          </w:tcPr>
          <w:p>
            <w:pPr>
              <w:ind w:left="1980"/>
              <w:spacing w:after="0"/>
              <w:rPr>
                <w:sz w:val="20"/>
                <w:szCs w:val="20"/>
                <w:color w:val="auto"/>
              </w:rPr>
            </w:pPr>
            <w:r>
              <w:rPr>
                <w:rFonts w:ascii="Calibri" w:cs="Calibri" w:eastAsia="Calibri" w:hAnsi="Calibri"/>
                <w:sz w:val="17"/>
                <w:szCs w:val="17"/>
                <w:color w:val="auto"/>
              </w:rPr>
              <w:t>December 31, 2019</w:t>
            </w:r>
          </w:p>
        </w:tc>
        <w:tc>
          <w:tcPr>
            <w:tcW w:w="4320" w:type="dxa"/>
            <w:vAlign w:val="bottom"/>
          </w:tcPr>
          <w:p>
            <w:pPr>
              <w:jc w:val="right"/>
              <w:ind w:right="93"/>
              <w:spacing w:after="0"/>
              <w:rPr>
                <w:sz w:val="20"/>
                <w:szCs w:val="20"/>
                <w:color w:val="auto"/>
              </w:rPr>
            </w:pPr>
            <w:r>
              <w:rPr>
                <w:rFonts w:ascii="Calibri" w:cs="Calibri" w:eastAsia="Calibri" w:hAnsi="Calibri"/>
                <w:sz w:val="17"/>
                <w:szCs w:val="17"/>
                <w:color w:val="auto"/>
              </w:rPr>
              <w:t>71.38</w:t>
            </w:r>
          </w:p>
        </w:tc>
      </w:tr>
      <w:tr>
        <w:trPr>
          <w:trHeight w:val="133"/>
        </w:trPr>
        <w:tc>
          <w:tcPr>
            <w:tcW w:w="2780" w:type="dxa"/>
            <w:vAlign w:val="bottom"/>
            <w:tcBorders>
              <w:bottom w:val="single" w:sz="8" w:color="FB4E0B"/>
              <w:right w:val="single" w:sz="8" w:color="auto"/>
            </w:tcBorders>
          </w:tcPr>
          <w:p>
            <w:pPr>
              <w:spacing w:after="0"/>
              <w:rPr>
                <w:sz w:val="11"/>
                <w:szCs w:val="11"/>
                <w:color w:val="auto"/>
              </w:rPr>
            </w:pPr>
          </w:p>
        </w:tc>
        <w:tc>
          <w:tcPr>
            <w:tcW w:w="3520" w:type="dxa"/>
            <w:vAlign w:val="bottom"/>
            <w:tcBorders>
              <w:bottom w:val="single" w:sz="8" w:color="FB4E0B"/>
              <w:right w:val="single" w:sz="8" w:color="auto"/>
            </w:tcBorders>
          </w:tcPr>
          <w:p>
            <w:pPr>
              <w:spacing w:after="0"/>
              <w:rPr>
                <w:sz w:val="11"/>
                <w:szCs w:val="11"/>
                <w:color w:val="auto"/>
              </w:rPr>
            </w:pPr>
          </w:p>
        </w:tc>
        <w:tc>
          <w:tcPr>
            <w:tcW w:w="4320" w:type="dxa"/>
            <w:vAlign w:val="bottom"/>
            <w:tcBorders>
              <w:bottom w:val="single" w:sz="8" w:color="FB4E0B"/>
            </w:tcBorders>
          </w:tcPr>
          <w:p>
            <w:pPr>
              <w:spacing w:after="0"/>
              <w:rPr>
                <w:sz w:val="11"/>
                <w:szCs w:val="11"/>
                <w:color w:val="auto"/>
              </w:rPr>
            </w:pPr>
          </w:p>
        </w:tc>
      </w:tr>
    </w:tbl>
    <w:p>
      <w:pPr>
        <w:spacing w:after="0" w:line="103"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84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Grants of plan-based awards table for fscal year 2021</w:t>
      </w:r>
    </w:p>
    <w:p>
      <w:pPr>
        <w:spacing w:after="0" w:line="114" w:lineRule="exact"/>
        <w:rPr>
          <w:sz w:val="20"/>
          <w:szCs w:val="20"/>
          <w:color w:val="auto"/>
        </w:rPr>
      </w:pPr>
    </w:p>
    <w:p>
      <w:pPr>
        <w:ind w:left="320" w:right="460"/>
        <w:spacing w:after="0" w:line="239" w:lineRule="auto"/>
        <w:rPr>
          <w:sz w:val="20"/>
          <w:szCs w:val="20"/>
          <w:color w:val="auto"/>
        </w:rPr>
      </w:pPr>
      <w:r>
        <w:rPr>
          <w:rFonts w:ascii="Calibri" w:cs="Calibri" w:eastAsia="Calibri" w:hAnsi="Calibri"/>
          <w:sz w:val="17"/>
          <w:szCs w:val="17"/>
          <w:color w:val="auto"/>
        </w:rPr>
        <w:t>The following table sets forth informaton concerning grants of stock and opton awards and non-equity incentve plan awards granted to our named executve ofcers during fscal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163830</wp:posOffset>
            </wp:positionV>
            <wp:extent cx="67405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940"/>
          </w:cols>
          <w:pgMar w:left="320" w:top="44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
        <w:spacing w:after="0"/>
        <w:rPr>
          <w:sz w:val="20"/>
          <w:szCs w:val="20"/>
          <w:color w:val="auto"/>
        </w:rPr>
      </w:pPr>
      <w:r>
        <w:rPr>
          <w:rFonts w:ascii="Calibri" w:cs="Calibri" w:eastAsia="Calibri" w:hAnsi="Calibri"/>
          <w:sz w:val="14"/>
          <w:szCs w:val="14"/>
          <w:b w:val="1"/>
          <w:bCs w:val="1"/>
          <w:color w:val="FB4E0B"/>
        </w:rPr>
        <w:t>Name</w:t>
      </w:r>
    </w:p>
    <w:p>
      <w:pPr>
        <w:spacing w:after="0" w:line="310" w:lineRule="exact"/>
        <w:rPr>
          <w:sz w:val="20"/>
          <w:szCs w:val="20"/>
          <w:color w:val="auto"/>
        </w:rPr>
      </w:pPr>
    </w:p>
    <w:p>
      <w:pPr>
        <w:jc w:val="right"/>
        <w:spacing w:after="0"/>
        <w:rPr>
          <w:sz w:val="20"/>
          <w:szCs w:val="20"/>
          <w:color w:val="auto"/>
        </w:rPr>
      </w:pPr>
      <w:r>
        <w:rPr>
          <w:rFonts w:ascii="Calibri" w:cs="Calibri" w:eastAsia="Calibri" w:hAnsi="Calibri"/>
          <w:sz w:val="10"/>
          <w:szCs w:val="10"/>
          <w:color w:val="auto"/>
        </w:rPr>
        <w:t>Grant</w:t>
      </w:r>
    </w:p>
    <w:p>
      <w:pPr>
        <w:spacing w:after="0" w:line="8" w:lineRule="exact"/>
        <w:rPr>
          <w:sz w:val="20"/>
          <w:szCs w:val="20"/>
          <w:color w:val="auto"/>
        </w:rPr>
      </w:pPr>
    </w:p>
    <w:p>
      <w:pPr>
        <w:ind w:left="3760"/>
        <w:spacing w:after="0"/>
        <w:rPr>
          <w:sz w:val="20"/>
          <w:szCs w:val="20"/>
          <w:color w:val="auto"/>
        </w:rPr>
      </w:pPr>
      <w:r>
        <w:rPr>
          <w:rFonts w:ascii="Calibri" w:cs="Calibri" w:eastAsia="Calibri" w:hAnsi="Calibri"/>
          <w:sz w:val="10"/>
          <w:szCs w:val="10"/>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540" w:type="dxa"/>
            <w:vAlign w:val="bottom"/>
          </w:tcPr>
          <w:p>
            <w:pPr>
              <w:spacing w:after="0"/>
              <w:rPr>
                <w:sz w:val="11"/>
                <w:szCs w:val="11"/>
                <w:color w:val="auto"/>
              </w:rPr>
            </w:pPr>
          </w:p>
        </w:tc>
        <w:tc>
          <w:tcPr>
            <w:tcW w:w="2020" w:type="dxa"/>
            <w:vAlign w:val="bottom"/>
            <w:gridSpan w:val="2"/>
          </w:tcPr>
          <w:p>
            <w:pPr>
              <w:jc w:val="center"/>
              <w:ind w:right="468"/>
              <w:spacing w:after="0"/>
              <w:rPr>
                <w:sz w:val="20"/>
                <w:szCs w:val="20"/>
                <w:color w:val="auto"/>
              </w:rPr>
            </w:pPr>
            <w:r>
              <w:rPr>
                <w:rFonts w:ascii="Calibri" w:cs="Calibri" w:eastAsia="Calibri" w:hAnsi="Calibri"/>
                <w:sz w:val="10"/>
                <w:szCs w:val="10"/>
                <w:color w:val="auto"/>
              </w:rPr>
              <w:t>Estmated future payouts under</w:t>
            </w:r>
          </w:p>
        </w:tc>
        <w:tc>
          <w:tcPr>
            <w:tcW w:w="640" w:type="dxa"/>
            <w:vAlign w:val="bottom"/>
          </w:tcPr>
          <w:p>
            <w:pPr>
              <w:spacing w:after="0"/>
              <w:rPr>
                <w:sz w:val="11"/>
                <w:szCs w:val="11"/>
                <w:color w:val="auto"/>
              </w:rPr>
            </w:pPr>
          </w:p>
        </w:tc>
        <w:tc>
          <w:tcPr>
            <w:tcW w:w="1600" w:type="dxa"/>
            <w:vAlign w:val="bottom"/>
            <w:gridSpan w:val="2"/>
          </w:tcPr>
          <w:p>
            <w:pPr>
              <w:jc w:val="center"/>
              <w:ind w:right="488"/>
              <w:spacing w:after="0"/>
              <w:rPr>
                <w:sz w:val="20"/>
                <w:szCs w:val="20"/>
                <w:color w:val="auto"/>
              </w:rPr>
            </w:pPr>
            <w:r>
              <w:rPr>
                <w:rFonts w:ascii="Calibri" w:cs="Calibri" w:eastAsia="Calibri" w:hAnsi="Calibri"/>
                <w:sz w:val="10"/>
                <w:szCs w:val="10"/>
                <w:color w:val="auto"/>
              </w:rPr>
              <w:t>Estmated future payouts</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40" w:type="dxa"/>
            <w:vAlign w:val="bottom"/>
          </w:tcPr>
          <w:p>
            <w:pPr>
              <w:spacing w:after="0"/>
              <w:rPr>
                <w:sz w:val="11"/>
                <w:szCs w:val="11"/>
                <w:color w:val="auto"/>
              </w:rPr>
            </w:pPr>
          </w:p>
        </w:tc>
        <w:tc>
          <w:tcPr>
            <w:tcW w:w="2020" w:type="dxa"/>
            <w:vAlign w:val="bottom"/>
            <w:gridSpan w:val="2"/>
          </w:tcPr>
          <w:p>
            <w:pPr>
              <w:jc w:val="center"/>
              <w:ind w:right="468"/>
              <w:spacing w:after="0"/>
              <w:rPr>
                <w:sz w:val="20"/>
                <w:szCs w:val="20"/>
                <w:color w:val="auto"/>
              </w:rPr>
            </w:pPr>
            <w:r>
              <w:rPr>
                <w:rFonts w:ascii="Calibri" w:cs="Calibri" w:eastAsia="Calibri" w:hAnsi="Calibri"/>
                <w:sz w:val="10"/>
                <w:szCs w:val="10"/>
                <w:color w:val="auto"/>
              </w:rPr>
              <w:t>non-equity incentve plan awards</w:t>
            </w:r>
            <w:r>
              <w:rPr>
                <w:rFonts w:ascii="Calibri" w:cs="Calibri" w:eastAsia="Calibri" w:hAnsi="Calibri"/>
                <w:sz w:val="8"/>
                <w:szCs w:val="8"/>
                <w:color w:val="auto"/>
              </w:rPr>
              <w:t>(1)</w:t>
            </w:r>
          </w:p>
        </w:tc>
        <w:tc>
          <w:tcPr>
            <w:tcW w:w="2240" w:type="dxa"/>
            <w:vAlign w:val="bottom"/>
            <w:gridSpan w:val="3"/>
          </w:tcPr>
          <w:p>
            <w:pPr>
              <w:jc w:val="center"/>
              <w:ind w:left="68"/>
              <w:spacing w:after="0"/>
              <w:rPr>
                <w:sz w:val="20"/>
                <w:szCs w:val="20"/>
                <w:color w:val="auto"/>
              </w:rPr>
            </w:pPr>
            <w:r>
              <w:rPr>
                <w:rFonts w:ascii="Calibri" w:cs="Calibri" w:eastAsia="Calibri" w:hAnsi="Calibri"/>
                <w:sz w:val="10"/>
                <w:szCs w:val="10"/>
                <w:color w:val="auto"/>
              </w:rPr>
              <w:t>under equity incentve plan awards</w:t>
            </w:r>
          </w:p>
        </w:tc>
        <w:tc>
          <w:tcPr>
            <w:tcW w:w="880" w:type="dxa"/>
            <w:vAlign w:val="bottom"/>
          </w:tcPr>
          <w:p>
            <w:pPr>
              <w:jc w:val="center"/>
              <w:ind w:right="48"/>
              <w:spacing w:after="0"/>
              <w:rPr>
                <w:sz w:val="20"/>
                <w:szCs w:val="20"/>
                <w:color w:val="auto"/>
              </w:rPr>
            </w:pPr>
            <w:r>
              <w:rPr>
                <w:rFonts w:ascii="Calibri" w:cs="Calibri" w:eastAsia="Calibri" w:hAnsi="Calibri"/>
                <w:sz w:val="10"/>
                <w:szCs w:val="10"/>
                <w:color w:val="auto"/>
              </w:rPr>
              <w:t>All other</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5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80" w:type="dxa"/>
            <w:vAlign w:val="bottom"/>
            <w:vMerge w:val="restart"/>
          </w:tcPr>
          <w:p>
            <w:pPr>
              <w:jc w:val="center"/>
              <w:ind w:right="48"/>
              <w:spacing w:after="0"/>
              <w:rPr>
                <w:sz w:val="20"/>
                <w:szCs w:val="20"/>
                <w:color w:val="auto"/>
              </w:rPr>
            </w:pPr>
            <w:r>
              <w:rPr>
                <w:rFonts w:ascii="Calibri" w:cs="Calibri" w:eastAsia="Calibri" w:hAnsi="Calibri"/>
                <w:sz w:val="10"/>
                <w:szCs w:val="10"/>
                <w:color w:val="auto"/>
              </w:rPr>
              <w:t>stock awards:</w:t>
            </w:r>
          </w:p>
        </w:tc>
        <w:tc>
          <w:tcPr>
            <w:tcW w:w="860" w:type="dxa"/>
            <w:vAlign w:val="bottom"/>
            <w:vMerge w:val="restart"/>
          </w:tcPr>
          <w:p>
            <w:pPr>
              <w:jc w:val="center"/>
              <w:ind w:left="168"/>
              <w:spacing w:after="0"/>
              <w:rPr>
                <w:sz w:val="20"/>
                <w:szCs w:val="20"/>
                <w:color w:val="auto"/>
              </w:rPr>
            </w:pPr>
            <w:r>
              <w:rPr>
                <w:rFonts w:ascii="Calibri" w:cs="Calibri" w:eastAsia="Calibri" w:hAnsi="Calibri"/>
                <w:sz w:val="10"/>
                <w:szCs w:val="10"/>
                <w:color w:val="auto"/>
              </w:rPr>
              <w:t>Grant Date Fair</w:t>
            </w:r>
          </w:p>
        </w:tc>
        <w:tc>
          <w:tcPr>
            <w:tcW w:w="0" w:type="dxa"/>
            <w:vAlign w:val="bottom"/>
          </w:tcPr>
          <w:p>
            <w:pPr>
              <w:spacing w:after="0"/>
              <w:rPr>
                <w:sz w:val="1"/>
                <w:szCs w:val="1"/>
                <w:color w:val="auto"/>
              </w:rPr>
            </w:pPr>
          </w:p>
        </w:tc>
      </w:tr>
      <w:tr>
        <w:trPr>
          <w:trHeight w:val="45"/>
        </w:trPr>
        <w:tc>
          <w:tcPr>
            <w:tcW w:w="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3"/>
        </w:trPr>
        <w:tc>
          <w:tcPr>
            <w:tcW w:w="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jc w:val="center"/>
              <w:ind w:right="48"/>
              <w:spacing w:after="0"/>
              <w:rPr>
                <w:sz w:val="20"/>
                <w:szCs w:val="20"/>
                <w:color w:val="auto"/>
              </w:rPr>
            </w:pPr>
            <w:r>
              <w:rPr>
                <w:rFonts w:ascii="Calibri" w:cs="Calibri" w:eastAsia="Calibri" w:hAnsi="Calibri"/>
                <w:sz w:val="10"/>
                <w:szCs w:val="10"/>
                <w:color w:val="auto"/>
              </w:rPr>
              <w:t>number of</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jc w:val="center"/>
              <w:ind w:right="48"/>
              <w:spacing w:after="0"/>
              <w:rPr>
                <w:sz w:val="20"/>
                <w:szCs w:val="20"/>
                <w:color w:val="auto"/>
              </w:rPr>
            </w:pPr>
            <w:r>
              <w:rPr>
                <w:rFonts w:ascii="Calibri" w:cs="Calibri" w:eastAsia="Calibri" w:hAnsi="Calibri"/>
                <w:sz w:val="10"/>
                <w:szCs w:val="10"/>
                <w:color w:val="auto"/>
              </w:rPr>
              <w:t>shares of</w:t>
            </w:r>
          </w:p>
        </w:tc>
        <w:tc>
          <w:tcPr>
            <w:tcW w:w="860" w:type="dxa"/>
            <w:vAlign w:val="bottom"/>
          </w:tcPr>
          <w:p>
            <w:pPr>
              <w:jc w:val="center"/>
              <w:ind w:left="148"/>
              <w:spacing w:after="0"/>
              <w:rPr>
                <w:sz w:val="20"/>
                <w:szCs w:val="20"/>
                <w:color w:val="auto"/>
              </w:rPr>
            </w:pPr>
            <w:r>
              <w:rPr>
                <w:rFonts w:ascii="Calibri" w:cs="Calibri" w:eastAsia="Calibri" w:hAnsi="Calibri"/>
                <w:sz w:val="10"/>
                <w:szCs w:val="10"/>
                <w:color w:val="auto"/>
              </w:rPr>
              <w:t>Value of Stock</w:t>
            </w:r>
          </w:p>
        </w:tc>
        <w:tc>
          <w:tcPr>
            <w:tcW w:w="0" w:type="dxa"/>
            <w:vAlign w:val="bottom"/>
          </w:tcPr>
          <w:p>
            <w:pPr>
              <w:spacing w:after="0"/>
              <w:rPr>
                <w:sz w:val="1"/>
                <w:szCs w:val="1"/>
                <w:color w:val="auto"/>
              </w:rPr>
            </w:pPr>
          </w:p>
        </w:tc>
      </w:tr>
      <w:tr>
        <w:trPr>
          <w:trHeight w:val="130"/>
        </w:trPr>
        <w:tc>
          <w:tcPr>
            <w:tcW w:w="540" w:type="dxa"/>
            <w:vAlign w:val="bottom"/>
            <w:vMerge w:val="restart"/>
          </w:tcPr>
          <w:p>
            <w:pPr>
              <w:jc w:val="center"/>
              <w:ind w:left="68"/>
              <w:spacing w:after="0"/>
              <w:rPr>
                <w:sz w:val="20"/>
                <w:szCs w:val="20"/>
                <w:color w:val="auto"/>
              </w:rPr>
            </w:pPr>
            <w:r>
              <w:rPr>
                <w:rFonts w:ascii="Calibri" w:cs="Calibri" w:eastAsia="Calibri" w:hAnsi="Calibri"/>
                <w:sz w:val="10"/>
                <w:szCs w:val="10"/>
                <w:color w:val="auto"/>
              </w:rPr>
              <w:t>Threshold</w:t>
            </w:r>
          </w:p>
        </w:tc>
        <w:tc>
          <w:tcPr>
            <w:tcW w:w="1080" w:type="dxa"/>
            <w:vAlign w:val="bottom"/>
            <w:vMerge w:val="restart"/>
          </w:tcPr>
          <w:p>
            <w:pPr>
              <w:jc w:val="center"/>
              <w:ind w:left="128"/>
              <w:spacing w:after="0"/>
              <w:rPr>
                <w:sz w:val="20"/>
                <w:szCs w:val="20"/>
                <w:color w:val="auto"/>
              </w:rPr>
            </w:pPr>
            <w:r>
              <w:rPr>
                <w:rFonts w:ascii="Calibri" w:cs="Calibri" w:eastAsia="Calibri" w:hAnsi="Calibri"/>
                <w:sz w:val="10"/>
                <w:szCs w:val="10"/>
                <w:color w:val="auto"/>
                <w:w w:val="99"/>
              </w:rPr>
              <w:t>Target</w:t>
            </w:r>
          </w:p>
        </w:tc>
        <w:tc>
          <w:tcPr>
            <w:tcW w:w="940" w:type="dxa"/>
            <w:vAlign w:val="bottom"/>
            <w:vMerge w:val="restart"/>
          </w:tcPr>
          <w:p>
            <w:pPr>
              <w:jc w:val="center"/>
              <w:ind w:left="28"/>
              <w:spacing w:after="0"/>
              <w:rPr>
                <w:sz w:val="20"/>
                <w:szCs w:val="20"/>
                <w:color w:val="auto"/>
              </w:rPr>
            </w:pPr>
            <w:r>
              <w:rPr>
                <w:rFonts w:ascii="Calibri" w:cs="Calibri" w:eastAsia="Calibri" w:hAnsi="Calibri"/>
                <w:sz w:val="10"/>
                <w:szCs w:val="10"/>
                <w:color w:val="auto"/>
              </w:rPr>
              <w:t>Maximum</w:t>
            </w:r>
          </w:p>
        </w:tc>
        <w:tc>
          <w:tcPr>
            <w:tcW w:w="640" w:type="dxa"/>
            <w:vAlign w:val="bottom"/>
            <w:vMerge w:val="restart"/>
          </w:tcPr>
          <w:p>
            <w:pPr>
              <w:jc w:val="center"/>
              <w:ind w:left="168"/>
              <w:spacing w:after="0"/>
              <w:rPr>
                <w:sz w:val="20"/>
                <w:szCs w:val="20"/>
                <w:color w:val="auto"/>
              </w:rPr>
            </w:pPr>
            <w:r>
              <w:rPr>
                <w:rFonts w:ascii="Calibri" w:cs="Calibri" w:eastAsia="Calibri" w:hAnsi="Calibri"/>
                <w:sz w:val="10"/>
                <w:szCs w:val="10"/>
                <w:color w:val="auto"/>
              </w:rPr>
              <w:t>Threshold</w:t>
            </w:r>
          </w:p>
        </w:tc>
        <w:tc>
          <w:tcPr>
            <w:tcW w:w="860" w:type="dxa"/>
            <w:vAlign w:val="bottom"/>
            <w:vMerge w:val="restart"/>
          </w:tcPr>
          <w:p>
            <w:pPr>
              <w:jc w:val="center"/>
              <w:ind w:left="148"/>
              <w:spacing w:after="0"/>
              <w:rPr>
                <w:sz w:val="20"/>
                <w:szCs w:val="20"/>
                <w:color w:val="auto"/>
              </w:rPr>
            </w:pPr>
            <w:r>
              <w:rPr>
                <w:rFonts w:ascii="Calibri" w:cs="Calibri" w:eastAsia="Calibri" w:hAnsi="Calibri"/>
                <w:sz w:val="10"/>
                <w:szCs w:val="10"/>
                <w:color w:val="auto"/>
                <w:w w:val="99"/>
              </w:rPr>
              <w:t>Target</w:t>
            </w:r>
          </w:p>
        </w:tc>
        <w:tc>
          <w:tcPr>
            <w:tcW w:w="740" w:type="dxa"/>
            <w:vAlign w:val="bottom"/>
            <w:vMerge w:val="restart"/>
          </w:tcPr>
          <w:p>
            <w:pPr>
              <w:jc w:val="center"/>
              <w:ind w:left="28"/>
              <w:spacing w:after="0"/>
              <w:rPr>
                <w:sz w:val="20"/>
                <w:szCs w:val="20"/>
                <w:color w:val="auto"/>
              </w:rPr>
            </w:pPr>
            <w:r>
              <w:rPr>
                <w:rFonts w:ascii="Calibri" w:cs="Calibri" w:eastAsia="Calibri" w:hAnsi="Calibri"/>
                <w:sz w:val="10"/>
                <w:szCs w:val="10"/>
                <w:color w:val="auto"/>
              </w:rPr>
              <w:t>Maximum</w:t>
            </w:r>
          </w:p>
        </w:tc>
        <w:tc>
          <w:tcPr>
            <w:tcW w:w="880" w:type="dxa"/>
            <w:vAlign w:val="bottom"/>
          </w:tcPr>
          <w:p>
            <w:pPr>
              <w:jc w:val="center"/>
              <w:ind w:right="48"/>
              <w:spacing w:after="0"/>
              <w:rPr>
                <w:sz w:val="20"/>
                <w:szCs w:val="20"/>
                <w:color w:val="auto"/>
              </w:rPr>
            </w:pPr>
            <w:r>
              <w:rPr>
                <w:rFonts w:ascii="Calibri" w:cs="Calibri" w:eastAsia="Calibri" w:hAnsi="Calibri"/>
                <w:sz w:val="10"/>
                <w:szCs w:val="10"/>
                <w:color w:val="auto"/>
              </w:rPr>
              <w:t>stock or units</w:t>
            </w:r>
          </w:p>
        </w:tc>
        <w:tc>
          <w:tcPr>
            <w:tcW w:w="860" w:type="dxa"/>
            <w:vAlign w:val="bottom"/>
          </w:tcPr>
          <w:p>
            <w:pPr>
              <w:jc w:val="center"/>
              <w:ind w:left="148"/>
              <w:spacing w:after="0"/>
              <w:rPr>
                <w:sz w:val="20"/>
                <w:szCs w:val="20"/>
                <w:color w:val="auto"/>
              </w:rPr>
            </w:pPr>
            <w:r>
              <w:rPr>
                <w:rFonts w:ascii="Calibri" w:cs="Calibri" w:eastAsia="Calibri" w:hAnsi="Calibri"/>
                <w:sz w:val="10"/>
                <w:szCs w:val="10"/>
                <w:color w:val="auto"/>
              </w:rPr>
              <w:t>and Opton</w:t>
            </w:r>
          </w:p>
        </w:tc>
        <w:tc>
          <w:tcPr>
            <w:tcW w:w="0" w:type="dxa"/>
            <w:vAlign w:val="bottom"/>
          </w:tcPr>
          <w:p>
            <w:pPr>
              <w:spacing w:after="0"/>
              <w:rPr>
                <w:sz w:val="1"/>
                <w:szCs w:val="1"/>
                <w:color w:val="auto"/>
              </w:rPr>
            </w:pPr>
          </w:p>
        </w:tc>
      </w:tr>
      <w:tr>
        <w:trPr>
          <w:trHeight w:val="52"/>
        </w:trPr>
        <w:tc>
          <w:tcPr>
            <w:tcW w:w="5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80" w:type="dxa"/>
            <w:vAlign w:val="bottom"/>
            <w:vMerge w:val="restart"/>
          </w:tcPr>
          <w:p>
            <w:pPr>
              <w:jc w:val="center"/>
              <w:ind w:right="48"/>
              <w:spacing w:after="0"/>
              <w:rPr>
                <w:sz w:val="20"/>
                <w:szCs w:val="20"/>
                <w:color w:val="auto"/>
              </w:rPr>
            </w:pPr>
            <w:r>
              <w:rPr>
                <w:rFonts w:ascii="Calibri" w:cs="Calibri" w:eastAsia="Calibri" w:hAnsi="Calibri"/>
                <w:sz w:val="10"/>
                <w:szCs w:val="10"/>
                <w:color w:val="auto"/>
                <w:w w:val="90"/>
              </w:rPr>
              <w:t>(#)</w:t>
            </w:r>
          </w:p>
        </w:tc>
        <w:tc>
          <w:tcPr>
            <w:tcW w:w="860" w:type="dxa"/>
            <w:vAlign w:val="bottom"/>
            <w:vMerge w:val="restart"/>
          </w:tcPr>
          <w:p>
            <w:pPr>
              <w:jc w:val="center"/>
              <w:ind w:left="148"/>
              <w:spacing w:after="0"/>
              <w:rPr>
                <w:sz w:val="20"/>
                <w:szCs w:val="20"/>
                <w:color w:val="auto"/>
              </w:rPr>
            </w:pPr>
            <w:r>
              <w:rPr>
                <w:rFonts w:ascii="Calibri" w:cs="Calibri" w:eastAsia="Calibri" w:hAnsi="Calibri"/>
                <w:sz w:val="10"/>
                <w:szCs w:val="10"/>
                <w:color w:val="auto"/>
              </w:rPr>
              <w:t>Awards</w:t>
            </w:r>
            <w:r>
              <w:rPr>
                <w:rFonts w:ascii="Calibri" w:cs="Calibri" w:eastAsia="Calibri" w:hAnsi="Calibri"/>
                <w:sz w:val="8"/>
                <w:szCs w:val="8"/>
                <w:color w:val="auto"/>
              </w:rPr>
              <w:t>(5)</w:t>
            </w:r>
            <w:r>
              <w:rPr>
                <w:rFonts w:ascii="Calibri" w:cs="Calibri" w:eastAsia="Calibri" w:hAnsi="Calibri"/>
                <w:sz w:val="10"/>
                <w:szCs w:val="10"/>
                <w:color w:val="auto"/>
              </w:rPr>
              <w:t xml:space="preserve"> ($)</w:t>
            </w:r>
          </w:p>
        </w:tc>
        <w:tc>
          <w:tcPr>
            <w:tcW w:w="0" w:type="dxa"/>
            <w:vAlign w:val="bottom"/>
          </w:tcPr>
          <w:p>
            <w:pPr>
              <w:spacing w:after="0"/>
              <w:rPr>
                <w:sz w:val="1"/>
                <w:szCs w:val="1"/>
                <w:color w:val="auto"/>
              </w:rPr>
            </w:pPr>
          </w:p>
        </w:tc>
      </w:tr>
      <w:tr>
        <w:trPr>
          <w:trHeight w:val="85"/>
        </w:trPr>
        <w:tc>
          <w:tcPr>
            <w:tcW w:w="540" w:type="dxa"/>
            <w:vAlign w:val="bottom"/>
            <w:vMerge w:val="restart"/>
          </w:tcPr>
          <w:p>
            <w:pPr>
              <w:jc w:val="right"/>
              <w:ind w:right="108"/>
              <w:spacing w:after="0"/>
              <w:rPr>
                <w:sz w:val="20"/>
                <w:szCs w:val="20"/>
                <w:color w:val="auto"/>
              </w:rPr>
            </w:pPr>
            <w:r>
              <w:rPr>
                <w:rFonts w:ascii="Calibri" w:cs="Calibri" w:eastAsia="Calibri" w:hAnsi="Calibri"/>
                <w:sz w:val="10"/>
                <w:szCs w:val="10"/>
                <w:color w:val="auto"/>
              </w:rPr>
              <w:t>($)</w:t>
            </w:r>
          </w:p>
        </w:tc>
        <w:tc>
          <w:tcPr>
            <w:tcW w:w="1080" w:type="dxa"/>
            <w:vAlign w:val="bottom"/>
            <w:vMerge w:val="restart"/>
          </w:tcPr>
          <w:p>
            <w:pPr>
              <w:jc w:val="right"/>
              <w:ind w:right="348"/>
              <w:spacing w:after="0"/>
              <w:rPr>
                <w:sz w:val="20"/>
                <w:szCs w:val="20"/>
                <w:color w:val="auto"/>
              </w:rPr>
            </w:pPr>
            <w:r>
              <w:rPr>
                <w:rFonts w:ascii="Calibri" w:cs="Calibri" w:eastAsia="Calibri" w:hAnsi="Calibri"/>
                <w:sz w:val="10"/>
                <w:szCs w:val="10"/>
                <w:color w:val="auto"/>
              </w:rPr>
              <w:t>($)</w:t>
            </w:r>
          </w:p>
        </w:tc>
        <w:tc>
          <w:tcPr>
            <w:tcW w:w="940" w:type="dxa"/>
            <w:vAlign w:val="bottom"/>
            <w:vMerge w:val="restart"/>
          </w:tcPr>
          <w:p>
            <w:pPr>
              <w:jc w:val="right"/>
              <w:ind w:right="308"/>
              <w:spacing w:after="0"/>
              <w:rPr>
                <w:sz w:val="20"/>
                <w:szCs w:val="20"/>
                <w:color w:val="auto"/>
              </w:rPr>
            </w:pPr>
            <w:r>
              <w:rPr>
                <w:rFonts w:ascii="Calibri" w:cs="Calibri" w:eastAsia="Calibri" w:hAnsi="Calibri"/>
                <w:sz w:val="10"/>
                <w:szCs w:val="10"/>
                <w:color w:val="auto"/>
              </w:rPr>
              <w:t>($)</w:t>
            </w:r>
          </w:p>
        </w:tc>
        <w:tc>
          <w:tcPr>
            <w:tcW w:w="640" w:type="dxa"/>
            <w:vAlign w:val="bottom"/>
            <w:vMerge w:val="restart"/>
          </w:tcPr>
          <w:p>
            <w:pPr>
              <w:jc w:val="right"/>
              <w:ind w:right="108"/>
              <w:spacing w:after="0"/>
              <w:rPr>
                <w:sz w:val="20"/>
                <w:szCs w:val="20"/>
                <w:color w:val="auto"/>
              </w:rPr>
            </w:pPr>
            <w:r>
              <w:rPr>
                <w:rFonts w:ascii="Calibri" w:cs="Calibri" w:eastAsia="Calibri" w:hAnsi="Calibri"/>
                <w:sz w:val="10"/>
                <w:szCs w:val="10"/>
                <w:color w:val="auto"/>
              </w:rPr>
              <w:t>(#)</w:t>
            </w:r>
          </w:p>
        </w:tc>
        <w:tc>
          <w:tcPr>
            <w:tcW w:w="860" w:type="dxa"/>
            <w:vAlign w:val="bottom"/>
            <w:vMerge w:val="restart"/>
          </w:tcPr>
          <w:p>
            <w:pPr>
              <w:jc w:val="center"/>
              <w:ind w:left="168"/>
              <w:spacing w:after="0"/>
              <w:rPr>
                <w:sz w:val="20"/>
                <w:szCs w:val="20"/>
                <w:color w:val="auto"/>
              </w:rPr>
            </w:pPr>
            <w:r>
              <w:rPr>
                <w:rFonts w:ascii="Calibri" w:cs="Calibri" w:eastAsia="Calibri" w:hAnsi="Calibri"/>
                <w:sz w:val="10"/>
                <w:szCs w:val="10"/>
                <w:color w:val="auto"/>
              </w:rPr>
              <w:t>(#)</w:t>
            </w:r>
          </w:p>
        </w:tc>
        <w:tc>
          <w:tcPr>
            <w:tcW w:w="740" w:type="dxa"/>
            <w:vAlign w:val="bottom"/>
            <w:vMerge w:val="restart"/>
          </w:tcPr>
          <w:p>
            <w:pPr>
              <w:jc w:val="right"/>
              <w:ind w:right="208"/>
              <w:spacing w:after="0"/>
              <w:rPr>
                <w:sz w:val="20"/>
                <w:szCs w:val="20"/>
                <w:color w:val="auto"/>
              </w:rPr>
            </w:pPr>
            <w:r>
              <w:rPr>
                <w:rFonts w:ascii="Calibri" w:cs="Calibri" w:eastAsia="Calibri" w:hAnsi="Calibri"/>
                <w:sz w:val="10"/>
                <w:szCs w:val="10"/>
                <w:color w:val="auto"/>
              </w:rPr>
              <w:t>(#)</w:t>
            </w:r>
          </w:p>
        </w:tc>
        <w:tc>
          <w:tcPr>
            <w:tcW w:w="8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5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8255</wp:posOffset>
            </wp:positionV>
            <wp:extent cx="67405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3960" w:space="240"/>
            <w:col w:w="6740"/>
          </w:cols>
          <w:pgMar w:left="320" w:top="445" w:right="639" w:bottom="1440" w:gutter="0" w:footer="0" w:header="0"/>
          <w:type w:val="continuous"/>
        </w:sectPr>
      </w:pPr>
    </w:p>
    <w:tbl>
      <w:tblPr>
        <w:tblLayout w:type="fixed"/>
        <w:tblInd w:w="320" w:type="dxa"/>
        <w:tblCellMar>
          <w:top w:w="0" w:type="dxa"/>
          <w:left w:w="0" w:type="dxa"/>
          <w:bottom w:w="0" w:type="dxa"/>
          <w:right w:w="0" w:type="dxa"/>
        </w:tblCellMar>
      </w:tblPr>
      <w:tr>
        <w:trPr>
          <w:trHeight w:val="171"/>
        </w:trPr>
        <w:tc>
          <w:tcPr>
            <w:tcW w:w="3180" w:type="dxa"/>
            <w:vAlign w:val="bottom"/>
            <w:vMerge w:val="restart"/>
          </w:tcPr>
          <w:p>
            <w:pPr>
              <w:ind w:left="60"/>
              <w:spacing w:after="0"/>
              <w:rPr>
                <w:sz w:val="20"/>
                <w:szCs w:val="20"/>
                <w:color w:val="auto"/>
              </w:rPr>
            </w:pPr>
            <w:r>
              <w:rPr>
                <w:rFonts w:ascii="Calibri" w:cs="Calibri" w:eastAsia="Calibri" w:hAnsi="Calibri"/>
                <w:sz w:val="14"/>
                <w:szCs w:val="14"/>
                <w:b w:val="1"/>
                <w:bCs w:val="1"/>
                <w:color w:val="auto"/>
              </w:rPr>
              <w:t>Rohit</w:t>
            </w:r>
          </w:p>
        </w:tc>
        <w:tc>
          <w:tcPr>
            <w:tcW w:w="2400" w:type="dxa"/>
            <w:vAlign w:val="bottom"/>
            <w:gridSpan w:val="4"/>
          </w:tcPr>
          <w:p>
            <w:pPr>
              <w:jc w:val="right"/>
              <w:ind w:right="220"/>
              <w:spacing w:after="0"/>
              <w:rPr>
                <w:sz w:val="20"/>
                <w:szCs w:val="20"/>
                <w:color w:val="auto"/>
              </w:rPr>
            </w:pPr>
            <w:r>
              <w:rPr>
                <w:rFonts w:ascii="Calibri" w:cs="Calibri" w:eastAsia="Calibri" w:hAnsi="Calibri"/>
                <w:sz w:val="14"/>
                <w:szCs w:val="14"/>
                <w:color w:val="auto"/>
              </w:rPr>
              <w:t>1,113,904</w:t>
            </w:r>
          </w:p>
        </w:tc>
        <w:tc>
          <w:tcPr>
            <w:tcW w:w="2500" w:type="dxa"/>
            <w:vAlign w:val="bottom"/>
          </w:tcPr>
          <w:p>
            <w:pPr>
              <w:jc w:val="right"/>
              <w:ind w:right="1671"/>
              <w:spacing w:after="0"/>
              <w:rPr>
                <w:sz w:val="20"/>
                <w:szCs w:val="20"/>
                <w:color w:val="auto"/>
              </w:rPr>
            </w:pPr>
            <w:r>
              <w:rPr>
                <w:rFonts w:ascii="Calibri" w:cs="Calibri" w:eastAsia="Calibri" w:hAnsi="Calibri"/>
                <w:sz w:val="14"/>
                <w:szCs w:val="14"/>
                <w:color w:val="auto"/>
              </w:rPr>
              <w:t>3,467,027</w:t>
            </w: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180" w:type="dxa"/>
            <w:vAlign w:val="bottom"/>
            <w:vMerge w:val="continue"/>
          </w:tcPr>
          <w:p>
            <w:pPr>
              <w:spacing w:after="0"/>
              <w:rPr>
                <w:sz w:val="9"/>
                <w:szCs w:val="9"/>
                <w:color w:val="auto"/>
              </w:rPr>
            </w:pPr>
          </w:p>
        </w:tc>
        <w:tc>
          <w:tcPr>
            <w:tcW w:w="2400" w:type="dxa"/>
            <w:vAlign w:val="bottom"/>
            <w:gridSpan w:val="4"/>
            <w:vMerge w:val="restart"/>
          </w:tcPr>
          <w:p>
            <w:pPr>
              <w:jc w:val="right"/>
              <w:ind w:right="1800"/>
              <w:spacing w:after="0"/>
              <w:rPr>
                <w:sz w:val="20"/>
                <w:szCs w:val="20"/>
                <w:color w:val="auto"/>
              </w:rPr>
            </w:pPr>
            <w:r>
              <w:rPr>
                <w:rFonts w:ascii="Calibri" w:cs="Calibri" w:eastAsia="Calibri" w:hAnsi="Calibri"/>
                <w:sz w:val="14"/>
                <w:szCs w:val="14"/>
                <w:color w:val="auto"/>
              </w:rPr>
              <w:t>2/17/21</w:t>
            </w:r>
          </w:p>
        </w:tc>
        <w:tc>
          <w:tcPr>
            <w:tcW w:w="2500" w:type="dxa"/>
            <w:vAlign w:val="bottom"/>
          </w:tcPr>
          <w:p>
            <w:pPr>
              <w:spacing w:after="0"/>
              <w:rPr>
                <w:sz w:val="9"/>
                <w:szCs w:val="9"/>
                <w:color w:val="auto"/>
              </w:rPr>
            </w:pPr>
          </w:p>
        </w:tc>
        <w:tc>
          <w:tcPr>
            <w:tcW w:w="1640" w:type="dxa"/>
            <w:vAlign w:val="bottom"/>
            <w:vMerge w:val="restart"/>
          </w:tcPr>
          <w:p>
            <w:pPr>
              <w:jc w:val="right"/>
              <w:ind w:right="151"/>
              <w:spacing w:after="0"/>
              <w:rPr>
                <w:sz w:val="20"/>
                <w:szCs w:val="20"/>
                <w:color w:val="auto"/>
              </w:rPr>
            </w:pPr>
            <w:r>
              <w:rPr>
                <w:rFonts w:ascii="Calibri" w:cs="Calibri" w:eastAsia="Calibri" w:hAnsi="Calibri"/>
                <w:sz w:val="14"/>
                <w:szCs w:val="14"/>
                <w:color w:val="auto"/>
              </w:rPr>
              <w:t>35,400</w:t>
            </w:r>
            <w:r>
              <w:rPr>
                <w:rFonts w:ascii="Calibri" w:cs="Calibri" w:eastAsia="Calibri" w:hAnsi="Calibri"/>
                <w:sz w:val="11"/>
                <w:szCs w:val="11"/>
                <w:color w:val="auto"/>
              </w:rPr>
              <w:t>(3)</w:t>
            </w:r>
          </w:p>
        </w:tc>
        <w:tc>
          <w:tcPr>
            <w:tcW w:w="90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2,968,998</w:t>
            </w:r>
          </w:p>
        </w:tc>
        <w:tc>
          <w:tcPr>
            <w:tcW w:w="0" w:type="dxa"/>
            <w:vAlign w:val="bottom"/>
          </w:tcPr>
          <w:p>
            <w:pPr>
              <w:spacing w:after="0"/>
              <w:rPr>
                <w:sz w:val="1"/>
                <w:szCs w:val="1"/>
                <w:color w:val="auto"/>
              </w:rPr>
            </w:pPr>
          </w:p>
        </w:tc>
      </w:tr>
      <w:tr>
        <w:trPr>
          <w:trHeight w:val="91"/>
        </w:trPr>
        <w:tc>
          <w:tcPr>
            <w:tcW w:w="3180" w:type="dxa"/>
            <w:vAlign w:val="bottom"/>
            <w:vMerge w:val="restart"/>
          </w:tcPr>
          <w:p>
            <w:pPr>
              <w:ind w:left="60"/>
              <w:spacing w:after="0" w:line="169" w:lineRule="exact"/>
              <w:rPr>
                <w:sz w:val="20"/>
                <w:szCs w:val="20"/>
                <w:color w:val="auto"/>
              </w:rPr>
            </w:pPr>
            <w:r>
              <w:rPr>
                <w:rFonts w:ascii="Calibri" w:cs="Calibri" w:eastAsia="Calibri" w:hAnsi="Calibri"/>
                <w:sz w:val="14"/>
                <w:szCs w:val="14"/>
                <w:b w:val="1"/>
                <w:bCs w:val="1"/>
                <w:color w:val="auto"/>
              </w:rPr>
              <w:t>Kapoor</w:t>
            </w:r>
          </w:p>
        </w:tc>
        <w:tc>
          <w:tcPr>
            <w:tcW w:w="2400" w:type="dxa"/>
            <w:vAlign w:val="bottom"/>
            <w:gridSpan w:val="4"/>
            <w:vMerge w:val="continue"/>
          </w:tcPr>
          <w:p>
            <w:pPr>
              <w:spacing w:after="0"/>
              <w:rPr>
                <w:sz w:val="7"/>
                <w:szCs w:val="7"/>
                <w:color w:val="auto"/>
              </w:rPr>
            </w:pPr>
          </w:p>
        </w:tc>
        <w:tc>
          <w:tcPr>
            <w:tcW w:w="25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3180" w:type="dxa"/>
            <w:vAlign w:val="bottom"/>
            <w:vMerge w:val="continue"/>
          </w:tcPr>
          <w:p>
            <w:pPr>
              <w:spacing w:after="0"/>
              <w:rPr>
                <w:sz w:val="6"/>
                <w:szCs w:val="6"/>
                <w:color w:val="auto"/>
              </w:rPr>
            </w:pPr>
          </w:p>
        </w:tc>
        <w:tc>
          <w:tcPr>
            <w:tcW w:w="2400" w:type="dxa"/>
            <w:vAlign w:val="bottom"/>
            <w:gridSpan w:val="4"/>
            <w:vMerge w:val="restart"/>
          </w:tcPr>
          <w:p>
            <w:pPr>
              <w:jc w:val="right"/>
              <w:ind w:right="1800"/>
              <w:spacing w:after="0"/>
              <w:rPr>
                <w:sz w:val="20"/>
                <w:szCs w:val="20"/>
                <w:color w:val="auto"/>
              </w:rPr>
            </w:pPr>
            <w:r>
              <w:rPr>
                <w:rFonts w:ascii="Calibri" w:cs="Calibri" w:eastAsia="Calibri" w:hAnsi="Calibri"/>
                <w:sz w:val="14"/>
                <w:szCs w:val="14"/>
                <w:color w:val="auto"/>
              </w:rPr>
              <w:t>2/17/21</w:t>
            </w:r>
          </w:p>
        </w:tc>
        <w:tc>
          <w:tcPr>
            <w:tcW w:w="250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35,400</w:t>
            </w:r>
            <w:r>
              <w:rPr>
                <w:rFonts w:ascii="Calibri" w:cs="Calibri" w:eastAsia="Calibri" w:hAnsi="Calibri"/>
                <w:sz w:val="11"/>
                <w:szCs w:val="11"/>
                <w:color w:val="auto"/>
              </w:rPr>
              <w:t>(2)</w:t>
            </w:r>
          </w:p>
        </w:tc>
        <w:tc>
          <w:tcPr>
            <w:tcW w:w="1640" w:type="dxa"/>
            <w:vAlign w:val="bottom"/>
            <w:vMerge w:val="restart"/>
          </w:tcPr>
          <w:p>
            <w:pPr>
              <w:jc w:val="right"/>
              <w:ind w:right="1091"/>
              <w:spacing w:after="0"/>
              <w:rPr>
                <w:sz w:val="20"/>
                <w:szCs w:val="20"/>
                <w:color w:val="auto"/>
              </w:rPr>
            </w:pPr>
            <w:r>
              <w:rPr>
                <w:rFonts w:ascii="Calibri" w:cs="Calibri" w:eastAsia="Calibri" w:hAnsi="Calibri"/>
                <w:sz w:val="14"/>
                <w:szCs w:val="14"/>
                <w:color w:val="auto"/>
              </w:rPr>
              <w:t>70,800</w:t>
            </w:r>
          </w:p>
        </w:tc>
        <w:tc>
          <w:tcPr>
            <w:tcW w:w="900" w:type="dxa"/>
            <w:vAlign w:val="bottom"/>
            <w:vMerge w:val="restart"/>
          </w:tcPr>
          <w:p>
            <w:pPr>
              <w:jc w:val="right"/>
              <w:ind w:right="51"/>
              <w:spacing w:after="0"/>
              <w:rPr>
                <w:sz w:val="20"/>
                <w:szCs w:val="20"/>
                <w:color w:val="auto"/>
              </w:rPr>
            </w:pPr>
            <w:r>
              <w:rPr>
                <w:rFonts w:ascii="Calibri" w:cs="Calibri" w:eastAsia="Calibri" w:hAnsi="Calibri"/>
                <w:sz w:val="14"/>
                <w:szCs w:val="14"/>
                <w:color w:val="auto"/>
              </w:rPr>
              <w:t>4,240,920</w:t>
            </w: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180" w:type="dxa"/>
            <w:vAlign w:val="bottom"/>
            <w:shd w:val="clear" w:color="auto" w:fill="D8D8D8"/>
          </w:tcPr>
          <w:p>
            <w:pPr>
              <w:spacing w:after="0"/>
              <w:rPr>
                <w:sz w:val="15"/>
                <w:szCs w:val="15"/>
                <w:color w:val="auto"/>
              </w:rPr>
            </w:pPr>
          </w:p>
        </w:tc>
        <w:tc>
          <w:tcPr>
            <w:tcW w:w="100" w:type="dxa"/>
            <w:vAlign w:val="bottom"/>
            <w:shd w:val="clear" w:color="auto" w:fill="D8D8D8"/>
          </w:tcPr>
          <w:p>
            <w:pPr>
              <w:spacing w:after="0"/>
              <w:rPr>
                <w:sz w:val="15"/>
                <w:szCs w:val="15"/>
                <w:color w:val="auto"/>
              </w:rPr>
            </w:pPr>
          </w:p>
        </w:tc>
        <w:tc>
          <w:tcPr>
            <w:tcW w:w="2300" w:type="dxa"/>
            <w:vAlign w:val="bottom"/>
            <w:gridSpan w:val="3"/>
            <w:shd w:val="clear" w:color="auto" w:fill="D8D8D8"/>
          </w:tcPr>
          <w:p>
            <w:pPr>
              <w:jc w:val="right"/>
              <w:ind w:right="220"/>
              <w:spacing w:after="0"/>
              <w:rPr>
                <w:sz w:val="20"/>
                <w:szCs w:val="20"/>
                <w:color w:val="auto"/>
              </w:rPr>
            </w:pPr>
            <w:r>
              <w:rPr>
                <w:rFonts w:ascii="Calibri" w:cs="Calibri" w:eastAsia="Calibri" w:hAnsi="Calibri"/>
                <w:sz w:val="14"/>
                <w:szCs w:val="14"/>
                <w:color w:val="auto"/>
              </w:rPr>
              <w:t>356,250</w:t>
            </w:r>
          </w:p>
        </w:tc>
        <w:tc>
          <w:tcPr>
            <w:tcW w:w="2500" w:type="dxa"/>
            <w:vAlign w:val="bottom"/>
            <w:shd w:val="clear" w:color="auto" w:fill="D8D8D8"/>
          </w:tcPr>
          <w:p>
            <w:pPr>
              <w:jc w:val="right"/>
              <w:ind w:right="1671"/>
              <w:spacing w:after="0"/>
              <w:rPr>
                <w:sz w:val="20"/>
                <w:szCs w:val="20"/>
                <w:color w:val="auto"/>
              </w:rPr>
            </w:pPr>
            <w:r>
              <w:rPr>
                <w:rFonts w:ascii="Calibri" w:cs="Calibri" w:eastAsia="Calibri" w:hAnsi="Calibri"/>
                <w:sz w:val="14"/>
                <w:szCs w:val="14"/>
                <w:color w:val="auto"/>
              </w:rPr>
              <w:t>554,414</w:t>
            </w:r>
          </w:p>
        </w:tc>
        <w:tc>
          <w:tcPr>
            <w:tcW w:w="1640" w:type="dxa"/>
            <w:vAlign w:val="bottom"/>
            <w:shd w:val="clear" w:color="auto" w:fill="D8D8D8"/>
          </w:tcPr>
          <w:p>
            <w:pPr>
              <w:spacing w:after="0"/>
              <w:rPr>
                <w:sz w:val="15"/>
                <w:szCs w:val="15"/>
                <w:color w:val="auto"/>
              </w:rPr>
            </w:pPr>
          </w:p>
        </w:tc>
        <w:tc>
          <w:tcPr>
            <w:tcW w:w="9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D8D8D8"/>
          </w:tcPr>
          <w:p>
            <w:pPr>
              <w:ind w:left="60"/>
              <w:spacing w:after="0"/>
              <w:rPr>
                <w:sz w:val="20"/>
                <w:szCs w:val="20"/>
                <w:color w:val="auto"/>
              </w:rPr>
            </w:pPr>
            <w:r>
              <w:rPr>
                <w:rFonts w:ascii="Calibri" w:cs="Calibri" w:eastAsia="Calibri" w:hAnsi="Calibri"/>
                <w:sz w:val="14"/>
                <w:szCs w:val="14"/>
                <w:b w:val="1"/>
                <w:bCs w:val="1"/>
                <w:color w:val="auto"/>
              </w:rPr>
              <w:t>Maurizio</w:t>
            </w:r>
          </w:p>
        </w:tc>
        <w:tc>
          <w:tcPr>
            <w:tcW w:w="100" w:type="dxa"/>
            <w:vAlign w:val="bottom"/>
            <w:shd w:val="clear" w:color="auto" w:fill="D8D8D8"/>
          </w:tcPr>
          <w:p>
            <w:pPr>
              <w:spacing w:after="0"/>
              <w:rPr>
                <w:sz w:val="16"/>
                <w:szCs w:val="16"/>
                <w:color w:val="auto"/>
              </w:rPr>
            </w:pPr>
          </w:p>
        </w:tc>
        <w:tc>
          <w:tcPr>
            <w:tcW w:w="40" w:type="dxa"/>
            <w:vAlign w:val="bottom"/>
            <w:shd w:val="clear" w:color="auto" w:fill="D8D8D8"/>
          </w:tcPr>
          <w:p>
            <w:pPr>
              <w:spacing w:after="0"/>
              <w:rPr>
                <w:sz w:val="16"/>
                <w:szCs w:val="16"/>
                <w:color w:val="auto"/>
              </w:rPr>
            </w:pPr>
          </w:p>
        </w:tc>
        <w:tc>
          <w:tcPr>
            <w:tcW w:w="2260" w:type="dxa"/>
            <w:vAlign w:val="bottom"/>
            <w:gridSpan w:val="2"/>
            <w:shd w:val="clear" w:color="auto" w:fill="D8D8D8"/>
          </w:tcPr>
          <w:p>
            <w:pPr>
              <w:jc w:val="right"/>
              <w:ind w:right="1800"/>
              <w:spacing w:after="0"/>
              <w:rPr>
                <w:sz w:val="20"/>
                <w:szCs w:val="20"/>
                <w:color w:val="auto"/>
              </w:rPr>
            </w:pPr>
            <w:r>
              <w:rPr>
                <w:rFonts w:ascii="Calibri" w:cs="Calibri" w:eastAsia="Calibri" w:hAnsi="Calibri"/>
                <w:sz w:val="14"/>
                <w:szCs w:val="14"/>
                <w:color w:val="auto"/>
                <w:w w:val="94"/>
              </w:rPr>
              <w:t>2/17/21</w:t>
            </w:r>
          </w:p>
        </w:tc>
        <w:tc>
          <w:tcPr>
            <w:tcW w:w="2500" w:type="dxa"/>
            <w:vAlign w:val="bottom"/>
            <w:shd w:val="clear" w:color="auto" w:fill="D8D8D8"/>
          </w:tcPr>
          <w:p>
            <w:pPr>
              <w:spacing w:after="0"/>
              <w:rPr>
                <w:sz w:val="16"/>
                <w:szCs w:val="16"/>
                <w:color w:val="auto"/>
              </w:rPr>
            </w:pPr>
          </w:p>
        </w:tc>
        <w:tc>
          <w:tcPr>
            <w:tcW w:w="1640" w:type="dxa"/>
            <w:vAlign w:val="bottom"/>
            <w:shd w:val="clear" w:color="auto" w:fill="D8D8D8"/>
          </w:tcPr>
          <w:p>
            <w:pPr>
              <w:jc w:val="right"/>
              <w:ind w:right="151"/>
              <w:spacing w:after="0"/>
              <w:rPr>
                <w:sz w:val="20"/>
                <w:szCs w:val="20"/>
                <w:color w:val="auto"/>
              </w:rPr>
            </w:pPr>
            <w:r>
              <w:rPr>
                <w:rFonts w:ascii="Calibri" w:cs="Calibri" w:eastAsia="Calibri" w:hAnsi="Calibri"/>
                <w:sz w:val="14"/>
                <w:szCs w:val="14"/>
                <w:color w:val="auto"/>
              </w:rPr>
              <w:t>6,920</w:t>
            </w:r>
            <w:r>
              <w:rPr>
                <w:rFonts w:ascii="Calibri" w:cs="Calibri" w:eastAsia="Calibri" w:hAnsi="Calibri"/>
                <w:sz w:val="11"/>
                <w:szCs w:val="11"/>
                <w:color w:val="auto"/>
              </w:rPr>
              <w:t>(3)</w:t>
            </w:r>
          </w:p>
        </w:tc>
        <w:tc>
          <w:tcPr>
            <w:tcW w:w="90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580,380</w:t>
            </w:r>
          </w:p>
        </w:tc>
        <w:tc>
          <w:tcPr>
            <w:tcW w:w="0" w:type="dxa"/>
            <w:vAlign w:val="bottom"/>
          </w:tcPr>
          <w:p>
            <w:pPr>
              <w:spacing w:after="0"/>
              <w:rPr>
                <w:sz w:val="1"/>
                <w:szCs w:val="1"/>
                <w:color w:val="auto"/>
              </w:rPr>
            </w:pPr>
          </w:p>
        </w:tc>
      </w:tr>
      <w:tr>
        <w:trPr>
          <w:trHeight w:val="44"/>
        </w:trPr>
        <w:tc>
          <w:tcPr>
            <w:tcW w:w="3180" w:type="dxa"/>
            <w:vAlign w:val="bottom"/>
            <w:vMerge w:val="restart"/>
            <w:shd w:val="clear" w:color="auto" w:fill="D8D8D8"/>
          </w:tcPr>
          <w:p>
            <w:pPr>
              <w:ind w:left="60"/>
              <w:spacing w:after="0" w:line="169" w:lineRule="exact"/>
              <w:rPr>
                <w:sz w:val="20"/>
                <w:szCs w:val="20"/>
                <w:color w:val="auto"/>
              </w:rPr>
            </w:pPr>
            <w:r>
              <w:rPr>
                <w:rFonts w:ascii="Calibri" w:cs="Calibri" w:eastAsia="Calibri" w:hAnsi="Calibri"/>
                <w:sz w:val="14"/>
                <w:szCs w:val="14"/>
                <w:b w:val="1"/>
                <w:bCs w:val="1"/>
                <w:color w:val="auto"/>
              </w:rPr>
              <w:t>Nicolelli</w:t>
            </w:r>
          </w:p>
        </w:tc>
        <w:tc>
          <w:tcPr>
            <w:tcW w:w="100" w:type="dxa"/>
            <w:vAlign w:val="bottom"/>
            <w:vMerge w:val="restart"/>
            <w:shd w:val="clear" w:color="auto" w:fill="D8D8D8"/>
          </w:tcPr>
          <w:p>
            <w:pPr>
              <w:spacing w:after="0"/>
              <w:rPr>
                <w:sz w:val="3"/>
                <w:szCs w:val="3"/>
                <w:color w:val="auto"/>
              </w:rPr>
            </w:pPr>
          </w:p>
        </w:tc>
        <w:tc>
          <w:tcPr>
            <w:tcW w:w="40" w:type="dxa"/>
            <w:vAlign w:val="bottom"/>
            <w:shd w:val="clear" w:color="auto" w:fill="D8D8D8"/>
          </w:tcPr>
          <w:p>
            <w:pPr>
              <w:spacing w:after="0"/>
              <w:rPr>
                <w:sz w:val="3"/>
                <w:szCs w:val="3"/>
                <w:color w:val="auto"/>
              </w:rPr>
            </w:pPr>
          </w:p>
        </w:tc>
        <w:tc>
          <w:tcPr>
            <w:tcW w:w="460" w:type="dxa"/>
            <w:vAlign w:val="bottom"/>
            <w:vMerge w:val="restart"/>
            <w:shd w:val="clear" w:color="auto" w:fill="D8D8D8"/>
          </w:tcPr>
          <w:p>
            <w:pPr>
              <w:jc w:val="right"/>
              <w:spacing w:after="0"/>
              <w:rPr>
                <w:sz w:val="20"/>
                <w:szCs w:val="20"/>
                <w:color w:val="auto"/>
              </w:rPr>
            </w:pPr>
            <w:r>
              <w:rPr>
                <w:rFonts w:ascii="Calibri" w:cs="Calibri" w:eastAsia="Calibri" w:hAnsi="Calibri"/>
                <w:sz w:val="14"/>
                <w:szCs w:val="14"/>
                <w:color w:val="auto"/>
              </w:rPr>
              <w:t>9/1/21</w:t>
            </w:r>
          </w:p>
        </w:tc>
        <w:tc>
          <w:tcPr>
            <w:tcW w:w="1800" w:type="dxa"/>
            <w:vAlign w:val="bottom"/>
            <w:shd w:val="clear" w:color="auto" w:fill="D8D8D8"/>
          </w:tcPr>
          <w:p>
            <w:pPr>
              <w:spacing w:after="0"/>
              <w:rPr>
                <w:sz w:val="3"/>
                <w:szCs w:val="3"/>
                <w:color w:val="auto"/>
              </w:rPr>
            </w:pPr>
          </w:p>
        </w:tc>
        <w:tc>
          <w:tcPr>
            <w:tcW w:w="2500" w:type="dxa"/>
            <w:vAlign w:val="bottom"/>
            <w:shd w:val="clear" w:color="auto" w:fill="D8D8D8"/>
          </w:tcPr>
          <w:p>
            <w:pPr>
              <w:spacing w:after="0"/>
              <w:rPr>
                <w:sz w:val="3"/>
                <w:szCs w:val="3"/>
                <w:color w:val="auto"/>
              </w:rPr>
            </w:pPr>
          </w:p>
        </w:tc>
        <w:tc>
          <w:tcPr>
            <w:tcW w:w="1640" w:type="dxa"/>
            <w:vAlign w:val="bottom"/>
            <w:vMerge w:val="restart"/>
            <w:shd w:val="clear" w:color="auto" w:fill="D8D8D8"/>
          </w:tcPr>
          <w:p>
            <w:pPr>
              <w:jc w:val="right"/>
              <w:ind w:right="151"/>
              <w:spacing w:after="0"/>
              <w:rPr>
                <w:sz w:val="20"/>
                <w:szCs w:val="20"/>
                <w:color w:val="auto"/>
              </w:rPr>
            </w:pPr>
            <w:r>
              <w:rPr>
                <w:rFonts w:ascii="Calibri" w:cs="Calibri" w:eastAsia="Calibri" w:hAnsi="Calibri"/>
                <w:sz w:val="14"/>
                <w:szCs w:val="14"/>
                <w:color w:val="auto"/>
              </w:rPr>
              <w:t>8,121</w:t>
            </w:r>
            <w:r>
              <w:rPr>
                <w:rFonts w:ascii="Calibri" w:cs="Calibri" w:eastAsia="Calibri" w:hAnsi="Calibri"/>
                <w:sz w:val="11"/>
                <w:szCs w:val="11"/>
                <w:color w:val="auto"/>
              </w:rPr>
              <w:t>(4)</w:t>
            </w:r>
          </w:p>
        </w:tc>
        <w:tc>
          <w:tcPr>
            <w:tcW w:w="900" w:type="dxa"/>
            <w:vAlign w:val="bottom"/>
            <w:vMerge w:val="restart"/>
            <w:shd w:val="clear" w:color="auto" w:fill="D8D8D8"/>
          </w:tcPr>
          <w:p>
            <w:pPr>
              <w:jc w:val="right"/>
              <w:ind w:right="51"/>
              <w:spacing w:after="0"/>
              <w:rPr>
                <w:sz w:val="20"/>
                <w:szCs w:val="20"/>
                <w:color w:val="auto"/>
              </w:rPr>
            </w:pPr>
            <w:r>
              <w:rPr>
                <w:rFonts w:ascii="Calibri" w:cs="Calibri" w:eastAsia="Calibri" w:hAnsi="Calibri"/>
                <w:sz w:val="14"/>
                <w:szCs w:val="14"/>
                <w:color w:val="auto"/>
              </w:rPr>
              <w:t>811,044</w:t>
            </w:r>
          </w:p>
        </w:tc>
        <w:tc>
          <w:tcPr>
            <w:tcW w:w="0" w:type="dxa"/>
            <w:vAlign w:val="bottom"/>
          </w:tcPr>
          <w:p>
            <w:pPr>
              <w:spacing w:after="0"/>
              <w:rPr>
                <w:sz w:val="1"/>
                <w:szCs w:val="1"/>
                <w:color w:val="auto"/>
              </w:rPr>
            </w:pPr>
          </w:p>
        </w:tc>
      </w:tr>
      <w:tr>
        <w:trPr>
          <w:trHeight w:val="151"/>
        </w:trPr>
        <w:tc>
          <w:tcPr>
            <w:tcW w:w="3180" w:type="dxa"/>
            <w:vAlign w:val="bottom"/>
            <w:vMerge w:val="continue"/>
            <w:shd w:val="clear" w:color="auto" w:fill="D8D8D8"/>
          </w:tcPr>
          <w:p>
            <w:pPr>
              <w:spacing w:after="0"/>
              <w:rPr>
                <w:sz w:val="13"/>
                <w:szCs w:val="13"/>
                <w:color w:val="auto"/>
              </w:rPr>
            </w:pPr>
          </w:p>
        </w:tc>
        <w:tc>
          <w:tcPr>
            <w:tcW w:w="100" w:type="dxa"/>
            <w:vAlign w:val="bottom"/>
            <w:vMerge w:val="continue"/>
            <w:shd w:val="clear" w:color="auto" w:fill="D8D8D8"/>
          </w:tcPr>
          <w:p>
            <w:pPr>
              <w:spacing w:after="0"/>
              <w:rPr>
                <w:sz w:val="13"/>
                <w:szCs w:val="13"/>
                <w:color w:val="auto"/>
              </w:rPr>
            </w:pPr>
          </w:p>
        </w:tc>
        <w:tc>
          <w:tcPr>
            <w:tcW w:w="40" w:type="dxa"/>
            <w:vAlign w:val="bottom"/>
            <w:shd w:val="clear" w:color="auto" w:fill="D8D8D8"/>
          </w:tcPr>
          <w:p>
            <w:pPr>
              <w:spacing w:after="0"/>
              <w:rPr>
                <w:sz w:val="13"/>
                <w:szCs w:val="13"/>
                <w:color w:val="auto"/>
              </w:rPr>
            </w:pPr>
          </w:p>
        </w:tc>
        <w:tc>
          <w:tcPr>
            <w:tcW w:w="460" w:type="dxa"/>
            <w:vAlign w:val="bottom"/>
            <w:vMerge w:val="continue"/>
            <w:shd w:val="clear" w:color="auto" w:fill="D8D8D8"/>
          </w:tcPr>
          <w:p>
            <w:pPr>
              <w:spacing w:after="0"/>
              <w:rPr>
                <w:sz w:val="13"/>
                <w:szCs w:val="13"/>
                <w:color w:val="auto"/>
              </w:rPr>
            </w:pPr>
          </w:p>
        </w:tc>
        <w:tc>
          <w:tcPr>
            <w:tcW w:w="1800" w:type="dxa"/>
            <w:vAlign w:val="bottom"/>
            <w:shd w:val="clear" w:color="auto" w:fill="D8D8D8"/>
          </w:tcPr>
          <w:p>
            <w:pPr>
              <w:spacing w:after="0"/>
              <w:rPr>
                <w:sz w:val="13"/>
                <w:szCs w:val="13"/>
                <w:color w:val="auto"/>
              </w:rPr>
            </w:pPr>
          </w:p>
        </w:tc>
        <w:tc>
          <w:tcPr>
            <w:tcW w:w="2500" w:type="dxa"/>
            <w:vAlign w:val="bottom"/>
            <w:shd w:val="clear" w:color="auto" w:fill="D8D8D8"/>
          </w:tcPr>
          <w:p>
            <w:pPr>
              <w:spacing w:after="0"/>
              <w:rPr>
                <w:sz w:val="13"/>
                <w:szCs w:val="13"/>
                <w:color w:val="auto"/>
              </w:rPr>
            </w:pPr>
          </w:p>
        </w:tc>
        <w:tc>
          <w:tcPr>
            <w:tcW w:w="1640" w:type="dxa"/>
            <w:vAlign w:val="bottom"/>
            <w:vMerge w:val="continue"/>
            <w:shd w:val="clear" w:color="auto" w:fill="D8D8D8"/>
          </w:tcPr>
          <w:p>
            <w:pPr>
              <w:spacing w:after="0"/>
              <w:rPr>
                <w:sz w:val="13"/>
                <w:szCs w:val="13"/>
                <w:color w:val="auto"/>
              </w:rPr>
            </w:pPr>
          </w:p>
        </w:tc>
        <w:tc>
          <w:tcPr>
            <w:tcW w:w="900" w:type="dxa"/>
            <w:vAlign w:val="bottom"/>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180" w:type="dxa"/>
            <w:vAlign w:val="bottom"/>
            <w:tcBorders>
              <w:bottom w:val="single" w:sz="8" w:color="D8D8D8"/>
            </w:tcBorders>
            <w:shd w:val="clear" w:color="auto" w:fill="D8D8D8"/>
          </w:tcPr>
          <w:p>
            <w:pPr>
              <w:spacing w:after="0"/>
              <w:rPr>
                <w:sz w:val="19"/>
                <w:szCs w:val="19"/>
                <w:color w:val="auto"/>
              </w:rPr>
            </w:pPr>
          </w:p>
        </w:tc>
        <w:tc>
          <w:tcPr>
            <w:tcW w:w="100" w:type="dxa"/>
            <w:vAlign w:val="bottom"/>
            <w:tcBorders>
              <w:bottom w:val="single" w:sz="8" w:color="D8D8D8"/>
            </w:tcBorders>
            <w:shd w:val="clear" w:color="auto" w:fill="D8D8D8"/>
          </w:tcPr>
          <w:p>
            <w:pPr>
              <w:spacing w:after="0"/>
              <w:rPr>
                <w:sz w:val="19"/>
                <w:szCs w:val="19"/>
                <w:color w:val="auto"/>
              </w:rPr>
            </w:pPr>
          </w:p>
        </w:tc>
        <w:tc>
          <w:tcPr>
            <w:tcW w:w="40" w:type="dxa"/>
            <w:vAlign w:val="bottom"/>
            <w:tcBorders>
              <w:bottom w:val="single" w:sz="8" w:color="D8D8D8"/>
            </w:tcBorders>
            <w:shd w:val="clear" w:color="auto" w:fill="D8D8D8"/>
          </w:tcPr>
          <w:p>
            <w:pPr>
              <w:spacing w:after="0"/>
              <w:rPr>
                <w:sz w:val="19"/>
                <w:szCs w:val="19"/>
                <w:color w:val="auto"/>
              </w:rPr>
            </w:pPr>
          </w:p>
        </w:tc>
        <w:tc>
          <w:tcPr>
            <w:tcW w:w="460" w:type="dxa"/>
            <w:vAlign w:val="bottom"/>
            <w:tcBorders>
              <w:bottom w:val="single" w:sz="8" w:color="D8D8D8"/>
            </w:tcBorders>
            <w:shd w:val="clear" w:color="auto" w:fill="D8D8D8"/>
          </w:tcPr>
          <w:p>
            <w:pPr>
              <w:jc w:val="right"/>
              <w:spacing w:after="0"/>
              <w:rPr>
                <w:sz w:val="20"/>
                <w:szCs w:val="20"/>
                <w:color w:val="auto"/>
              </w:rPr>
            </w:pPr>
            <w:r>
              <w:rPr>
                <w:rFonts w:ascii="Calibri" w:cs="Calibri" w:eastAsia="Calibri" w:hAnsi="Calibri"/>
                <w:sz w:val="14"/>
                <w:szCs w:val="14"/>
                <w:color w:val="auto"/>
                <w:w w:val="94"/>
              </w:rPr>
              <w:t>2/17/21</w:t>
            </w:r>
          </w:p>
        </w:tc>
        <w:tc>
          <w:tcPr>
            <w:tcW w:w="1800" w:type="dxa"/>
            <w:vAlign w:val="bottom"/>
            <w:tcBorders>
              <w:bottom w:val="single" w:sz="8" w:color="D8D8D8"/>
            </w:tcBorders>
            <w:shd w:val="clear" w:color="auto" w:fill="D8D8D8"/>
          </w:tcPr>
          <w:p>
            <w:pPr>
              <w:spacing w:after="0"/>
              <w:rPr>
                <w:sz w:val="19"/>
                <w:szCs w:val="19"/>
                <w:color w:val="auto"/>
              </w:rPr>
            </w:pPr>
          </w:p>
        </w:tc>
        <w:tc>
          <w:tcPr>
            <w:tcW w:w="2500" w:type="dxa"/>
            <w:vAlign w:val="bottom"/>
            <w:tcBorders>
              <w:bottom w:val="single" w:sz="8" w:color="D8D8D8"/>
            </w:tcBorders>
            <w:shd w:val="clear" w:color="auto" w:fill="D8D8D8"/>
          </w:tcPr>
          <w:p>
            <w:pPr>
              <w:jc w:val="right"/>
              <w:ind w:right="51"/>
              <w:spacing w:after="0"/>
              <w:rPr>
                <w:sz w:val="20"/>
                <w:szCs w:val="20"/>
                <w:color w:val="auto"/>
              </w:rPr>
            </w:pPr>
            <w:r>
              <w:rPr>
                <w:rFonts w:ascii="Calibri" w:cs="Calibri" w:eastAsia="Calibri" w:hAnsi="Calibri"/>
                <w:sz w:val="14"/>
                <w:szCs w:val="14"/>
                <w:color w:val="auto"/>
              </w:rPr>
              <w:t>6,920</w:t>
            </w:r>
            <w:r>
              <w:rPr>
                <w:rFonts w:ascii="Calibri" w:cs="Calibri" w:eastAsia="Calibri" w:hAnsi="Calibri"/>
                <w:sz w:val="11"/>
                <w:szCs w:val="11"/>
                <w:color w:val="auto"/>
              </w:rPr>
              <w:t>(2)</w:t>
            </w:r>
          </w:p>
        </w:tc>
        <w:tc>
          <w:tcPr>
            <w:tcW w:w="1640" w:type="dxa"/>
            <w:vAlign w:val="bottom"/>
            <w:tcBorders>
              <w:bottom w:val="single" w:sz="8" w:color="D8D8D8"/>
            </w:tcBorders>
            <w:shd w:val="clear" w:color="auto" w:fill="D8D8D8"/>
          </w:tcPr>
          <w:p>
            <w:pPr>
              <w:jc w:val="right"/>
              <w:ind w:right="1091"/>
              <w:spacing w:after="0"/>
              <w:rPr>
                <w:sz w:val="20"/>
                <w:szCs w:val="20"/>
                <w:color w:val="auto"/>
              </w:rPr>
            </w:pPr>
            <w:r>
              <w:rPr>
                <w:rFonts w:ascii="Calibri" w:cs="Calibri" w:eastAsia="Calibri" w:hAnsi="Calibri"/>
                <w:sz w:val="14"/>
                <w:szCs w:val="14"/>
                <w:color w:val="auto"/>
              </w:rPr>
              <w:t>13,840</w:t>
            </w:r>
          </w:p>
        </w:tc>
        <w:tc>
          <w:tcPr>
            <w:tcW w:w="900" w:type="dxa"/>
            <w:vAlign w:val="bottom"/>
            <w:tcBorders>
              <w:bottom w:val="single" w:sz="8" w:color="D8D8D8"/>
            </w:tcBorders>
            <w:shd w:val="clear" w:color="auto" w:fill="D8D8D8"/>
          </w:tcPr>
          <w:p>
            <w:pPr>
              <w:jc w:val="right"/>
              <w:ind w:right="51"/>
              <w:spacing w:after="0"/>
              <w:rPr>
                <w:sz w:val="20"/>
                <w:szCs w:val="20"/>
                <w:color w:val="auto"/>
              </w:rPr>
            </w:pPr>
            <w:r>
              <w:rPr>
                <w:rFonts w:ascii="Calibri" w:cs="Calibri" w:eastAsia="Calibri" w:hAnsi="Calibri"/>
                <w:sz w:val="14"/>
                <w:szCs w:val="14"/>
                <w:color w:val="auto"/>
              </w:rPr>
              <w:t>829,016</w:t>
            </w:r>
          </w:p>
        </w:tc>
        <w:tc>
          <w:tcPr>
            <w:tcW w:w="0" w:type="dxa"/>
            <w:vAlign w:val="bottom"/>
          </w:tcPr>
          <w:p>
            <w:pPr>
              <w:spacing w:after="0"/>
              <w:rPr>
                <w:sz w:val="1"/>
                <w:szCs w:val="1"/>
                <w:color w:val="auto"/>
              </w:rPr>
            </w:pPr>
          </w:p>
        </w:tc>
      </w:tr>
      <w:tr>
        <w:trPr>
          <w:trHeight w:val="177"/>
        </w:trPr>
        <w:tc>
          <w:tcPr>
            <w:tcW w:w="3180" w:type="dxa"/>
            <w:vAlign w:val="bottom"/>
          </w:tcPr>
          <w:p>
            <w:pPr>
              <w:spacing w:after="0"/>
              <w:rPr>
                <w:sz w:val="15"/>
                <w:szCs w:val="15"/>
                <w:color w:val="auto"/>
              </w:rPr>
            </w:pPr>
          </w:p>
        </w:tc>
        <w:tc>
          <w:tcPr>
            <w:tcW w:w="2400" w:type="dxa"/>
            <w:vAlign w:val="bottom"/>
            <w:gridSpan w:val="4"/>
          </w:tcPr>
          <w:p>
            <w:pPr>
              <w:jc w:val="right"/>
              <w:ind w:right="220"/>
              <w:spacing w:after="0"/>
              <w:rPr>
                <w:sz w:val="20"/>
                <w:szCs w:val="20"/>
                <w:color w:val="auto"/>
              </w:rPr>
            </w:pPr>
            <w:r>
              <w:rPr>
                <w:rFonts w:ascii="Calibri" w:cs="Calibri" w:eastAsia="Calibri" w:hAnsi="Calibri"/>
                <w:sz w:val="14"/>
                <w:szCs w:val="14"/>
                <w:color w:val="auto"/>
              </w:rPr>
              <w:t>240,988</w:t>
            </w:r>
          </w:p>
        </w:tc>
        <w:tc>
          <w:tcPr>
            <w:tcW w:w="2500" w:type="dxa"/>
            <w:vAlign w:val="bottom"/>
          </w:tcPr>
          <w:p>
            <w:pPr>
              <w:jc w:val="right"/>
              <w:ind w:right="1671"/>
              <w:spacing w:after="0"/>
              <w:rPr>
                <w:sz w:val="20"/>
                <w:szCs w:val="20"/>
                <w:color w:val="auto"/>
              </w:rPr>
            </w:pPr>
            <w:r>
              <w:rPr>
                <w:rFonts w:ascii="Calibri" w:cs="Calibri" w:eastAsia="Calibri" w:hAnsi="Calibri"/>
                <w:sz w:val="14"/>
                <w:szCs w:val="14"/>
                <w:color w:val="auto"/>
              </w:rPr>
              <w:t>375,038</w:t>
            </w: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80" w:type="dxa"/>
            <w:vAlign w:val="bottom"/>
          </w:tcPr>
          <w:p>
            <w:pPr>
              <w:ind w:left="60"/>
              <w:spacing w:after="0"/>
              <w:rPr>
                <w:sz w:val="20"/>
                <w:szCs w:val="20"/>
                <w:color w:val="auto"/>
              </w:rPr>
            </w:pPr>
            <w:r>
              <w:rPr>
                <w:rFonts w:ascii="Calibri" w:cs="Calibri" w:eastAsia="Calibri" w:hAnsi="Calibri"/>
                <w:sz w:val="14"/>
                <w:szCs w:val="14"/>
                <w:b w:val="1"/>
                <w:bCs w:val="1"/>
                <w:color w:val="auto"/>
              </w:rPr>
              <w:t>Vikas</w:t>
            </w:r>
          </w:p>
        </w:tc>
        <w:tc>
          <w:tcPr>
            <w:tcW w:w="2400" w:type="dxa"/>
            <w:vAlign w:val="bottom"/>
            <w:gridSpan w:val="4"/>
          </w:tcPr>
          <w:p>
            <w:pPr>
              <w:jc w:val="right"/>
              <w:ind w:right="1800"/>
              <w:spacing w:after="0"/>
              <w:rPr>
                <w:sz w:val="20"/>
                <w:szCs w:val="20"/>
                <w:color w:val="auto"/>
              </w:rPr>
            </w:pPr>
            <w:r>
              <w:rPr>
                <w:rFonts w:ascii="Calibri" w:cs="Calibri" w:eastAsia="Calibri" w:hAnsi="Calibri"/>
                <w:sz w:val="14"/>
                <w:szCs w:val="14"/>
                <w:color w:val="auto"/>
              </w:rPr>
              <w:t>2/17/21</w:t>
            </w:r>
          </w:p>
        </w:tc>
        <w:tc>
          <w:tcPr>
            <w:tcW w:w="2500" w:type="dxa"/>
            <w:vAlign w:val="bottom"/>
          </w:tcPr>
          <w:p>
            <w:pPr>
              <w:spacing w:after="0"/>
              <w:rPr>
                <w:sz w:val="16"/>
                <w:szCs w:val="16"/>
                <w:color w:val="auto"/>
              </w:rPr>
            </w:pPr>
          </w:p>
        </w:tc>
        <w:tc>
          <w:tcPr>
            <w:tcW w:w="1640" w:type="dxa"/>
            <w:vAlign w:val="bottom"/>
          </w:tcPr>
          <w:p>
            <w:pPr>
              <w:jc w:val="right"/>
              <w:ind w:right="151"/>
              <w:spacing w:after="0"/>
              <w:rPr>
                <w:sz w:val="20"/>
                <w:szCs w:val="20"/>
                <w:color w:val="auto"/>
              </w:rPr>
            </w:pPr>
            <w:r>
              <w:rPr>
                <w:rFonts w:ascii="Calibri" w:cs="Calibri" w:eastAsia="Calibri" w:hAnsi="Calibri"/>
                <w:sz w:val="14"/>
                <w:szCs w:val="14"/>
                <w:color w:val="auto"/>
              </w:rPr>
              <w:t>7,340</w:t>
            </w:r>
            <w:r>
              <w:rPr>
                <w:rFonts w:ascii="Calibri" w:cs="Calibri" w:eastAsia="Calibri" w:hAnsi="Calibri"/>
                <w:sz w:val="11"/>
                <w:szCs w:val="11"/>
                <w:color w:val="auto"/>
              </w:rPr>
              <w:t>(3)</w:t>
            </w:r>
          </w:p>
        </w:tc>
        <w:tc>
          <w:tcPr>
            <w:tcW w:w="900" w:type="dxa"/>
            <w:vAlign w:val="bottom"/>
          </w:tcPr>
          <w:p>
            <w:pPr>
              <w:jc w:val="right"/>
              <w:ind w:right="51"/>
              <w:spacing w:after="0"/>
              <w:rPr>
                <w:sz w:val="20"/>
                <w:szCs w:val="20"/>
                <w:color w:val="auto"/>
              </w:rPr>
            </w:pPr>
            <w:r>
              <w:rPr>
                <w:rFonts w:ascii="Calibri" w:cs="Calibri" w:eastAsia="Calibri" w:hAnsi="Calibri"/>
                <w:sz w:val="14"/>
                <w:szCs w:val="14"/>
                <w:color w:val="auto"/>
              </w:rPr>
              <w:t>615,606</w:t>
            </w:r>
          </w:p>
        </w:tc>
        <w:tc>
          <w:tcPr>
            <w:tcW w:w="0" w:type="dxa"/>
            <w:vAlign w:val="bottom"/>
          </w:tcPr>
          <w:p>
            <w:pPr>
              <w:spacing w:after="0"/>
              <w:rPr>
                <w:sz w:val="1"/>
                <w:szCs w:val="1"/>
                <w:color w:val="auto"/>
              </w:rPr>
            </w:pPr>
          </w:p>
        </w:tc>
      </w:tr>
      <w:tr>
        <w:trPr>
          <w:trHeight w:val="195"/>
        </w:trPr>
        <w:tc>
          <w:tcPr>
            <w:tcW w:w="318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auto"/>
              </w:rPr>
              <w:t>Bhalla</w:t>
            </w:r>
          </w:p>
        </w:tc>
        <w:tc>
          <w:tcPr>
            <w:tcW w:w="2400" w:type="dxa"/>
            <w:vAlign w:val="bottom"/>
            <w:gridSpan w:val="4"/>
          </w:tcPr>
          <w:p>
            <w:pPr>
              <w:jc w:val="right"/>
              <w:ind w:right="1800"/>
              <w:spacing w:after="0"/>
              <w:rPr>
                <w:sz w:val="20"/>
                <w:szCs w:val="20"/>
                <w:color w:val="auto"/>
              </w:rPr>
            </w:pPr>
            <w:r>
              <w:rPr>
                <w:rFonts w:ascii="Calibri" w:cs="Calibri" w:eastAsia="Calibri" w:hAnsi="Calibri"/>
                <w:sz w:val="14"/>
                <w:szCs w:val="14"/>
                <w:color w:val="auto"/>
              </w:rPr>
              <w:t>9/1/21</w:t>
            </w:r>
          </w:p>
        </w:tc>
        <w:tc>
          <w:tcPr>
            <w:tcW w:w="2500" w:type="dxa"/>
            <w:vAlign w:val="bottom"/>
          </w:tcPr>
          <w:p>
            <w:pPr>
              <w:spacing w:after="0"/>
              <w:rPr>
                <w:sz w:val="16"/>
                <w:szCs w:val="16"/>
                <w:color w:val="auto"/>
              </w:rPr>
            </w:pPr>
          </w:p>
        </w:tc>
        <w:tc>
          <w:tcPr>
            <w:tcW w:w="1640" w:type="dxa"/>
            <w:vAlign w:val="bottom"/>
          </w:tcPr>
          <w:p>
            <w:pPr>
              <w:jc w:val="right"/>
              <w:ind w:right="151"/>
              <w:spacing w:after="0"/>
              <w:rPr>
                <w:sz w:val="20"/>
                <w:szCs w:val="20"/>
                <w:color w:val="auto"/>
              </w:rPr>
            </w:pPr>
            <w:r>
              <w:rPr>
                <w:rFonts w:ascii="Calibri" w:cs="Calibri" w:eastAsia="Calibri" w:hAnsi="Calibri"/>
                <w:sz w:val="14"/>
                <w:szCs w:val="14"/>
                <w:color w:val="auto"/>
              </w:rPr>
              <w:t>12,181</w:t>
            </w:r>
            <w:r>
              <w:rPr>
                <w:rFonts w:ascii="Calibri" w:cs="Calibri" w:eastAsia="Calibri" w:hAnsi="Calibri"/>
                <w:sz w:val="11"/>
                <w:szCs w:val="11"/>
                <w:color w:val="auto"/>
              </w:rPr>
              <w:t>(4)</w:t>
            </w:r>
          </w:p>
        </w:tc>
        <w:tc>
          <w:tcPr>
            <w:tcW w:w="900" w:type="dxa"/>
            <w:vAlign w:val="bottom"/>
          </w:tcPr>
          <w:p>
            <w:pPr>
              <w:jc w:val="right"/>
              <w:ind w:right="51"/>
              <w:spacing w:after="0"/>
              <w:rPr>
                <w:sz w:val="20"/>
                <w:szCs w:val="20"/>
                <w:color w:val="auto"/>
              </w:rPr>
            </w:pPr>
            <w:r>
              <w:rPr>
                <w:rFonts w:ascii="Calibri" w:cs="Calibri" w:eastAsia="Calibri" w:hAnsi="Calibri"/>
                <w:sz w:val="14"/>
                <w:szCs w:val="14"/>
                <w:color w:val="auto"/>
              </w:rPr>
              <w:t>1,216,516</w:t>
            </w: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2400" w:type="dxa"/>
            <w:vAlign w:val="bottom"/>
            <w:gridSpan w:val="4"/>
          </w:tcPr>
          <w:p>
            <w:pPr>
              <w:jc w:val="right"/>
              <w:ind w:right="1800"/>
              <w:spacing w:after="0"/>
              <w:rPr>
                <w:sz w:val="20"/>
                <w:szCs w:val="20"/>
                <w:color w:val="auto"/>
              </w:rPr>
            </w:pPr>
            <w:r>
              <w:rPr>
                <w:rFonts w:ascii="Calibri" w:cs="Calibri" w:eastAsia="Calibri" w:hAnsi="Calibri"/>
                <w:sz w:val="14"/>
                <w:szCs w:val="14"/>
                <w:color w:val="auto"/>
              </w:rPr>
              <w:t>2/17/21</w:t>
            </w:r>
          </w:p>
        </w:tc>
        <w:tc>
          <w:tcPr>
            <w:tcW w:w="2500" w:type="dxa"/>
            <w:vAlign w:val="bottom"/>
          </w:tcPr>
          <w:p>
            <w:pPr>
              <w:jc w:val="right"/>
              <w:ind w:right="51"/>
              <w:spacing w:after="0"/>
              <w:rPr>
                <w:sz w:val="20"/>
                <w:szCs w:val="20"/>
                <w:color w:val="auto"/>
              </w:rPr>
            </w:pPr>
            <w:r>
              <w:rPr>
                <w:rFonts w:ascii="Calibri" w:cs="Calibri" w:eastAsia="Calibri" w:hAnsi="Calibri"/>
                <w:sz w:val="14"/>
                <w:szCs w:val="14"/>
                <w:color w:val="auto"/>
              </w:rPr>
              <w:t>7,340</w:t>
            </w:r>
            <w:r>
              <w:rPr>
                <w:rFonts w:ascii="Calibri" w:cs="Calibri" w:eastAsia="Calibri" w:hAnsi="Calibri"/>
                <w:sz w:val="11"/>
                <w:szCs w:val="11"/>
                <w:color w:val="auto"/>
              </w:rPr>
              <w:t>(2)</w:t>
            </w:r>
          </w:p>
        </w:tc>
        <w:tc>
          <w:tcPr>
            <w:tcW w:w="1640" w:type="dxa"/>
            <w:vAlign w:val="bottom"/>
          </w:tcPr>
          <w:p>
            <w:pPr>
              <w:jc w:val="right"/>
              <w:ind w:right="1091"/>
              <w:spacing w:after="0"/>
              <w:rPr>
                <w:sz w:val="20"/>
                <w:szCs w:val="20"/>
                <w:color w:val="auto"/>
              </w:rPr>
            </w:pPr>
            <w:r>
              <w:rPr>
                <w:rFonts w:ascii="Calibri" w:cs="Calibri" w:eastAsia="Calibri" w:hAnsi="Calibri"/>
                <w:sz w:val="14"/>
                <w:szCs w:val="14"/>
                <w:color w:val="auto"/>
              </w:rPr>
              <w:t>14,680</w:t>
            </w:r>
          </w:p>
        </w:tc>
        <w:tc>
          <w:tcPr>
            <w:tcW w:w="900" w:type="dxa"/>
            <w:vAlign w:val="bottom"/>
          </w:tcPr>
          <w:p>
            <w:pPr>
              <w:jc w:val="right"/>
              <w:ind w:right="51"/>
              <w:spacing w:after="0"/>
              <w:rPr>
                <w:sz w:val="20"/>
                <w:szCs w:val="20"/>
                <w:color w:val="auto"/>
              </w:rPr>
            </w:pPr>
            <w:r>
              <w:rPr>
                <w:rFonts w:ascii="Calibri" w:cs="Calibri" w:eastAsia="Calibri" w:hAnsi="Calibri"/>
                <w:sz w:val="14"/>
                <w:szCs w:val="14"/>
                <w:color w:val="auto"/>
              </w:rPr>
              <w:t>879,332</w:t>
            </w:r>
          </w:p>
        </w:tc>
        <w:tc>
          <w:tcPr>
            <w:tcW w:w="0" w:type="dxa"/>
            <w:vAlign w:val="bottom"/>
          </w:tcPr>
          <w:p>
            <w:pPr>
              <w:spacing w:after="0"/>
              <w:rPr>
                <w:sz w:val="1"/>
                <w:szCs w:val="1"/>
                <w:color w:val="auto"/>
              </w:rPr>
            </w:pPr>
          </w:p>
        </w:tc>
      </w:tr>
      <w:tr>
        <w:trPr>
          <w:trHeight w:val="44"/>
        </w:trPr>
        <w:tc>
          <w:tcPr>
            <w:tcW w:w="3180" w:type="dxa"/>
            <w:vAlign w:val="bottom"/>
          </w:tcPr>
          <w:p>
            <w:pPr>
              <w:spacing w:after="0"/>
              <w:rPr>
                <w:sz w:val="3"/>
                <w:szCs w:val="3"/>
                <w:color w:val="auto"/>
              </w:rPr>
            </w:pPr>
          </w:p>
        </w:tc>
        <w:tc>
          <w:tcPr>
            <w:tcW w:w="2400" w:type="dxa"/>
            <w:vAlign w:val="bottom"/>
            <w:gridSpan w:val="4"/>
          </w:tcPr>
          <w:p>
            <w:pPr>
              <w:spacing w:after="0"/>
              <w:rPr>
                <w:sz w:val="3"/>
                <w:szCs w:val="3"/>
                <w:color w:val="auto"/>
              </w:rPr>
            </w:pPr>
          </w:p>
        </w:tc>
        <w:tc>
          <w:tcPr>
            <w:tcW w:w="25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3180" w:type="dxa"/>
            <w:vAlign w:val="bottom"/>
            <w:shd w:val="clear" w:color="auto" w:fill="D8D8D8"/>
          </w:tcPr>
          <w:p>
            <w:pPr>
              <w:spacing w:after="0"/>
              <w:rPr>
                <w:sz w:val="15"/>
                <w:szCs w:val="15"/>
                <w:color w:val="auto"/>
              </w:rPr>
            </w:pPr>
          </w:p>
        </w:tc>
        <w:tc>
          <w:tcPr>
            <w:tcW w:w="100" w:type="dxa"/>
            <w:vAlign w:val="bottom"/>
            <w:shd w:val="clear" w:color="auto" w:fill="D8D8D8"/>
          </w:tcPr>
          <w:p>
            <w:pPr>
              <w:spacing w:after="0"/>
              <w:rPr>
                <w:sz w:val="15"/>
                <w:szCs w:val="15"/>
                <w:color w:val="auto"/>
              </w:rPr>
            </w:pPr>
          </w:p>
        </w:tc>
        <w:tc>
          <w:tcPr>
            <w:tcW w:w="2300" w:type="dxa"/>
            <w:vAlign w:val="bottom"/>
            <w:gridSpan w:val="3"/>
            <w:shd w:val="clear" w:color="auto" w:fill="D8D8D8"/>
          </w:tcPr>
          <w:p>
            <w:pPr>
              <w:jc w:val="right"/>
              <w:ind w:right="220"/>
              <w:spacing w:after="0"/>
              <w:rPr>
                <w:sz w:val="20"/>
                <w:szCs w:val="20"/>
                <w:color w:val="auto"/>
              </w:rPr>
            </w:pPr>
            <w:r>
              <w:rPr>
                <w:rFonts w:ascii="Calibri" w:cs="Calibri" w:eastAsia="Calibri" w:hAnsi="Calibri"/>
                <w:sz w:val="14"/>
                <w:szCs w:val="14"/>
                <w:color w:val="auto"/>
              </w:rPr>
              <w:t>311,301</w:t>
            </w:r>
          </w:p>
        </w:tc>
        <w:tc>
          <w:tcPr>
            <w:tcW w:w="2500" w:type="dxa"/>
            <w:vAlign w:val="bottom"/>
            <w:shd w:val="clear" w:color="auto" w:fill="D8D8D8"/>
          </w:tcPr>
          <w:p>
            <w:pPr>
              <w:jc w:val="right"/>
              <w:ind w:right="1671"/>
              <w:spacing w:after="0"/>
              <w:rPr>
                <w:sz w:val="20"/>
                <w:szCs w:val="20"/>
                <w:color w:val="auto"/>
              </w:rPr>
            </w:pPr>
            <w:r>
              <w:rPr>
                <w:rFonts w:ascii="Calibri" w:cs="Calibri" w:eastAsia="Calibri" w:hAnsi="Calibri"/>
                <w:sz w:val="14"/>
                <w:szCs w:val="14"/>
                <w:color w:val="auto"/>
              </w:rPr>
              <w:t>484,463</w:t>
            </w:r>
          </w:p>
        </w:tc>
        <w:tc>
          <w:tcPr>
            <w:tcW w:w="1640" w:type="dxa"/>
            <w:vAlign w:val="bottom"/>
            <w:shd w:val="clear" w:color="auto" w:fill="D8D8D8"/>
          </w:tcPr>
          <w:p>
            <w:pPr>
              <w:spacing w:after="0"/>
              <w:rPr>
                <w:sz w:val="15"/>
                <w:szCs w:val="15"/>
                <w:color w:val="auto"/>
              </w:rPr>
            </w:pPr>
          </w:p>
        </w:tc>
        <w:tc>
          <w:tcPr>
            <w:tcW w:w="9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D8D8D8"/>
          </w:tcPr>
          <w:p>
            <w:pPr>
              <w:ind w:left="60"/>
              <w:spacing w:after="0"/>
              <w:rPr>
                <w:sz w:val="20"/>
                <w:szCs w:val="20"/>
                <w:color w:val="auto"/>
              </w:rPr>
            </w:pPr>
            <w:r>
              <w:rPr>
                <w:rFonts w:ascii="Calibri" w:cs="Calibri" w:eastAsia="Calibri" w:hAnsi="Calibri"/>
                <w:sz w:val="14"/>
                <w:szCs w:val="14"/>
                <w:b w:val="1"/>
                <w:bCs w:val="1"/>
                <w:color w:val="auto"/>
              </w:rPr>
              <w:t>Vivek</w:t>
            </w:r>
          </w:p>
        </w:tc>
        <w:tc>
          <w:tcPr>
            <w:tcW w:w="100" w:type="dxa"/>
            <w:vAlign w:val="bottom"/>
            <w:shd w:val="clear" w:color="auto" w:fill="D8D8D8"/>
          </w:tcPr>
          <w:p>
            <w:pPr>
              <w:spacing w:after="0"/>
              <w:rPr>
                <w:sz w:val="16"/>
                <w:szCs w:val="16"/>
                <w:color w:val="auto"/>
              </w:rPr>
            </w:pPr>
          </w:p>
        </w:tc>
        <w:tc>
          <w:tcPr>
            <w:tcW w:w="40" w:type="dxa"/>
            <w:vAlign w:val="bottom"/>
            <w:shd w:val="clear" w:color="auto" w:fill="D8D8D8"/>
          </w:tcPr>
          <w:p>
            <w:pPr>
              <w:spacing w:after="0"/>
              <w:rPr>
                <w:sz w:val="16"/>
                <w:szCs w:val="16"/>
                <w:color w:val="auto"/>
              </w:rPr>
            </w:pPr>
          </w:p>
        </w:tc>
        <w:tc>
          <w:tcPr>
            <w:tcW w:w="2260" w:type="dxa"/>
            <w:vAlign w:val="bottom"/>
            <w:gridSpan w:val="2"/>
            <w:shd w:val="clear" w:color="auto" w:fill="D8D8D8"/>
          </w:tcPr>
          <w:p>
            <w:pPr>
              <w:jc w:val="right"/>
              <w:ind w:right="1800"/>
              <w:spacing w:after="0"/>
              <w:rPr>
                <w:sz w:val="20"/>
                <w:szCs w:val="20"/>
                <w:color w:val="auto"/>
              </w:rPr>
            </w:pPr>
            <w:r>
              <w:rPr>
                <w:rFonts w:ascii="Calibri" w:cs="Calibri" w:eastAsia="Calibri" w:hAnsi="Calibri"/>
                <w:sz w:val="14"/>
                <w:szCs w:val="14"/>
                <w:color w:val="auto"/>
                <w:w w:val="94"/>
              </w:rPr>
              <w:t>2/17/21</w:t>
            </w:r>
          </w:p>
        </w:tc>
        <w:tc>
          <w:tcPr>
            <w:tcW w:w="2500" w:type="dxa"/>
            <w:vAlign w:val="bottom"/>
            <w:shd w:val="clear" w:color="auto" w:fill="D8D8D8"/>
          </w:tcPr>
          <w:p>
            <w:pPr>
              <w:spacing w:after="0"/>
              <w:rPr>
                <w:sz w:val="16"/>
                <w:szCs w:val="16"/>
                <w:color w:val="auto"/>
              </w:rPr>
            </w:pPr>
          </w:p>
        </w:tc>
        <w:tc>
          <w:tcPr>
            <w:tcW w:w="1640" w:type="dxa"/>
            <w:vAlign w:val="bottom"/>
            <w:shd w:val="clear" w:color="auto" w:fill="D8D8D8"/>
          </w:tcPr>
          <w:p>
            <w:pPr>
              <w:jc w:val="right"/>
              <w:ind w:right="151"/>
              <w:spacing w:after="0"/>
              <w:rPr>
                <w:sz w:val="20"/>
                <w:szCs w:val="20"/>
                <w:color w:val="auto"/>
              </w:rPr>
            </w:pPr>
            <w:r>
              <w:rPr>
                <w:rFonts w:ascii="Calibri" w:cs="Calibri" w:eastAsia="Calibri" w:hAnsi="Calibri"/>
                <w:sz w:val="14"/>
                <w:szCs w:val="14"/>
                <w:color w:val="auto"/>
              </w:rPr>
              <w:t>5,955</w:t>
            </w:r>
            <w:r>
              <w:rPr>
                <w:rFonts w:ascii="Calibri" w:cs="Calibri" w:eastAsia="Calibri" w:hAnsi="Calibri"/>
                <w:sz w:val="11"/>
                <w:szCs w:val="11"/>
                <w:color w:val="auto"/>
              </w:rPr>
              <w:t>(3)</w:t>
            </w:r>
          </w:p>
        </w:tc>
        <w:tc>
          <w:tcPr>
            <w:tcW w:w="90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499,446</w:t>
            </w:r>
          </w:p>
        </w:tc>
        <w:tc>
          <w:tcPr>
            <w:tcW w:w="0" w:type="dxa"/>
            <w:vAlign w:val="bottom"/>
          </w:tcPr>
          <w:p>
            <w:pPr>
              <w:spacing w:after="0"/>
              <w:rPr>
                <w:sz w:val="1"/>
                <w:szCs w:val="1"/>
                <w:color w:val="auto"/>
              </w:rPr>
            </w:pPr>
          </w:p>
        </w:tc>
      </w:tr>
      <w:tr>
        <w:trPr>
          <w:trHeight w:val="195"/>
        </w:trPr>
        <w:tc>
          <w:tcPr>
            <w:tcW w:w="3180" w:type="dxa"/>
            <w:vAlign w:val="bottom"/>
            <w:shd w:val="clear" w:color="auto" w:fill="D8D8D8"/>
          </w:tcPr>
          <w:p>
            <w:pPr>
              <w:ind w:left="60"/>
              <w:spacing w:after="0" w:line="169" w:lineRule="exact"/>
              <w:rPr>
                <w:sz w:val="20"/>
                <w:szCs w:val="20"/>
                <w:color w:val="auto"/>
              </w:rPr>
            </w:pPr>
            <w:r>
              <w:rPr>
                <w:rFonts w:ascii="Calibri" w:cs="Calibri" w:eastAsia="Calibri" w:hAnsi="Calibri"/>
                <w:sz w:val="14"/>
                <w:szCs w:val="14"/>
                <w:b w:val="1"/>
                <w:bCs w:val="1"/>
                <w:color w:val="auto"/>
              </w:rPr>
              <w:t>Jetley</w:t>
            </w:r>
          </w:p>
        </w:tc>
        <w:tc>
          <w:tcPr>
            <w:tcW w:w="100" w:type="dxa"/>
            <w:vAlign w:val="bottom"/>
            <w:shd w:val="clear" w:color="auto" w:fill="D8D8D8"/>
          </w:tcPr>
          <w:p>
            <w:pPr>
              <w:spacing w:after="0"/>
              <w:rPr>
                <w:sz w:val="16"/>
                <w:szCs w:val="16"/>
                <w:color w:val="auto"/>
              </w:rPr>
            </w:pPr>
          </w:p>
        </w:tc>
        <w:tc>
          <w:tcPr>
            <w:tcW w:w="40" w:type="dxa"/>
            <w:vAlign w:val="bottom"/>
            <w:shd w:val="clear" w:color="auto" w:fill="D8D8D8"/>
          </w:tcPr>
          <w:p>
            <w:pPr>
              <w:spacing w:after="0"/>
              <w:rPr>
                <w:sz w:val="16"/>
                <w:szCs w:val="16"/>
                <w:color w:val="auto"/>
              </w:rPr>
            </w:pPr>
          </w:p>
        </w:tc>
        <w:tc>
          <w:tcPr>
            <w:tcW w:w="460" w:type="dxa"/>
            <w:vAlign w:val="bottom"/>
            <w:shd w:val="clear" w:color="auto" w:fill="D8D8D8"/>
          </w:tcPr>
          <w:p>
            <w:pPr>
              <w:jc w:val="right"/>
              <w:spacing w:after="0"/>
              <w:rPr>
                <w:sz w:val="20"/>
                <w:szCs w:val="20"/>
                <w:color w:val="auto"/>
              </w:rPr>
            </w:pPr>
            <w:r>
              <w:rPr>
                <w:rFonts w:ascii="Calibri" w:cs="Calibri" w:eastAsia="Calibri" w:hAnsi="Calibri"/>
                <w:sz w:val="14"/>
                <w:szCs w:val="14"/>
                <w:color w:val="auto"/>
              </w:rPr>
              <w:t>9/1/21</w:t>
            </w:r>
          </w:p>
        </w:tc>
        <w:tc>
          <w:tcPr>
            <w:tcW w:w="1800" w:type="dxa"/>
            <w:vAlign w:val="bottom"/>
            <w:shd w:val="clear" w:color="auto" w:fill="D8D8D8"/>
          </w:tcPr>
          <w:p>
            <w:pPr>
              <w:spacing w:after="0"/>
              <w:rPr>
                <w:sz w:val="16"/>
                <w:szCs w:val="16"/>
                <w:color w:val="auto"/>
              </w:rPr>
            </w:pPr>
          </w:p>
        </w:tc>
        <w:tc>
          <w:tcPr>
            <w:tcW w:w="2500" w:type="dxa"/>
            <w:vAlign w:val="bottom"/>
            <w:shd w:val="clear" w:color="auto" w:fill="D8D8D8"/>
          </w:tcPr>
          <w:p>
            <w:pPr>
              <w:spacing w:after="0"/>
              <w:rPr>
                <w:sz w:val="16"/>
                <w:szCs w:val="16"/>
                <w:color w:val="auto"/>
              </w:rPr>
            </w:pPr>
          </w:p>
        </w:tc>
        <w:tc>
          <w:tcPr>
            <w:tcW w:w="1640" w:type="dxa"/>
            <w:vAlign w:val="bottom"/>
            <w:shd w:val="clear" w:color="auto" w:fill="D8D8D8"/>
          </w:tcPr>
          <w:p>
            <w:pPr>
              <w:jc w:val="right"/>
              <w:ind w:right="151"/>
              <w:spacing w:after="0"/>
              <w:rPr>
                <w:sz w:val="20"/>
                <w:szCs w:val="20"/>
                <w:color w:val="auto"/>
              </w:rPr>
            </w:pPr>
            <w:r>
              <w:rPr>
                <w:rFonts w:ascii="Calibri" w:cs="Calibri" w:eastAsia="Calibri" w:hAnsi="Calibri"/>
                <w:sz w:val="14"/>
                <w:szCs w:val="14"/>
                <w:color w:val="auto"/>
              </w:rPr>
              <w:t>12,181</w:t>
            </w:r>
            <w:r>
              <w:rPr>
                <w:rFonts w:ascii="Calibri" w:cs="Calibri" w:eastAsia="Calibri" w:hAnsi="Calibri"/>
                <w:sz w:val="11"/>
                <w:szCs w:val="11"/>
                <w:color w:val="auto"/>
              </w:rPr>
              <w:t>(4)</w:t>
            </w:r>
          </w:p>
        </w:tc>
        <w:tc>
          <w:tcPr>
            <w:tcW w:w="900" w:type="dxa"/>
            <w:vAlign w:val="bottom"/>
            <w:shd w:val="clear" w:color="auto" w:fill="D8D8D8"/>
          </w:tcPr>
          <w:p>
            <w:pPr>
              <w:jc w:val="right"/>
              <w:ind w:right="51"/>
              <w:spacing w:after="0"/>
              <w:rPr>
                <w:sz w:val="20"/>
                <w:szCs w:val="20"/>
                <w:color w:val="auto"/>
              </w:rPr>
            </w:pPr>
            <w:r>
              <w:rPr>
                <w:rFonts w:ascii="Calibri" w:cs="Calibri" w:eastAsia="Calibri" w:hAnsi="Calibri"/>
                <w:sz w:val="14"/>
                <w:szCs w:val="14"/>
                <w:color w:val="auto"/>
              </w:rPr>
              <w:t>1,216,516</w:t>
            </w:r>
          </w:p>
        </w:tc>
        <w:tc>
          <w:tcPr>
            <w:tcW w:w="0" w:type="dxa"/>
            <w:vAlign w:val="bottom"/>
          </w:tcPr>
          <w:p>
            <w:pPr>
              <w:spacing w:after="0"/>
              <w:rPr>
                <w:sz w:val="1"/>
                <w:szCs w:val="1"/>
                <w:color w:val="auto"/>
              </w:rPr>
            </w:pPr>
          </w:p>
        </w:tc>
      </w:tr>
      <w:tr>
        <w:trPr>
          <w:trHeight w:val="219"/>
        </w:trPr>
        <w:tc>
          <w:tcPr>
            <w:tcW w:w="3180" w:type="dxa"/>
            <w:vAlign w:val="bottom"/>
            <w:tcBorders>
              <w:bottom w:val="single" w:sz="8" w:color="D8D8D8"/>
            </w:tcBorders>
            <w:shd w:val="clear" w:color="auto" w:fill="D8D8D8"/>
          </w:tcPr>
          <w:p>
            <w:pPr>
              <w:spacing w:after="0"/>
              <w:rPr>
                <w:sz w:val="19"/>
                <w:szCs w:val="19"/>
                <w:color w:val="auto"/>
              </w:rPr>
            </w:pPr>
          </w:p>
        </w:tc>
        <w:tc>
          <w:tcPr>
            <w:tcW w:w="100" w:type="dxa"/>
            <w:vAlign w:val="bottom"/>
            <w:tcBorders>
              <w:bottom w:val="single" w:sz="8" w:color="D8D8D8"/>
            </w:tcBorders>
            <w:shd w:val="clear" w:color="auto" w:fill="D8D8D8"/>
          </w:tcPr>
          <w:p>
            <w:pPr>
              <w:spacing w:after="0"/>
              <w:rPr>
                <w:sz w:val="19"/>
                <w:szCs w:val="19"/>
                <w:color w:val="auto"/>
              </w:rPr>
            </w:pPr>
          </w:p>
        </w:tc>
        <w:tc>
          <w:tcPr>
            <w:tcW w:w="40" w:type="dxa"/>
            <w:vAlign w:val="bottom"/>
            <w:tcBorders>
              <w:bottom w:val="single" w:sz="8" w:color="D8D8D8"/>
            </w:tcBorders>
            <w:shd w:val="clear" w:color="auto" w:fill="D8D8D8"/>
          </w:tcPr>
          <w:p>
            <w:pPr>
              <w:spacing w:after="0"/>
              <w:rPr>
                <w:sz w:val="19"/>
                <w:szCs w:val="19"/>
                <w:color w:val="auto"/>
              </w:rPr>
            </w:pPr>
          </w:p>
        </w:tc>
        <w:tc>
          <w:tcPr>
            <w:tcW w:w="460" w:type="dxa"/>
            <w:vAlign w:val="bottom"/>
            <w:tcBorders>
              <w:bottom w:val="single" w:sz="8" w:color="D8D8D8"/>
            </w:tcBorders>
            <w:shd w:val="clear" w:color="auto" w:fill="D8D8D8"/>
          </w:tcPr>
          <w:p>
            <w:pPr>
              <w:jc w:val="right"/>
              <w:spacing w:after="0"/>
              <w:rPr>
                <w:sz w:val="20"/>
                <w:szCs w:val="20"/>
                <w:color w:val="auto"/>
              </w:rPr>
            </w:pPr>
            <w:r>
              <w:rPr>
                <w:rFonts w:ascii="Calibri" w:cs="Calibri" w:eastAsia="Calibri" w:hAnsi="Calibri"/>
                <w:sz w:val="14"/>
                <w:szCs w:val="14"/>
                <w:color w:val="auto"/>
                <w:w w:val="94"/>
              </w:rPr>
              <w:t>2/17/21</w:t>
            </w:r>
          </w:p>
        </w:tc>
        <w:tc>
          <w:tcPr>
            <w:tcW w:w="1800" w:type="dxa"/>
            <w:vAlign w:val="bottom"/>
            <w:tcBorders>
              <w:bottom w:val="single" w:sz="8" w:color="D8D8D8"/>
            </w:tcBorders>
            <w:shd w:val="clear" w:color="auto" w:fill="D8D8D8"/>
          </w:tcPr>
          <w:p>
            <w:pPr>
              <w:spacing w:after="0"/>
              <w:rPr>
                <w:sz w:val="19"/>
                <w:szCs w:val="19"/>
                <w:color w:val="auto"/>
              </w:rPr>
            </w:pPr>
          </w:p>
        </w:tc>
        <w:tc>
          <w:tcPr>
            <w:tcW w:w="2500" w:type="dxa"/>
            <w:vAlign w:val="bottom"/>
            <w:tcBorders>
              <w:bottom w:val="single" w:sz="8" w:color="D8D8D8"/>
            </w:tcBorders>
            <w:shd w:val="clear" w:color="auto" w:fill="D8D8D8"/>
          </w:tcPr>
          <w:p>
            <w:pPr>
              <w:jc w:val="right"/>
              <w:ind w:right="51"/>
              <w:spacing w:after="0"/>
              <w:rPr>
                <w:sz w:val="20"/>
                <w:szCs w:val="20"/>
                <w:color w:val="auto"/>
              </w:rPr>
            </w:pPr>
            <w:r>
              <w:rPr>
                <w:rFonts w:ascii="Calibri" w:cs="Calibri" w:eastAsia="Calibri" w:hAnsi="Calibri"/>
                <w:sz w:val="14"/>
                <w:szCs w:val="14"/>
                <w:color w:val="auto"/>
              </w:rPr>
              <w:t>5,955</w:t>
            </w:r>
            <w:r>
              <w:rPr>
                <w:rFonts w:ascii="Calibri" w:cs="Calibri" w:eastAsia="Calibri" w:hAnsi="Calibri"/>
                <w:sz w:val="11"/>
                <w:szCs w:val="11"/>
                <w:color w:val="auto"/>
              </w:rPr>
              <w:t>(2)</w:t>
            </w:r>
          </w:p>
        </w:tc>
        <w:tc>
          <w:tcPr>
            <w:tcW w:w="1640" w:type="dxa"/>
            <w:vAlign w:val="bottom"/>
            <w:tcBorders>
              <w:bottom w:val="single" w:sz="8" w:color="D8D8D8"/>
            </w:tcBorders>
            <w:shd w:val="clear" w:color="auto" w:fill="D8D8D8"/>
          </w:tcPr>
          <w:p>
            <w:pPr>
              <w:jc w:val="right"/>
              <w:ind w:right="1091"/>
              <w:spacing w:after="0"/>
              <w:rPr>
                <w:sz w:val="20"/>
                <w:szCs w:val="20"/>
                <w:color w:val="auto"/>
              </w:rPr>
            </w:pPr>
            <w:r>
              <w:rPr>
                <w:rFonts w:ascii="Calibri" w:cs="Calibri" w:eastAsia="Calibri" w:hAnsi="Calibri"/>
                <w:sz w:val="14"/>
                <w:szCs w:val="14"/>
                <w:color w:val="auto"/>
              </w:rPr>
              <w:t>11,910</w:t>
            </w:r>
          </w:p>
        </w:tc>
        <w:tc>
          <w:tcPr>
            <w:tcW w:w="900" w:type="dxa"/>
            <w:vAlign w:val="bottom"/>
            <w:tcBorders>
              <w:bottom w:val="single" w:sz="8" w:color="D8D8D8"/>
            </w:tcBorders>
            <w:shd w:val="clear" w:color="auto" w:fill="D8D8D8"/>
          </w:tcPr>
          <w:p>
            <w:pPr>
              <w:jc w:val="right"/>
              <w:ind w:right="51"/>
              <w:spacing w:after="0"/>
              <w:rPr>
                <w:sz w:val="20"/>
                <w:szCs w:val="20"/>
                <w:color w:val="auto"/>
              </w:rPr>
            </w:pPr>
            <w:r>
              <w:rPr>
                <w:rFonts w:ascii="Calibri" w:cs="Calibri" w:eastAsia="Calibri" w:hAnsi="Calibri"/>
                <w:sz w:val="14"/>
                <w:szCs w:val="14"/>
                <w:color w:val="auto"/>
              </w:rPr>
              <w:t>713,409</w:t>
            </w:r>
          </w:p>
        </w:tc>
        <w:tc>
          <w:tcPr>
            <w:tcW w:w="0" w:type="dxa"/>
            <w:vAlign w:val="bottom"/>
          </w:tcPr>
          <w:p>
            <w:pPr>
              <w:spacing w:after="0"/>
              <w:rPr>
                <w:sz w:val="1"/>
                <w:szCs w:val="1"/>
                <w:color w:val="auto"/>
              </w:rPr>
            </w:pPr>
          </w:p>
        </w:tc>
      </w:tr>
      <w:tr>
        <w:trPr>
          <w:trHeight w:val="177"/>
        </w:trPr>
        <w:tc>
          <w:tcPr>
            <w:tcW w:w="3180" w:type="dxa"/>
            <w:vAlign w:val="bottom"/>
          </w:tcPr>
          <w:p>
            <w:pPr>
              <w:spacing w:after="0"/>
              <w:rPr>
                <w:sz w:val="15"/>
                <w:szCs w:val="15"/>
                <w:color w:val="auto"/>
              </w:rPr>
            </w:pPr>
          </w:p>
        </w:tc>
        <w:tc>
          <w:tcPr>
            <w:tcW w:w="2400" w:type="dxa"/>
            <w:vAlign w:val="bottom"/>
            <w:gridSpan w:val="4"/>
          </w:tcPr>
          <w:p>
            <w:pPr>
              <w:jc w:val="right"/>
              <w:ind w:right="220"/>
              <w:spacing w:after="0"/>
              <w:rPr>
                <w:sz w:val="20"/>
                <w:szCs w:val="20"/>
                <w:color w:val="auto"/>
              </w:rPr>
            </w:pPr>
            <w:r>
              <w:rPr>
                <w:rFonts w:ascii="Calibri" w:cs="Calibri" w:eastAsia="Calibri" w:hAnsi="Calibri"/>
                <w:sz w:val="14"/>
                <w:szCs w:val="14"/>
                <w:color w:val="auto"/>
              </w:rPr>
              <w:t>328,356</w:t>
            </w:r>
          </w:p>
        </w:tc>
        <w:tc>
          <w:tcPr>
            <w:tcW w:w="2500" w:type="dxa"/>
            <w:vAlign w:val="bottom"/>
          </w:tcPr>
          <w:p>
            <w:pPr>
              <w:jc w:val="right"/>
              <w:ind w:right="1671"/>
              <w:spacing w:after="0"/>
              <w:rPr>
                <w:sz w:val="20"/>
                <w:szCs w:val="20"/>
                <w:color w:val="auto"/>
              </w:rPr>
            </w:pPr>
            <w:r>
              <w:rPr>
                <w:rFonts w:ascii="Calibri" w:cs="Calibri" w:eastAsia="Calibri" w:hAnsi="Calibri"/>
                <w:sz w:val="14"/>
                <w:szCs w:val="14"/>
                <w:color w:val="auto"/>
              </w:rPr>
              <w:t>511,004</w:t>
            </w:r>
          </w:p>
        </w:tc>
        <w:tc>
          <w:tcPr>
            <w:tcW w:w="1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80" w:type="dxa"/>
            <w:vAlign w:val="bottom"/>
          </w:tcPr>
          <w:p>
            <w:pPr>
              <w:ind w:left="60"/>
              <w:spacing w:after="0"/>
              <w:rPr>
                <w:sz w:val="20"/>
                <w:szCs w:val="20"/>
                <w:color w:val="auto"/>
              </w:rPr>
            </w:pPr>
            <w:r>
              <w:rPr>
                <w:rFonts w:ascii="Calibri" w:cs="Calibri" w:eastAsia="Calibri" w:hAnsi="Calibri"/>
                <w:sz w:val="14"/>
                <w:szCs w:val="14"/>
                <w:b w:val="1"/>
                <w:bCs w:val="1"/>
                <w:color w:val="auto"/>
              </w:rPr>
              <w:t>Samuel</w:t>
            </w:r>
          </w:p>
        </w:tc>
        <w:tc>
          <w:tcPr>
            <w:tcW w:w="2400" w:type="dxa"/>
            <w:vAlign w:val="bottom"/>
            <w:gridSpan w:val="4"/>
          </w:tcPr>
          <w:p>
            <w:pPr>
              <w:jc w:val="right"/>
              <w:ind w:right="1800"/>
              <w:spacing w:after="0"/>
              <w:rPr>
                <w:sz w:val="20"/>
                <w:szCs w:val="20"/>
                <w:color w:val="auto"/>
              </w:rPr>
            </w:pPr>
            <w:r>
              <w:rPr>
                <w:rFonts w:ascii="Calibri" w:cs="Calibri" w:eastAsia="Calibri" w:hAnsi="Calibri"/>
                <w:sz w:val="14"/>
                <w:szCs w:val="14"/>
                <w:color w:val="auto"/>
              </w:rPr>
              <w:t>2/17/21</w:t>
            </w:r>
          </w:p>
        </w:tc>
        <w:tc>
          <w:tcPr>
            <w:tcW w:w="2500" w:type="dxa"/>
            <w:vAlign w:val="bottom"/>
          </w:tcPr>
          <w:p>
            <w:pPr>
              <w:spacing w:after="0"/>
              <w:rPr>
                <w:sz w:val="16"/>
                <w:szCs w:val="16"/>
                <w:color w:val="auto"/>
              </w:rPr>
            </w:pPr>
          </w:p>
        </w:tc>
        <w:tc>
          <w:tcPr>
            <w:tcW w:w="1640" w:type="dxa"/>
            <w:vAlign w:val="bottom"/>
          </w:tcPr>
          <w:p>
            <w:pPr>
              <w:jc w:val="right"/>
              <w:ind w:right="151"/>
              <w:spacing w:after="0"/>
              <w:rPr>
                <w:sz w:val="20"/>
                <w:szCs w:val="20"/>
                <w:color w:val="auto"/>
              </w:rPr>
            </w:pPr>
            <w:r>
              <w:rPr>
                <w:rFonts w:ascii="Calibri" w:cs="Calibri" w:eastAsia="Calibri" w:hAnsi="Calibri"/>
                <w:sz w:val="14"/>
                <w:szCs w:val="14"/>
                <w:color w:val="auto"/>
              </w:rPr>
              <w:t>7,415</w:t>
            </w:r>
            <w:r>
              <w:rPr>
                <w:rFonts w:ascii="Calibri" w:cs="Calibri" w:eastAsia="Calibri" w:hAnsi="Calibri"/>
                <w:sz w:val="11"/>
                <w:szCs w:val="11"/>
                <w:color w:val="auto"/>
              </w:rPr>
              <w:t>(3)</w:t>
            </w:r>
          </w:p>
        </w:tc>
        <w:tc>
          <w:tcPr>
            <w:tcW w:w="900" w:type="dxa"/>
            <w:vAlign w:val="bottom"/>
          </w:tcPr>
          <w:p>
            <w:pPr>
              <w:jc w:val="right"/>
              <w:ind w:right="51"/>
              <w:spacing w:after="0"/>
              <w:rPr>
                <w:sz w:val="20"/>
                <w:szCs w:val="20"/>
                <w:color w:val="auto"/>
              </w:rPr>
            </w:pPr>
            <w:r>
              <w:rPr>
                <w:rFonts w:ascii="Calibri" w:cs="Calibri" w:eastAsia="Calibri" w:hAnsi="Calibri"/>
                <w:sz w:val="14"/>
                <w:szCs w:val="14"/>
                <w:color w:val="auto"/>
              </w:rPr>
              <w:t>621,896</w:t>
            </w:r>
          </w:p>
        </w:tc>
        <w:tc>
          <w:tcPr>
            <w:tcW w:w="0" w:type="dxa"/>
            <w:vAlign w:val="bottom"/>
          </w:tcPr>
          <w:p>
            <w:pPr>
              <w:spacing w:after="0"/>
              <w:rPr>
                <w:sz w:val="1"/>
                <w:szCs w:val="1"/>
                <w:color w:val="auto"/>
              </w:rPr>
            </w:pPr>
          </w:p>
        </w:tc>
      </w:tr>
      <w:tr>
        <w:trPr>
          <w:trHeight w:val="195"/>
        </w:trPr>
        <w:tc>
          <w:tcPr>
            <w:tcW w:w="318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auto"/>
              </w:rPr>
              <w:t>Meckey</w:t>
            </w:r>
          </w:p>
        </w:tc>
        <w:tc>
          <w:tcPr>
            <w:tcW w:w="2400" w:type="dxa"/>
            <w:vAlign w:val="bottom"/>
            <w:gridSpan w:val="4"/>
          </w:tcPr>
          <w:p>
            <w:pPr>
              <w:jc w:val="right"/>
              <w:ind w:right="1800"/>
              <w:spacing w:after="0"/>
              <w:rPr>
                <w:sz w:val="20"/>
                <w:szCs w:val="20"/>
                <w:color w:val="auto"/>
              </w:rPr>
            </w:pPr>
            <w:r>
              <w:rPr>
                <w:rFonts w:ascii="Calibri" w:cs="Calibri" w:eastAsia="Calibri" w:hAnsi="Calibri"/>
                <w:sz w:val="14"/>
                <w:szCs w:val="14"/>
                <w:color w:val="auto"/>
              </w:rPr>
              <w:t>9/1/21</w:t>
            </w:r>
          </w:p>
        </w:tc>
        <w:tc>
          <w:tcPr>
            <w:tcW w:w="2500" w:type="dxa"/>
            <w:vAlign w:val="bottom"/>
          </w:tcPr>
          <w:p>
            <w:pPr>
              <w:spacing w:after="0"/>
              <w:rPr>
                <w:sz w:val="16"/>
                <w:szCs w:val="16"/>
                <w:color w:val="auto"/>
              </w:rPr>
            </w:pPr>
          </w:p>
        </w:tc>
        <w:tc>
          <w:tcPr>
            <w:tcW w:w="1640" w:type="dxa"/>
            <w:vAlign w:val="bottom"/>
          </w:tcPr>
          <w:p>
            <w:pPr>
              <w:jc w:val="right"/>
              <w:ind w:right="151"/>
              <w:spacing w:after="0"/>
              <w:rPr>
                <w:sz w:val="20"/>
                <w:szCs w:val="20"/>
                <w:color w:val="auto"/>
              </w:rPr>
            </w:pPr>
            <w:r>
              <w:rPr>
                <w:rFonts w:ascii="Calibri" w:cs="Calibri" w:eastAsia="Calibri" w:hAnsi="Calibri"/>
                <w:sz w:val="14"/>
                <w:szCs w:val="14"/>
                <w:color w:val="auto"/>
              </w:rPr>
              <w:t>8,121</w:t>
            </w:r>
            <w:r>
              <w:rPr>
                <w:rFonts w:ascii="Calibri" w:cs="Calibri" w:eastAsia="Calibri" w:hAnsi="Calibri"/>
                <w:sz w:val="11"/>
                <w:szCs w:val="11"/>
                <w:color w:val="auto"/>
              </w:rPr>
              <w:t>(4)</w:t>
            </w:r>
          </w:p>
        </w:tc>
        <w:tc>
          <w:tcPr>
            <w:tcW w:w="900" w:type="dxa"/>
            <w:vAlign w:val="bottom"/>
          </w:tcPr>
          <w:p>
            <w:pPr>
              <w:jc w:val="right"/>
              <w:ind w:right="51"/>
              <w:spacing w:after="0"/>
              <w:rPr>
                <w:sz w:val="20"/>
                <w:szCs w:val="20"/>
                <w:color w:val="auto"/>
              </w:rPr>
            </w:pPr>
            <w:r>
              <w:rPr>
                <w:rFonts w:ascii="Calibri" w:cs="Calibri" w:eastAsia="Calibri" w:hAnsi="Calibri"/>
                <w:sz w:val="14"/>
                <w:szCs w:val="14"/>
                <w:color w:val="auto"/>
              </w:rPr>
              <w:t>811,044</w:t>
            </w: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2400" w:type="dxa"/>
            <w:vAlign w:val="bottom"/>
            <w:gridSpan w:val="4"/>
          </w:tcPr>
          <w:p>
            <w:pPr>
              <w:jc w:val="right"/>
              <w:ind w:right="1800"/>
              <w:spacing w:after="0"/>
              <w:rPr>
                <w:sz w:val="20"/>
                <w:szCs w:val="20"/>
                <w:color w:val="auto"/>
              </w:rPr>
            </w:pPr>
            <w:r>
              <w:rPr>
                <w:rFonts w:ascii="Calibri" w:cs="Calibri" w:eastAsia="Calibri" w:hAnsi="Calibri"/>
                <w:sz w:val="14"/>
                <w:szCs w:val="14"/>
                <w:color w:val="auto"/>
              </w:rPr>
              <w:t>2/17/21</w:t>
            </w:r>
          </w:p>
        </w:tc>
        <w:tc>
          <w:tcPr>
            <w:tcW w:w="2500" w:type="dxa"/>
            <w:vAlign w:val="bottom"/>
          </w:tcPr>
          <w:p>
            <w:pPr>
              <w:jc w:val="right"/>
              <w:ind w:right="51"/>
              <w:spacing w:after="0"/>
              <w:rPr>
                <w:sz w:val="20"/>
                <w:szCs w:val="20"/>
                <w:color w:val="auto"/>
              </w:rPr>
            </w:pPr>
            <w:r>
              <w:rPr>
                <w:rFonts w:ascii="Calibri" w:cs="Calibri" w:eastAsia="Calibri" w:hAnsi="Calibri"/>
                <w:sz w:val="14"/>
                <w:szCs w:val="14"/>
                <w:color w:val="auto"/>
              </w:rPr>
              <w:t>7,415</w:t>
            </w:r>
            <w:r>
              <w:rPr>
                <w:rFonts w:ascii="Calibri" w:cs="Calibri" w:eastAsia="Calibri" w:hAnsi="Calibri"/>
                <w:sz w:val="11"/>
                <w:szCs w:val="11"/>
                <w:color w:val="auto"/>
              </w:rPr>
              <w:t>(2)</w:t>
            </w:r>
          </w:p>
        </w:tc>
        <w:tc>
          <w:tcPr>
            <w:tcW w:w="1640" w:type="dxa"/>
            <w:vAlign w:val="bottom"/>
          </w:tcPr>
          <w:p>
            <w:pPr>
              <w:jc w:val="right"/>
              <w:ind w:right="1091"/>
              <w:spacing w:after="0"/>
              <w:rPr>
                <w:sz w:val="20"/>
                <w:szCs w:val="20"/>
                <w:color w:val="auto"/>
              </w:rPr>
            </w:pPr>
            <w:r>
              <w:rPr>
                <w:rFonts w:ascii="Calibri" w:cs="Calibri" w:eastAsia="Calibri" w:hAnsi="Calibri"/>
                <w:sz w:val="14"/>
                <w:szCs w:val="14"/>
                <w:color w:val="auto"/>
              </w:rPr>
              <w:t>14,830</w:t>
            </w:r>
          </w:p>
        </w:tc>
        <w:tc>
          <w:tcPr>
            <w:tcW w:w="900" w:type="dxa"/>
            <w:vAlign w:val="bottom"/>
          </w:tcPr>
          <w:p>
            <w:pPr>
              <w:jc w:val="right"/>
              <w:ind w:right="51"/>
              <w:spacing w:after="0"/>
              <w:rPr>
                <w:sz w:val="20"/>
                <w:szCs w:val="20"/>
                <w:color w:val="auto"/>
              </w:rPr>
            </w:pPr>
            <w:r>
              <w:rPr>
                <w:rFonts w:ascii="Calibri" w:cs="Calibri" w:eastAsia="Calibri" w:hAnsi="Calibri"/>
                <w:sz w:val="14"/>
                <w:szCs w:val="14"/>
                <w:color w:val="auto"/>
              </w:rPr>
              <w:t>888,317</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20" w:right="380" w:hanging="4"/>
        <w:spacing w:after="0" w:line="251" w:lineRule="auto"/>
        <w:tabs>
          <w:tab w:leader="none" w:pos="494" w:val="left"/>
        </w:tabs>
        <w:numPr>
          <w:ilvl w:val="0"/>
          <w:numId w:val="30"/>
        </w:numPr>
        <w:rPr>
          <w:rFonts w:ascii="Calibri" w:cs="Calibri" w:eastAsia="Calibri" w:hAnsi="Calibri"/>
          <w:sz w:val="13"/>
          <w:szCs w:val="13"/>
          <w:color w:val="auto"/>
        </w:rPr>
      </w:pPr>
      <w:r>
        <w:rPr>
          <w:rFonts w:ascii="Calibri" w:cs="Calibri" w:eastAsia="Calibri" w:hAnsi="Calibri"/>
          <w:sz w:val="13"/>
          <w:szCs w:val="13"/>
          <w:color w:val="auto"/>
        </w:rPr>
        <w:t>These amounts refect the target and maximum cash incentve bonuses set for 2021. For details of our annual incentve bonus program, see “Compensaton Discussion and Analysis – Incentve bonus” beginning on page 72.</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30"/>
        </w:numPr>
        <w:rPr>
          <w:rFonts w:ascii="Calibri" w:cs="Calibri" w:eastAsia="Calibri" w:hAnsi="Calibri"/>
          <w:sz w:val="13"/>
          <w:szCs w:val="13"/>
          <w:color w:val="auto"/>
        </w:rPr>
      </w:pPr>
      <w:r>
        <w:rPr>
          <w:rFonts w:ascii="Calibri" w:cs="Calibri" w:eastAsia="Calibri" w:hAnsi="Calibri"/>
          <w:sz w:val="13"/>
          <w:szCs w:val="13"/>
          <w:color w:val="auto"/>
        </w:rPr>
        <w:t>Represents annual awards of Relatve TSR-Linked PRSUs granted under the 2018 Plan, subject to the vestng set forth in footnote 6.</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30"/>
        </w:numPr>
        <w:rPr>
          <w:rFonts w:ascii="Calibri" w:cs="Calibri" w:eastAsia="Calibri" w:hAnsi="Calibri"/>
          <w:sz w:val="13"/>
          <w:szCs w:val="13"/>
          <w:color w:val="auto"/>
        </w:rPr>
      </w:pPr>
      <w:r>
        <w:rPr>
          <w:rFonts w:ascii="Calibri" w:cs="Calibri" w:eastAsia="Calibri" w:hAnsi="Calibri"/>
          <w:sz w:val="13"/>
          <w:szCs w:val="13"/>
          <w:color w:val="auto"/>
        </w:rPr>
        <w:t>Represents annual awards of restricted stock units granted under the 2018 Plan, subject to the vestng set forth in footnote 6.</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30"/>
        </w:numPr>
        <w:rPr>
          <w:rFonts w:ascii="Calibri" w:cs="Calibri" w:eastAsia="Calibri" w:hAnsi="Calibri"/>
          <w:sz w:val="13"/>
          <w:szCs w:val="13"/>
          <w:color w:val="auto"/>
        </w:rPr>
      </w:pPr>
      <w:r>
        <w:rPr>
          <w:rFonts w:ascii="Calibri" w:cs="Calibri" w:eastAsia="Calibri" w:hAnsi="Calibri"/>
          <w:sz w:val="13"/>
          <w:szCs w:val="13"/>
          <w:color w:val="auto"/>
        </w:rPr>
        <w:t>Represents additonal restricted stock units granted to all named executve ofcers other than our CEO under the 2018 Plan, subject to the vestng set forth in footnote 6.</w:t>
      </w:r>
    </w:p>
    <w:p>
      <w:pPr>
        <w:spacing w:after="0" w:line="13" w:lineRule="exact"/>
        <w:rPr>
          <w:rFonts w:ascii="Calibri" w:cs="Calibri" w:eastAsia="Calibri" w:hAnsi="Calibri"/>
          <w:sz w:val="13"/>
          <w:szCs w:val="13"/>
          <w:color w:val="auto"/>
        </w:rPr>
      </w:pPr>
    </w:p>
    <w:p>
      <w:pPr>
        <w:ind w:left="320" w:right="40" w:hanging="4"/>
        <w:spacing w:after="0" w:line="251" w:lineRule="auto"/>
        <w:tabs>
          <w:tab w:leader="none" w:pos="494" w:val="left"/>
        </w:tabs>
        <w:numPr>
          <w:ilvl w:val="0"/>
          <w:numId w:val="30"/>
        </w:numPr>
        <w:rPr>
          <w:rFonts w:ascii="Calibri" w:cs="Calibri" w:eastAsia="Calibri" w:hAnsi="Calibri"/>
          <w:sz w:val="13"/>
          <w:szCs w:val="13"/>
          <w:color w:val="auto"/>
        </w:rPr>
      </w:pPr>
      <w:r>
        <w:rPr>
          <w:rFonts w:ascii="Calibri" w:cs="Calibri" w:eastAsia="Calibri" w:hAnsi="Calibri"/>
          <w:sz w:val="13"/>
          <w:szCs w:val="13"/>
          <w:color w:val="auto"/>
        </w:rPr>
        <w:t>The grant date fair value refects tme-based restricted stock units valued based on grant date fair market value and TSR linked performance-based restricted stock units valued using Monte Carlo fair market valuaton.</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30"/>
        </w:numPr>
        <w:rPr>
          <w:rFonts w:ascii="Calibri" w:cs="Calibri" w:eastAsia="Calibri" w:hAnsi="Calibri"/>
          <w:sz w:val="13"/>
          <w:szCs w:val="13"/>
          <w:color w:val="auto"/>
        </w:rPr>
      </w:pPr>
      <w:r>
        <w:rPr>
          <w:rFonts w:ascii="Calibri" w:cs="Calibri" w:eastAsia="Calibri" w:hAnsi="Calibri"/>
          <w:sz w:val="13"/>
          <w:szCs w:val="13"/>
          <w:color w:val="auto"/>
        </w:rPr>
        <w:t>The vestng schedules of the stock grants mentoned in the table are as follows for each named executve ofcer (subject to contnued employment through each applicable vestng date).</w:t>
      </w:r>
    </w:p>
    <w:p>
      <w:pPr>
        <w:spacing w:after="0" w:line="124"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85</w:t>
            </w:r>
          </w:p>
        </w:tc>
      </w:tr>
    </w:tbl>
    <w:p>
      <w:pPr>
        <w:sectPr>
          <w:pgSz w:w="11900" w:h="16838" w:orient="portrait"/>
          <w:cols w:equalWidth="0" w:num="1">
            <w:col w:w="10940"/>
          </w:cols>
          <w:pgMar w:left="320" w:top="445" w:right="6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4080" w:type="dxa"/>
            <w:vAlign w:val="bottom"/>
          </w:tcPr>
          <w:p>
            <w:pPr>
              <w:spacing w:after="0"/>
              <w:rPr>
                <w:sz w:val="20"/>
                <w:szCs w:val="20"/>
                <w:color w:val="auto"/>
              </w:rPr>
            </w:pPr>
            <w:r>
              <w:rPr>
                <w:rFonts w:ascii="Calibri" w:cs="Calibri" w:eastAsia="Calibri" w:hAnsi="Calibri"/>
                <w:sz w:val="14"/>
                <w:szCs w:val="14"/>
                <w:b w:val="1"/>
                <w:bCs w:val="1"/>
                <w:color w:val="D8D8D8"/>
              </w:rPr>
              <w:t>Executve compensaton</w:t>
            </w:r>
          </w:p>
        </w:tc>
        <w:tc>
          <w:tcPr>
            <w:tcW w:w="20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4080" w:type="dxa"/>
            <w:vAlign w:val="bottom"/>
          </w:tcPr>
          <w:p>
            <w:pPr>
              <w:spacing w:after="0"/>
              <w:rPr>
                <w:sz w:val="24"/>
                <w:szCs w:val="24"/>
                <w:color w:val="auto"/>
              </w:rPr>
            </w:pPr>
          </w:p>
        </w:tc>
        <w:tc>
          <w:tcPr>
            <w:tcW w:w="2020" w:type="dxa"/>
            <w:vAlign w:val="bottom"/>
          </w:tcPr>
          <w:p>
            <w:pPr>
              <w:ind w:left="1100"/>
              <w:spacing w:after="0"/>
              <w:rPr>
                <w:sz w:val="20"/>
                <w:szCs w:val="20"/>
                <w:color w:val="auto"/>
              </w:rPr>
            </w:pPr>
            <w:r>
              <w:rPr>
                <w:rFonts w:ascii="Calibri" w:cs="Calibri" w:eastAsia="Calibri" w:hAnsi="Calibri"/>
                <w:sz w:val="17"/>
                <w:szCs w:val="17"/>
                <w:b w:val="1"/>
                <w:bCs w:val="1"/>
                <w:color w:val="FB4E0B"/>
              </w:rPr>
              <w:t>Vestng start</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80" w:type="dxa"/>
            <w:vAlign w:val="bottom"/>
          </w:tcPr>
          <w:p>
            <w:pPr>
              <w:ind w:left="80"/>
              <w:spacing w:after="0"/>
              <w:rPr>
                <w:sz w:val="20"/>
                <w:szCs w:val="20"/>
                <w:color w:val="auto"/>
              </w:rPr>
            </w:pPr>
            <w:r>
              <w:rPr>
                <w:rFonts w:ascii="Calibri" w:cs="Calibri" w:eastAsia="Calibri" w:hAnsi="Calibri"/>
                <w:sz w:val="17"/>
                <w:szCs w:val="17"/>
                <w:b w:val="1"/>
                <w:bCs w:val="1"/>
                <w:color w:val="FB4E0B"/>
              </w:rPr>
              <w:t>Grant date</w:t>
            </w:r>
          </w:p>
        </w:tc>
        <w:tc>
          <w:tcPr>
            <w:tcW w:w="2020" w:type="dxa"/>
            <w:vAlign w:val="bottom"/>
          </w:tcPr>
          <w:p>
            <w:pPr>
              <w:ind w:left="620"/>
              <w:spacing w:after="0"/>
              <w:rPr>
                <w:sz w:val="20"/>
                <w:szCs w:val="20"/>
                <w:color w:val="auto"/>
              </w:rPr>
            </w:pPr>
            <w:r>
              <w:rPr>
                <w:rFonts w:ascii="Calibri" w:cs="Calibri" w:eastAsia="Calibri" w:hAnsi="Calibri"/>
                <w:sz w:val="17"/>
                <w:szCs w:val="17"/>
                <w:b w:val="1"/>
                <w:bCs w:val="1"/>
                <w:color w:val="FB4E0B"/>
              </w:rPr>
              <w:t>date</w:t>
            </w:r>
          </w:p>
        </w:tc>
        <w:tc>
          <w:tcPr>
            <w:tcW w:w="4520" w:type="dxa"/>
            <w:vAlign w:val="bottom"/>
          </w:tcPr>
          <w:p>
            <w:pPr>
              <w:jc w:val="center"/>
              <w:ind w:left="253"/>
              <w:spacing w:after="0"/>
              <w:rPr>
                <w:sz w:val="20"/>
                <w:szCs w:val="20"/>
                <w:color w:val="auto"/>
              </w:rPr>
            </w:pPr>
            <w:r>
              <w:rPr>
                <w:rFonts w:ascii="Calibri" w:cs="Calibri" w:eastAsia="Calibri" w:hAnsi="Calibri"/>
                <w:sz w:val="17"/>
                <w:szCs w:val="17"/>
                <w:b w:val="1"/>
                <w:bCs w:val="1"/>
                <w:color w:val="FB4E0B"/>
              </w:rPr>
              <w:t>Vestng schedule</w:t>
            </w:r>
          </w:p>
        </w:tc>
        <w:tc>
          <w:tcPr>
            <w:tcW w:w="0" w:type="dxa"/>
            <w:vAlign w:val="bottom"/>
          </w:tcPr>
          <w:p>
            <w:pPr>
              <w:spacing w:after="0"/>
              <w:rPr>
                <w:sz w:val="1"/>
                <w:szCs w:val="1"/>
                <w:color w:val="auto"/>
              </w:rPr>
            </w:pPr>
          </w:p>
        </w:tc>
      </w:tr>
      <w:tr>
        <w:trPr>
          <w:trHeight w:val="29"/>
        </w:trPr>
        <w:tc>
          <w:tcPr>
            <w:tcW w:w="4080" w:type="dxa"/>
            <w:vAlign w:val="bottom"/>
            <w:tcBorders>
              <w:bottom w:val="single" w:sz="8" w:color="FB4E0B"/>
            </w:tcBorders>
          </w:tcPr>
          <w:p>
            <w:pPr>
              <w:spacing w:after="0"/>
              <w:rPr>
                <w:sz w:val="2"/>
                <w:szCs w:val="2"/>
                <w:color w:val="auto"/>
              </w:rPr>
            </w:pPr>
          </w:p>
        </w:tc>
        <w:tc>
          <w:tcPr>
            <w:tcW w:w="2020" w:type="dxa"/>
            <w:vAlign w:val="bottom"/>
            <w:tcBorders>
              <w:bottom w:val="single" w:sz="8" w:color="FB4E0B"/>
            </w:tcBorders>
          </w:tcPr>
          <w:p>
            <w:pPr>
              <w:spacing w:after="0"/>
              <w:rPr>
                <w:sz w:val="2"/>
                <w:szCs w:val="2"/>
                <w:color w:val="auto"/>
              </w:rPr>
            </w:pPr>
          </w:p>
        </w:tc>
        <w:tc>
          <w:tcPr>
            <w:tcW w:w="4520" w:type="dxa"/>
            <w:vAlign w:val="bottom"/>
            <w:tcBorders>
              <w:bottom w:val="single" w:sz="8" w:color="FB4E0B"/>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2/17/2021</w:t>
            </w:r>
          </w:p>
        </w:tc>
        <w:tc>
          <w:tcPr>
            <w:tcW w:w="2020" w:type="dxa"/>
            <w:vAlign w:val="bottom"/>
            <w:tcBorders>
              <w:right w:val="single" w:sz="8" w:color="auto"/>
            </w:tcBorders>
            <w:vMerge w:val="restart"/>
          </w:tcPr>
          <w:p>
            <w:pPr>
              <w:jc w:val="center"/>
              <w:ind w:left="233"/>
              <w:spacing w:after="0"/>
              <w:rPr>
                <w:sz w:val="20"/>
                <w:szCs w:val="20"/>
                <w:color w:val="auto"/>
              </w:rPr>
            </w:pPr>
            <w:r>
              <w:rPr>
                <w:rFonts w:ascii="Calibri" w:cs="Calibri" w:eastAsia="Calibri" w:hAnsi="Calibri"/>
                <w:sz w:val="17"/>
                <w:szCs w:val="17"/>
                <w:color w:val="auto"/>
              </w:rPr>
              <w:t>2/17/2021</w:t>
            </w:r>
          </w:p>
        </w:tc>
        <w:tc>
          <w:tcPr>
            <w:tcW w:w="4520" w:type="dxa"/>
            <w:vAlign w:val="bottom"/>
          </w:tcPr>
          <w:p>
            <w:pPr>
              <w:jc w:val="center"/>
              <w:ind w:left="293"/>
              <w:spacing w:after="0"/>
              <w:rPr>
                <w:sz w:val="20"/>
                <w:szCs w:val="20"/>
                <w:color w:val="auto"/>
              </w:rPr>
            </w:pPr>
            <w:r>
              <w:rPr>
                <w:rFonts w:ascii="Calibri" w:cs="Calibri" w:eastAsia="Calibri" w:hAnsi="Calibri"/>
                <w:sz w:val="17"/>
                <w:szCs w:val="17"/>
                <w:color w:val="auto"/>
              </w:rPr>
              <w:t>Relatve TSR-Linked PRSUs:</w:t>
            </w:r>
          </w:p>
        </w:tc>
        <w:tc>
          <w:tcPr>
            <w:tcW w:w="0" w:type="dxa"/>
            <w:vAlign w:val="bottom"/>
          </w:tcPr>
          <w:p>
            <w:pPr>
              <w:spacing w:after="0"/>
              <w:rPr>
                <w:sz w:val="1"/>
                <w:szCs w:val="1"/>
                <w:color w:val="auto"/>
              </w:rPr>
            </w:pPr>
          </w:p>
        </w:tc>
      </w:tr>
      <w:tr>
        <w:trPr>
          <w:trHeight w:val="104"/>
        </w:trPr>
        <w:tc>
          <w:tcPr>
            <w:tcW w:w="408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4520" w:type="dxa"/>
            <w:vAlign w:val="bottom"/>
            <w:vMerge w:val="restart"/>
          </w:tcPr>
          <w:p>
            <w:pPr>
              <w:jc w:val="center"/>
              <w:ind w:left="293"/>
              <w:spacing w:after="0"/>
              <w:rPr>
                <w:sz w:val="20"/>
                <w:szCs w:val="20"/>
                <w:color w:val="auto"/>
              </w:rPr>
            </w:pPr>
            <w:r>
              <w:rPr>
                <w:rFonts w:ascii="Calibri" w:cs="Calibri" w:eastAsia="Calibri" w:hAnsi="Calibri"/>
                <w:sz w:val="17"/>
                <w:szCs w:val="17"/>
                <w:color w:val="auto"/>
              </w:rPr>
              <w:t>100% vestng on 12/31/2023</w:t>
            </w:r>
          </w:p>
        </w:tc>
        <w:tc>
          <w:tcPr>
            <w:tcW w:w="0" w:type="dxa"/>
            <w:vAlign w:val="bottom"/>
          </w:tcPr>
          <w:p>
            <w:pPr>
              <w:spacing w:after="0"/>
              <w:rPr>
                <w:sz w:val="1"/>
                <w:szCs w:val="1"/>
                <w:color w:val="auto"/>
              </w:rPr>
            </w:pPr>
          </w:p>
        </w:tc>
      </w:tr>
      <w:tr>
        <w:trPr>
          <w:trHeight w:val="104"/>
        </w:trPr>
        <w:tc>
          <w:tcPr>
            <w:tcW w:w="408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4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8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4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8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2/17/2021</w:t>
            </w:r>
          </w:p>
        </w:tc>
        <w:tc>
          <w:tcPr>
            <w:tcW w:w="2020" w:type="dxa"/>
            <w:vAlign w:val="bottom"/>
            <w:tcBorders>
              <w:right w:val="single" w:sz="8" w:color="auto"/>
            </w:tcBorders>
            <w:vMerge w:val="restart"/>
          </w:tcPr>
          <w:p>
            <w:pPr>
              <w:jc w:val="center"/>
              <w:ind w:left="233"/>
              <w:spacing w:after="0"/>
              <w:rPr>
                <w:sz w:val="20"/>
                <w:szCs w:val="20"/>
                <w:color w:val="auto"/>
              </w:rPr>
            </w:pPr>
            <w:r>
              <w:rPr>
                <w:rFonts w:ascii="Calibri" w:cs="Calibri" w:eastAsia="Calibri" w:hAnsi="Calibri"/>
                <w:sz w:val="17"/>
                <w:szCs w:val="17"/>
                <w:color w:val="auto"/>
              </w:rPr>
              <w:t>2/17/2021</w:t>
            </w:r>
          </w:p>
        </w:tc>
        <w:tc>
          <w:tcPr>
            <w:tcW w:w="4520" w:type="dxa"/>
            <w:vAlign w:val="bottom"/>
          </w:tcPr>
          <w:p>
            <w:pPr>
              <w:jc w:val="center"/>
              <w:ind w:left="293"/>
              <w:spacing w:after="0"/>
              <w:rPr>
                <w:sz w:val="20"/>
                <w:szCs w:val="20"/>
                <w:color w:val="auto"/>
              </w:rPr>
            </w:pPr>
            <w:r>
              <w:rPr>
                <w:rFonts w:ascii="Calibri" w:cs="Calibri" w:eastAsia="Calibri" w:hAnsi="Calibri"/>
                <w:sz w:val="17"/>
                <w:szCs w:val="17"/>
                <w:color w:val="auto"/>
                <w:w w:val="98"/>
              </w:rPr>
              <w:t>Restricted Stock Units:</w:t>
            </w:r>
          </w:p>
        </w:tc>
        <w:tc>
          <w:tcPr>
            <w:tcW w:w="0" w:type="dxa"/>
            <w:vAlign w:val="bottom"/>
          </w:tcPr>
          <w:p>
            <w:pPr>
              <w:spacing w:after="0"/>
              <w:rPr>
                <w:sz w:val="1"/>
                <w:szCs w:val="1"/>
                <w:color w:val="auto"/>
              </w:rPr>
            </w:pPr>
          </w:p>
        </w:tc>
      </w:tr>
      <w:tr>
        <w:trPr>
          <w:trHeight w:val="104"/>
        </w:trPr>
        <w:tc>
          <w:tcPr>
            <w:tcW w:w="408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4520" w:type="dxa"/>
            <w:vAlign w:val="bottom"/>
            <w:vMerge w:val="restart"/>
          </w:tcPr>
          <w:p>
            <w:pPr>
              <w:jc w:val="center"/>
              <w:ind w:left="293"/>
              <w:spacing w:after="0"/>
              <w:rPr>
                <w:sz w:val="20"/>
                <w:szCs w:val="20"/>
                <w:color w:val="auto"/>
              </w:rPr>
            </w:pPr>
            <w:r>
              <w:rPr>
                <w:rFonts w:ascii="Calibri" w:cs="Calibri" w:eastAsia="Calibri" w:hAnsi="Calibri"/>
                <w:sz w:val="17"/>
                <w:szCs w:val="17"/>
                <w:color w:val="auto"/>
                <w:w w:val="99"/>
              </w:rPr>
              <w:t>Vestng over 4 Years – 25% each year</w:t>
            </w:r>
          </w:p>
        </w:tc>
        <w:tc>
          <w:tcPr>
            <w:tcW w:w="0" w:type="dxa"/>
            <w:vAlign w:val="bottom"/>
          </w:tcPr>
          <w:p>
            <w:pPr>
              <w:spacing w:after="0"/>
              <w:rPr>
                <w:sz w:val="1"/>
                <w:szCs w:val="1"/>
                <w:color w:val="auto"/>
              </w:rPr>
            </w:pPr>
          </w:p>
        </w:tc>
      </w:tr>
      <w:tr>
        <w:trPr>
          <w:trHeight w:val="104"/>
        </w:trPr>
        <w:tc>
          <w:tcPr>
            <w:tcW w:w="408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4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80" w:type="dxa"/>
            <w:vAlign w:val="bottom"/>
            <w:tcBorders>
              <w:bottom w:val="single" w:sz="8" w:color="auto"/>
              <w:right w:val="single" w:sz="8" w:color="auto"/>
            </w:tcBorders>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4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8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17"/>
                <w:szCs w:val="17"/>
                <w:b w:val="1"/>
                <w:bCs w:val="1"/>
                <w:color w:val="auto"/>
              </w:rPr>
              <w:t>9/1/2021</w:t>
            </w:r>
          </w:p>
        </w:tc>
        <w:tc>
          <w:tcPr>
            <w:tcW w:w="2020" w:type="dxa"/>
            <w:vAlign w:val="bottom"/>
            <w:tcBorders>
              <w:right w:val="single" w:sz="8" w:color="auto"/>
            </w:tcBorders>
            <w:vMerge w:val="restart"/>
          </w:tcPr>
          <w:p>
            <w:pPr>
              <w:jc w:val="center"/>
              <w:ind w:left="233"/>
              <w:spacing w:after="0"/>
              <w:rPr>
                <w:sz w:val="20"/>
                <w:szCs w:val="20"/>
                <w:color w:val="auto"/>
              </w:rPr>
            </w:pPr>
            <w:r>
              <w:rPr>
                <w:rFonts w:ascii="Calibri" w:cs="Calibri" w:eastAsia="Calibri" w:hAnsi="Calibri"/>
                <w:sz w:val="17"/>
                <w:szCs w:val="17"/>
                <w:color w:val="auto"/>
              </w:rPr>
              <w:t>9/1/2021</w:t>
            </w:r>
          </w:p>
        </w:tc>
        <w:tc>
          <w:tcPr>
            <w:tcW w:w="4520" w:type="dxa"/>
            <w:vAlign w:val="bottom"/>
          </w:tcPr>
          <w:p>
            <w:pPr>
              <w:jc w:val="center"/>
              <w:ind w:left="293"/>
              <w:spacing w:after="0"/>
              <w:rPr>
                <w:sz w:val="20"/>
                <w:szCs w:val="20"/>
                <w:color w:val="auto"/>
              </w:rPr>
            </w:pPr>
            <w:r>
              <w:rPr>
                <w:rFonts w:ascii="Calibri" w:cs="Calibri" w:eastAsia="Calibri" w:hAnsi="Calibri"/>
                <w:sz w:val="17"/>
                <w:szCs w:val="17"/>
                <w:color w:val="auto"/>
                <w:w w:val="98"/>
              </w:rPr>
              <w:t>Restricted Stock Units:</w:t>
            </w:r>
          </w:p>
        </w:tc>
        <w:tc>
          <w:tcPr>
            <w:tcW w:w="0" w:type="dxa"/>
            <w:vAlign w:val="bottom"/>
          </w:tcPr>
          <w:p>
            <w:pPr>
              <w:spacing w:after="0"/>
              <w:rPr>
                <w:sz w:val="1"/>
                <w:szCs w:val="1"/>
                <w:color w:val="auto"/>
              </w:rPr>
            </w:pPr>
          </w:p>
        </w:tc>
      </w:tr>
      <w:tr>
        <w:trPr>
          <w:trHeight w:val="104"/>
        </w:trPr>
        <w:tc>
          <w:tcPr>
            <w:tcW w:w="408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4520" w:type="dxa"/>
            <w:vAlign w:val="bottom"/>
            <w:vMerge w:val="restart"/>
          </w:tcPr>
          <w:p>
            <w:pPr>
              <w:jc w:val="center"/>
              <w:ind w:left="293"/>
              <w:spacing w:after="0"/>
              <w:rPr>
                <w:sz w:val="20"/>
                <w:szCs w:val="20"/>
                <w:color w:val="auto"/>
              </w:rPr>
            </w:pPr>
            <w:r>
              <w:rPr>
                <w:rFonts w:ascii="Calibri" w:cs="Calibri" w:eastAsia="Calibri" w:hAnsi="Calibri"/>
                <w:sz w:val="17"/>
                <w:szCs w:val="17"/>
                <w:color w:val="auto"/>
              </w:rPr>
              <w:t>Vestng over 3 years – 1/3 afer 2 years and 2/3 afer 3 years</w:t>
            </w:r>
          </w:p>
        </w:tc>
        <w:tc>
          <w:tcPr>
            <w:tcW w:w="0" w:type="dxa"/>
            <w:vAlign w:val="bottom"/>
          </w:tcPr>
          <w:p>
            <w:pPr>
              <w:spacing w:after="0"/>
              <w:rPr>
                <w:sz w:val="1"/>
                <w:szCs w:val="1"/>
                <w:color w:val="auto"/>
              </w:rPr>
            </w:pPr>
          </w:p>
        </w:tc>
      </w:tr>
      <w:tr>
        <w:trPr>
          <w:trHeight w:val="104"/>
        </w:trPr>
        <w:tc>
          <w:tcPr>
            <w:tcW w:w="408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4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080" w:type="dxa"/>
            <w:vAlign w:val="bottom"/>
            <w:tcBorders>
              <w:bottom w:val="single" w:sz="8" w:color="FB4E0B"/>
              <w:right w:val="single" w:sz="8" w:color="auto"/>
            </w:tcBorders>
          </w:tcPr>
          <w:p>
            <w:pPr>
              <w:spacing w:after="0"/>
              <w:rPr>
                <w:sz w:val="8"/>
                <w:szCs w:val="8"/>
                <w:color w:val="auto"/>
              </w:rPr>
            </w:pPr>
          </w:p>
        </w:tc>
        <w:tc>
          <w:tcPr>
            <w:tcW w:w="2020" w:type="dxa"/>
            <w:vAlign w:val="bottom"/>
            <w:tcBorders>
              <w:bottom w:val="single" w:sz="8" w:color="FB4E0B"/>
              <w:right w:val="single" w:sz="8" w:color="auto"/>
            </w:tcBorders>
          </w:tcPr>
          <w:p>
            <w:pPr>
              <w:spacing w:after="0"/>
              <w:rPr>
                <w:sz w:val="8"/>
                <w:szCs w:val="8"/>
                <w:color w:val="auto"/>
              </w:rPr>
            </w:pPr>
          </w:p>
        </w:tc>
        <w:tc>
          <w:tcPr>
            <w:tcW w:w="4520" w:type="dxa"/>
            <w:vAlign w:val="bottom"/>
            <w:tcBorders>
              <w:bottom w:val="single" w:sz="8" w:color="FB4E0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Employment agreements</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In additon to the terms described below, the employment and severance agreements for each of our named executve ofcers include severance, terminaton and/or noncompetton provisions, which are described below under “Potental payments upon terminaton or change in control at fscal 2021 year-end” beginning on page 91. Subsequent to fscal 2021, we entered into employment agreements with Messrs. Bhalla and Jetley, see “2022 Incentve compensaton” on page 79.</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Rohit Kapoor</w:t>
      </w:r>
    </w:p>
    <w:p>
      <w:pPr>
        <w:spacing w:after="0" w:line="115" w:lineRule="exact"/>
        <w:rPr>
          <w:sz w:val="20"/>
          <w:szCs w:val="20"/>
          <w:color w:val="auto"/>
        </w:rPr>
      </w:pPr>
    </w:p>
    <w:p>
      <w:pPr>
        <w:ind w:left="320" w:right="160"/>
        <w:spacing w:after="0"/>
        <w:rPr>
          <w:sz w:val="20"/>
          <w:szCs w:val="20"/>
          <w:color w:val="auto"/>
        </w:rPr>
      </w:pPr>
      <w:r>
        <w:rPr>
          <w:rFonts w:ascii="Calibri" w:cs="Calibri" w:eastAsia="Calibri" w:hAnsi="Calibri"/>
          <w:sz w:val="17"/>
          <w:szCs w:val="17"/>
          <w:color w:val="auto"/>
        </w:rPr>
        <w:t>Mr. Kapoor serves as our Vice Chairman and CEO, and is based at our executve ofces in New York, New York. Our engagement of Mr. Kapoor has been under the terms of employment agreements for over 15 years. Efectve as of August 3, 2020, the Company entered into a second amended and restated employment agreement with Mr. Kapoor (the “Kapoor Agreement”). The Kapoor Agreement provides for an employment term that extends untl Mr. Kapoor’s terminaton or resignaton.</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Salary, bonus and equity</w:t>
      </w:r>
    </w:p>
    <w:p>
      <w:pPr>
        <w:spacing w:after="0" w:line="106"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In 2020, Mr. Kapoor’s base salary was increased from $720,000 to $750,000, as documented in the Kapoor Agreement. Mr. Kapoor’s base salary can be increased at our sole discreton and cannot be decreased unless a Company-wide decrease in pay is implemented. Mr. Kapoor can earn an annual cash bonus, with a target of 150% of base salary and a maximum payout of 310% of base salary, based upon the atainment of performance criteria determined by our Compensaton Commitee. Mr. Kapoor remains eligible to receive equity-based awards annually during the term, in amounts and forms determined by the Compensaton Commitee but with terms no less favorable than his direct reports.</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Personal benefts</w:t>
      </w:r>
    </w:p>
    <w:p>
      <w:pPr>
        <w:spacing w:after="0" w:line="106"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We provide Mr. Kapoor with certain personal benefts, including certain club memberships, home ofce supplies, term life insurance policy (with a face value of $500,000), once-a-year business class airfare between the United States and India for the executve and his family, up to $12,000 for personal tax and estate planning expenses, up to $1,400 per month car allowance, up to $12,000 per year for expenses associated with maintaining an automobile in India (including cost of a driver), personal security for the executve and his family while in India, reimbursement for frst-class business travel, and a per diem allowance for certain trips. In additon, his employment agreement enttles him to certain other benefts in the event he is relocated to India, but which are not applicable currently as he maintains a U.S. residency.</w:t>
      </w:r>
    </w:p>
    <w:p>
      <w:pPr>
        <w:spacing w:after="0" w:line="128"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86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40"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Mr. Kapoor’s employment agreement also includes severance, terminaton and noncompetton provisions which are described below under “Potental payments upon terminaton or change in control at fscal 2021 year-end” beginning on page 91.</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Maurizio Nicolelli</w:t>
      </w:r>
    </w:p>
    <w:p>
      <w:pPr>
        <w:spacing w:after="0" w:line="115" w:lineRule="exact"/>
        <w:rPr>
          <w:sz w:val="20"/>
          <w:szCs w:val="20"/>
          <w:color w:val="auto"/>
        </w:rPr>
      </w:pPr>
    </w:p>
    <w:p>
      <w:pPr>
        <w:ind w:left="320" w:right="60"/>
        <w:spacing w:after="0" w:line="260" w:lineRule="auto"/>
        <w:rPr>
          <w:sz w:val="20"/>
          <w:szCs w:val="20"/>
          <w:color w:val="auto"/>
        </w:rPr>
      </w:pPr>
      <w:r>
        <w:rPr>
          <w:rFonts w:ascii="Calibri" w:cs="Calibri" w:eastAsia="Calibri" w:hAnsi="Calibri"/>
          <w:sz w:val="16"/>
          <w:szCs w:val="16"/>
          <w:color w:val="auto"/>
        </w:rPr>
        <w:t>Mr. Nicolelli serves as our Executve Vice President and CFO and is based at our executve ofces in New York, New York. We entered into an employment agreement with him, efectve February 3, 2020, which will contnue throughout Mr. Nicolelli’s employment with the Company. In connecton with his appointment, Mr. Nicolelli received a joining bonus of $225,000, payable in two installments, and an inital grant of restricted stock units of the Company’s common stock with a fair market value of $425,000, which will vest in four equal, annual installments beginning on the frst anniversary of the grant date.</w:t>
      </w:r>
    </w:p>
    <w:p>
      <w:pPr>
        <w:spacing w:after="0" w:line="271"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Salary, bonus and equity</w:t>
      </w:r>
    </w:p>
    <w:p>
      <w:pPr>
        <w:spacing w:after="0" w:line="119"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Mr. Nicolelli’s base salary was set at $475,000 upon his hire in 2020 and is subject to review on an annual basis. In additon, Mr. Nicolelli can earn an annual cash bonus, with a target of 75% of base salary, based upon the atainment of performance criteria determined by our Compensaton Commitee. Mr. Nicolelli is also eligible, subject to performance and other conditons, to receive annual equity awards at the discreton of the Compensaton Commitee.</w:t>
      </w:r>
    </w:p>
    <w:p>
      <w:pPr>
        <w:spacing w:after="0" w:line="107" w:lineRule="exact"/>
        <w:rPr>
          <w:sz w:val="20"/>
          <w:szCs w:val="20"/>
          <w:color w:val="auto"/>
        </w:rPr>
      </w:pPr>
    </w:p>
    <w:p>
      <w:pPr>
        <w:ind w:left="320" w:right="400"/>
        <w:spacing w:after="0" w:line="239" w:lineRule="auto"/>
        <w:rPr>
          <w:sz w:val="20"/>
          <w:szCs w:val="20"/>
          <w:color w:val="auto"/>
        </w:rPr>
      </w:pPr>
      <w:r>
        <w:rPr>
          <w:rFonts w:ascii="Calibri" w:cs="Calibri" w:eastAsia="Calibri" w:hAnsi="Calibri"/>
          <w:sz w:val="17"/>
          <w:szCs w:val="17"/>
          <w:color w:val="auto"/>
        </w:rPr>
        <w:t>Mr. Nicolelli’s agreements also includes severance, terminaton and noncompetton provisions which are described below under “Potental payments upon terminaton or change in control at fscal 2021 year-end” beginning on page 91.</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Vikas Bhalla</w:t>
      </w:r>
    </w:p>
    <w:p>
      <w:pPr>
        <w:spacing w:after="0" w:line="115"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Mr. Bhalla serves as our Executve Vice President and Business Head, Insurance, and is based in Delhi, India. We entered into an employment agreement with him, efectve April 28, 2001 and a severance leter, efectve March 15, 2011, each of which will contnue throughout Mr. Bhalla’s employment with the Company. Subsequent to fscal 2021, we entered into an employment agreement with Mr. Bhalla that supersedes his prior agreements, see “2022 Incentve compensaton” on page 79.</w:t>
      </w:r>
    </w:p>
    <w:p>
      <w:pPr>
        <w:spacing w:after="0" w:line="27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Salary, bonus and equity</w:t>
      </w:r>
    </w:p>
    <w:p>
      <w:pPr>
        <w:spacing w:after="0" w:line="119"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Mr. Bhalla’s annual fxed compensaton, measured in his home currency of Indian rupees set at 1,659,382 Indian rupees when his employment agreement was frst executed in 2001 and is subject to review on an annual basis. Mr. Bhalla’s annual fxed compensaton includes base salary, as well as amounts available as a leave travel allowance, a housing allowance, an automobile allowance, a medical allowance and a cash supplementary allowance. In additon, Mr. Bhalla can earn an annual cash bonus, with a target of 75% of annual fxed compensaton, based upon the atainment of performance criteria determined by our Compensaton Commitee. Mr. Bhalla is also eligible, subject to performance and other conditons, to receive annual equity awards at the discreton of the Compensaton Commitee.</w:t>
      </w:r>
    </w:p>
    <w:p>
      <w:pPr>
        <w:spacing w:after="0" w:line="212"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Mr. Bhalla’s agreements also includes severance, terminaton and noncompetton provisions which are described below under “Potental payments upon terminaton or change in control at fscal 2021 year-end” beginning on page 91.</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Samuel Meckey</w:t>
      </w:r>
    </w:p>
    <w:p>
      <w:pPr>
        <w:spacing w:after="0" w:line="115"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Mr. Meckey serves as our Executve Vice President and Business Head, Healthcare, and is based at our executve ofces in New York, New York. We entered into an employment agreement with him, efectve November 5, 2018, which will contnue throughout Mr. Meckey’s employment with the Company.</w:t>
      </w:r>
    </w:p>
    <w:p>
      <w:pPr>
        <w:spacing w:after="0" w:line="127"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87</w:t>
            </w:r>
          </w:p>
        </w:tc>
      </w:tr>
    </w:tbl>
    <w:p>
      <w:pPr>
        <w:sectPr>
          <w:pgSz w:w="11900" w:h="16838" w:orient="portrait"/>
          <w:cols w:equalWidth="0" w:num="1">
            <w:col w:w="10940"/>
          </w:cols>
          <w:pgMar w:left="320" w:top="445" w:right="6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Salary, bonus and equity</w:t>
      </w:r>
    </w:p>
    <w:p>
      <w:pPr>
        <w:spacing w:after="0" w:line="119"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Mr. Meckey’s base salary was set at $425,000 when his employment agreement was frst executed in 2018 and is subject to review on an annual basis. In additon, Mr. Meckey can earn an annual cash bonus, with a target of 75% of base salary, based upon the atainment of performance criteria determined by our Compensaton Commitee. Mr. Meckey is also eligible, subject to performance and other conditons, to receive annual equity awards at the discreton of the Compensaton Commitee.</w:t>
      </w:r>
    </w:p>
    <w:p>
      <w:pPr>
        <w:spacing w:after="0" w:line="107"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Mr. Meckey’s agreements also includes severance, terminaton and noncompetton provisions which are described below under “Potental payments upon terminaton or change in control at fscal 2021 year-end” beginning on page 91.</w:t>
      </w:r>
    </w:p>
    <w:p>
      <w:pPr>
        <w:spacing w:after="0" w:line="127"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88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Calibri" w:cs="Calibri" w:eastAsia="Calibri" w:hAnsi="Calibri"/>
                <w:sz w:val="14"/>
                <w:szCs w:val="14"/>
                <w:b w:val="1"/>
                <w:bCs w:val="1"/>
                <w:color w:val="D8D8D8"/>
              </w:rPr>
              <w:t>Executve compensaton</w:t>
            </w:r>
          </w:p>
        </w:tc>
      </w:tr>
      <w:tr>
        <w:trPr>
          <w:trHeight w:val="429"/>
        </w:trPr>
        <w:tc>
          <w:tcPr>
            <w:tcW w:w="6120" w:type="dxa"/>
            <w:vAlign w:val="bottom"/>
            <w:gridSpan w:val="4"/>
          </w:tcPr>
          <w:p>
            <w:pPr>
              <w:jc w:val="right"/>
              <w:ind w:right="1051"/>
              <w:spacing w:after="0"/>
              <w:rPr>
                <w:sz w:val="20"/>
                <w:szCs w:val="20"/>
                <w:color w:val="auto"/>
              </w:rPr>
            </w:pPr>
            <w:r>
              <w:rPr>
                <w:rFonts w:ascii="Calibri" w:cs="Calibri" w:eastAsia="Calibri" w:hAnsi="Calibri"/>
                <w:sz w:val="24"/>
                <w:szCs w:val="24"/>
                <w:color w:val="auto"/>
              </w:rPr>
              <w:t>Outstanding equity awards at fscal 2021 year-end</w:t>
            </w:r>
          </w:p>
        </w:tc>
        <w:tc>
          <w:tcPr>
            <w:tcW w:w="20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29"/>
        </w:trPr>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20" w:type="dxa"/>
            <w:vAlign w:val="bottom"/>
          </w:tcPr>
          <w:p>
            <w:pPr>
              <w:jc w:val="center"/>
              <w:ind w:right="131"/>
              <w:spacing w:after="0"/>
              <w:rPr>
                <w:sz w:val="20"/>
                <w:szCs w:val="20"/>
                <w:color w:val="auto"/>
              </w:rPr>
            </w:pPr>
            <w:r>
              <w:rPr>
                <w:rFonts w:ascii="Calibri" w:cs="Calibri" w:eastAsia="Calibri" w:hAnsi="Calibri"/>
                <w:sz w:val="14"/>
                <w:szCs w:val="14"/>
                <w:b w:val="1"/>
                <w:bCs w:val="1"/>
                <w:color w:val="auto"/>
                <w:w w:val="98"/>
              </w:rPr>
              <w:t>Number of shares or</w:t>
            </w:r>
          </w:p>
        </w:tc>
        <w:tc>
          <w:tcPr>
            <w:tcW w:w="1800" w:type="dxa"/>
            <w:vAlign w:val="bottom"/>
          </w:tcPr>
          <w:p>
            <w:pPr>
              <w:spacing w:after="0"/>
              <w:rPr>
                <w:sz w:val="24"/>
                <w:szCs w:val="24"/>
                <w:color w:val="auto"/>
              </w:rPr>
            </w:pPr>
          </w:p>
        </w:tc>
        <w:tc>
          <w:tcPr>
            <w:tcW w:w="2080" w:type="dxa"/>
            <w:vAlign w:val="bottom"/>
          </w:tcPr>
          <w:p>
            <w:pPr>
              <w:jc w:val="center"/>
              <w:ind w:right="51"/>
              <w:spacing w:after="0"/>
              <w:rPr>
                <w:sz w:val="20"/>
                <w:szCs w:val="20"/>
                <w:color w:val="auto"/>
              </w:rPr>
            </w:pPr>
            <w:r>
              <w:rPr>
                <w:rFonts w:ascii="Calibri" w:cs="Calibri" w:eastAsia="Calibri" w:hAnsi="Calibri"/>
                <w:sz w:val="14"/>
                <w:szCs w:val="14"/>
                <w:b w:val="1"/>
                <w:bCs w:val="1"/>
                <w:color w:val="auto"/>
              </w:rPr>
              <w:t>Equity incentve plan awards:</w:t>
            </w:r>
          </w:p>
        </w:tc>
        <w:tc>
          <w:tcPr>
            <w:tcW w:w="242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Equity incentve plan awards: market</w:t>
            </w:r>
          </w:p>
        </w:tc>
      </w:tr>
      <w:tr>
        <w:trPr>
          <w:trHeight w:val="169"/>
        </w:trPr>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tcPr>
          <w:p>
            <w:pPr>
              <w:jc w:val="center"/>
              <w:ind w:right="131"/>
              <w:spacing w:after="0" w:line="169" w:lineRule="exact"/>
              <w:rPr>
                <w:sz w:val="20"/>
                <w:szCs w:val="20"/>
                <w:color w:val="auto"/>
              </w:rPr>
            </w:pPr>
            <w:r>
              <w:rPr>
                <w:rFonts w:ascii="Calibri" w:cs="Calibri" w:eastAsia="Calibri" w:hAnsi="Calibri"/>
                <w:sz w:val="14"/>
                <w:szCs w:val="14"/>
                <w:b w:val="1"/>
                <w:bCs w:val="1"/>
                <w:color w:val="auto"/>
                <w:w w:val="97"/>
              </w:rPr>
              <w:t>units of stock that</w:t>
            </w:r>
          </w:p>
        </w:tc>
        <w:tc>
          <w:tcPr>
            <w:tcW w:w="180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9"/>
              </w:rPr>
              <w:t>Market value of shares or</w:t>
            </w:r>
          </w:p>
        </w:tc>
        <w:tc>
          <w:tcPr>
            <w:tcW w:w="208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8"/>
              </w:rPr>
              <w:t>number of unearned shares,</w:t>
            </w:r>
          </w:p>
        </w:tc>
        <w:tc>
          <w:tcPr>
            <w:tcW w:w="24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or payout value of unearned shares,</w:t>
            </w:r>
          </w:p>
        </w:tc>
      </w:tr>
      <w:tr>
        <w:trPr>
          <w:trHeight w:val="169"/>
        </w:trPr>
        <w:tc>
          <w:tcPr>
            <w:tcW w:w="1200" w:type="dxa"/>
            <w:vAlign w:val="bottom"/>
          </w:tcPr>
          <w:p>
            <w:pPr>
              <w:spacing w:after="0"/>
              <w:rPr>
                <w:sz w:val="14"/>
                <w:szCs w:val="14"/>
                <w:color w:val="auto"/>
              </w:rPr>
            </w:pPr>
          </w:p>
        </w:tc>
        <w:tc>
          <w:tcPr>
            <w:tcW w:w="1500" w:type="dxa"/>
            <w:vAlign w:val="bottom"/>
          </w:tcPr>
          <w:p>
            <w:pPr>
              <w:jc w:val="right"/>
              <w:ind w:right="71"/>
              <w:spacing w:after="0" w:line="169" w:lineRule="exact"/>
              <w:rPr>
                <w:sz w:val="20"/>
                <w:szCs w:val="20"/>
                <w:color w:val="auto"/>
              </w:rPr>
            </w:pPr>
            <w:r>
              <w:rPr>
                <w:rFonts w:ascii="Calibri" w:cs="Calibri" w:eastAsia="Calibri" w:hAnsi="Calibri"/>
                <w:sz w:val="14"/>
                <w:szCs w:val="14"/>
                <w:b w:val="1"/>
                <w:bCs w:val="1"/>
                <w:color w:val="auto"/>
              </w:rPr>
              <w:t>Stock award</w:t>
            </w:r>
          </w:p>
        </w:tc>
        <w:tc>
          <w:tcPr>
            <w:tcW w:w="1620" w:type="dxa"/>
            <w:vAlign w:val="bottom"/>
          </w:tcPr>
          <w:p>
            <w:pPr>
              <w:jc w:val="center"/>
              <w:ind w:right="131"/>
              <w:spacing w:after="0" w:line="169" w:lineRule="exact"/>
              <w:rPr>
                <w:sz w:val="20"/>
                <w:szCs w:val="20"/>
                <w:color w:val="auto"/>
              </w:rPr>
            </w:pPr>
            <w:r>
              <w:rPr>
                <w:rFonts w:ascii="Calibri" w:cs="Calibri" w:eastAsia="Calibri" w:hAnsi="Calibri"/>
                <w:sz w:val="14"/>
                <w:szCs w:val="14"/>
                <w:b w:val="1"/>
                <w:bCs w:val="1"/>
                <w:color w:val="auto"/>
                <w:w w:val="96"/>
              </w:rPr>
              <w:t>have not vested</w:t>
            </w:r>
          </w:p>
        </w:tc>
        <w:tc>
          <w:tcPr>
            <w:tcW w:w="180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9"/>
              </w:rPr>
              <w:t>units of stock that have</w:t>
            </w:r>
          </w:p>
        </w:tc>
        <w:tc>
          <w:tcPr>
            <w:tcW w:w="208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w w:val="98"/>
              </w:rPr>
              <w:t>units or other rights that have</w:t>
            </w:r>
          </w:p>
        </w:tc>
        <w:tc>
          <w:tcPr>
            <w:tcW w:w="24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units or other rights that have not</w:t>
            </w:r>
          </w:p>
        </w:tc>
      </w:tr>
      <w:tr>
        <w:trPr>
          <w:trHeight w:val="169"/>
        </w:trPr>
        <w:tc>
          <w:tcPr>
            <w:tcW w:w="120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FB4E0B"/>
              </w:rPr>
              <w:t>Name</w:t>
            </w:r>
          </w:p>
        </w:tc>
        <w:tc>
          <w:tcPr>
            <w:tcW w:w="1500" w:type="dxa"/>
            <w:vAlign w:val="bottom"/>
          </w:tcPr>
          <w:p>
            <w:pPr>
              <w:jc w:val="right"/>
              <w:ind w:right="131"/>
              <w:spacing w:after="0" w:line="169" w:lineRule="exact"/>
              <w:rPr>
                <w:sz w:val="20"/>
                <w:szCs w:val="20"/>
                <w:color w:val="auto"/>
              </w:rPr>
            </w:pPr>
            <w:r>
              <w:rPr>
                <w:rFonts w:ascii="Calibri" w:cs="Calibri" w:eastAsia="Calibri" w:hAnsi="Calibri"/>
                <w:sz w:val="14"/>
                <w:szCs w:val="14"/>
                <w:b w:val="1"/>
                <w:bCs w:val="1"/>
                <w:color w:val="auto"/>
              </w:rPr>
              <w:t>grant date</w:t>
            </w:r>
          </w:p>
        </w:tc>
        <w:tc>
          <w:tcPr>
            <w:tcW w:w="1620" w:type="dxa"/>
            <w:vAlign w:val="bottom"/>
          </w:tcPr>
          <w:p>
            <w:pPr>
              <w:jc w:val="center"/>
              <w:ind w:right="131"/>
              <w:spacing w:after="0" w:line="169" w:lineRule="exact"/>
              <w:rPr>
                <w:sz w:val="20"/>
                <w:szCs w:val="20"/>
                <w:color w:val="auto"/>
              </w:rPr>
            </w:pPr>
            <w:r>
              <w:rPr>
                <w:rFonts w:ascii="Calibri" w:cs="Calibri" w:eastAsia="Calibri" w:hAnsi="Calibri"/>
                <w:sz w:val="14"/>
                <w:szCs w:val="14"/>
                <w:b w:val="1"/>
                <w:bCs w:val="1"/>
                <w:color w:val="auto"/>
              </w:rPr>
              <w:t>(#)</w:t>
            </w:r>
            <w:r>
              <w:rPr>
                <w:rFonts w:ascii="Calibri" w:cs="Calibri" w:eastAsia="Calibri" w:hAnsi="Calibri"/>
                <w:sz w:val="11"/>
                <w:szCs w:val="11"/>
                <w:b w:val="1"/>
                <w:bCs w:val="1"/>
                <w:color w:val="auto"/>
              </w:rPr>
              <w:t>(1)</w:t>
            </w:r>
          </w:p>
        </w:tc>
        <w:tc>
          <w:tcPr>
            <w:tcW w:w="180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8"/>
              </w:rPr>
              <w:t>not vested ($)</w:t>
            </w:r>
            <w:r>
              <w:rPr>
                <w:rFonts w:ascii="Calibri" w:cs="Calibri" w:eastAsia="Calibri" w:hAnsi="Calibri"/>
                <w:sz w:val="11"/>
                <w:szCs w:val="11"/>
                <w:b w:val="1"/>
                <w:bCs w:val="1"/>
                <w:color w:val="auto"/>
                <w:w w:val="98"/>
              </w:rPr>
              <w:t>(5)</w:t>
            </w:r>
          </w:p>
        </w:tc>
        <w:tc>
          <w:tcPr>
            <w:tcW w:w="208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w w:val="98"/>
              </w:rPr>
              <w:t>not vested (#)</w:t>
            </w:r>
            <w:r>
              <w:rPr>
                <w:rFonts w:ascii="Calibri" w:cs="Calibri" w:eastAsia="Calibri" w:hAnsi="Calibri"/>
                <w:sz w:val="11"/>
                <w:szCs w:val="11"/>
                <w:b w:val="1"/>
                <w:bCs w:val="1"/>
                <w:color w:val="auto"/>
                <w:w w:val="98"/>
              </w:rPr>
              <w:t>(4)</w:t>
            </w:r>
          </w:p>
        </w:tc>
        <w:tc>
          <w:tcPr>
            <w:tcW w:w="24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9"/>
              </w:rPr>
              <w:t>vested ($)</w:t>
            </w:r>
            <w:r>
              <w:rPr>
                <w:rFonts w:ascii="Calibri" w:cs="Calibri" w:eastAsia="Calibri" w:hAnsi="Calibri"/>
                <w:sz w:val="11"/>
                <w:szCs w:val="11"/>
                <w:b w:val="1"/>
                <w:bCs w:val="1"/>
                <w:color w:val="auto"/>
                <w:w w:val="99"/>
              </w:rPr>
              <w:t>(5)</w:t>
            </w:r>
          </w:p>
        </w:tc>
      </w:tr>
      <w:tr>
        <w:trPr>
          <w:trHeight w:val="83"/>
        </w:trPr>
        <w:tc>
          <w:tcPr>
            <w:tcW w:w="12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r>
      <w:tr>
        <w:trPr>
          <w:trHeight w:val="159"/>
        </w:trPr>
        <w:tc>
          <w:tcPr>
            <w:tcW w:w="1200" w:type="dxa"/>
            <w:vAlign w:val="bottom"/>
          </w:tcPr>
          <w:p>
            <w:pPr>
              <w:ind w:left="20"/>
              <w:spacing w:after="0" w:line="159" w:lineRule="exact"/>
              <w:rPr>
                <w:sz w:val="20"/>
                <w:szCs w:val="20"/>
                <w:color w:val="auto"/>
              </w:rPr>
            </w:pPr>
            <w:r>
              <w:rPr>
                <w:rFonts w:ascii="Calibri" w:cs="Calibri" w:eastAsia="Calibri" w:hAnsi="Calibri"/>
                <w:sz w:val="14"/>
                <w:szCs w:val="14"/>
                <w:b w:val="1"/>
                <w:bCs w:val="1"/>
                <w:color w:val="FB4E0B"/>
              </w:rPr>
              <w:t>Rohit</w:t>
            </w:r>
          </w:p>
        </w:tc>
        <w:tc>
          <w:tcPr>
            <w:tcW w:w="1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67"/>
        </w:trPr>
        <w:tc>
          <w:tcPr>
            <w:tcW w:w="1200" w:type="dxa"/>
            <w:vAlign w:val="bottom"/>
          </w:tcPr>
          <w:p>
            <w:pPr>
              <w:ind w:left="20"/>
              <w:spacing w:after="0" w:line="167" w:lineRule="exact"/>
              <w:rPr>
                <w:sz w:val="20"/>
                <w:szCs w:val="20"/>
                <w:color w:val="auto"/>
              </w:rPr>
            </w:pPr>
            <w:r>
              <w:rPr>
                <w:rFonts w:ascii="Calibri" w:cs="Calibri" w:eastAsia="Calibri" w:hAnsi="Calibri"/>
                <w:sz w:val="14"/>
                <w:szCs w:val="14"/>
                <w:b w:val="1"/>
                <w:bCs w:val="1"/>
                <w:color w:val="FB4E0B"/>
              </w:rPr>
              <w:t>Kapoor</w:t>
            </w:r>
          </w:p>
        </w:tc>
        <w:tc>
          <w:tcPr>
            <w:tcW w:w="1500" w:type="dxa"/>
            <w:vAlign w:val="bottom"/>
          </w:tcPr>
          <w:p>
            <w:pPr>
              <w:jc w:val="right"/>
              <w:ind w:right="51"/>
              <w:spacing w:after="0" w:line="167" w:lineRule="exact"/>
              <w:rPr>
                <w:sz w:val="20"/>
                <w:szCs w:val="20"/>
                <w:color w:val="auto"/>
              </w:rPr>
            </w:pPr>
            <w:r>
              <w:rPr>
                <w:rFonts w:ascii="Calibri" w:cs="Calibri" w:eastAsia="Calibri" w:hAnsi="Calibri"/>
                <w:sz w:val="14"/>
                <w:szCs w:val="14"/>
                <w:color w:val="auto"/>
              </w:rPr>
              <w:t>2/22/2018</w:t>
            </w:r>
          </w:p>
        </w:tc>
        <w:tc>
          <w:tcPr>
            <w:tcW w:w="1620" w:type="dxa"/>
            <w:vAlign w:val="bottom"/>
          </w:tcPr>
          <w:p>
            <w:pPr>
              <w:jc w:val="right"/>
              <w:ind w:right="191"/>
              <w:spacing w:after="0" w:line="167" w:lineRule="exact"/>
              <w:rPr>
                <w:sz w:val="20"/>
                <w:szCs w:val="20"/>
                <w:color w:val="auto"/>
              </w:rPr>
            </w:pPr>
            <w:r>
              <w:rPr>
                <w:rFonts w:ascii="Calibri" w:cs="Calibri" w:eastAsia="Calibri" w:hAnsi="Calibri"/>
                <w:sz w:val="14"/>
                <w:szCs w:val="14"/>
                <w:color w:val="auto"/>
              </w:rPr>
              <w:t>7,502</w:t>
            </w:r>
          </w:p>
        </w:tc>
        <w:tc>
          <w:tcPr>
            <w:tcW w:w="1800" w:type="dxa"/>
            <w:vAlign w:val="bottom"/>
          </w:tcPr>
          <w:p>
            <w:pPr>
              <w:jc w:val="right"/>
              <w:ind w:right="71"/>
              <w:spacing w:after="0" w:line="167" w:lineRule="exact"/>
              <w:rPr>
                <w:sz w:val="20"/>
                <w:szCs w:val="20"/>
                <w:color w:val="auto"/>
              </w:rPr>
            </w:pPr>
            <w:r>
              <w:rPr>
                <w:rFonts w:ascii="Calibri" w:cs="Calibri" w:eastAsia="Calibri" w:hAnsi="Calibri"/>
                <w:sz w:val="14"/>
                <w:szCs w:val="14"/>
                <w:color w:val="auto"/>
              </w:rPr>
              <w:t>1,086,065</w:t>
            </w:r>
          </w:p>
        </w:tc>
        <w:tc>
          <w:tcPr>
            <w:tcW w:w="208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234"/>
        </w:trPr>
        <w:tc>
          <w:tcPr>
            <w:tcW w:w="1200" w:type="dxa"/>
            <w:vAlign w:val="bottom"/>
          </w:tcPr>
          <w:p>
            <w:pPr>
              <w:spacing w:after="0"/>
              <w:rPr>
                <w:sz w:val="20"/>
                <w:szCs w:val="20"/>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2/20/2019</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14,455</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2,092,650</w:t>
            </w:r>
          </w:p>
        </w:tc>
        <w:tc>
          <w:tcPr>
            <w:tcW w:w="208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2/20/2020</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17,640</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2,553,743</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2/20/2020</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42,660</w:t>
            </w:r>
            <w:r>
              <w:rPr>
                <w:rFonts w:ascii="Calibri" w:cs="Calibri" w:eastAsia="Calibri" w:hAnsi="Calibri"/>
                <w:sz w:val="11"/>
                <w:szCs w:val="11"/>
                <w:color w:val="auto"/>
              </w:rPr>
              <w:t>(a)</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6,175,888</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2/20/2020</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42,660</w:t>
            </w:r>
            <w:r>
              <w:rPr>
                <w:rFonts w:ascii="Calibri" w:cs="Calibri" w:eastAsia="Calibri" w:hAnsi="Calibri"/>
                <w:sz w:val="11"/>
                <w:szCs w:val="11"/>
                <w:color w:val="auto"/>
              </w:rPr>
              <w:t>(b)</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6,175,888</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2/17/2021</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35,400</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5,124,858</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2/17/2021</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35,400</w:t>
            </w:r>
            <w:r>
              <w:rPr>
                <w:rFonts w:ascii="Calibri" w:cs="Calibri" w:eastAsia="Calibri" w:hAnsi="Calibri"/>
                <w:sz w:val="11"/>
                <w:szCs w:val="11"/>
                <w:color w:val="auto"/>
              </w:rPr>
              <w:t>(c)</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5,124,858</w:t>
            </w:r>
          </w:p>
        </w:tc>
      </w:tr>
      <w:tr>
        <w:trPr>
          <w:trHeight w:val="44"/>
        </w:trPr>
        <w:tc>
          <w:tcPr>
            <w:tcW w:w="1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r>
      <w:tr>
        <w:trPr>
          <w:trHeight w:val="159"/>
        </w:trPr>
        <w:tc>
          <w:tcPr>
            <w:tcW w:w="1200" w:type="dxa"/>
            <w:vAlign w:val="bottom"/>
          </w:tcPr>
          <w:p>
            <w:pPr>
              <w:ind w:left="20"/>
              <w:spacing w:after="0" w:line="159" w:lineRule="exact"/>
              <w:rPr>
                <w:sz w:val="20"/>
                <w:szCs w:val="20"/>
                <w:color w:val="auto"/>
              </w:rPr>
            </w:pPr>
            <w:r>
              <w:rPr>
                <w:rFonts w:ascii="Calibri" w:cs="Calibri" w:eastAsia="Calibri" w:hAnsi="Calibri"/>
                <w:sz w:val="14"/>
                <w:szCs w:val="14"/>
                <w:b w:val="1"/>
                <w:bCs w:val="1"/>
                <w:color w:val="FB4E0B"/>
              </w:rPr>
              <w:t>Maurizio</w:t>
            </w:r>
          </w:p>
        </w:tc>
        <w:tc>
          <w:tcPr>
            <w:tcW w:w="150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2/3/2020</w:t>
            </w:r>
          </w:p>
        </w:tc>
        <w:tc>
          <w:tcPr>
            <w:tcW w:w="1620" w:type="dxa"/>
            <w:vAlign w:val="bottom"/>
          </w:tcPr>
          <w:p>
            <w:pPr>
              <w:jc w:val="right"/>
              <w:ind w:right="191"/>
              <w:spacing w:after="0" w:line="159" w:lineRule="exact"/>
              <w:rPr>
                <w:sz w:val="20"/>
                <w:szCs w:val="20"/>
                <w:color w:val="auto"/>
              </w:rPr>
            </w:pPr>
            <w:r>
              <w:rPr>
                <w:rFonts w:ascii="Calibri" w:cs="Calibri" w:eastAsia="Calibri" w:hAnsi="Calibri"/>
                <w:sz w:val="14"/>
                <w:szCs w:val="14"/>
                <w:color w:val="auto"/>
              </w:rPr>
              <w:t>4,424</w:t>
            </w:r>
          </w:p>
        </w:tc>
        <w:tc>
          <w:tcPr>
            <w:tcW w:w="1800" w:type="dxa"/>
            <w:vAlign w:val="bottom"/>
          </w:tcPr>
          <w:p>
            <w:pPr>
              <w:jc w:val="right"/>
              <w:ind w:right="71"/>
              <w:spacing w:after="0" w:line="159" w:lineRule="exact"/>
              <w:rPr>
                <w:sz w:val="20"/>
                <w:szCs w:val="20"/>
                <w:color w:val="auto"/>
              </w:rPr>
            </w:pPr>
            <w:r>
              <w:rPr>
                <w:rFonts w:ascii="Calibri" w:cs="Calibri" w:eastAsia="Calibri" w:hAnsi="Calibri"/>
                <w:sz w:val="14"/>
                <w:szCs w:val="14"/>
                <w:color w:val="auto"/>
              </w:rPr>
              <w:t>640,462</w:t>
            </w:r>
          </w:p>
        </w:tc>
        <w:tc>
          <w:tcPr>
            <w:tcW w:w="20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93"/>
        </w:trPr>
        <w:tc>
          <w:tcPr>
            <w:tcW w:w="1200" w:type="dxa"/>
            <w:vAlign w:val="bottom"/>
          </w:tcPr>
          <w:p>
            <w:pPr>
              <w:ind w:left="20"/>
              <w:spacing w:after="0" w:line="167" w:lineRule="exact"/>
              <w:rPr>
                <w:sz w:val="20"/>
                <w:szCs w:val="20"/>
                <w:color w:val="auto"/>
              </w:rPr>
            </w:pPr>
            <w:r>
              <w:rPr>
                <w:rFonts w:ascii="Calibri" w:cs="Calibri" w:eastAsia="Calibri" w:hAnsi="Calibri"/>
                <w:sz w:val="14"/>
                <w:szCs w:val="14"/>
                <w:b w:val="1"/>
                <w:bCs w:val="1"/>
                <w:color w:val="FB4E0B"/>
              </w:rPr>
              <w:t>Nicolelli</w:t>
            </w: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3,274</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473,977</w:t>
            </w:r>
          </w:p>
        </w:tc>
        <w:tc>
          <w:tcPr>
            <w:tcW w:w="208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4,366</w:t>
            </w:r>
            <w:r>
              <w:rPr>
                <w:rFonts w:ascii="Calibri" w:cs="Calibri" w:eastAsia="Calibri" w:hAnsi="Calibri"/>
                <w:sz w:val="11"/>
                <w:szCs w:val="11"/>
                <w:color w:val="auto"/>
              </w:rPr>
              <w:t>(a)</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632,066</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4,364</w:t>
            </w:r>
            <w:r>
              <w:rPr>
                <w:rFonts w:ascii="Calibri" w:cs="Calibri" w:eastAsia="Calibri" w:hAnsi="Calibri"/>
                <w:sz w:val="11"/>
                <w:szCs w:val="11"/>
                <w:color w:val="auto"/>
              </w:rPr>
              <w:t>(b)</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631,776</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2/17/2021</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6,920</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1,001,808</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2/17/2021</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6,920</w:t>
            </w:r>
            <w:r>
              <w:rPr>
                <w:rFonts w:ascii="Calibri" w:cs="Calibri" w:eastAsia="Calibri" w:hAnsi="Calibri"/>
                <w:sz w:val="11"/>
                <w:szCs w:val="11"/>
                <w:color w:val="auto"/>
              </w:rPr>
              <w:t>(c)</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1,001,808</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9/1/2021</w:t>
            </w:r>
          </w:p>
        </w:tc>
        <w:tc>
          <w:tcPr>
            <w:tcW w:w="1620" w:type="dxa"/>
            <w:vAlign w:val="bottom"/>
          </w:tcPr>
          <w:p>
            <w:pPr>
              <w:jc w:val="right"/>
              <w:ind w:right="71"/>
              <w:spacing w:after="0"/>
              <w:rPr>
                <w:sz w:val="20"/>
                <w:szCs w:val="20"/>
                <w:color w:val="auto"/>
              </w:rPr>
            </w:pPr>
            <w:r>
              <w:rPr>
                <w:rFonts w:ascii="Calibri" w:cs="Calibri" w:eastAsia="Calibri" w:hAnsi="Calibri"/>
                <w:sz w:val="14"/>
                <w:szCs w:val="14"/>
                <w:color w:val="auto"/>
              </w:rPr>
              <w:t>8,121</w:t>
            </w:r>
            <w:r>
              <w:rPr>
                <w:rFonts w:ascii="Calibri" w:cs="Calibri" w:eastAsia="Calibri" w:hAnsi="Calibri"/>
                <w:sz w:val="11"/>
                <w:szCs w:val="11"/>
                <w:color w:val="auto"/>
              </w:rPr>
              <w:t>(2)</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1,175,677</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
        </w:trPr>
        <w:tc>
          <w:tcPr>
            <w:tcW w:w="1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r>
      <w:tr>
        <w:trPr>
          <w:trHeight w:val="159"/>
        </w:trPr>
        <w:tc>
          <w:tcPr>
            <w:tcW w:w="1200" w:type="dxa"/>
            <w:vAlign w:val="bottom"/>
          </w:tcPr>
          <w:p>
            <w:pPr>
              <w:ind w:left="20"/>
              <w:spacing w:after="0" w:line="159" w:lineRule="exact"/>
              <w:rPr>
                <w:sz w:val="20"/>
                <w:szCs w:val="20"/>
                <w:color w:val="auto"/>
              </w:rPr>
            </w:pPr>
            <w:r>
              <w:rPr>
                <w:rFonts w:ascii="Calibri" w:cs="Calibri" w:eastAsia="Calibri" w:hAnsi="Calibri"/>
                <w:sz w:val="14"/>
                <w:szCs w:val="14"/>
                <w:b w:val="1"/>
                <w:bCs w:val="1"/>
                <w:color w:val="FB4E0B"/>
              </w:rPr>
              <w:t>Vikas</w:t>
            </w:r>
          </w:p>
        </w:tc>
        <w:tc>
          <w:tcPr>
            <w:tcW w:w="150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2/22/2018</w:t>
            </w:r>
          </w:p>
        </w:tc>
        <w:tc>
          <w:tcPr>
            <w:tcW w:w="1620" w:type="dxa"/>
            <w:vAlign w:val="bottom"/>
          </w:tcPr>
          <w:p>
            <w:pPr>
              <w:jc w:val="right"/>
              <w:ind w:right="191"/>
              <w:spacing w:after="0" w:line="159" w:lineRule="exact"/>
              <w:rPr>
                <w:sz w:val="20"/>
                <w:szCs w:val="20"/>
                <w:color w:val="auto"/>
              </w:rPr>
            </w:pPr>
            <w:r>
              <w:rPr>
                <w:rFonts w:ascii="Calibri" w:cs="Calibri" w:eastAsia="Calibri" w:hAnsi="Calibri"/>
                <w:sz w:val="14"/>
                <w:szCs w:val="14"/>
                <w:color w:val="auto"/>
              </w:rPr>
              <w:t>1,664</w:t>
            </w:r>
          </w:p>
        </w:tc>
        <w:tc>
          <w:tcPr>
            <w:tcW w:w="1800" w:type="dxa"/>
            <w:vAlign w:val="bottom"/>
          </w:tcPr>
          <w:p>
            <w:pPr>
              <w:jc w:val="right"/>
              <w:ind w:right="71"/>
              <w:spacing w:after="0" w:line="159" w:lineRule="exact"/>
              <w:rPr>
                <w:sz w:val="20"/>
                <w:szCs w:val="20"/>
                <w:color w:val="auto"/>
              </w:rPr>
            </w:pPr>
            <w:r>
              <w:rPr>
                <w:rFonts w:ascii="Calibri" w:cs="Calibri" w:eastAsia="Calibri" w:hAnsi="Calibri"/>
                <w:sz w:val="14"/>
                <w:szCs w:val="14"/>
                <w:color w:val="auto"/>
              </w:rPr>
              <w:t>240,897</w:t>
            </w:r>
          </w:p>
        </w:tc>
        <w:tc>
          <w:tcPr>
            <w:tcW w:w="20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93"/>
        </w:trPr>
        <w:tc>
          <w:tcPr>
            <w:tcW w:w="1200" w:type="dxa"/>
            <w:vAlign w:val="bottom"/>
          </w:tcPr>
          <w:p>
            <w:pPr>
              <w:ind w:left="20"/>
              <w:spacing w:after="0" w:line="167" w:lineRule="exact"/>
              <w:rPr>
                <w:sz w:val="20"/>
                <w:szCs w:val="20"/>
                <w:color w:val="auto"/>
              </w:rPr>
            </w:pPr>
            <w:r>
              <w:rPr>
                <w:rFonts w:ascii="Calibri" w:cs="Calibri" w:eastAsia="Calibri" w:hAnsi="Calibri"/>
                <w:sz w:val="14"/>
                <w:szCs w:val="14"/>
                <w:b w:val="1"/>
                <w:bCs w:val="1"/>
                <w:color w:val="FB4E0B"/>
              </w:rPr>
              <w:t>Bhalla</w:t>
            </w: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2/20/2019</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3,415</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494,390</w:t>
            </w:r>
          </w:p>
        </w:tc>
        <w:tc>
          <w:tcPr>
            <w:tcW w:w="208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6,225</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901,193</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8,300</w:t>
            </w:r>
            <w:r>
              <w:rPr>
                <w:rFonts w:ascii="Calibri" w:cs="Calibri" w:eastAsia="Calibri" w:hAnsi="Calibri"/>
                <w:sz w:val="11"/>
                <w:szCs w:val="11"/>
                <w:color w:val="auto"/>
              </w:rPr>
              <w:t>(a)</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1,201,591</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8,300</w:t>
            </w:r>
            <w:r>
              <w:rPr>
                <w:rFonts w:ascii="Calibri" w:cs="Calibri" w:eastAsia="Calibri" w:hAnsi="Calibri"/>
                <w:sz w:val="11"/>
                <w:szCs w:val="11"/>
                <w:color w:val="auto"/>
              </w:rPr>
              <w:t>(b)</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1,201,591</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2/17/2021</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7,340</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1,062,612</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2/17/2021</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7,340</w:t>
            </w:r>
            <w:r>
              <w:rPr>
                <w:rFonts w:ascii="Calibri" w:cs="Calibri" w:eastAsia="Calibri" w:hAnsi="Calibri"/>
                <w:sz w:val="11"/>
                <w:szCs w:val="11"/>
                <w:color w:val="auto"/>
              </w:rPr>
              <w:t>(c)</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1,062,612</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9/1/2021</w:t>
            </w:r>
          </w:p>
        </w:tc>
        <w:tc>
          <w:tcPr>
            <w:tcW w:w="1620" w:type="dxa"/>
            <w:vAlign w:val="bottom"/>
          </w:tcPr>
          <w:p>
            <w:pPr>
              <w:jc w:val="right"/>
              <w:ind w:right="71"/>
              <w:spacing w:after="0"/>
              <w:rPr>
                <w:sz w:val="20"/>
                <w:szCs w:val="20"/>
                <w:color w:val="auto"/>
              </w:rPr>
            </w:pPr>
            <w:r>
              <w:rPr>
                <w:rFonts w:ascii="Calibri" w:cs="Calibri" w:eastAsia="Calibri" w:hAnsi="Calibri"/>
                <w:sz w:val="14"/>
                <w:szCs w:val="14"/>
                <w:color w:val="auto"/>
              </w:rPr>
              <w:t>12,181</w:t>
            </w:r>
            <w:r>
              <w:rPr>
                <w:rFonts w:ascii="Calibri" w:cs="Calibri" w:eastAsia="Calibri" w:hAnsi="Calibri"/>
                <w:sz w:val="11"/>
                <w:szCs w:val="11"/>
                <w:color w:val="auto"/>
              </w:rPr>
              <w:t>(2)</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1,763,443</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
        </w:trPr>
        <w:tc>
          <w:tcPr>
            <w:tcW w:w="1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r>
      <w:tr>
        <w:trPr>
          <w:trHeight w:val="159"/>
        </w:trPr>
        <w:tc>
          <w:tcPr>
            <w:tcW w:w="1200" w:type="dxa"/>
            <w:vAlign w:val="bottom"/>
          </w:tcPr>
          <w:p>
            <w:pPr>
              <w:ind w:left="20"/>
              <w:spacing w:after="0" w:line="159" w:lineRule="exact"/>
              <w:rPr>
                <w:sz w:val="20"/>
                <w:szCs w:val="20"/>
                <w:color w:val="auto"/>
              </w:rPr>
            </w:pPr>
            <w:r>
              <w:rPr>
                <w:rFonts w:ascii="Calibri" w:cs="Calibri" w:eastAsia="Calibri" w:hAnsi="Calibri"/>
                <w:sz w:val="14"/>
                <w:szCs w:val="14"/>
                <w:b w:val="1"/>
                <w:bCs w:val="1"/>
                <w:color w:val="FB4E0B"/>
              </w:rPr>
              <w:t>Vivek</w:t>
            </w:r>
          </w:p>
        </w:tc>
        <w:tc>
          <w:tcPr>
            <w:tcW w:w="150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2/22/2018</w:t>
            </w:r>
          </w:p>
        </w:tc>
        <w:tc>
          <w:tcPr>
            <w:tcW w:w="1620" w:type="dxa"/>
            <w:vAlign w:val="bottom"/>
          </w:tcPr>
          <w:p>
            <w:pPr>
              <w:jc w:val="right"/>
              <w:ind w:right="191"/>
              <w:spacing w:after="0" w:line="159" w:lineRule="exact"/>
              <w:rPr>
                <w:sz w:val="20"/>
                <w:szCs w:val="20"/>
                <w:color w:val="auto"/>
              </w:rPr>
            </w:pPr>
            <w:r>
              <w:rPr>
                <w:rFonts w:ascii="Calibri" w:cs="Calibri" w:eastAsia="Calibri" w:hAnsi="Calibri"/>
                <w:sz w:val="14"/>
                <w:szCs w:val="14"/>
                <w:color w:val="auto"/>
              </w:rPr>
              <w:t>590</w:t>
            </w:r>
          </w:p>
        </w:tc>
        <w:tc>
          <w:tcPr>
            <w:tcW w:w="1800" w:type="dxa"/>
            <w:vAlign w:val="bottom"/>
          </w:tcPr>
          <w:p>
            <w:pPr>
              <w:jc w:val="right"/>
              <w:ind w:right="71"/>
              <w:spacing w:after="0" w:line="159" w:lineRule="exact"/>
              <w:rPr>
                <w:sz w:val="20"/>
                <w:szCs w:val="20"/>
                <w:color w:val="auto"/>
              </w:rPr>
            </w:pPr>
            <w:r>
              <w:rPr>
                <w:rFonts w:ascii="Calibri" w:cs="Calibri" w:eastAsia="Calibri" w:hAnsi="Calibri"/>
                <w:sz w:val="14"/>
                <w:szCs w:val="14"/>
                <w:color w:val="auto"/>
              </w:rPr>
              <w:t>85,414</w:t>
            </w:r>
          </w:p>
        </w:tc>
        <w:tc>
          <w:tcPr>
            <w:tcW w:w="20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93"/>
        </w:trPr>
        <w:tc>
          <w:tcPr>
            <w:tcW w:w="1200" w:type="dxa"/>
            <w:vAlign w:val="bottom"/>
          </w:tcPr>
          <w:p>
            <w:pPr>
              <w:ind w:left="20"/>
              <w:spacing w:after="0" w:line="167" w:lineRule="exact"/>
              <w:rPr>
                <w:sz w:val="20"/>
                <w:szCs w:val="20"/>
                <w:color w:val="auto"/>
              </w:rPr>
            </w:pPr>
            <w:r>
              <w:rPr>
                <w:rFonts w:ascii="Calibri" w:cs="Calibri" w:eastAsia="Calibri" w:hAnsi="Calibri"/>
                <w:sz w:val="14"/>
                <w:szCs w:val="14"/>
                <w:b w:val="1"/>
                <w:bCs w:val="1"/>
                <w:color w:val="FB4E0B"/>
              </w:rPr>
              <w:t>Jetley</w:t>
            </w: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2/20/2019</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1,445</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209,193</w:t>
            </w:r>
          </w:p>
        </w:tc>
        <w:tc>
          <w:tcPr>
            <w:tcW w:w="208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10/22/2019</w:t>
            </w:r>
          </w:p>
        </w:tc>
        <w:tc>
          <w:tcPr>
            <w:tcW w:w="1620" w:type="dxa"/>
            <w:vAlign w:val="bottom"/>
          </w:tcPr>
          <w:p>
            <w:pPr>
              <w:jc w:val="right"/>
              <w:ind w:right="71"/>
              <w:spacing w:after="0"/>
              <w:rPr>
                <w:sz w:val="20"/>
                <w:szCs w:val="20"/>
                <w:color w:val="auto"/>
              </w:rPr>
            </w:pPr>
            <w:r>
              <w:rPr>
                <w:rFonts w:ascii="Calibri" w:cs="Calibri" w:eastAsia="Calibri" w:hAnsi="Calibri"/>
                <w:sz w:val="14"/>
                <w:szCs w:val="14"/>
                <w:color w:val="auto"/>
              </w:rPr>
              <w:t>4,567</w:t>
            </w:r>
            <w:r>
              <w:rPr>
                <w:rFonts w:ascii="Calibri" w:cs="Calibri" w:eastAsia="Calibri" w:hAnsi="Calibri"/>
                <w:sz w:val="11"/>
                <w:szCs w:val="11"/>
                <w:color w:val="auto"/>
              </w:rPr>
              <w:t>(3)</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661,165</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3,274</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473,977</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4,366</w:t>
            </w:r>
            <w:r>
              <w:rPr>
                <w:rFonts w:ascii="Calibri" w:cs="Calibri" w:eastAsia="Calibri" w:hAnsi="Calibri"/>
                <w:sz w:val="11"/>
                <w:szCs w:val="11"/>
                <w:color w:val="auto"/>
              </w:rPr>
              <w:t>(a)</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632,066</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4,364</w:t>
            </w:r>
            <w:r>
              <w:rPr>
                <w:rFonts w:ascii="Calibri" w:cs="Calibri" w:eastAsia="Calibri" w:hAnsi="Calibri"/>
                <w:sz w:val="11"/>
                <w:szCs w:val="11"/>
                <w:color w:val="auto"/>
              </w:rPr>
              <w:t>(b)</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631,776</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2/17/2021</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5,955</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862,105</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2/17/2021</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5,955</w:t>
            </w:r>
            <w:r>
              <w:rPr>
                <w:rFonts w:ascii="Calibri" w:cs="Calibri" w:eastAsia="Calibri" w:hAnsi="Calibri"/>
                <w:sz w:val="11"/>
                <w:szCs w:val="11"/>
                <w:color w:val="auto"/>
              </w:rPr>
              <w:t>(c)</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862,105</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9/1/2021</w:t>
            </w:r>
          </w:p>
        </w:tc>
        <w:tc>
          <w:tcPr>
            <w:tcW w:w="1620" w:type="dxa"/>
            <w:vAlign w:val="bottom"/>
          </w:tcPr>
          <w:p>
            <w:pPr>
              <w:jc w:val="right"/>
              <w:ind w:right="71"/>
              <w:spacing w:after="0"/>
              <w:rPr>
                <w:sz w:val="20"/>
                <w:szCs w:val="20"/>
                <w:color w:val="auto"/>
              </w:rPr>
            </w:pPr>
            <w:r>
              <w:rPr>
                <w:rFonts w:ascii="Calibri" w:cs="Calibri" w:eastAsia="Calibri" w:hAnsi="Calibri"/>
                <w:sz w:val="14"/>
                <w:szCs w:val="14"/>
                <w:color w:val="auto"/>
              </w:rPr>
              <w:t>12,181</w:t>
            </w:r>
            <w:r>
              <w:rPr>
                <w:rFonts w:ascii="Calibri" w:cs="Calibri" w:eastAsia="Calibri" w:hAnsi="Calibri"/>
                <w:sz w:val="11"/>
                <w:szCs w:val="11"/>
                <w:color w:val="auto"/>
              </w:rPr>
              <w:t>(2)</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1,763,443</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4"/>
        </w:trPr>
        <w:tc>
          <w:tcPr>
            <w:tcW w:w="1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r>
      <w:tr>
        <w:trPr>
          <w:trHeight w:val="159"/>
        </w:trPr>
        <w:tc>
          <w:tcPr>
            <w:tcW w:w="1200" w:type="dxa"/>
            <w:vAlign w:val="bottom"/>
          </w:tcPr>
          <w:p>
            <w:pPr>
              <w:ind w:left="20"/>
              <w:spacing w:after="0" w:line="159" w:lineRule="exact"/>
              <w:rPr>
                <w:sz w:val="20"/>
                <w:szCs w:val="20"/>
                <w:color w:val="auto"/>
              </w:rPr>
            </w:pPr>
            <w:r>
              <w:rPr>
                <w:rFonts w:ascii="Calibri" w:cs="Calibri" w:eastAsia="Calibri" w:hAnsi="Calibri"/>
                <w:sz w:val="14"/>
                <w:szCs w:val="14"/>
                <w:b w:val="1"/>
                <w:bCs w:val="1"/>
                <w:color w:val="FB4E0B"/>
              </w:rPr>
              <w:t>Samuel</w:t>
            </w:r>
          </w:p>
        </w:tc>
        <w:tc>
          <w:tcPr>
            <w:tcW w:w="1500" w:type="dxa"/>
            <w:vAlign w:val="bottom"/>
          </w:tcPr>
          <w:p>
            <w:pPr>
              <w:jc w:val="right"/>
              <w:ind w:right="51"/>
              <w:spacing w:after="0" w:line="159" w:lineRule="exact"/>
              <w:rPr>
                <w:sz w:val="20"/>
                <w:szCs w:val="20"/>
                <w:color w:val="auto"/>
              </w:rPr>
            </w:pPr>
            <w:r>
              <w:rPr>
                <w:rFonts w:ascii="Calibri" w:cs="Calibri" w:eastAsia="Calibri" w:hAnsi="Calibri"/>
                <w:sz w:val="14"/>
                <w:szCs w:val="14"/>
                <w:color w:val="auto"/>
              </w:rPr>
              <w:t>11/8/2018</w:t>
            </w:r>
          </w:p>
        </w:tc>
        <w:tc>
          <w:tcPr>
            <w:tcW w:w="1620" w:type="dxa"/>
            <w:vAlign w:val="bottom"/>
          </w:tcPr>
          <w:p>
            <w:pPr>
              <w:jc w:val="right"/>
              <w:ind w:right="191"/>
              <w:spacing w:after="0" w:line="159" w:lineRule="exact"/>
              <w:rPr>
                <w:sz w:val="20"/>
                <w:szCs w:val="20"/>
                <w:color w:val="auto"/>
              </w:rPr>
            </w:pPr>
            <w:r>
              <w:rPr>
                <w:rFonts w:ascii="Calibri" w:cs="Calibri" w:eastAsia="Calibri" w:hAnsi="Calibri"/>
                <w:sz w:val="14"/>
                <w:szCs w:val="14"/>
                <w:color w:val="auto"/>
              </w:rPr>
              <w:t>2,127</w:t>
            </w:r>
          </w:p>
        </w:tc>
        <w:tc>
          <w:tcPr>
            <w:tcW w:w="1800" w:type="dxa"/>
            <w:vAlign w:val="bottom"/>
          </w:tcPr>
          <w:p>
            <w:pPr>
              <w:jc w:val="right"/>
              <w:ind w:right="71"/>
              <w:spacing w:after="0" w:line="159" w:lineRule="exact"/>
              <w:rPr>
                <w:sz w:val="20"/>
                <w:szCs w:val="20"/>
                <w:color w:val="auto"/>
              </w:rPr>
            </w:pPr>
            <w:r>
              <w:rPr>
                <w:rFonts w:ascii="Calibri" w:cs="Calibri" w:eastAsia="Calibri" w:hAnsi="Calibri"/>
                <w:sz w:val="14"/>
                <w:szCs w:val="14"/>
                <w:color w:val="auto"/>
              </w:rPr>
              <w:t>307,926</w:t>
            </w:r>
          </w:p>
        </w:tc>
        <w:tc>
          <w:tcPr>
            <w:tcW w:w="20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93"/>
        </w:trPr>
        <w:tc>
          <w:tcPr>
            <w:tcW w:w="1200" w:type="dxa"/>
            <w:vAlign w:val="bottom"/>
          </w:tcPr>
          <w:p>
            <w:pPr>
              <w:ind w:left="20"/>
              <w:spacing w:after="0" w:line="167" w:lineRule="exact"/>
              <w:rPr>
                <w:sz w:val="20"/>
                <w:szCs w:val="20"/>
                <w:color w:val="auto"/>
              </w:rPr>
            </w:pPr>
            <w:r>
              <w:rPr>
                <w:rFonts w:ascii="Calibri" w:cs="Calibri" w:eastAsia="Calibri" w:hAnsi="Calibri"/>
                <w:sz w:val="14"/>
                <w:szCs w:val="14"/>
                <w:b w:val="1"/>
                <w:bCs w:val="1"/>
                <w:color w:val="FB4E0B"/>
              </w:rPr>
              <w:t>Meckey</w:t>
            </w: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2/20/2019</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2,685</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388,707</w:t>
            </w:r>
          </w:p>
        </w:tc>
        <w:tc>
          <w:tcPr>
            <w:tcW w:w="2080" w:type="dxa"/>
            <w:vAlign w:val="bottom"/>
          </w:tcPr>
          <w:p>
            <w:pPr>
              <w:spacing w:after="0"/>
              <w:rPr>
                <w:sz w:val="16"/>
                <w:szCs w:val="16"/>
                <w:color w:val="auto"/>
              </w:rPr>
            </w:pPr>
          </w:p>
        </w:tc>
        <w:tc>
          <w:tcPr>
            <w:tcW w:w="2420" w:type="dxa"/>
            <w:vAlign w:val="bottom"/>
          </w:tcPr>
          <w:p>
            <w:pPr>
              <w:spacing w:after="0"/>
              <w:rPr>
                <w:sz w:val="16"/>
                <w:szCs w:val="16"/>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4,924</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712,847</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6,566</w:t>
            </w:r>
            <w:r>
              <w:rPr>
                <w:rFonts w:ascii="Calibri" w:cs="Calibri" w:eastAsia="Calibri" w:hAnsi="Calibri"/>
                <w:sz w:val="11"/>
                <w:szCs w:val="11"/>
                <w:color w:val="auto"/>
              </w:rPr>
              <w:t>(a)</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950,560</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2/19/2020</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6,564</w:t>
            </w:r>
            <w:r>
              <w:rPr>
                <w:rFonts w:ascii="Calibri" w:cs="Calibri" w:eastAsia="Calibri" w:hAnsi="Calibri"/>
                <w:sz w:val="11"/>
                <w:szCs w:val="11"/>
                <w:color w:val="auto"/>
              </w:rPr>
              <w:t>(b)</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950,270</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2/17/2021</w:t>
            </w:r>
          </w:p>
        </w:tc>
        <w:tc>
          <w:tcPr>
            <w:tcW w:w="1620" w:type="dxa"/>
            <w:vAlign w:val="bottom"/>
          </w:tcPr>
          <w:p>
            <w:pPr>
              <w:jc w:val="right"/>
              <w:ind w:right="191"/>
              <w:spacing w:after="0"/>
              <w:rPr>
                <w:sz w:val="20"/>
                <w:szCs w:val="20"/>
                <w:color w:val="auto"/>
              </w:rPr>
            </w:pPr>
            <w:r>
              <w:rPr>
                <w:rFonts w:ascii="Calibri" w:cs="Calibri" w:eastAsia="Calibri" w:hAnsi="Calibri"/>
                <w:sz w:val="14"/>
                <w:szCs w:val="14"/>
                <w:color w:val="auto"/>
              </w:rPr>
              <w:t>7,415</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1,073,470</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2/17/2021</w:t>
            </w:r>
          </w:p>
        </w:tc>
        <w:tc>
          <w:tcPr>
            <w:tcW w:w="1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80" w:type="dxa"/>
            <w:vAlign w:val="bottom"/>
          </w:tcPr>
          <w:p>
            <w:pPr>
              <w:jc w:val="right"/>
              <w:ind w:right="91"/>
              <w:spacing w:after="0"/>
              <w:rPr>
                <w:sz w:val="20"/>
                <w:szCs w:val="20"/>
                <w:color w:val="auto"/>
              </w:rPr>
            </w:pPr>
            <w:r>
              <w:rPr>
                <w:rFonts w:ascii="Calibri" w:cs="Calibri" w:eastAsia="Calibri" w:hAnsi="Calibri"/>
                <w:sz w:val="14"/>
                <w:szCs w:val="14"/>
                <w:color w:val="auto"/>
              </w:rPr>
              <w:t>7,415</w:t>
            </w:r>
            <w:r>
              <w:rPr>
                <w:rFonts w:ascii="Calibri" w:cs="Calibri" w:eastAsia="Calibri" w:hAnsi="Calibri"/>
                <w:sz w:val="11"/>
                <w:szCs w:val="11"/>
                <w:color w:val="auto"/>
              </w:rPr>
              <w:t>(c)</w:t>
            </w:r>
          </w:p>
        </w:tc>
        <w:tc>
          <w:tcPr>
            <w:tcW w:w="2420" w:type="dxa"/>
            <w:vAlign w:val="bottom"/>
          </w:tcPr>
          <w:p>
            <w:pPr>
              <w:jc w:val="right"/>
              <w:spacing w:after="0"/>
              <w:rPr>
                <w:sz w:val="20"/>
                <w:szCs w:val="20"/>
                <w:color w:val="auto"/>
              </w:rPr>
            </w:pPr>
            <w:r>
              <w:rPr>
                <w:rFonts w:ascii="Calibri" w:cs="Calibri" w:eastAsia="Calibri" w:hAnsi="Calibri"/>
                <w:sz w:val="14"/>
                <w:szCs w:val="14"/>
                <w:color w:val="auto"/>
              </w:rPr>
              <w:t>1,073,470</w:t>
            </w:r>
          </w:p>
        </w:tc>
      </w:tr>
      <w:tr>
        <w:trPr>
          <w:trHeight w:val="221"/>
        </w:trPr>
        <w:tc>
          <w:tcPr>
            <w:tcW w:w="1200" w:type="dxa"/>
            <w:vAlign w:val="bottom"/>
          </w:tcPr>
          <w:p>
            <w:pPr>
              <w:spacing w:after="0"/>
              <w:rPr>
                <w:sz w:val="19"/>
                <w:szCs w:val="19"/>
                <w:color w:val="auto"/>
              </w:rPr>
            </w:pPr>
          </w:p>
        </w:tc>
        <w:tc>
          <w:tcPr>
            <w:tcW w:w="1500" w:type="dxa"/>
            <w:vAlign w:val="bottom"/>
          </w:tcPr>
          <w:p>
            <w:pPr>
              <w:jc w:val="right"/>
              <w:ind w:right="51"/>
              <w:spacing w:after="0"/>
              <w:rPr>
                <w:sz w:val="20"/>
                <w:szCs w:val="20"/>
                <w:color w:val="auto"/>
              </w:rPr>
            </w:pPr>
            <w:r>
              <w:rPr>
                <w:rFonts w:ascii="Calibri" w:cs="Calibri" w:eastAsia="Calibri" w:hAnsi="Calibri"/>
                <w:sz w:val="14"/>
                <w:szCs w:val="14"/>
                <w:color w:val="auto"/>
              </w:rPr>
              <w:t>9/1/2021</w:t>
            </w:r>
          </w:p>
        </w:tc>
        <w:tc>
          <w:tcPr>
            <w:tcW w:w="1620" w:type="dxa"/>
            <w:vAlign w:val="bottom"/>
          </w:tcPr>
          <w:p>
            <w:pPr>
              <w:jc w:val="right"/>
              <w:ind w:right="71"/>
              <w:spacing w:after="0"/>
              <w:rPr>
                <w:sz w:val="20"/>
                <w:szCs w:val="20"/>
                <w:color w:val="auto"/>
              </w:rPr>
            </w:pPr>
            <w:r>
              <w:rPr>
                <w:rFonts w:ascii="Calibri" w:cs="Calibri" w:eastAsia="Calibri" w:hAnsi="Calibri"/>
                <w:sz w:val="14"/>
                <w:szCs w:val="14"/>
                <w:color w:val="auto"/>
              </w:rPr>
              <w:t>8,121</w:t>
            </w:r>
            <w:r>
              <w:rPr>
                <w:rFonts w:ascii="Calibri" w:cs="Calibri" w:eastAsia="Calibri" w:hAnsi="Calibri"/>
                <w:sz w:val="11"/>
                <w:szCs w:val="11"/>
                <w:color w:val="auto"/>
              </w:rPr>
              <w:t>(2)</w:t>
            </w:r>
          </w:p>
        </w:tc>
        <w:tc>
          <w:tcPr>
            <w:tcW w:w="1800" w:type="dxa"/>
            <w:vAlign w:val="bottom"/>
          </w:tcPr>
          <w:p>
            <w:pPr>
              <w:jc w:val="right"/>
              <w:ind w:right="71"/>
              <w:spacing w:after="0"/>
              <w:rPr>
                <w:sz w:val="20"/>
                <w:szCs w:val="20"/>
                <w:color w:val="auto"/>
              </w:rPr>
            </w:pPr>
            <w:r>
              <w:rPr>
                <w:rFonts w:ascii="Calibri" w:cs="Calibri" w:eastAsia="Calibri" w:hAnsi="Calibri"/>
                <w:sz w:val="14"/>
                <w:szCs w:val="14"/>
                <w:color w:val="auto"/>
              </w:rPr>
              <w:t>1,175,677</w:t>
            </w:r>
          </w:p>
        </w:tc>
        <w:tc>
          <w:tcPr>
            <w:tcW w:w="2080" w:type="dxa"/>
            <w:vAlign w:val="bottom"/>
          </w:tcPr>
          <w:p>
            <w:pPr>
              <w:spacing w:after="0"/>
              <w:rPr>
                <w:sz w:val="19"/>
                <w:szCs w:val="19"/>
                <w:color w:val="auto"/>
              </w:rPr>
            </w:pPr>
          </w:p>
        </w:tc>
        <w:tc>
          <w:tcPr>
            <w:tcW w:w="2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27940</wp:posOffset>
            </wp:positionV>
            <wp:extent cx="67405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31" w:lineRule="exact"/>
        <w:rPr>
          <w:sz w:val="20"/>
          <w:szCs w:val="20"/>
          <w:color w:val="auto"/>
        </w:rPr>
      </w:pPr>
    </w:p>
    <w:p>
      <w:pPr>
        <w:ind w:left="320" w:right="480" w:hanging="4"/>
        <w:spacing w:after="0" w:line="251" w:lineRule="auto"/>
        <w:tabs>
          <w:tab w:leader="none" w:pos="494" w:val="left"/>
        </w:tabs>
        <w:numPr>
          <w:ilvl w:val="0"/>
          <w:numId w:val="31"/>
        </w:numPr>
        <w:rPr>
          <w:rFonts w:ascii="Calibri" w:cs="Calibri" w:eastAsia="Calibri" w:hAnsi="Calibri"/>
          <w:sz w:val="13"/>
          <w:szCs w:val="13"/>
          <w:color w:val="auto"/>
        </w:rPr>
      </w:pPr>
      <w:r>
        <w:rPr>
          <w:rFonts w:ascii="Calibri" w:cs="Calibri" w:eastAsia="Calibri" w:hAnsi="Calibri"/>
          <w:sz w:val="13"/>
          <w:szCs w:val="13"/>
          <w:color w:val="auto"/>
        </w:rPr>
        <w:t>Unless otherwise noted, this column represents annual restricted stock unit awards that vest and convert to shares in accordance with the following schedule (generally subject to contnued employment through each applicable vestng date): 25% of the restricted stock units vest on each of the frst, second, third and fourth anniversaries of the grant date.</w:t>
      </w:r>
    </w:p>
    <w:p>
      <w:pPr>
        <w:spacing w:after="0" w:line="116"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89</w:t>
            </w:r>
          </w:p>
        </w:tc>
      </w:tr>
    </w:tbl>
    <w:p>
      <w:pPr>
        <w:sectPr>
          <w:pgSz w:w="11900" w:h="16838" w:orient="portrait"/>
          <w:cols w:equalWidth="0" w:num="1">
            <w:col w:w="10940"/>
          </w:cols>
          <w:pgMar w:left="320" w:top="445" w:right="6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55" w:lineRule="exact"/>
        <w:rPr>
          <w:sz w:val="20"/>
          <w:szCs w:val="20"/>
          <w:color w:val="auto"/>
        </w:rPr>
      </w:pPr>
    </w:p>
    <w:p>
      <w:pPr>
        <w:ind w:left="320" w:right="20" w:hanging="4"/>
        <w:spacing w:after="0" w:line="251" w:lineRule="auto"/>
        <w:tabs>
          <w:tab w:leader="none" w:pos="494" w:val="left"/>
        </w:tabs>
        <w:numPr>
          <w:ilvl w:val="0"/>
          <w:numId w:val="32"/>
        </w:numPr>
        <w:rPr>
          <w:rFonts w:ascii="Calibri" w:cs="Calibri" w:eastAsia="Calibri" w:hAnsi="Calibri"/>
          <w:sz w:val="13"/>
          <w:szCs w:val="13"/>
          <w:color w:val="auto"/>
        </w:rPr>
      </w:pPr>
      <w:r>
        <w:rPr>
          <w:rFonts w:ascii="Calibri" w:cs="Calibri" w:eastAsia="Calibri" w:hAnsi="Calibri"/>
          <w:sz w:val="13"/>
          <w:szCs w:val="13"/>
          <w:color w:val="auto"/>
        </w:rPr>
        <w:t>These restricted stock unit awards vest and convert to shares in accordance with the following schedule (generally subject to contnued employment through each applicable vestng date): 1/3 of the restricted stock units vest on the second anniversary of the grant date with the remaining 2/3 vestng on the third anniversary of the grant date.</w:t>
      </w:r>
    </w:p>
    <w:p>
      <w:pPr>
        <w:spacing w:after="0" w:line="6" w:lineRule="exact"/>
        <w:rPr>
          <w:rFonts w:ascii="Calibri" w:cs="Calibri" w:eastAsia="Calibri" w:hAnsi="Calibri"/>
          <w:sz w:val="13"/>
          <w:szCs w:val="13"/>
          <w:color w:val="auto"/>
        </w:rPr>
      </w:pPr>
    </w:p>
    <w:p>
      <w:pPr>
        <w:ind w:left="320" w:right="200" w:hanging="4"/>
        <w:spacing w:after="0" w:line="251" w:lineRule="auto"/>
        <w:tabs>
          <w:tab w:leader="none" w:pos="494" w:val="left"/>
        </w:tabs>
        <w:numPr>
          <w:ilvl w:val="0"/>
          <w:numId w:val="32"/>
        </w:numPr>
        <w:rPr>
          <w:rFonts w:ascii="Calibri" w:cs="Calibri" w:eastAsia="Calibri" w:hAnsi="Calibri"/>
          <w:sz w:val="13"/>
          <w:szCs w:val="13"/>
          <w:color w:val="auto"/>
        </w:rPr>
      </w:pPr>
      <w:r>
        <w:rPr>
          <w:rFonts w:ascii="Calibri" w:cs="Calibri" w:eastAsia="Calibri" w:hAnsi="Calibri"/>
          <w:sz w:val="13"/>
          <w:szCs w:val="13"/>
          <w:color w:val="auto"/>
        </w:rPr>
        <w:t>These restricted stock unit awards vest and convert to shares in accordance with the following schedule (generally subject to contnued employment through each applicable vestng date): 50% of the restricted stock units vested on October 22, 2021 and 50% vest on October 22, 2022.</w:t>
      </w:r>
    </w:p>
    <w:p>
      <w:pPr>
        <w:spacing w:after="0" w:line="6" w:lineRule="exact"/>
        <w:rPr>
          <w:rFonts w:ascii="Calibri" w:cs="Calibri" w:eastAsia="Calibri" w:hAnsi="Calibri"/>
          <w:sz w:val="13"/>
          <w:szCs w:val="13"/>
          <w:color w:val="auto"/>
        </w:rPr>
      </w:pPr>
    </w:p>
    <w:p>
      <w:pPr>
        <w:ind w:left="320" w:right="100" w:hanging="4"/>
        <w:spacing w:after="0" w:line="251" w:lineRule="auto"/>
        <w:tabs>
          <w:tab w:leader="none" w:pos="494" w:val="left"/>
        </w:tabs>
        <w:numPr>
          <w:ilvl w:val="0"/>
          <w:numId w:val="32"/>
        </w:numPr>
        <w:rPr>
          <w:rFonts w:ascii="Calibri" w:cs="Calibri" w:eastAsia="Calibri" w:hAnsi="Calibri"/>
          <w:sz w:val="13"/>
          <w:szCs w:val="13"/>
          <w:color w:val="auto"/>
        </w:rPr>
      </w:pPr>
      <w:r>
        <w:rPr>
          <w:rFonts w:ascii="Calibri" w:cs="Calibri" w:eastAsia="Calibri" w:hAnsi="Calibri"/>
          <w:sz w:val="13"/>
          <w:szCs w:val="13"/>
          <w:color w:val="auto"/>
        </w:rPr>
        <w:t>The performance restricted stock unit awards in this table vest and convert to shares in accordance with the following schedules (generally subject to contnued employment through the applicable vestng date and achievement of applicable performance goals):</w:t>
      </w:r>
    </w:p>
    <w:p>
      <w:pPr>
        <w:spacing w:after="0" w:line="3" w:lineRule="exact"/>
        <w:rPr>
          <w:rFonts w:ascii="Calibri" w:cs="Calibri" w:eastAsia="Calibri" w:hAnsi="Calibri"/>
          <w:sz w:val="13"/>
          <w:szCs w:val="13"/>
          <w:color w:val="auto"/>
        </w:rPr>
      </w:pPr>
    </w:p>
    <w:p>
      <w:pPr>
        <w:ind w:left="920" w:hanging="179"/>
        <w:spacing w:after="0"/>
        <w:tabs>
          <w:tab w:leader="none" w:pos="920" w:val="left"/>
        </w:tabs>
        <w:numPr>
          <w:ilvl w:val="1"/>
          <w:numId w:val="32"/>
        </w:numPr>
        <w:rPr>
          <w:rFonts w:ascii="Calibri" w:cs="Calibri" w:eastAsia="Calibri" w:hAnsi="Calibri"/>
          <w:sz w:val="13"/>
          <w:szCs w:val="13"/>
          <w:color w:val="auto"/>
        </w:rPr>
      </w:pPr>
      <w:r>
        <w:rPr>
          <w:rFonts w:ascii="Calibri" w:cs="Calibri" w:eastAsia="Calibri" w:hAnsi="Calibri"/>
          <w:sz w:val="13"/>
          <w:szCs w:val="13"/>
          <w:color w:val="auto"/>
        </w:rPr>
        <w:t>100% of the restricted stock units vest on December 31, 2022. This amount represents the 2020 Revenue-Linked PRSUs and refects maximum performance.</w:t>
      </w:r>
    </w:p>
    <w:p>
      <w:pPr>
        <w:spacing w:after="0" w:line="10" w:lineRule="exact"/>
        <w:rPr>
          <w:rFonts w:ascii="Calibri" w:cs="Calibri" w:eastAsia="Calibri" w:hAnsi="Calibri"/>
          <w:sz w:val="13"/>
          <w:szCs w:val="13"/>
          <w:color w:val="auto"/>
        </w:rPr>
      </w:pPr>
    </w:p>
    <w:p>
      <w:pPr>
        <w:ind w:left="920" w:hanging="179"/>
        <w:spacing w:after="0"/>
        <w:tabs>
          <w:tab w:leader="none" w:pos="920" w:val="left"/>
        </w:tabs>
        <w:numPr>
          <w:ilvl w:val="1"/>
          <w:numId w:val="32"/>
        </w:numPr>
        <w:rPr>
          <w:rFonts w:ascii="Calibri" w:cs="Calibri" w:eastAsia="Calibri" w:hAnsi="Calibri"/>
          <w:sz w:val="13"/>
          <w:szCs w:val="13"/>
          <w:color w:val="auto"/>
        </w:rPr>
      </w:pPr>
      <w:r>
        <w:rPr>
          <w:rFonts w:ascii="Calibri" w:cs="Calibri" w:eastAsia="Calibri" w:hAnsi="Calibri"/>
          <w:sz w:val="13"/>
          <w:szCs w:val="13"/>
          <w:color w:val="auto"/>
        </w:rPr>
        <w:t>100% of the restricted stock units vest on December 31, 2022. This amount represents the 2020 Relatve TSR-Linked PRSUs and refects maximum performance.</w:t>
      </w:r>
    </w:p>
    <w:p>
      <w:pPr>
        <w:spacing w:after="0" w:line="10" w:lineRule="exact"/>
        <w:rPr>
          <w:rFonts w:ascii="Calibri" w:cs="Calibri" w:eastAsia="Calibri" w:hAnsi="Calibri"/>
          <w:sz w:val="13"/>
          <w:szCs w:val="13"/>
          <w:color w:val="auto"/>
        </w:rPr>
      </w:pPr>
    </w:p>
    <w:p>
      <w:pPr>
        <w:ind w:left="900" w:hanging="159"/>
        <w:spacing w:after="0"/>
        <w:tabs>
          <w:tab w:leader="none" w:pos="900" w:val="left"/>
        </w:tabs>
        <w:numPr>
          <w:ilvl w:val="1"/>
          <w:numId w:val="32"/>
        </w:numPr>
        <w:rPr>
          <w:rFonts w:ascii="Calibri" w:cs="Calibri" w:eastAsia="Calibri" w:hAnsi="Calibri"/>
          <w:sz w:val="13"/>
          <w:szCs w:val="13"/>
          <w:color w:val="auto"/>
        </w:rPr>
      </w:pPr>
      <w:r>
        <w:rPr>
          <w:rFonts w:ascii="Calibri" w:cs="Calibri" w:eastAsia="Calibri" w:hAnsi="Calibri"/>
          <w:sz w:val="13"/>
          <w:szCs w:val="13"/>
          <w:color w:val="auto"/>
        </w:rPr>
        <w:t>100% of the restricted stock units vest on December 31, 2023. This amount represents 2021 Relatve TSR-Linked PRSUs and refects target performance.</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32"/>
        </w:numPr>
        <w:rPr>
          <w:rFonts w:ascii="Calibri" w:cs="Calibri" w:eastAsia="Calibri" w:hAnsi="Calibri"/>
          <w:sz w:val="13"/>
          <w:szCs w:val="13"/>
          <w:color w:val="auto"/>
        </w:rPr>
      </w:pPr>
      <w:r>
        <w:rPr>
          <w:rFonts w:ascii="Calibri" w:cs="Calibri" w:eastAsia="Calibri" w:hAnsi="Calibri"/>
          <w:sz w:val="13"/>
          <w:szCs w:val="13"/>
          <w:color w:val="auto"/>
        </w:rPr>
        <w:t>The price used in determining the market values set forth in this table is $144.77, which was the closing price of our stock on December 31, 2021.</w:t>
      </w:r>
    </w:p>
    <w:p>
      <w:pPr>
        <w:spacing w:after="0" w:line="30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Opton exercises and stock vested during fscal year 2021</w:t>
      </w:r>
    </w:p>
    <w:p>
      <w:pPr>
        <w:spacing w:after="0" w:line="114"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The following table provides additonal informaton about the value realized by our named executve ofcers on opton award exercises and stock award vestng during fscal year 2021:</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250"/>
        </w:trPr>
        <w:tc>
          <w:tcPr>
            <w:tcW w:w="2680" w:type="dxa"/>
            <w:vAlign w:val="bottom"/>
            <w:tcBorders>
              <w:right w:val="single" w:sz="8" w:color="FB4E0B"/>
            </w:tcBorders>
          </w:tcPr>
          <w:p>
            <w:pPr>
              <w:spacing w:after="0"/>
              <w:rPr>
                <w:sz w:val="21"/>
                <w:szCs w:val="21"/>
                <w:color w:val="auto"/>
              </w:rPr>
            </w:pPr>
          </w:p>
        </w:tc>
        <w:tc>
          <w:tcPr>
            <w:tcW w:w="3980" w:type="dxa"/>
            <w:vAlign w:val="bottom"/>
            <w:tcBorders>
              <w:right w:val="single" w:sz="8" w:color="FB4E0B"/>
            </w:tcBorders>
            <w:gridSpan w:val="2"/>
            <w:shd w:val="clear" w:color="auto" w:fill="FB4E0B"/>
          </w:tcPr>
          <w:p>
            <w:pPr>
              <w:ind w:left="1820"/>
              <w:spacing w:after="0"/>
              <w:rPr>
                <w:sz w:val="20"/>
                <w:szCs w:val="20"/>
                <w:color w:val="auto"/>
              </w:rPr>
            </w:pPr>
            <w:r>
              <w:rPr>
                <w:rFonts w:ascii="Calibri" w:cs="Calibri" w:eastAsia="Calibri" w:hAnsi="Calibri"/>
                <w:sz w:val="17"/>
                <w:szCs w:val="17"/>
                <w:b w:val="1"/>
                <w:bCs w:val="1"/>
                <w:color w:val="FFFFFF"/>
              </w:rPr>
              <w:t>Opton awards</w:t>
            </w:r>
          </w:p>
        </w:tc>
        <w:tc>
          <w:tcPr>
            <w:tcW w:w="3960" w:type="dxa"/>
            <w:vAlign w:val="bottom"/>
            <w:gridSpan w:val="2"/>
            <w:shd w:val="clear" w:color="auto" w:fill="FB4E0B"/>
          </w:tcPr>
          <w:p>
            <w:pPr>
              <w:ind w:left="1880"/>
              <w:spacing w:after="0"/>
              <w:rPr>
                <w:sz w:val="20"/>
                <w:szCs w:val="20"/>
                <w:color w:val="auto"/>
              </w:rPr>
            </w:pPr>
            <w:r>
              <w:rPr>
                <w:rFonts w:ascii="Calibri" w:cs="Calibri" w:eastAsia="Calibri" w:hAnsi="Calibri"/>
                <w:sz w:val="17"/>
                <w:szCs w:val="17"/>
                <w:b w:val="1"/>
                <w:bCs w:val="1"/>
                <w:color w:val="FFFFFF"/>
              </w:rPr>
              <w:t>Stock awards</w:t>
            </w:r>
          </w:p>
        </w:tc>
      </w:tr>
      <w:tr>
        <w:trPr>
          <w:trHeight w:val="88"/>
        </w:trPr>
        <w:tc>
          <w:tcPr>
            <w:tcW w:w="2680" w:type="dxa"/>
            <w:vAlign w:val="bottom"/>
            <w:tcBorders>
              <w:right w:val="single" w:sz="8" w:color="FB4E0B"/>
            </w:tcBorders>
          </w:tcPr>
          <w:p>
            <w:pPr>
              <w:spacing w:after="0"/>
              <w:rPr>
                <w:sz w:val="7"/>
                <w:szCs w:val="7"/>
                <w:color w:val="auto"/>
              </w:rPr>
            </w:pPr>
          </w:p>
        </w:tc>
        <w:tc>
          <w:tcPr>
            <w:tcW w:w="2000" w:type="dxa"/>
            <w:vAlign w:val="bottom"/>
            <w:tcBorders>
              <w:right w:val="single" w:sz="8" w:color="FB4E0B"/>
            </w:tcBorders>
            <w:shd w:val="clear" w:color="auto" w:fill="FB4E0B"/>
          </w:tcPr>
          <w:p>
            <w:pPr>
              <w:spacing w:after="0"/>
              <w:rPr>
                <w:sz w:val="7"/>
                <w:szCs w:val="7"/>
                <w:color w:val="auto"/>
              </w:rPr>
            </w:pPr>
          </w:p>
        </w:tc>
        <w:tc>
          <w:tcPr>
            <w:tcW w:w="1980" w:type="dxa"/>
            <w:vAlign w:val="bottom"/>
            <w:tcBorders>
              <w:right w:val="single" w:sz="8" w:color="FB4E0B"/>
            </w:tcBorders>
            <w:shd w:val="clear" w:color="auto" w:fill="FB4E0B"/>
          </w:tcPr>
          <w:p>
            <w:pPr>
              <w:spacing w:after="0"/>
              <w:rPr>
                <w:sz w:val="7"/>
                <w:szCs w:val="7"/>
                <w:color w:val="auto"/>
              </w:rPr>
            </w:pPr>
          </w:p>
        </w:tc>
        <w:tc>
          <w:tcPr>
            <w:tcW w:w="2000" w:type="dxa"/>
            <w:vAlign w:val="bottom"/>
            <w:tcBorders>
              <w:right w:val="single" w:sz="8" w:color="FB4E0B"/>
            </w:tcBorders>
            <w:shd w:val="clear" w:color="auto" w:fill="FB4E0B"/>
          </w:tcPr>
          <w:p>
            <w:pPr>
              <w:spacing w:after="0"/>
              <w:rPr>
                <w:sz w:val="7"/>
                <w:szCs w:val="7"/>
                <w:color w:val="auto"/>
              </w:rPr>
            </w:pPr>
          </w:p>
        </w:tc>
        <w:tc>
          <w:tcPr>
            <w:tcW w:w="1960" w:type="dxa"/>
            <w:vAlign w:val="bottom"/>
            <w:shd w:val="clear" w:color="auto" w:fill="FB4E0B"/>
          </w:tcPr>
          <w:p>
            <w:pPr>
              <w:spacing w:after="0"/>
              <w:rPr>
                <w:sz w:val="7"/>
                <w:szCs w:val="7"/>
                <w:color w:val="auto"/>
              </w:rPr>
            </w:pPr>
          </w:p>
        </w:tc>
      </w:tr>
      <w:tr>
        <w:trPr>
          <w:trHeight w:val="252"/>
        </w:trPr>
        <w:tc>
          <w:tcPr>
            <w:tcW w:w="2680" w:type="dxa"/>
            <w:vAlign w:val="bottom"/>
          </w:tcPr>
          <w:p>
            <w:pPr>
              <w:spacing w:after="0"/>
              <w:rPr>
                <w:sz w:val="21"/>
                <w:szCs w:val="21"/>
                <w:color w:val="auto"/>
              </w:rPr>
            </w:pPr>
          </w:p>
        </w:tc>
        <w:tc>
          <w:tcPr>
            <w:tcW w:w="2000" w:type="dxa"/>
            <w:vAlign w:val="bottom"/>
          </w:tcPr>
          <w:p>
            <w:pPr>
              <w:jc w:val="center"/>
              <w:ind w:left="633"/>
              <w:spacing w:after="0"/>
              <w:rPr>
                <w:sz w:val="20"/>
                <w:szCs w:val="20"/>
                <w:color w:val="auto"/>
              </w:rPr>
            </w:pPr>
            <w:r>
              <w:rPr>
                <w:rFonts w:ascii="Calibri" w:cs="Calibri" w:eastAsia="Calibri" w:hAnsi="Calibri"/>
                <w:sz w:val="17"/>
                <w:szCs w:val="17"/>
                <w:b w:val="1"/>
                <w:bCs w:val="1"/>
                <w:color w:val="FB4E0B"/>
                <w:w w:val="98"/>
              </w:rPr>
              <w:t>Number of shares</w:t>
            </w:r>
          </w:p>
        </w:tc>
        <w:tc>
          <w:tcPr>
            <w:tcW w:w="1980" w:type="dxa"/>
            <w:vAlign w:val="bottom"/>
          </w:tcPr>
          <w:p>
            <w:pPr>
              <w:jc w:val="center"/>
              <w:ind w:left="613"/>
              <w:spacing w:after="0"/>
              <w:rPr>
                <w:sz w:val="20"/>
                <w:szCs w:val="20"/>
                <w:color w:val="auto"/>
              </w:rPr>
            </w:pPr>
            <w:r>
              <w:rPr>
                <w:rFonts w:ascii="Calibri" w:cs="Calibri" w:eastAsia="Calibri" w:hAnsi="Calibri"/>
                <w:sz w:val="17"/>
                <w:szCs w:val="17"/>
                <w:b w:val="1"/>
                <w:bCs w:val="1"/>
                <w:color w:val="FB4E0B"/>
                <w:w w:val="98"/>
              </w:rPr>
              <w:t>Value realized on</w:t>
            </w:r>
          </w:p>
        </w:tc>
        <w:tc>
          <w:tcPr>
            <w:tcW w:w="2000" w:type="dxa"/>
            <w:vAlign w:val="bottom"/>
          </w:tcPr>
          <w:p>
            <w:pPr>
              <w:jc w:val="center"/>
              <w:ind w:left="633"/>
              <w:spacing w:after="0"/>
              <w:rPr>
                <w:sz w:val="20"/>
                <w:szCs w:val="20"/>
                <w:color w:val="auto"/>
              </w:rPr>
            </w:pPr>
            <w:r>
              <w:rPr>
                <w:rFonts w:ascii="Calibri" w:cs="Calibri" w:eastAsia="Calibri" w:hAnsi="Calibri"/>
                <w:sz w:val="17"/>
                <w:szCs w:val="17"/>
                <w:b w:val="1"/>
                <w:bCs w:val="1"/>
                <w:color w:val="FB4E0B"/>
                <w:w w:val="98"/>
              </w:rPr>
              <w:t>Number of shares</w:t>
            </w:r>
          </w:p>
        </w:tc>
        <w:tc>
          <w:tcPr>
            <w:tcW w:w="1960" w:type="dxa"/>
            <w:vAlign w:val="bottom"/>
          </w:tcPr>
          <w:p>
            <w:pPr>
              <w:jc w:val="center"/>
              <w:ind w:left="633"/>
              <w:spacing w:after="0"/>
              <w:rPr>
                <w:sz w:val="20"/>
                <w:szCs w:val="20"/>
                <w:color w:val="auto"/>
              </w:rPr>
            </w:pPr>
            <w:r>
              <w:rPr>
                <w:rFonts w:ascii="Calibri" w:cs="Calibri" w:eastAsia="Calibri" w:hAnsi="Calibri"/>
                <w:sz w:val="17"/>
                <w:szCs w:val="17"/>
                <w:b w:val="1"/>
                <w:bCs w:val="1"/>
                <w:color w:val="FB4E0B"/>
                <w:w w:val="98"/>
              </w:rPr>
              <w:t>Value realized on</w:t>
            </w:r>
          </w:p>
        </w:tc>
      </w:tr>
      <w:tr>
        <w:trPr>
          <w:trHeight w:val="208"/>
        </w:trPr>
        <w:tc>
          <w:tcPr>
            <w:tcW w:w="2680" w:type="dxa"/>
            <w:vAlign w:val="bottom"/>
          </w:tcPr>
          <w:p>
            <w:pPr>
              <w:spacing w:after="0"/>
              <w:rPr>
                <w:sz w:val="18"/>
                <w:szCs w:val="18"/>
                <w:color w:val="auto"/>
              </w:rPr>
            </w:pPr>
          </w:p>
        </w:tc>
        <w:tc>
          <w:tcPr>
            <w:tcW w:w="2000" w:type="dxa"/>
            <w:vAlign w:val="bottom"/>
          </w:tcPr>
          <w:p>
            <w:pPr>
              <w:jc w:val="center"/>
              <w:ind w:left="633"/>
              <w:spacing w:after="0"/>
              <w:rPr>
                <w:sz w:val="20"/>
                <w:szCs w:val="20"/>
                <w:color w:val="auto"/>
              </w:rPr>
            </w:pPr>
            <w:r>
              <w:rPr>
                <w:rFonts w:ascii="Calibri" w:cs="Calibri" w:eastAsia="Calibri" w:hAnsi="Calibri"/>
                <w:sz w:val="17"/>
                <w:szCs w:val="17"/>
                <w:b w:val="1"/>
                <w:bCs w:val="1"/>
                <w:color w:val="FB4E0B"/>
              </w:rPr>
              <w:t>acquired on</w:t>
            </w:r>
          </w:p>
        </w:tc>
        <w:tc>
          <w:tcPr>
            <w:tcW w:w="1980" w:type="dxa"/>
            <w:vAlign w:val="bottom"/>
          </w:tcPr>
          <w:p>
            <w:pPr>
              <w:jc w:val="center"/>
              <w:ind w:left="613"/>
              <w:spacing w:after="0" w:line="206" w:lineRule="exact"/>
              <w:rPr>
                <w:sz w:val="20"/>
                <w:szCs w:val="20"/>
                <w:color w:val="auto"/>
              </w:rPr>
            </w:pPr>
            <w:r>
              <w:rPr>
                <w:rFonts w:ascii="Calibri" w:cs="Calibri" w:eastAsia="Calibri" w:hAnsi="Calibri"/>
                <w:sz w:val="17"/>
                <w:szCs w:val="17"/>
                <w:b w:val="1"/>
                <w:bCs w:val="1"/>
                <w:color w:val="FB4E0B"/>
                <w:w w:val="97"/>
              </w:rPr>
              <w:t>exercise</w:t>
            </w:r>
          </w:p>
        </w:tc>
        <w:tc>
          <w:tcPr>
            <w:tcW w:w="2000" w:type="dxa"/>
            <w:vAlign w:val="bottom"/>
          </w:tcPr>
          <w:p>
            <w:pPr>
              <w:jc w:val="center"/>
              <w:ind w:left="633"/>
              <w:spacing w:after="0"/>
              <w:rPr>
                <w:sz w:val="20"/>
                <w:szCs w:val="20"/>
                <w:color w:val="auto"/>
              </w:rPr>
            </w:pPr>
            <w:r>
              <w:rPr>
                <w:rFonts w:ascii="Calibri" w:cs="Calibri" w:eastAsia="Calibri" w:hAnsi="Calibri"/>
                <w:sz w:val="17"/>
                <w:szCs w:val="17"/>
                <w:b w:val="1"/>
                <w:bCs w:val="1"/>
                <w:color w:val="FB4E0B"/>
              </w:rPr>
              <w:t>acquired on</w:t>
            </w:r>
          </w:p>
        </w:tc>
        <w:tc>
          <w:tcPr>
            <w:tcW w:w="1960" w:type="dxa"/>
            <w:vAlign w:val="bottom"/>
          </w:tcPr>
          <w:p>
            <w:pPr>
              <w:jc w:val="center"/>
              <w:ind w:left="653"/>
              <w:spacing w:after="0" w:line="206" w:lineRule="exact"/>
              <w:rPr>
                <w:sz w:val="20"/>
                <w:szCs w:val="20"/>
                <w:color w:val="auto"/>
              </w:rPr>
            </w:pPr>
            <w:r>
              <w:rPr>
                <w:rFonts w:ascii="Calibri" w:cs="Calibri" w:eastAsia="Calibri" w:hAnsi="Calibri"/>
                <w:sz w:val="17"/>
                <w:szCs w:val="17"/>
                <w:b w:val="1"/>
                <w:bCs w:val="1"/>
                <w:color w:val="FB4E0B"/>
              </w:rPr>
              <w:t>vestng</w:t>
            </w:r>
          </w:p>
        </w:tc>
      </w:tr>
      <w:tr>
        <w:trPr>
          <w:trHeight w:val="219"/>
        </w:trPr>
        <w:tc>
          <w:tcPr>
            <w:tcW w:w="2680" w:type="dxa"/>
            <w:vAlign w:val="bottom"/>
          </w:tcPr>
          <w:p>
            <w:pPr>
              <w:ind w:left="40"/>
              <w:spacing w:after="0"/>
              <w:rPr>
                <w:sz w:val="20"/>
                <w:szCs w:val="20"/>
                <w:color w:val="auto"/>
              </w:rPr>
            </w:pPr>
            <w:r>
              <w:rPr>
                <w:rFonts w:ascii="Calibri" w:cs="Calibri" w:eastAsia="Calibri" w:hAnsi="Calibri"/>
                <w:sz w:val="17"/>
                <w:szCs w:val="17"/>
                <w:b w:val="1"/>
                <w:bCs w:val="1"/>
                <w:color w:val="FB4E0B"/>
              </w:rPr>
              <w:t>Name</w:t>
            </w:r>
          </w:p>
        </w:tc>
        <w:tc>
          <w:tcPr>
            <w:tcW w:w="2000" w:type="dxa"/>
            <w:vAlign w:val="bottom"/>
          </w:tcPr>
          <w:p>
            <w:pPr>
              <w:jc w:val="center"/>
              <w:ind w:left="633"/>
              <w:spacing w:after="0"/>
              <w:rPr>
                <w:sz w:val="20"/>
                <w:szCs w:val="20"/>
                <w:color w:val="auto"/>
              </w:rPr>
            </w:pPr>
            <w:r>
              <w:rPr>
                <w:rFonts w:ascii="Calibri" w:cs="Calibri" w:eastAsia="Calibri" w:hAnsi="Calibri"/>
                <w:sz w:val="17"/>
                <w:szCs w:val="17"/>
                <w:b w:val="1"/>
                <w:bCs w:val="1"/>
                <w:color w:val="FB4E0B"/>
                <w:w w:val="97"/>
              </w:rPr>
              <w:t>exercise</w:t>
            </w:r>
          </w:p>
        </w:tc>
        <w:tc>
          <w:tcPr>
            <w:tcW w:w="1980" w:type="dxa"/>
            <w:vAlign w:val="bottom"/>
          </w:tcPr>
          <w:p>
            <w:pPr>
              <w:jc w:val="center"/>
              <w:ind w:left="633"/>
              <w:spacing w:after="0" w:line="206" w:lineRule="exact"/>
              <w:rPr>
                <w:sz w:val="20"/>
                <w:szCs w:val="20"/>
                <w:color w:val="auto"/>
              </w:rPr>
            </w:pPr>
            <w:r>
              <w:rPr>
                <w:rFonts w:ascii="Calibri" w:cs="Calibri" w:eastAsia="Calibri" w:hAnsi="Calibri"/>
                <w:sz w:val="17"/>
                <w:szCs w:val="17"/>
                <w:b w:val="1"/>
                <w:bCs w:val="1"/>
                <w:color w:val="FB4E0B"/>
                <w:w w:val="93"/>
              </w:rPr>
              <w:t>($)</w:t>
            </w:r>
          </w:p>
        </w:tc>
        <w:tc>
          <w:tcPr>
            <w:tcW w:w="2000" w:type="dxa"/>
            <w:vAlign w:val="bottom"/>
          </w:tcPr>
          <w:p>
            <w:pPr>
              <w:jc w:val="center"/>
              <w:ind w:left="613"/>
              <w:spacing w:after="0"/>
              <w:rPr>
                <w:sz w:val="20"/>
                <w:szCs w:val="20"/>
                <w:color w:val="auto"/>
              </w:rPr>
            </w:pPr>
            <w:r>
              <w:rPr>
                <w:rFonts w:ascii="Calibri" w:cs="Calibri" w:eastAsia="Calibri" w:hAnsi="Calibri"/>
                <w:sz w:val="17"/>
                <w:szCs w:val="17"/>
                <w:b w:val="1"/>
                <w:bCs w:val="1"/>
                <w:color w:val="FB4E0B"/>
              </w:rPr>
              <w:t>vestng</w:t>
            </w:r>
          </w:p>
        </w:tc>
        <w:tc>
          <w:tcPr>
            <w:tcW w:w="1960" w:type="dxa"/>
            <w:vAlign w:val="bottom"/>
          </w:tcPr>
          <w:p>
            <w:pPr>
              <w:jc w:val="center"/>
              <w:ind w:left="653"/>
              <w:spacing w:after="0" w:line="206" w:lineRule="exact"/>
              <w:rPr>
                <w:sz w:val="20"/>
                <w:szCs w:val="20"/>
                <w:color w:val="auto"/>
              </w:rPr>
            </w:pPr>
            <w:r>
              <w:rPr>
                <w:rFonts w:ascii="Calibri" w:cs="Calibri" w:eastAsia="Calibri" w:hAnsi="Calibri"/>
                <w:sz w:val="17"/>
                <w:szCs w:val="17"/>
                <w:b w:val="1"/>
                <w:bCs w:val="1"/>
                <w:color w:val="FB4E0B"/>
                <w:w w:val="93"/>
              </w:rPr>
              <w:t>($)</w:t>
            </w:r>
          </w:p>
        </w:tc>
      </w:tr>
      <w:tr>
        <w:trPr>
          <w:trHeight w:val="94"/>
        </w:trPr>
        <w:tc>
          <w:tcPr>
            <w:tcW w:w="2680" w:type="dxa"/>
            <w:vAlign w:val="bottom"/>
            <w:tcBorders>
              <w:bottom w:val="single" w:sz="8" w:color="FB4E0B"/>
            </w:tcBorders>
          </w:tcPr>
          <w:p>
            <w:pPr>
              <w:spacing w:after="0"/>
              <w:rPr>
                <w:sz w:val="8"/>
                <w:szCs w:val="8"/>
                <w:color w:val="auto"/>
              </w:rPr>
            </w:pPr>
          </w:p>
        </w:tc>
        <w:tc>
          <w:tcPr>
            <w:tcW w:w="2000" w:type="dxa"/>
            <w:vAlign w:val="bottom"/>
            <w:tcBorders>
              <w:bottom w:val="single" w:sz="8" w:color="FB4E0B"/>
            </w:tcBorders>
          </w:tcPr>
          <w:p>
            <w:pPr>
              <w:spacing w:after="0"/>
              <w:rPr>
                <w:sz w:val="8"/>
                <w:szCs w:val="8"/>
                <w:color w:val="auto"/>
              </w:rPr>
            </w:pPr>
          </w:p>
        </w:tc>
        <w:tc>
          <w:tcPr>
            <w:tcW w:w="1980" w:type="dxa"/>
            <w:vAlign w:val="bottom"/>
            <w:tcBorders>
              <w:bottom w:val="single" w:sz="8" w:color="FB4E0B"/>
            </w:tcBorders>
          </w:tcPr>
          <w:p>
            <w:pPr>
              <w:spacing w:after="0"/>
              <w:rPr>
                <w:sz w:val="8"/>
                <w:szCs w:val="8"/>
                <w:color w:val="auto"/>
              </w:rPr>
            </w:pPr>
          </w:p>
        </w:tc>
        <w:tc>
          <w:tcPr>
            <w:tcW w:w="2000" w:type="dxa"/>
            <w:vAlign w:val="bottom"/>
            <w:tcBorders>
              <w:bottom w:val="single" w:sz="8" w:color="FB4E0B"/>
            </w:tcBorders>
          </w:tcPr>
          <w:p>
            <w:pPr>
              <w:spacing w:after="0"/>
              <w:rPr>
                <w:sz w:val="8"/>
                <w:szCs w:val="8"/>
                <w:color w:val="auto"/>
              </w:rPr>
            </w:pPr>
          </w:p>
        </w:tc>
        <w:tc>
          <w:tcPr>
            <w:tcW w:w="1960" w:type="dxa"/>
            <w:vAlign w:val="bottom"/>
            <w:tcBorders>
              <w:bottom w:val="single" w:sz="8" w:color="FB4E0B"/>
            </w:tcBorders>
          </w:tcPr>
          <w:p>
            <w:pPr>
              <w:spacing w:after="0"/>
              <w:rPr>
                <w:sz w:val="8"/>
                <w:szCs w:val="8"/>
                <w:color w:val="auto"/>
              </w:rPr>
            </w:pPr>
          </w:p>
        </w:tc>
      </w:tr>
      <w:tr>
        <w:trPr>
          <w:trHeight w:val="237"/>
        </w:trPr>
        <w:tc>
          <w:tcPr>
            <w:tcW w:w="2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Rohit Kapoor</w:t>
            </w:r>
          </w:p>
        </w:tc>
        <w:tc>
          <w:tcPr>
            <w:tcW w:w="200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w:t>
            </w:r>
          </w:p>
        </w:tc>
        <w:tc>
          <w:tcPr>
            <w:tcW w:w="198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rPr>
              <w:t>—</w:t>
            </w:r>
          </w:p>
        </w:tc>
        <w:tc>
          <w:tcPr>
            <w:tcW w:w="200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67,107</w:t>
            </w:r>
          </w:p>
        </w:tc>
        <w:tc>
          <w:tcPr>
            <w:tcW w:w="1960" w:type="dxa"/>
            <w:vAlign w:val="bottom"/>
          </w:tcPr>
          <w:p>
            <w:pPr>
              <w:jc w:val="center"/>
              <w:ind w:left="653"/>
              <w:spacing w:after="0"/>
              <w:rPr>
                <w:sz w:val="20"/>
                <w:szCs w:val="20"/>
                <w:color w:val="auto"/>
              </w:rPr>
            </w:pPr>
            <w:r>
              <w:rPr>
                <w:rFonts w:ascii="Calibri" w:cs="Calibri" w:eastAsia="Calibri" w:hAnsi="Calibri"/>
                <w:sz w:val="17"/>
                <w:szCs w:val="17"/>
                <w:color w:val="auto"/>
              </w:rPr>
              <w:t>6,850,980</w:t>
            </w:r>
          </w:p>
        </w:tc>
      </w:tr>
      <w:tr>
        <w:trPr>
          <w:trHeight w:val="88"/>
        </w:trPr>
        <w:tc>
          <w:tcPr>
            <w:tcW w:w="26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230"/>
        </w:trPr>
        <w:tc>
          <w:tcPr>
            <w:tcW w:w="2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Maurizio Nicolelli</w:t>
            </w:r>
          </w:p>
        </w:tc>
        <w:tc>
          <w:tcPr>
            <w:tcW w:w="200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w:t>
            </w:r>
          </w:p>
        </w:tc>
        <w:tc>
          <w:tcPr>
            <w:tcW w:w="198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rPr>
              <w:t>—</w:t>
            </w:r>
          </w:p>
        </w:tc>
        <w:tc>
          <w:tcPr>
            <w:tcW w:w="200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2,565</w:t>
            </w:r>
          </w:p>
        </w:tc>
        <w:tc>
          <w:tcPr>
            <w:tcW w:w="1960" w:type="dxa"/>
            <w:vAlign w:val="bottom"/>
          </w:tcPr>
          <w:p>
            <w:pPr>
              <w:jc w:val="center"/>
              <w:ind w:left="633"/>
              <w:spacing w:after="0"/>
              <w:rPr>
                <w:sz w:val="20"/>
                <w:szCs w:val="20"/>
                <w:color w:val="auto"/>
              </w:rPr>
            </w:pPr>
            <w:r>
              <w:rPr>
                <w:rFonts w:ascii="Calibri" w:cs="Calibri" w:eastAsia="Calibri" w:hAnsi="Calibri"/>
                <w:sz w:val="17"/>
                <w:szCs w:val="17"/>
                <w:color w:val="auto"/>
                <w:w w:val="99"/>
              </w:rPr>
              <w:t>206,664</w:t>
            </w:r>
          </w:p>
        </w:tc>
      </w:tr>
      <w:tr>
        <w:trPr>
          <w:trHeight w:val="88"/>
        </w:trPr>
        <w:tc>
          <w:tcPr>
            <w:tcW w:w="26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230"/>
        </w:trPr>
        <w:tc>
          <w:tcPr>
            <w:tcW w:w="2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Vikas Bhalla</w:t>
            </w:r>
          </w:p>
        </w:tc>
        <w:tc>
          <w:tcPr>
            <w:tcW w:w="200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w:t>
            </w:r>
          </w:p>
        </w:tc>
        <w:tc>
          <w:tcPr>
            <w:tcW w:w="198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rPr>
              <w:t>—</w:t>
            </w:r>
          </w:p>
        </w:tc>
        <w:tc>
          <w:tcPr>
            <w:tcW w:w="200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15,911</w:t>
            </w:r>
          </w:p>
        </w:tc>
        <w:tc>
          <w:tcPr>
            <w:tcW w:w="1960" w:type="dxa"/>
            <w:vAlign w:val="bottom"/>
          </w:tcPr>
          <w:p>
            <w:pPr>
              <w:jc w:val="center"/>
              <w:ind w:left="653"/>
              <w:spacing w:after="0"/>
              <w:rPr>
                <w:sz w:val="20"/>
                <w:szCs w:val="20"/>
                <w:color w:val="auto"/>
              </w:rPr>
            </w:pPr>
            <w:r>
              <w:rPr>
                <w:rFonts w:ascii="Calibri" w:cs="Calibri" w:eastAsia="Calibri" w:hAnsi="Calibri"/>
                <w:sz w:val="17"/>
                <w:szCs w:val="17"/>
                <w:color w:val="auto"/>
              </w:rPr>
              <w:t>1,624,588</w:t>
            </w:r>
          </w:p>
        </w:tc>
      </w:tr>
      <w:tr>
        <w:trPr>
          <w:trHeight w:val="88"/>
        </w:trPr>
        <w:tc>
          <w:tcPr>
            <w:tcW w:w="26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230"/>
        </w:trPr>
        <w:tc>
          <w:tcPr>
            <w:tcW w:w="2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Vivek Jetley</w:t>
            </w:r>
          </w:p>
        </w:tc>
        <w:tc>
          <w:tcPr>
            <w:tcW w:w="200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6,500</w:t>
            </w:r>
          </w:p>
        </w:tc>
        <w:tc>
          <w:tcPr>
            <w:tcW w:w="198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w w:val="99"/>
              </w:rPr>
              <w:t>433,481</w:t>
            </w:r>
          </w:p>
        </w:tc>
        <w:tc>
          <w:tcPr>
            <w:tcW w:w="200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11,759</w:t>
            </w:r>
          </w:p>
        </w:tc>
        <w:tc>
          <w:tcPr>
            <w:tcW w:w="1960" w:type="dxa"/>
            <w:vAlign w:val="bottom"/>
          </w:tcPr>
          <w:p>
            <w:pPr>
              <w:jc w:val="center"/>
              <w:ind w:left="653"/>
              <w:spacing w:after="0"/>
              <w:rPr>
                <w:sz w:val="20"/>
                <w:szCs w:val="20"/>
                <w:color w:val="auto"/>
              </w:rPr>
            </w:pPr>
            <w:r>
              <w:rPr>
                <w:rFonts w:ascii="Calibri" w:cs="Calibri" w:eastAsia="Calibri" w:hAnsi="Calibri"/>
                <w:sz w:val="17"/>
                <w:szCs w:val="17"/>
                <w:color w:val="auto"/>
              </w:rPr>
              <w:t>1,285,497</w:t>
            </w:r>
          </w:p>
        </w:tc>
      </w:tr>
      <w:tr>
        <w:trPr>
          <w:trHeight w:val="88"/>
        </w:trPr>
        <w:tc>
          <w:tcPr>
            <w:tcW w:w="26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200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r>
      <w:tr>
        <w:trPr>
          <w:trHeight w:val="230"/>
        </w:trPr>
        <w:tc>
          <w:tcPr>
            <w:tcW w:w="2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Samuel Meckey</w:t>
            </w:r>
          </w:p>
        </w:tc>
        <w:tc>
          <w:tcPr>
            <w:tcW w:w="200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w:t>
            </w:r>
          </w:p>
        </w:tc>
        <w:tc>
          <w:tcPr>
            <w:tcW w:w="1980" w:type="dxa"/>
            <w:vAlign w:val="bottom"/>
            <w:tcBorders>
              <w:right w:val="single" w:sz="8" w:color="auto"/>
            </w:tcBorders>
          </w:tcPr>
          <w:p>
            <w:pPr>
              <w:jc w:val="center"/>
              <w:ind w:left="613"/>
              <w:spacing w:after="0"/>
              <w:rPr>
                <w:sz w:val="20"/>
                <w:szCs w:val="20"/>
                <w:color w:val="auto"/>
              </w:rPr>
            </w:pPr>
            <w:r>
              <w:rPr>
                <w:rFonts w:ascii="Calibri" w:cs="Calibri" w:eastAsia="Calibri" w:hAnsi="Calibri"/>
                <w:sz w:val="17"/>
                <w:szCs w:val="17"/>
                <w:color w:val="auto"/>
              </w:rPr>
              <w:t>—</w:t>
            </w:r>
          </w:p>
        </w:tc>
        <w:tc>
          <w:tcPr>
            <w:tcW w:w="2000" w:type="dxa"/>
            <w:vAlign w:val="bottom"/>
            <w:tcBorders>
              <w:right w:val="single" w:sz="8" w:color="auto"/>
            </w:tcBorders>
          </w:tcPr>
          <w:p>
            <w:pPr>
              <w:jc w:val="center"/>
              <w:ind w:left="633"/>
              <w:spacing w:after="0"/>
              <w:rPr>
                <w:sz w:val="20"/>
                <w:szCs w:val="20"/>
                <w:color w:val="auto"/>
              </w:rPr>
            </w:pPr>
            <w:r>
              <w:rPr>
                <w:rFonts w:ascii="Calibri" w:cs="Calibri" w:eastAsia="Calibri" w:hAnsi="Calibri"/>
                <w:sz w:val="17"/>
                <w:szCs w:val="17"/>
                <w:color w:val="auto"/>
              </w:rPr>
              <w:t>12,266</w:t>
            </w:r>
          </w:p>
        </w:tc>
        <w:tc>
          <w:tcPr>
            <w:tcW w:w="1960" w:type="dxa"/>
            <w:vAlign w:val="bottom"/>
          </w:tcPr>
          <w:p>
            <w:pPr>
              <w:jc w:val="center"/>
              <w:ind w:left="653"/>
              <w:spacing w:after="0"/>
              <w:rPr>
                <w:sz w:val="20"/>
                <w:szCs w:val="20"/>
                <w:color w:val="auto"/>
              </w:rPr>
            </w:pPr>
            <w:r>
              <w:rPr>
                <w:rFonts w:ascii="Calibri" w:cs="Calibri" w:eastAsia="Calibri" w:hAnsi="Calibri"/>
                <w:sz w:val="17"/>
                <w:szCs w:val="17"/>
                <w:color w:val="auto"/>
              </w:rPr>
              <w:t>1,378,072</w:t>
            </w:r>
          </w:p>
        </w:tc>
      </w:tr>
      <w:tr>
        <w:trPr>
          <w:trHeight w:val="107"/>
        </w:trPr>
        <w:tc>
          <w:tcPr>
            <w:tcW w:w="268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2000" w:type="dxa"/>
            <w:vAlign w:val="bottom"/>
            <w:tcBorders>
              <w:bottom w:val="single" w:sz="8" w:color="auto"/>
              <w:right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r>
    </w:tbl>
    <w:p>
      <w:pPr>
        <w:spacing w:after="0" w:line="28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Pension benefts for fscal year 2021</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discloses the present value of accumulated benefts payable to each of the named executve ofcers and the years of</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8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00" w:type="dxa"/>
            <w:vAlign w:val="bottom"/>
          </w:tcPr>
          <w:p>
            <w:pPr>
              <w:jc w:val="center"/>
              <w:ind w:left="173"/>
              <w:spacing w:after="0"/>
              <w:rPr>
                <w:sz w:val="20"/>
                <w:szCs w:val="20"/>
                <w:color w:val="auto"/>
              </w:rPr>
            </w:pPr>
            <w:r>
              <w:rPr>
                <w:rFonts w:ascii="Calibri" w:cs="Calibri" w:eastAsia="Calibri" w:hAnsi="Calibri"/>
                <w:sz w:val="17"/>
                <w:szCs w:val="17"/>
                <w:b w:val="1"/>
                <w:bCs w:val="1"/>
                <w:color w:val="FB4E0B"/>
                <w:w w:val="99"/>
              </w:rPr>
              <w:t>Number of</w:t>
            </w:r>
          </w:p>
        </w:tc>
        <w:tc>
          <w:tcPr>
            <w:tcW w:w="1400" w:type="dxa"/>
            <w:vAlign w:val="bottom"/>
          </w:tcPr>
          <w:p>
            <w:pPr>
              <w:jc w:val="center"/>
              <w:ind w:left="173"/>
              <w:spacing w:after="0"/>
              <w:rPr>
                <w:sz w:val="20"/>
                <w:szCs w:val="20"/>
                <w:color w:val="auto"/>
              </w:rPr>
            </w:pPr>
            <w:r>
              <w:rPr>
                <w:rFonts w:ascii="Calibri" w:cs="Calibri" w:eastAsia="Calibri" w:hAnsi="Calibri"/>
                <w:sz w:val="17"/>
                <w:szCs w:val="17"/>
                <w:b w:val="1"/>
                <w:bCs w:val="1"/>
                <w:color w:val="FB4E0B"/>
                <w:w w:val="97"/>
              </w:rPr>
              <w:t>Present value</w:t>
            </w:r>
          </w:p>
        </w:tc>
        <w:tc>
          <w:tcPr>
            <w:tcW w:w="1480" w:type="dxa"/>
            <w:vAlign w:val="bottom"/>
          </w:tcPr>
          <w:p>
            <w:pPr>
              <w:jc w:val="center"/>
              <w:ind w:left="213"/>
              <w:spacing w:after="0"/>
              <w:rPr>
                <w:sz w:val="20"/>
                <w:szCs w:val="20"/>
                <w:color w:val="auto"/>
              </w:rPr>
            </w:pPr>
            <w:r>
              <w:rPr>
                <w:rFonts w:ascii="Calibri" w:cs="Calibri" w:eastAsia="Calibri" w:hAnsi="Calibri"/>
                <w:sz w:val="17"/>
                <w:szCs w:val="17"/>
                <w:b w:val="1"/>
                <w:bCs w:val="1"/>
                <w:color w:val="FB4E0B"/>
                <w:w w:val="98"/>
              </w:rPr>
              <w:t>Payments during</w:t>
            </w:r>
          </w:p>
        </w:tc>
      </w:tr>
      <w:tr>
        <w:trPr>
          <w:trHeight w:val="208"/>
        </w:trPr>
        <w:tc>
          <w:tcPr>
            <w:tcW w:w="18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00" w:type="dxa"/>
            <w:vAlign w:val="bottom"/>
          </w:tcPr>
          <w:p>
            <w:pPr>
              <w:jc w:val="center"/>
              <w:ind w:left="173"/>
              <w:spacing w:after="0"/>
              <w:rPr>
                <w:sz w:val="20"/>
                <w:szCs w:val="20"/>
                <w:color w:val="auto"/>
              </w:rPr>
            </w:pPr>
            <w:r>
              <w:rPr>
                <w:rFonts w:ascii="Calibri" w:cs="Calibri" w:eastAsia="Calibri" w:hAnsi="Calibri"/>
                <w:sz w:val="17"/>
                <w:szCs w:val="17"/>
                <w:b w:val="1"/>
                <w:bCs w:val="1"/>
                <w:color w:val="FB4E0B"/>
                <w:w w:val="99"/>
              </w:rPr>
              <w:t>years credited</w:t>
            </w:r>
          </w:p>
        </w:tc>
        <w:tc>
          <w:tcPr>
            <w:tcW w:w="1400" w:type="dxa"/>
            <w:vAlign w:val="bottom"/>
          </w:tcPr>
          <w:p>
            <w:pPr>
              <w:jc w:val="center"/>
              <w:ind w:left="173"/>
              <w:spacing w:after="0"/>
              <w:rPr>
                <w:sz w:val="20"/>
                <w:szCs w:val="20"/>
                <w:color w:val="auto"/>
              </w:rPr>
            </w:pPr>
            <w:r>
              <w:rPr>
                <w:rFonts w:ascii="Calibri" w:cs="Calibri" w:eastAsia="Calibri" w:hAnsi="Calibri"/>
                <w:sz w:val="17"/>
                <w:szCs w:val="17"/>
                <w:b w:val="1"/>
                <w:bCs w:val="1"/>
                <w:color w:val="FB4E0B"/>
              </w:rPr>
              <w:t>of accumulated</w:t>
            </w:r>
          </w:p>
        </w:tc>
        <w:tc>
          <w:tcPr>
            <w:tcW w:w="1480" w:type="dxa"/>
            <w:vAlign w:val="bottom"/>
          </w:tcPr>
          <w:p>
            <w:pPr>
              <w:jc w:val="center"/>
              <w:ind w:left="193"/>
              <w:spacing w:after="0"/>
              <w:rPr>
                <w:sz w:val="20"/>
                <w:szCs w:val="20"/>
                <w:color w:val="auto"/>
              </w:rPr>
            </w:pPr>
            <w:r>
              <w:rPr>
                <w:rFonts w:ascii="Calibri" w:cs="Calibri" w:eastAsia="Calibri" w:hAnsi="Calibri"/>
                <w:sz w:val="17"/>
                <w:szCs w:val="17"/>
                <w:b w:val="1"/>
                <w:bCs w:val="1"/>
                <w:color w:val="FB4E0B"/>
              </w:rPr>
              <w:t>last fscal year</w:t>
            </w:r>
          </w:p>
        </w:tc>
      </w:tr>
      <w:tr>
        <w:trPr>
          <w:trHeight w:val="341"/>
        </w:trPr>
        <w:tc>
          <w:tcPr>
            <w:tcW w:w="1820" w:type="dxa"/>
            <w:vAlign w:val="bottom"/>
            <w:tcBorders>
              <w:bottom w:val="single" w:sz="8" w:color="FB4E0B"/>
            </w:tcBorders>
          </w:tcPr>
          <w:p>
            <w:pPr>
              <w:ind w:left="80"/>
              <w:spacing w:after="0"/>
              <w:rPr>
                <w:sz w:val="20"/>
                <w:szCs w:val="20"/>
                <w:color w:val="auto"/>
              </w:rPr>
            </w:pPr>
            <w:r>
              <w:rPr>
                <w:rFonts w:ascii="Calibri" w:cs="Calibri" w:eastAsia="Calibri" w:hAnsi="Calibri"/>
                <w:sz w:val="17"/>
                <w:szCs w:val="17"/>
                <w:b w:val="1"/>
                <w:bCs w:val="1"/>
                <w:color w:val="FB4E0B"/>
              </w:rPr>
              <w:t>Name</w:t>
            </w:r>
          </w:p>
        </w:tc>
        <w:tc>
          <w:tcPr>
            <w:tcW w:w="4620" w:type="dxa"/>
            <w:vAlign w:val="bottom"/>
            <w:tcBorders>
              <w:bottom w:val="single" w:sz="8" w:color="FB4E0B"/>
            </w:tcBorders>
          </w:tcPr>
          <w:p>
            <w:pPr>
              <w:ind w:left="340"/>
              <w:spacing w:after="0"/>
              <w:rPr>
                <w:sz w:val="20"/>
                <w:szCs w:val="20"/>
                <w:color w:val="auto"/>
              </w:rPr>
            </w:pPr>
            <w:r>
              <w:rPr>
                <w:rFonts w:ascii="Calibri" w:cs="Calibri" w:eastAsia="Calibri" w:hAnsi="Calibri"/>
                <w:sz w:val="17"/>
                <w:szCs w:val="17"/>
                <w:b w:val="1"/>
                <w:bCs w:val="1"/>
                <w:color w:val="FB4E0B"/>
              </w:rPr>
              <w:t>Plan name</w:t>
            </w:r>
          </w:p>
        </w:tc>
        <w:tc>
          <w:tcPr>
            <w:tcW w:w="1300" w:type="dxa"/>
            <w:vAlign w:val="bottom"/>
            <w:tcBorders>
              <w:bottom w:val="single" w:sz="8" w:color="FB4E0B"/>
            </w:tcBorders>
          </w:tcPr>
          <w:p>
            <w:pPr>
              <w:jc w:val="center"/>
              <w:ind w:left="173"/>
              <w:spacing w:after="0" w:line="335" w:lineRule="exact"/>
              <w:rPr>
                <w:sz w:val="20"/>
                <w:szCs w:val="20"/>
                <w:color w:val="auto"/>
              </w:rPr>
            </w:pPr>
            <w:r>
              <w:rPr>
                <w:rFonts w:ascii="Calibri" w:cs="Calibri" w:eastAsia="Calibri" w:hAnsi="Calibri"/>
                <w:sz w:val="17"/>
                <w:szCs w:val="17"/>
                <w:b w:val="1"/>
                <w:bCs w:val="1"/>
                <w:color w:val="FB4E0B"/>
                <w:w w:val="93"/>
              </w:rPr>
              <w:t>service (#)</w:t>
            </w:r>
            <w:r>
              <w:rPr>
                <w:rFonts w:ascii="Calibri" w:cs="Calibri" w:eastAsia="Calibri" w:hAnsi="Calibri"/>
                <w:sz w:val="29"/>
                <w:szCs w:val="29"/>
                <w:b w:val="1"/>
                <w:bCs w:val="1"/>
                <w:color w:val="FB4E0B"/>
                <w:w w:val="93"/>
                <w:vertAlign w:val="superscript"/>
              </w:rPr>
              <w:t>(1)</w:t>
            </w:r>
          </w:p>
        </w:tc>
        <w:tc>
          <w:tcPr>
            <w:tcW w:w="1400" w:type="dxa"/>
            <w:vAlign w:val="bottom"/>
            <w:tcBorders>
              <w:bottom w:val="single" w:sz="8" w:color="FB4E0B"/>
            </w:tcBorders>
          </w:tcPr>
          <w:p>
            <w:pPr>
              <w:jc w:val="center"/>
              <w:ind w:left="173"/>
              <w:spacing w:after="0"/>
              <w:rPr>
                <w:sz w:val="20"/>
                <w:szCs w:val="20"/>
                <w:color w:val="auto"/>
              </w:rPr>
            </w:pPr>
            <w:r>
              <w:rPr>
                <w:rFonts w:ascii="Calibri" w:cs="Calibri" w:eastAsia="Calibri" w:hAnsi="Calibri"/>
                <w:sz w:val="17"/>
                <w:szCs w:val="17"/>
                <w:b w:val="1"/>
                <w:bCs w:val="1"/>
                <w:color w:val="FB4E0B"/>
              </w:rPr>
              <w:t>beneft ($)</w:t>
            </w:r>
          </w:p>
        </w:tc>
        <w:tc>
          <w:tcPr>
            <w:tcW w:w="1480" w:type="dxa"/>
            <w:vAlign w:val="bottom"/>
            <w:tcBorders>
              <w:bottom w:val="single" w:sz="8" w:color="FB4E0B"/>
            </w:tcBorders>
          </w:tcPr>
          <w:p>
            <w:pPr>
              <w:jc w:val="right"/>
              <w:ind w:right="413"/>
              <w:spacing w:after="0"/>
              <w:rPr>
                <w:sz w:val="20"/>
                <w:szCs w:val="20"/>
                <w:color w:val="auto"/>
              </w:rPr>
            </w:pPr>
            <w:r>
              <w:rPr>
                <w:rFonts w:ascii="Calibri" w:cs="Calibri" w:eastAsia="Calibri" w:hAnsi="Calibri"/>
                <w:sz w:val="17"/>
                <w:szCs w:val="17"/>
                <w:b w:val="1"/>
                <w:bCs w:val="1"/>
                <w:color w:val="FB4E0B"/>
              </w:rPr>
              <w:t>($)</w:t>
            </w:r>
          </w:p>
        </w:tc>
      </w:tr>
      <w:tr>
        <w:trPr>
          <w:trHeight w:val="331"/>
        </w:trPr>
        <w:tc>
          <w:tcPr>
            <w:tcW w:w="1820" w:type="dxa"/>
            <w:vAlign w:val="bottom"/>
            <w:tcBorders>
              <w:bottom w:val="single" w:sz="8" w:color="FB4E0B"/>
              <w:right w:val="single" w:sz="8" w:color="auto"/>
            </w:tcBorders>
          </w:tcPr>
          <w:p>
            <w:pPr>
              <w:ind w:left="80"/>
              <w:spacing w:after="0"/>
              <w:rPr>
                <w:sz w:val="20"/>
                <w:szCs w:val="20"/>
                <w:color w:val="auto"/>
              </w:rPr>
            </w:pPr>
            <w:r>
              <w:rPr>
                <w:rFonts w:ascii="Calibri" w:cs="Calibri" w:eastAsia="Calibri" w:hAnsi="Calibri"/>
                <w:sz w:val="17"/>
                <w:szCs w:val="17"/>
                <w:b w:val="1"/>
                <w:bCs w:val="1"/>
                <w:color w:val="auto"/>
              </w:rPr>
              <w:t>Vikas Bhalla</w:t>
            </w:r>
          </w:p>
        </w:tc>
        <w:tc>
          <w:tcPr>
            <w:tcW w:w="4620" w:type="dxa"/>
            <w:vAlign w:val="bottom"/>
            <w:tcBorders>
              <w:bottom w:val="single" w:sz="8" w:color="FB4E0B"/>
              <w:right w:val="single" w:sz="8" w:color="auto"/>
            </w:tcBorders>
          </w:tcPr>
          <w:p>
            <w:pPr>
              <w:ind w:left="340"/>
              <w:spacing w:after="0" w:line="325" w:lineRule="exact"/>
              <w:rPr>
                <w:sz w:val="20"/>
                <w:szCs w:val="20"/>
                <w:color w:val="auto"/>
              </w:rPr>
            </w:pPr>
            <w:r>
              <w:rPr>
                <w:rFonts w:ascii="Calibri" w:cs="Calibri" w:eastAsia="Calibri" w:hAnsi="Calibri"/>
                <w:sz w:val="17"/>
                <w:szCs w:val="17"/>
                <w:color w:val="auto"/>
              </w:rPr>
              <w:t>Gratuity Plan for Indian Employees</w:t>
            </w:r>
            <w:r>
              <w:rPr>
                <w:rFonts w:ascii="Calibri" w:cs="Calibri" w:eastAsia="Calibri" w:hAnsi="Calibri"/>
                <w:sz w:val="29"/>
                <w:szCs w:val="29"/>
                <w:color w:val="auto"/>
                <w:vertAlign w:val="superscript"/>
              </w:rPr>
              <w:t>(2)</w:t>
            </w:r>
          </w:p>
        </w:tc>
        <w:tc>
          <w:tcPr>
            <w:tcW w:w="1300" w:type="dxa"/>
            <w:vAlign w:val="bottom"/>
            <w:tcBorders>
              <w:bottom w:val="single" w:sz="8" w:color="FB4E0B"/>
              <w:right w:val="single" w:sz="8" w:color="auto"/>
            </w:tcBorders>
          </w:tcPr>
          <w:p>
            <w:pPr>
              <w:jc w:val="center"/>
              <w:ind w:left="193"/>
              <w:spacing w:after="0"/>
              <w:rPr>
                <w:sz w:val="20"/>
                <w:szCs w:val="20"/>
                <w:color w:val="auto"/>
              </w:rPr>
            </w:pPr>
            <w:r>
              <w:rPr>
                <w:rFonts w:ascii="Calibri" w:cs="Calibri" w:eastAsia="Calibri" w:hAnsi="Calibri"/>
                <w:sz w:val="17"/>
                <w:szCs w:val="17"/>
                <w:color w:val="auto"/>
              </w:rPr>
              <w:t>21</w:t>
            </w:r>
          </w:p>
        </w:tc>
        <w:tc>
          <w:tcPr>
            <w:tcW w:w="1400" w:type="dxa"/>
            <w:vAlign w:val="bottom"/>
            <w:tcBorders>
              <w:bottom w:val="single" w:sz="8" w:color="FB4E0B"/>
              <w:right w:val="single" w:sz="8" w:color="auto"/>
            </w:tcBorders>
          </w:tcPr>
          <w:p>
            <w:pPr>
              <w:jc w:val="center"/>
              <w:ind w:left="173"/>
              <w:spacing w:after="0"/>
              <w:rPr>
                <w:sz w:val="20"/>
                <w:szCs w:val="20"/>
                <w:color w:val="auto"/>
              </w:rPr>
            </w:pPr>
            <w:r>
              <w:rPr>
                <w:rFonts w:ascii="Calibri" w:cs="Calibri" w:eastAsia="Calibri" w:hAnsi="Calibri"/>
                <w:sz w:val="17"/>
                <w:szCs w:val="17"/>
                <w:color w:val="auto"/>
                <w:w w:val="96"/>
              </w:rPr>
              <w:t>116,473</w:t>
            </w:r>
          </w:p>
        </w:tc>
        <w:tc>
          <w:tcPr>
            <w:tcW w:w="1480" w:type="dxa"/>
            <w:vAlign w:val="bottom"/>
            <w:tcBorders>
              <w:bottom w:val="single" w:sz="8" w:color="FB4E0B"/>
            </w:tcBorders>
          </w:tcPr>
          <w:p>
            <w:pPr>
              <w:jc w:val="center"/>
              <w:ind w:left="193"/>
              <w:spacing w:after="0"/>
              <w:rPr>
                <w:sz w:val="20"/>
                <w:szCs w:val="20"/>
                <w:color w:val="auto"/>
              </w:rPr>
            </w:pPr>
            <w:r>
              <w:rPr>
                <w:rFonts w:ascii="Calibri" w:cs="Calibri" w:eastAsia="Calibri" w:hAnsi="Calibri"/>
                <w:sz w:val="17"/>
                <w:szCs w:val="17"/>
                <w:color w:val="auto"/>
              </w:rPr>
              <w:t>—</w:t>
            </w:r>
          </w:p>
        </w:tc>
      </w:tr>
    </w:tbl>
    <w:p>
      <w:pPr>
        <w:ind w:left="320" w:right="300" w:hanging="4"/>
        <w:spacing w:after="0" w:line="241" w:lineRule="auto"/>
        <w:tabs>
          <w:tab w:leader="none" w:pos="494" w:val="left"/>
        </w:tabs>
        <w:numPr>
          <w:ilvl w:val="0"/>
          <w:numId w:val="33"/>
        </w:numPr>
        <w:rPr>
          <w:rFonts w:ascii="Calibri" w:cs="Calibri" w:eastAsia="Calibri" w:hAnsi="Calibri"/>
          <w:sz w:val="13"/>
          <w:szCs w:val="13"/>
          <w:color w:val="auto"/>
        </w:rPr>
      </w:pPr>
      <w:r>
        <w:rPr>
          <w:rFonts w:ascii="Calibri" w:cs="Calibri" w:eastAsia="Calibri" w:hAnsi="Calibri"/>
          <w:sz w:val="13"/>
          <w:szCs w:val="13"/>
          <w:color w:val="auto"/>
        </w:rPr>
        <w:t>Consists of the number of years of service credited as of December 31, 2021 for the purpose of determining beneft service under the Gratuity Plan. Credited service is determined based on the completed years of contnuous employment (rounded to the nearest whole number of years) with the Company since the executve’s date of hire.</w:t>
      </w:r>
    </w:p>
    <w:p>
      <w:pPr>
        <w:spacing w:after="0" w:line="13" w:lineRule="exact"/>
        <w:rPr>
          <w:rFonts w:ascii="Calibri" w:cs="Calibri" w:eastAsia="Calibri" w:hAnsi="Calibri"/>
          <w:sz w:val="13"/>
          <w:szCs w:val="13"/>
          <w:color w:val="auto"/>
        </w:rPr>
      </w:pPr>
    </w:p>
    <w:p>
      <w:pPr>
        <w:ind w:left="320" w:right="80" w:hanging="4"/>
        <w:spacing w:after="0" w:line="254" w:lineRule="auto"/>
        <w:tabs>
          <w:tab w:leader="none" w:pos="494" w:val="left"/>
        </w:tabs>
        <w:numPr>
          <w:ilvl w:val="0"/>
          <w:numId w:val="33"/>
        </w:numPr>
        <w:rPr>
          <w:rFonts w:ascii="Calibri" w:cs="Calibri" w:eastAsia="Calibri" w:hAnsi="Calibri"/>
          <w:sz w:val="13"/>
          <w:szCs w:val="13"/>
          <w:color w:val="auto"/>
        </w:rPr>
      </w:pPr>
      <w:r>
        <w:rPr>
          <w:rFonts w:ascii="Calibri" w:cs="Calibri" w:eastAsia="Calibri" w:hAnsi="Calibri"/>
          <w:sz w:val="13"/>
          <w:szCs w:val="13"/>
          <w:color w:val="auto"/>
        </w:rPr>
        <w:t>Liabilites with regard to the Gratuity Plan is determined by actuarial valuaton using the projected unit credit method. Under this method, we determine our liability based upon the discounted value of salary increases untl the date of separaton arising from retrement, death, resignaton or other terminaton of services. Critcal assumptons used in measuring the plan expense and projected liability under the projected unit credit method include the discount rate, expected return on assets and the expected increase in the compensaton rates. Details regarding the assumptons used in the calculaton of these amounts are included in footnote 19 to the audited fnancial statements for the fscal year ended December 31, 2021 included in the 2021 Form 10-K.</w:t>
      </w:r>
    </w:p>
    <w:p>
      <w:pPr>
        <w:spacing w:after="0" w:line="115"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90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40"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We are required to provide all Indian employees with benefts under the Gratuity Plan, a defned beneft pension plan in India. Distributons from the Gratuity Plan are made in a single lump sum following retrement from the Company. An executve’s beneft under the Gratuity Plan is determined at any tme as the executve’s annual base salary (determined based on the executve’s most recent monthly base salary) divided by 26, multplied by 15, and the product multplied by the executve’s completed years of contnuous service with the Company. An executve has a vested and nonforfeitable right to payment of his accrued Gratuity Plan beneft only afer fve years of service. The present value of Mr. Bhalla’s accumulated benefts has been determined based on his monthly basic salary rate in efect on December 31, 2021, which was approximately $9,614.</w:t>
      </w:r>
    </w:p>
    <w:p>
      <w:pPr>
        <w:spacing w:after="0" w:line="312"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Potental payments upon terminaton or change in control at fscal 2021 year-end</w:t>
      </w:r>
    </w:p>
    <w:p>
      <w:pPr>
        <w:spacing w:after="0" w:line="114"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The following tables summarize the amounts payable to each named executve ofcer upon a change in control or terminaton of his employment with us on December 31, 2021. In calculatng potental payments for purposes of this disclosure, we have quantfed our equity-based payments using the closing stock price on December 31, 2021, which was $144.77. Some of the capitalized terms used in the employment agreements for our named executve ofcers are defned in the secton enttled “Certain defned terms” on page 98.</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Rohit Kapoor</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Cash severance</w:t>
      </w:r>
    </w:p>
    <w:p>
      <w:pPr>
        <w:spacing w:after="0" w:line="106"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If Mr. Kapoor’s employment were terminated by us without “cause” or by the executve for “good reason” or by “retrement” (in each case, as described below) on December 31, 2021, he would have been enttled to cash severance consistng of:</w:t>
      </w:r>
    </w:p>
    <w:p>
      <w:pPr>
        <w:spacing w:after="0" w:line="119" w:lineRule="exact"/>
        <w:rPr>
          <w:sz w:val="20"/>
          <w:szCs w:val="20"/>
          <w:color w:val="auto"/>
        </w:rPr>
      </w:pPr>
    </w:p>
    <w:p>
      <w:pPr>
        <w:ind w:left="1140" w:hanging="407"/>
        <w:spacing w:after="0"/>
        <w:tabs>
          <w:tab w:leader="none" w:pos="1140" w:val="left"/>
        </w:tabs>
        <w:numPr>
          <w:ilvl w:val="0"/>
          <w:numId w:val="34"/>
        </w:numPr>
        <w:rPr>
          <w:rFonts w:ascii="Calibri" w:cs="Calibri" w:eastAsia="Calibri" w:hAnsi="Calibri"/>
          <w:sz w:val="17"/>
          <w:szCs w:val="17"/>
          <w:color w:val="auto"/>
        </w:rPr>
      </w:pPr>
      <w:r>
        <w:rPr>
          <w:rFonts w:ascii="Calibri" w:cs="Calibri" w:eastAsia="Calibri" w:hAnsi="Calibri"/>
          <w:sz w:val="17"/>
          <w:szCs w:val="17"/>
          <w:color w:val="auto"/>
        </w:rPr>
        <w:t>except in the case of retrement, contnuaton of his base salary for 24 months;</w:t>
      </w:r>
    </w:p>
    <w:p>
      <w:pPr>
        <w:spacing w:after="0" w:line="119" w:lineRule="exact"/>
        <w:rPr>
          <w:rFonts w:ascii="Calibri" w:cs="Calibri" w:eastAsia="Calibri" w:hAnsi="Calibri"/>
          <w:sz w:val="17"/>
          <w:szCs w:val="17"/>
          <w:color w:val="auto"/>
        </w:rPr>
      </w:pPr>
    </w:p>
    <w:p>
      <w:pPr>
        <w:ind w:left="1140" w:right="220" w:hanging="407"/>
        <w:spacing w:after="0" w:line="239" w:lineRule="auto"/>
        <w:tabs>
          <w:tab w:leader="none" w:pos="1140" w:val="left"/>
        </w:tabs>
        <w:numPr>
          <w:ilvl w:val="0"/>
          <w:numId w:val="34"/>
        </w:numPr>
        <w:rPr>
          <w:rFonts w:ascii="Calibri" w:cs="Calibri" w:eastAsia="Calibri" w:hAnsi="Calibri"/>
          <w:sz w:val="17"/>
          <w:szCs w:val="17"/>
          <w:color w:val="auto"/>
        </w:rPr>
      </w:pPr>
      <w:r>
        <w:rPr>
          <w:rFonts w:ascii="Calibri" w:cs="Calibri" w:eastAsia="Calibri" w:hAnsi="Calibri"/>
          <w:sz w:val="17"/>
          <w:szCs w:val="17"/>
          <w:color w:val="auto"/>
        </w:rPr>
        <w:t>except in the case of retrement, his actual bonus, if any, earned for the year of terminaton, determined as if he had been employed for the full year of terminaton, paid ratably over the remaining period of base salary payments;</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34"/>
        </w:numPr>
        <w:rPr>
          <w:rFonts w:ascii="Calibri" w:cs="Calibri" w:eastAsia="Calibri" w:hAnsi="Calibri"/>
          <w:sz w:val="17"/>
          <w:szCs w:val="17"/>
          <w:color w:val="auto"/>
        </w:rPr>
      </w:pPr>
      <w:r>
        <w:rPr>
          <w:rFonts w:ascii="Calibri" w:cs="Calibri" w:eastAsia="Calibri" w:hAnsi="Calibri"/>
          <w:sz w:val="17"/>
          <w:szCs w:val="17"/>
          <w:color w:val="auto"/>
        </w:rPr>
        <w:t>any unpaid bonus amounts from prior periods;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34"/>
        </w:numPr>
        <w:rPr>
          <w:rFonts w:ascii="Calibri" w:cs="Calibri" w:eastAsia="Calibri" w:hAnsi="Calibri"/>
          <w:sz w:val="17"/>
          <w:szCs w:val="17"/>
          <w:color w:val="auto"/>
        </w:rPr>
      </w:pPr>
      <w:r>
        <w:rPr>
          <w:rFonts w:ascii="Calibri" w:cs="Calibri" w:eastAsia="Calibri" w:hAnsi="Calibri"/>
          <w:sz w:val="17"/>
          <w:szCs w:val="17"/>
          <w:color w:val="auto"/>
        </w:rPr>
        <w:t>any accrued but unpaid base salary and vacaton days or unreimbursed expenses;</w:t>
      </w:r>
    </w:p>
    <w:p>
      <w:pPr>
        <w:spacing w:after="0" w:line="119" w:lineRule="exact"/>
        <w:rPr>
          <w:rFonts w:ascii="Calibri" w:cs="Calibri" w:eastAsia="Calibri" w:hAnsi="Calibri"/>
          <w:sz w:val="17"/>
          <w:szCs w:val="17"/>
          <w:color w:val="auto"/>
        </w:rPr>
      </w:pPr>
    </w:p>
    <w:p>
      <w:pPr>
        <w:ind w:left="1140" w:right="100" w:hanging="407"/>
        <w:spacing w:after="0" w:line="239" w:lineRule="auto"/>
        <w:tabs>
          <w:tab w:leader="none" w:pos="1140" w:val="left"/>
        </w:tabs>
        <w:numPr>
          <w:ilvl w:val="0"/>
          <w:numId w:val="34"/>
        </w:numPr>
        <w:rPr>
          <w:rFonts w:ascii="Calibri" w:cs="Calibri" w:eastAsia="Calibri" w:hAnsi="Calibri"/>
          <w:sz w:val="17"/>
          <w:szCs w:val="17"/>
          <w:color w:val="auto"/>
        </w:rPr>
      </w:pPr>
      <w:r>
        <w:rPr>
          <w:rFonts w:ascii="Calibri" w:cs="Calibri" w:eastAsia="Calibri" w:hAnsi="Calibri"/>
          <w:sz w:val="17"/>
          <w:szCs w:val="17"/>
          <w:color w:val="auto"/>
        </w:rPr>
        <w:t>costs of contnued COBRA coverage under the Company’s group health plan on behalf of the executve and his eligible dependents (described in more detail below), untl the earlier of (x) the 18-month anniversary of terminaton and (y) the date the executve becomes eligible to receive comparable benefts from a subsequent employer; and</w:t>
      </w:r>
    </w:p>
    <w:p>
      <w:pPr>
        <w:spacing w:after="0" w:line="120" w:lineRule="exact"/>
        <w:rPr>
          <w:rFonts w:ascii="Calibri" w:cs="Calibri" w:eastAsia="Calibri" w:hAnsi="Calibri"/>
          <w:sz w:val="17"/>
          <w:szCs w:val="17"/>
          <w:color w:val="auto"/>
        </w:rPr>
      </w:pPr>
    </w:p>
    <w:p>
      <w:pPr>
        <w:ind w:left="1140" w:hanging="407"/>
        <w:spacing w:after="0"/>
        <w:tabs>
          <w:tab w:leader="none" w:pos="1140" w:val="left"/>
        </w:tabs>
        <w:numPr>
          <w:ilvl w:val="0"/>
          <w:numId w:val="34"/>
        </w:numPr>
        <w:rPr>
          <w:rFonts w:ascii="Calibri" w:cs="Calibri" w:eastAsia="Calibri" w:hAnsi="Calibri"/>
          <w:sz w:val="17"/>
          <w:szCs w:val="17"/>
          <w:color w:val="auto"/>
        </w:rPr>
      </w:pPr>
      <w:r>
        <w:rPr>
          <w:rFonts w:ascii="Calibri" w:cs="Calibri" w:eastAsia="Calibri" w:hAnsi="Calibri"/>
          <w:sz w:val="17"/>
          <w:szCs w:val="17"/>
          <w:color w:val="auto"/>
        </w:rPr>
        <w:t>except in the case of retrement, contnuaton of life insurance coverage untl the earlier of (x) the 18-month anniversary of terminaton and</w:t>
      </w:r>
    </w:p>
    <w:p>
      <w:pPr>
        <w:ind w:left="1140"/>
        <w:spacing w:after="0"/>
        <w:rPr>
          <w:rFonts w:ascii="Calibri" w:cs="Calibri" w:eastAsia="Calibri" w:hAnsi="Calibri"/>
          <w:sz w:val="17"/>
          <w:szCs w:val="17"/>
          <w:color w:val="auto"/>
        </w:rPr>
      </w:pPr>
      <w:r>
        <w:rPr>
          <w:rFonts w:ascii="Calibri" w:cs="Calibri" w:eastAsia="Calibri" w:hAnsi="Calibri"/>
          <w:sz w:val="17"/>
          <w:szCs w:val="17"/>
          <w:color w:val="auto"/>
        </w:rPr>
        <w:t>(y) the date the executve commences employment with a subsequent employer.</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Change-in-control cash severance</w:t>
      </w:r>
    </w:p>
    <w:p>
      <w:pPr>
        <w:spacing w:after="0" w:line="106" w:lineRule="exact"/>
        <w:rPr>
          <w:sz w:val="20"/>
          <w:szCs w:val="20"/>
          <w:color w:val="auto"/>
        </w:rPr>
      </w:pPr>
    </w:p>
    <w:p>
      <w:pPr>
        <w:jc w:val="both"/>
        <w:ind w:left="320" w:right="20"/>
        <w:spacing w:after="0" w:line="255" w:lineRule="auto"/>
        <w:rPr>
          <w:sz w:val="20"/>
          <w:szCs w:val="20"/>
          <w:color w:val="auto"/>
        </w:rPr>
      </w:pPr>
      <w:r>
        <w:rPr>
          <w:rFonts w:ascii="Calibri" w:cs="Calibri" w:eastAsia="Calibri" w:hAnsi="Calibri"/>
          <w:sz w:val="16"/>
          <w:szCs w:val="16"/>
          <w:color w:val="auto"/>
        </w:rPr>
        <w:t>If Mr. Kapoor’s employment is terminated by us without “cause” or by the executve for “good reason” (in each case, as described above) within 12 months following a “change in control” or in specifc contemplaton of a change in control, the executve will receive, in lieu of the cash severance described above,</w:t>
      </w:r>
    </w:p>
    <w:p>
      <w:pPr>
        <w:spacing w:after="0" w:line="1" w:lineRule="exact"/>
        <w:rPr>
          <w:sz w:val="20"/>
          <w:szCs w:val="20"/>
          <w:color w:val="auto"/>
        </w:rPr>
      </w:pPr>
    </w:p>
    <w:p>
      <w:pPr>
        <w:ind w:left="320" w:right="340" w:hanging="4"/>
        <w:spacing w:after="0" w:line="239" w:lineRule="auto"/>
        <w:tabs>
          <w:tab w:leader="none" w:pos="547" w:val="left"/>
        </w:tabs>
        <w:numPr>
          <w:ilvl w:val="0"/>
          <w:numId w:val="35"/>
        </w:numPr>
        <w:rPr>
          <w:rFonts w:ascii="Calibri" w:cs="Calibri" w:eastAsia="Calibri" w:hAnsi="Calibri"/>
          <w:sz w:val="17"/>
          <w:szCs w:val="17"/>
          <w:color w:val="auto"/>
        </w:rPr>
      </w:pPr>
      <w:r>
        <w:rPr>
          <w:rFonts w:ascii="Calibri" w:cs="Calibri" w:eastAsia="Calibri" w:hAnsi="Calibri"/>
          <w:sz w:val="17"/>
          <w:szCs w:val="17"/>
          <w:color w:val="auto"/>
        </w:rPr>
        <w:t>a lump sum payment equal to 24 months of base salary and (2) his actual bonus, if any, earned for the year of terminaton, determined as if he had been employed for the full year of terminaton, paid ratably over the remaining period of base salary payments.</w:t>
      </w:r>
    </w:p>
    <w:p>
      <w:pPr>
        <w:spacing w:after="0" w:line="127"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91</w:t>
            </w:r>
          </w:p>
        </w:tc>
      </w:tr>
    </w:tbl>
    <w:p>
      <w:pPr>
        <w:sectPr>
          <w:pgSz w:w="11900" w:h="16838" w:orient="portrait"/>
          <w:cols w:equalWidth="0" w:num="1">
            <w:col w:w="10940"/>
          </w:cols>
          <w:pgMar w:left="320" w:top="445" w:right="6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Death or disability</w:t>
      </w:r>
    </w:p>
    <w:p>
      <w:pPr>
        <w:spacing w:after="0" w:line="106"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If Mr. Kapoor’s employment terminates due to his death or is terminated by either the executve or us due to his disability, he (or his estate) will be enttled to a prorated porton of his projected bonus amount for the year of terminaton.</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Noncompetton and non-solicitaton provisions</w:t>
      </w:r>
    </w:p>
    <w:p>
      <w:pPr>
        <w:spacing w:after="0" w:line="106"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Mr. Kapoor is subject to confdentality and non-disparagement restrictons at all tmes, as well as noncompetton and non-solicitaton restrictons during his employment and for one year thereafer.</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Annual equity awards</w:t>
      </w:r>
    </w:p>
    <w:p>
      <w:pPr>
        <w:spacing w:after="0" w:line="106"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If Mr. Kapoor’s employment is terminated by us without cause or by Mr. Kapoor for good reason, Mr. Kapoor will be treated as if he was stll employed by the Company for a period of twenty-seven months following the terminaton date. On a “change in control” (as defned in the 2006 Plan, 2015 Plan, or 2018 Plan, as applicable), retrement (as defned below), or on death, Mr. Kapoor’s outstanding annual equity awards will vest as described below:</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Time-Vested RSUs</w:t>
      </w:r>
    </w:p>
    <w:p>
      <w:pPr>
        <w:spacing w:after="0" w:line="106"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If a change in control occurs prior to the end of the four-year vestng period, Mr. Kapoor’s Time-Vested RSUs will be advanced by one year. In additon, all of Mr. Kapoor’s outstanding Time-Vested RSUs will become fully vested if he is terminated without cause in specifc contemplaton of or within 12 months following a change in control, or he voluntarily terminates his employment for good reason within 12 months following a change in control. If Mr. Kapoor dies before the end of the four-year vestng period, all of Mr. Kapoor’s outstanding Time-Vested RSUs will become fully vested. If Mr. Kapoor retres and the applicable award has been outstanding for at least 6 months, Mr. Kapoor will become fully vested in any unvested RSUs that would have vested within the next 12 months absent his retrement.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Revenue-Linked PRSUs</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If a change in control occurs prior to the end of the performance period, 100% of target of Mr. Kapoor’s Revenue-Linked PRSUs will be deemed earned, will be subject to a three-year installment vestng schedule and will be advanced by one year under such schedule. In additon, all of Mr. Kapoor’s outstanding Revenue-Linked PRSUs will become fully vested if, (i) he is terminated without cause in specifc contemplaton of or within 12 months following a change in control; (ii) he voluntarily terminates his employment for good reason within 12 months following a change in control; or (iii) he dies following a change in control. If Mr. Kapoor dies prior to the end of the performance period and no change in control has occurred, Mr. Kapoor will become vested in a porton of the outstanding Revenue-Linked PRSUs equal to (x) the number of completed full months during the three-year performance period up to the date of Mr. Kapoor’s death divided by (y) 36 multplied by (z) 100% of Mr. Kapoor’s Revenue-Linked PRSUs. If Mr. Kapoor retres and the award has been outstanding for at least 6 months, Mr. Kapoor will become vested in a porton of the outstanding Revenue-Linked PRSUs equal to (x) the number of years of service completed by Mr. Kapoor from the grant date (rounding up to the closest whole number) divided by (y) 3 multplied by (z) the number of Revenue-Linked PRSUs earned based on actual performance.</w:t>
      </w:r>
    </w:p>
    <w:p>
      <w:pPr>
        <w:spacing w:after="0" w:line="131"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92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Relatve TSR-Linked PRSUs</w:t>
      </w:r>
    </w:p>
    <w:p>
      <w:pPr>
        <w:spacing w:after="0" w:line="106"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If a change in control occurs on or prior to the frst anniversary of the grant date, 100% of target of Mr. Kapoor’s Relatve TSR-Linked PRSUs will be deemed earned. If a change in control occurs afer the frst anniversary of the grant date, the performance period will be deemed to end on the date of the change in control and the Compensaton Commitee will determine the number of earned Relatve TSR-Linked PRSUs based on the TSR of the Company and the peer group as of such date. In either scenario, the Relatve TSR-Linked PRSUs that are deemed earned will be subject to a three year installment vestng schedule and will be advanced by one year under such schedule. In additon, all of Mr. Kapoor’s outstanding Relatve TSR-Linked PRSUs will become fully vested if, following or in specifc contemplaton of a change in control, he is terminated without cause or, following a change in control, he (i) voluntarily terminates his employment for good reason or (ii) dies. If Mr. Kapoor dies prior to the end of the performance period and no change in control has occurred, Mr. Kapoor will become vested in a porton of the outstanding Relatve TSR-Linked PRSUs equal to (x) the number of completed full months during the 3 year performance period up to the date of Mr. Kapoor’s death divided by (y) 36 multplied by (z) 100% of Mr. Kapoor’s Relatve TSR-Linked PRSUs. If Mr. Kapoor retres and the award has been outstanding for at least 6 months, Mr. Kapoor will become vested in a porton of the outstanding Revenue-Linked PRSUs equal to (x) the number of years of service completed by Mr. Kapoor from the grant date (rounding up to the closest whole number) divided by (y) 3 multplied by (z) the number of Revenue-Linked PRSUs earned based on actual performance.</w:t>
      </w:r>
    </w:p>
    <w:p>
      <w:pPr>
        <w:spacing w:after="0" w:line="318"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Release of claims</w:t>
      </w:r>
    </w:p>
    <w:p>
      <w:pPr>
        <w:spacing w:after="0" w:line="106"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Mr. Kapoor’s severance payments and terminaton-related equity acceleraton are subject to his executon of a release of claims against us, his not having commited a material breach of the restrictve covenants that has remained uncured for 15 days afer we have given him notce of such breach and his resignaton from the board of directors and all commitees thereof, if requested by the Company.</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Code Secton 280G</w:t>
      </w:r>
    </w:p>
    <w:p>
      <w:pPr>
        <w:spacing w:after="0" w:line="106" w:lineRule="exact"/>
        <w:rPr>
          <w:sz w:val="20"/>
          <w:szCs w:val="20"/>
          <w:color w:val="auto"/>
        </w:rPr>
      </w:pPr>
    </w:p>
    <w:p>
      <w:pPr>
        <w:ind w:left="320" w:right="160"/>
        <w:spacing w:after="0" w:line="262" w:lineRule="auto"/>
        <w:rPr>
          <w:sz w:val="20"/>
          <w:szCs w:val="20"/>
          <w:color w:val="auto"/>
        </w:rPr>
      </w:pPr>
      <w:r>
        <w:rPr>
          <w:rFonts w:ascii="Calibri" w:cs="Calibri" w:eastAsia="Calibri" w:hAnsi="Calibri"/>
          <w:sz w:val="16"/>
          <w:szCs w:val="16"/>
          <w:color w:val="auto"/>
        </w:rPr>
        <w:t>Mr. Kapoor’s employment agreement also contains a “modifed cut-back” provision such that any payments that consttute “excess parachute payments” under Secton 280G of the Code will be reduced to an amount that does not trigger the applicable excise taxes, to the extent such reduced amount is larger than the amount Mr. Kapoor would have received on a present-value net-afer-tax basis (including excise taxes) absent such a reducton.</w:t>
      </w:r>
    </w:p>
    <w:p>
      <w:pPr>
        <w:spacing w:after="0" w:line="109"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93</w:t>
            </w:r>
          </w:p>
        </w:tc>
      </w:tr>
    </w:tbl>
    <w:p>
      <w:pPr>
        <w:sectPr>
          <w:pgSz w:w="11900" w:h="16838" w:orient="portrait"/>
          <w:cols w:equalWidth="0" w:num="1">
            <w:col w:w="10940"/>
          </w:cols>
          <w:pgMar w:left="320" w:top="445" w:right="6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Rohit Kapoor</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center"/>
              <w:ind w:left="71"/>
              <w:spacing w:after="0"/>
              <w:rPr>
                <w:sz w:val="20"/>
                <w:szCs w:val="20"/>
                <w:color w:val="auto"/>
              </w:rPr>
            </w:pPr>
            <w:r>
              <w:rPr>
                <w:rFonts w:ascii="Calibri" w:cs="Calibri" w:eastAsia="Calibri" w:hAnsi="Calibri"/>
                <w:sz w:val="14"/>
                <w:szCs w:val="14"/>
                <w:b w:val="1"/>
                <w:bCs w:val="1"/>
                <w:color w:val="auto"/>
              </w:rPr>
              <w:t>Terminaton</w:t>
            </w:r>
          </w:p>
        </w:tc>
      </w:tr>
      <w:tr>
        <w:trPr>
          <w:trHeight w:val="169"/>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center"/>
              <w:ind w:left="71"/>
              <w:spacing w:after="0" w:line="169" w:lineRule="exact"/>
              <w:rPr>
                <w:sz w:val="20"/>
                <w:szCs w:val="20"/>
                <w:color w:val="auto"/>
              </w:rPr>
            </w:pPr>
            <w:r>
              <w:rPr>
                <w:rFonts w:ascii="Calibri" w:cs="Calibri" w:eastAsia="Calibri" w:hAnsi="Calibri"/>
                <w:sz w:val="14"/>
                <w:szCs w:val="14"/>
                <w:b w:val="1"/>
                <w:bCs w:val="1"/>
                <w:color w:val="auto"/>
                <w:w w:val="99"/>
              </w:rPr>
              <w:t>without cause or for</w:t>
            </w:r>
          </w:p>
        </w:tc>
      </w:tr>
      <w:tr>
        <w:trPr>
          <w:trHeight w:val="169"/>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center"/>
              <w:ind w:left="71"/>
              <w:spacing w:after="0" w:line="169" w:lineRule="exact"/>
              <w:rPr>
                <w:sz w:val="20"/>
                <w:szCs w:val="20"/>
                <w:color w:val="auto"/>
              </w:rPr>
            </w:pPr>
            <w:r>
              <w:rPr>
                <w:rFonts w:ascii="Calibri" w:cs="Calibri" w:eastAsia="Calibri" w:hAnsi="Calibri"/>
                <w:sz w:val="14"/>
                <w:szCs w:val="14"/>
                <w:b w:val="1"/>
                <w:bCs w:val="1"/>
                <w:color w:val="auto"/>
                <w:w w:val="97"/>
              </w:rPr>
              <w:t>good reason</w:t>
            </w:r>
          </w:p>
        </w:tc>
      </w:tr>
      <w:tr>
        <w:trPr>
          <w:trHeight w:val="169"/>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center"/>
              <w:ind w:left="71"/>
              <w:spacing w:after="0" w:line="169" w:lineRule="exact"/>
              <w:rPr>
                <w:sz w:val="20"/>
                <w:szCs w:val="20"/>
                <w:color w:val="auto"/>
              </w:rPr>
            </w:pPr>
            <w:r>
              <w:rPr>
                <w:rFonts w:ascii="Calibri" w:cs="Calibri" w:eastAsia="Calibri" w:hAnsi="Calibri"/>
                <w:sz w:val="14"/>
                <w:szCs w:val="14"/>
                <w:b w:val="1"/>
                <w:bCs w:val="1"/>
                <w:color w:val="auto"/>
                <w:w w:val="98"/>
              </w:rPr>
              <w:t>following change</w:t>
            </w:r>
          </w:p>
        </w:tc>
      </w:tr>
      <w:tr>
        <w:trPr>
          <w:trHeight w:val="169"/>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center"/>
              <w:ind w:left="71"/>
              <w:spacing w:after="0" w:line="169" w:lineRule="exact"/>
              <w:rPr>
                <w:sz w:val="20"/>
                <w:szCs w:val="20"/>
                <w:color w:val="auto"/>
              </w:rPr>
            </w:pPr>
            <w:r>
              <w:rPr>
                <w:rFonts w:ascii="Calibri" w:cs="Calibri" w:eastAsia="Calibri" w:hAnsi="Calibri"/>
                <w:sz w:val="14"/>
                <w:szCs w:val="14"/>
                <w:b w:val="1"/>
                <w:bCs w:val="1"/>
                <w:color w:val="auto"/>
                <w:w w:val="97"/>
              </w:rPr>
              <w:t>in control or</w:t>
            </w:r>
          </w:p>
        </w:tc>
      </w:tr>
      <w:tr>
        <w:trPr>
          <w:trHeight w:val="169"/>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center"/>
              <w:ind w:left="51"/>
              <w:spacing w:after="0" w:line="169" w:lineRule="exact"/>
              <w:rPr>
                <w:sz w:val="20"/>
                <w:szCs w:val="20"/>
                <w:color w:val="auto"/>
              </w:rPr>
            </w:pPr>
            <w:r>
              <w:rPr>
                <w:rFonts w:ascii="Calibri" w:cs="Calibri" w:eastAsia="Calibri" w:hAnsi="Calibri"/>
                <w:sz w:val="14"/>
                <w:szCs w:val="14"/>
                <w:b w:val="1"/>
                <w:bCs w:val="1"/>
                <w:color w:val="auto"/>
              </w:rPr>
              <w:t>terminaton</w:t>
            </w:r>
          </w:p>
        </w:tc>
      </w:tr>
      <w:tr>
        <w:trPr>
          <w:trHeight w:val="169"/>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center"/>
              <w:ind w:left="71"/>
              <w:spacing w:after="0" w:line="169" w:lineRule="exact"/>
              <w:rPr>
                <w:sz w:val="20"/>
                <w:szCs w:val="20"/>
                <w:color w:val="auto"/>
              </w:rPr>
            </w:pPr>
            <w:r>
              <w:rPr>
                <w:rFonts w:ascii="Calibri" w:cs="Calibri" w:eastAsia="Calibri" w:hAnsi="Calibri"/>
                <w:sz w:val="14"/>
                <w:szCs w:val="14"/>
                <w:b w:val="1"/>
                <w:bCs w:val="1"/>
                <w:color w:val="auto"/>
                <w:w w:val="97"/>
              </w:rPr>
              <w:t>without cause in</w:t>
            </w:r>
          </w:p>
        </w:tc>
      </w:tr>
      <w:tr>
        <w:trPr>
          <w:trHeight w:val="169"/>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jc w:val="center"/>
              <w:ind w:left="71"/>
              <w:spacing w:after="0" w:line="169" w:lineRule="exact"/>
              <w:rPr>
                <w:sz w:val="20"/>
                <w:szCs w:val="20"/>
                <w:color w:val="auto"/>
              </w:rPr>
            </w:pPr>
            <w:r>
              <w:rPr>
                <w:rFonts w:ascii="Calibri" w:cs="Calibri" w:eastAsia="Calibri" w:hAnsi="Calibri"/>
                <w:sz w:val="14"/>
                <w:szCs w:val="14"/>
                <w:b w:val="1"/>
                <w:bCs w:val="1"/>
                <w:color w:val="auto"/>
              </w:rPr>
              <w:t>specifc</w:t>
            </w:r>
          </w:p>
        </w:tc>
      </w:tr>
      <w:tr>
        <w:trPr>
          <w:trHeight w:val="169"/>
        </w:trPr>
        <w:tc>
          <w:tcPr>
            <w:tcW w:w="4120" w:type="dxa"/>
            <w:vAlign w:val="bottom"/>
          </w:tcPr>
          <w:p>
            <w:pPr>
              <w:spacing w:after="0"/>
              <w:rPr>
                <w:sz w:val="14"/>
                <w:szCs w:val="14"/>
                <w:color w:val="auto"/>
              </w:rPr>
            </w:pPr>
          </w:p>
        </w:tc>
        <w:tc>
          <w:tcPr>
            <w:tcW w:w="1120" w:type="dxa"/>
            <w:vAlign w:val="bottom"/>
          </w:tcPr>
          <w:p>
            <w:pPr>
              <w:jc w:val="center"/>
              <w:ind w:left="91"/>
              <w:spacing w:after="0" w:line="169" w:lineRule="exact"/>
              <w:rPr>
                <w:sz w:val="20"/>
                <w:szCs w:val="20"/>
                <w:color w:val="auto"/>
              </w:rPr>
            </w:pPr>
            <w:r>
              <w:rPr>
                <w:rFonts w:ascii="Calibri" w:cs="Calibri" w:eastAsia="Calibri" w:hAnsi="Calibri"/>
                <w:sz w:val="14"/>
                <w:szCs w:val="14"/>
                <w:b w:val="1"/>
                <w:bCs w:val="1"/>
                <w:color w:val="auto"/>
                <w:w w:val="99"/>
              </w:rPr>
              <w:t>Death prior to a</w:t>
            </w:r>
          </w:p>
        </w:tc>
        <w:tc>
          <w:tcPr>
            <w:tcW w:w="980" w:type="dxa"/>
            <w:vAlign w:val="bottom"/>
          </w:tcPr>
          <w:p>
            <w:pPr>
              <w:jc w:val="center"/>
              <w:ind w:left="91"/>
              <w:spacing w:after="0" w:line="169" w:lineRule="exact"/>
              <w:rPr>
                <w:sz w:val="20"/>
                <w:szCs w:val="20"/>
                <w:color w:val="auto"/>
              </w:rPr>
            </w:pPr>
            <w:r>
              <w:rPr>
                <w:rFonts w:ascii="Calibri" w:cs="Calibri" w:eastAsia="Calibri" w:hAnsi="Calibri"/>
                <w:sz w:val="14"/>
                <w:szCs w:val="14"/>
                <w:b w:val="1"/>
                <w:bCs w:val="1"/>
                <w:color w:val="auto"/>
              </w:rPr>
              <w:t>Death afer a</w:t>
            </w:r>
          </w:p>
        </w:tc>
        <w:tc>
          <w:tcPr>
            <w:tcW w:w="900" w:type="dxa"/>
            <w:vAlign w:val="bottom"/>
          </w:tcPr>
          <w:p>
            <w:pPr>
              <w:spacing w:after="0"/>
              <w:rPr>
                <w:sz w:val="14"/>
                <w:szCs w:val="14"/>
                <w:color w:val="auto"/>
              </w:rPr>
            </w:pPr>
          </w:p>
        </w:tc>
        <w:tc>
          <w:tcPr>
            <w:tcW w:w="1140" w:type="dxa"/>
            <w:vAlign w:val="bottom"/>
          </w:tcPr>
          <w:p>
            <w:pPr>
              <w:jc w:val="center"/>
              <w:ind w:left="31"/>
              <w:spacing w:after="0" w:line="169" w:lineRule="exact"/>
              <w:rPr>
                <w:sz w:val="20"/>
                <w:szCs w:val="20"/>
                <w:color w:val="auto"/>
              </w:rPr>
            </w:pPr>
            <w:r>
              <w:rPr>
                <w:rFonts w:ascii="Calibri" w:cs="Calibri" w:eastAsia="Calibri" w:hAnsi="Calibri"/>
                <w:sz w:val="14"/>
                <w:szCs w:val="14"/>
                <w:b w:val="1"/>
                <w:bCs w:val="1"/>
                <w:color w:val="auto"/>
                <w:w w:val="99"/>
              </w:rPr>
              <w:t>Terminaton for</w:t>
            </w:r>
          </w:p>
        </w:tc>
        <w:tc>
          <w:tcPr>
            <w:tcW w:w="960" w:type="dxa"/>
            <w:vAlign w:val="bottom"/>
          </w:tcPr>
          <w:p>
            <w:pPr>
              <w:spacing w:after="0"/>
              <w:rPr>
                <w:sz w:val="14"/>
                <w:szCs w:val="14"/>
                <w:color w:val="auto"/>
              </w:rPr>
            </w:pPr>
          </w:p>
        </w:tc>
        <w:tc>
          <w:tcPr>
            <w:tcW w:w="1400" w:type="dxa"/>
            <w:vAlign w:val="bottom"/>
          </w:tcPr>
          <w:p>
            <w:pPr>
              <w:jc w:val="center"/>
              <w:ind w:left="71"/>
              <w:spacing w:after="0" w:line="169" w:lineRule="exact"/>
              <w:rPr>
                <w:sz w:val="20"/>
                <w:szCs w:val="20"/>
                <w:color w:val="auto"/>
              </w:rPr>
            </w:pPr>
            <w:r>
              <w:rPr>
                <w:rFonts w:ascii="Calibri" w:cs="Calibri" w:eastAsia="Calibri" w:hAnsi="Calibri"/>
                <w:sz w:val="14"/>
                <w:szCs w:val="14"/>
                <w:b w:val="1"/>
                <w:bCs w:val="1"/>
                <w:color w:val="auto"/>
              </w:rPr>
              <w:t>contemplaton of</w:t>
            </w:r>
          </w:p>
        </w:tc>
      </w:tr>
      <w:tr>
        <w:trPr>
          <w:trHeight w:val="169"/>
        </w:trPr>
        <w:tc>
          <w:tcPr>
            <w:tcW w:w="4120" w:type="dxa"/>
            <w:vAlign w:val="bottom"/>
          </w:tcPr>
          <w:p>
            <w:pPr>
              <w:spacing w:after="0"/>
              <w:rPr>
                <w:sz w:val="14"/>
                <w:szCs w:val="14"/>
                <w:color w:val="auto"/>
              </w:rPr>
            </w:pPr>
          </w:p>
        </w:tc>
        <w:tc>
          <w:tcPr>
            <w:tcW w:w="1120" w:type="dxa"/>
            <w:vAlign w:val="bottom"/>
          </w:tcPr>
          <w:p>
            <w:pPr>
              <w:jc w:val="center"/>
              <w:ind w:left="91"/>
              <w:spacing w:after="0" w:line="169" w:lineRule="exact"/>
              <w:rPr>
                <w:sz w:val="20"/>
                <w:szCs w:val="20"/>
                <w:color w:val="auto"/>
              </w:rPr>
            </w:pPr>
            <w:r>
              <w:rPr>
                <w:rFonts w:ascii="Calibri" w:cs="Calibri" w:eastAsia="Calibri" w:hAnsi="Calibri"/>
                <w:sz w:val="14"/>
                <w:szCs w:val="14"/>
                <w:b w:val="1"/>
                <w:bCs w:val="1"/>
                <w:color w:val="auto"/>
              </w:rPr>
              <w:t>change in</w:t>
            </w:r>
          </w:p>
        </w:tc>
        <w:tc>
          <w:tcPr>
            <w:tcW w:w="980" w:type="dxa"/>
            <w:vAlign w:val="bottom"/>
          </w:tcPr>
          <w:p>
            <w:pPr>
              <w:jc w:val="center"/>
              <w:ind w:left="91"/>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900" w:type="dxa"/>
            <w:vAlign w:val="bottom"/>
          </w:tcPr>
          <w:p>
            <w:pPr>
              <w:spacing w:after="0"/>
              <w:rPr>
                <w:sz w:val="14"/>
                <w:szCs w:val="14"/>
                <w:color w:val="auto"/>
              </w:rPr>
            </w:pPr>
          </w:p>
        </w:tc>
        <w:tc>
          <w:tcPr>
            <w:tcW w:w="1140" w:type="dxa"/>
            <w:vAlign w:val="bottom"/>
          </w:tcPr>
          <w:p>
            <w:pPr>
              <w:jc w:val="center"/>
              <w:ind w:left="51"/>
              <w:spacing w:after="0" w:line="169" w:lineRule="exact"/>
              <w:rPr>
                <w:sz w:val="20"/>
                <w:szCs w:val="20"/>
                <w:color w:val="auto"/>
              </w:rPr>
            </w:pPr>
            <w:r>
              <w:rPr>
                <w:rFonts w:ascii="Calibri" w:cs="Calibri" w:eastAsia="Calibri" w:hAnsi="Calibri"/>
                <w:sz w:val="14"/>
                <w:szCs w:val="14"/>
                <w:b w:val="1"/>
                <w:bCs w:val="1"/>
                <w:color w:val="auto"/>
                <w:w w:val="98"/>
              </w:rPr>
              <w:t>good reason or</w:t>
            </w:r>
          </w:p>
        </w:tc>
        <w:tc>
          <w:tcPr>
            <w:tcW w:w="960" w:type="dxa"/>
            <w:vAlign w:val="bottom"/>
          </w:tcPr>
          <w:p>
            <w:pPr>
              <w:jc w:val="center"/>
              <w:ind w:left="51"/>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400" w:type="dxa"/>
            <w:vAlign w:val="bottom"/>
          </w:tcPr>
          <w:p>
            <w:pPr>
              <w:jc w:val="center"/>
              <w:ind w:left="71"/>
              <w:spacing w:after="0" w:line="169" w:lineRule="exact"/>
              <w:rPr>
                <w:sz w:val="20"/>
                <w:szCs w:val="20"/>
                <w:color w:val="auto"/>
              </w:rPr>
            </w:pPr>
            <w:r>
              <w:rPr>
                <w:rFonts w:ascii="Calibri" w:cs="Calibri" w:eastAsia="Calibri" w:hAnsi="Calibri"/>
                <w:sz w:val="14"/>
                <w:szCs w:val="14"/>
                <w:b w:val="1"/>
                <w:bCs w:val="1"/>
                <w:color w:val="auto"/>
                <w:w w:val="97"/>
              </w:rPr>
              <w:t>change in</w:t>
            </w:r>
          </w:p>
        </w:tc>
      </w:tr>
      <w:tr>
        <w:trPr>
          <w:trHeight w:val="169"/>
        </w:trPr>
        <w:tc>
          <w:tcPr>
            <w:tcW w:w="412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FB4E0B"/>
              </w:rPr>
              <w:t>Payments upon</w:t>
            </w:r>
          </w:p>
        </w:tc>
        <w:tc>
          <w:tcPr>
            <w:tcW w:w="1120" w:type="dxa"/>
            <w:vAlign w:val="bottom"/>
          </w:tcPr>
          <w:p>
            <w:pPr>
              <w:jc w:val="center"/>
              <w:ind w:left="91"/>
              <w:spacing w:after="0" w:line="169" w:lineRule="exact"/>
              <w:rPr>
                <w:sz w:val="20"/>
                <w:szCs w:val="20"/>
                <w:color w:val="auto"/>
              </w:rPr>
            </w:pPr>
            <w:r>
              <w:rPr>
                <w:rFonts w:ascii="Calibri" w:cs="Calibri" w:eastAsia="Calibri" w:hAnsi="Calibri"/>
                <w:sz w:val="14"/>
                <w:szCs w:val="14"/>
                <w:b w:val="1"/>
                <w:bCs w:val="1"/>
                <w:color w:val="auto"/>
                <w:w w:val="95"/>
              </w:rPr>
              <w:t>control</w:t>
            </w:r>
          </w:p>
        </w:tc>
        <w:tc>
          <w:tcPr>
            <w:tcW w:w="980" w:type="dxa"/>
            <w:vAlign w:val="bottom"/>
          </w:tcPr>
          <w:p>
            <w:pPr>
              <w:jc w:val="center"/>
              <w:ind w:left="91"/>
              <w:spacing w:after="0" w:line="169" w:lineRule="exact"/>
              <w:rPr>
                <w:sz w:val="20"/>
                <w:szCs w:val="20"/>
                <w:color w:val="auto"/>
              </w:rPr>
            </w:pPr>
            <w:r>
              <w:rPr>
                <w:rFonts w:ascii="Calibri" w:cs="Calibri" w:eastAsia="Calibri" w:hAnsi="Calibri"/>
                <w:sz w:val="14"/>
                <w:szCs w:val="14"/>
                <w:b w:val="1"/>
                <w:bCs w:val="1"/>
                <w:color w:val="auto"/>
              </w:rPr>
              <w:t>control</w:t>
            </w:r>
          </w:p>
        </w:tc>
        <w:tc>
          <w:tcPr>
            <w:tcW w:w="900" w:type="dxa"/>
            <w:vAlign w:val="bottom"/>
          </w:tcPr>
          <w:p>
            <w:pPr>
              <w:jc w:val="right"/>
              <w:ind w:right="51"/>
              <w:spacing w:after="0" w:line="169" w:lineRule="exact"/>
              <w:rPr>
                <w:sz w:val="20"/>
                <w:szCs w:val="20"/>
                <w:color w:val="auto"/>
              </w:rPr>
            </w:pPr>
            <w:r>
              <w:rPr>
                <w:rFonts w:ascii="Calibri" w:cs="Calibri" w:eastAsia="Calibri" w:hAnsi="Calibri"/>
                <w:sz w:val="14"/>
                <w:szCs w:val="14"/>
                <w:b w:val="1"/>
                <w:bCs w:val="1"/>
                <w:color w:val="auto"/>
              </w:rPr>
              <w:t>Disability</w:t>
            </w:r>
          </w:p>
        </w:tc>
        <w:tc>
          <w:tcPr>
            <w:tcW w:w="1140" w:type="dxa"/>
            <w:vAlign w:val="bottom"/>
          </w:tcPr>
          <w:p>
            <w:pPr>
              <w:jc w:val="center"/>
              <w:ind w:left="31"/>
              <w:spacing w:after="0" w:line="169" w:lineRule="exact"/>
              <w:rPr>
                <w:sz w:val="20"/>
                <w:szCs w:val="20"/>
                <w:color w:val="auto"/>
              </w:rPr>
            </w:pPr>
            <w:r>
              <w:rPr>
                <w:rFonts w:ascii="Calibri" w:cs="Calibri" w:eastAsia="Calibri" w:hAnsi="Calibri"/>
                <w:sz w:val="14"/>
                <w:szCs w:val="14"/>
                <w:b w:val="1"/>
                <w:bCs w:val="1"/>
                <w:color w:val="auto"/>
                <w:w w:val="97"/>
              </w:rPr>
              <w:t>without cause</w:t>
            </w:r>
          </w:p>
        </w:tc>
        <w:tc>
          <w:tcPr>
            <w:tcW w:w="960" w:type="dxa"/>
            <w:vAlign w:val="bottom"/>
          </w:tcPr>
          <w:p>
            <w:pPr>
              <w:jc w:val="center"/>
              <w:ind w:left="51"/>
              <w:spacing w:after="0" w:line="169" w:lineRule="exact"/>
              <w:rPr>
                <w:sz w:val="20"/>
                <w:szCs w:val="20"/>
                <w:color w:val="auto"/>
              </w:rPr>
            </w:pPr>
            <w:r>
              <w:rPr>
                <w:rFonts w:ascii="Calibri" w:cs="Calibri" w:eastAsia="Calibri" w:hAnsi="Calibri"/>
                <w:sz w:val="14"/>
                <w:szCs w:val="14"/>
                <w:b w:val="1"/>
                <w:bCs w:val="1"/>
                <w:color w:val="auto"/>
                <w:w w:val="95"/>
              </w:rPr>
              <w:t>control</w:t>
            </w:r>
          </w:p>
        </w:tc>
        <w:tc>
          <w:tcPr>
            <w:tcW w:w="1400" w:type="dxa"/>
            <w:vAlign w:val="bottom"/>
          </w:tcPr>
          <w:p>
            <w:pPr>
              <w:jc w:val="center"/>
              <w:ind w:left="71"/>
              <w:spacing w:after="0" w:line="169" w:lineRule="exact"/>
              <w:rPr>
                <w:sz w:val="20"/>
                <w:szCs w:val="20"/>
                <w:color w:val="auto"/>
              </w:rPr>
            </w:pPr>
            <w:r>
              <w:rPr>
                <w:rFonts w:ascii="Calibri" w:cs="Calibri" w:eastAsia="Calibri" w:hAnsi="Calibri"/>
                <w:sz w:val="14"/>
                <w:szCs w:val="14"/>
                <w:b w:val="1"/>
                <w:bCs w:val="1"/>
                <w:color w:val="auto"/>
              </w:rPr>
              <w:t>control</w:t>
            </w:r>
          </w:p>
        </w:tc>
      </w:tr>
      <w:tr>
        <w:trPr>
          <w:trHeight w:val="169"/>
        </w:trPr>
        <w:tc>
          <w:tcPr>
            <w:tcW w:w="412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FB4E0B"/>
              </w:rPr>
              <w:t>terminaton</w:t>
            </w:r>
          </w:p>
        </w:tc>
        <w:tc>
          <w:tcPr>
            <w:tcW w:w="1120" w:type="dxa"/>
            <w:vAlign w:val="bottom"/>
          </w:tcPr>
          <w:p>
            <w:pPr>
              <w:jc w:val="center"/>
              <w:ind w:left="91"/>
              <w:spacing w:after="0" w:line="169" w:lineRule="exact"/>
              <w:rPr>
                <w:sz w:val="20"/>
                <w:szCs w:val="20"/>
                <w:color w:val="auto"/>
              </w:rPr>
            </w:pPr>
            <w:r>
              <w:rPr>
                <w:rFonts w:ascii="Calibri" w:cs="Calibri" w:eastAsia="Calibri" w:hAnsi="Calibri"/>
                <w:sz w:val="14"/>
                <w:szCs w:val="14"/>
                <w:b w:val="1"/>
                <w:bCs w:val="1"/>
                <w:color w:val="auto"/>
              </w:rPr>
              <w:t>($)</w:t>
            </w:r>
          </w:p>
        </w:tc>
        <w:tc>
          <w:tcPr>
            <w:tcW w:w="980" w:type="dxa"/>
            <w:vAlign w:val="bottom"/>
          </w:tcPr>
          <w:p>
            <w:pPr>
              <w:jc w:val="center"/>
              <w:ind w:left="91"/>
              <w:spacing w:after="0" w:line="169" w:lineRule="exact"/>
              <w:rPr>
                <w:sz w:val="20"/>
                <w:szCs w:val="20"/>
                <w:color w:val="auto"/>
              </w:rPr>
            </w:pPr>
            <w:r>
              <w:rPr>
                <w:rFonts w:ascii="Calibri" w:cs="Calibri" w:eastAsia="Calibri" w:hAnsi="Calibri"/>
                <w:sz w:val="14"/>
                <w:szCs w:val="14"/>
                <w:b w:val="1"/>
                <w:bCs w:val="1"/>
                <w:color w:val="auto"/>
                <w:w w:val="88"/>
              </w:rPr>
              <w:t>($)</w:t>
            </w:r>
          </w:p>
        </w:tc>
        <w:tc>
          <w:tcPr>
            <w:tcW w:w="900" w:type="dxa"/>
            <w:vAlign w:val="bottom"/>
          </w:tcPr>
          <w:p>
            <w:pPr>
              <w:jc w:val="right"/>
              <w:ind w:right="251"/>
              <w:spacing w:after="0" w:line="169" w:lineRule="exact"/>
              <w:rPr>
                <w:sz w:val="20"/>
                <w:szCs w:val="20"/>
                <w:color w:val="auto"/>
              </w:rPr>
            </w:pPr>
            <w:r>
              <w:rPr>
                <w:rFonts w:ascii="Calibri" w:cs="Calibri" w:eastAsia="Calibri" w:hAnsi="Calibri"/>
                <w:sz w:val="14"/>
                <w:szCs w:val="14"/>
                <w:b w:val="1"/>
                <w:bCs w:val="1"/>
                <w:color w:val="auto"/>
              </w:rPr>
              <w:t>($)</w:t>
            </w:r>
          </w:p>
        </w:tc>
        <w:tc>
          <w:tcPr>
            <w:tcW w:w="1140" w:type="dxa"/>
            <w:vAlign w:val="bottom"/>
          </w:tcPr>
          <w:p>
            <w:pPr>
              <w:jc w:val="center"/>
              <w:ind w:left="31"/>
              <w:spacing w:after="0" w:line="169" w:lineRule="exact"/>
              <w:rPr>
                <w:sz w:val="20"/>
                <w:szCs w:val="20"/>
                <w:color w:val="auto"/>
              </w:rPr>
            </w:pPr>
            <w:r>
              <w:rPr>
                <w:rFonts w:ascii="Calibri" w:cs="Calibri" w:eastAsia="Calibri" w:hAnsi="Calibri"/>
                <w:sz w:val="14"/>
                <w:szCs w:val="14"/>
                <w:b w:val="1"/>
                <w:bCs w:val="1"/>
                <w:color w:val="auto"/>
              </w:rPr>
              <w:t>($)</w:t>
            </w:r>
          </w:p>
        </w:tc>
        <w:tc>
          <w:tcPr>
            <w:tcW w:w="960" w:type="dxa"/>
            <w:vAlign w:val="bottom"/>
          </w:tcPr>
          <w:p>
            <w:pPr>
              <w:jc w:val="center"/>
              <w:ind w:left="51"/>
              <w:spacing w:after="0" w:line="169" w:lineRule="exact"/>
              <w:rPr>
                <w:sz w:val="20"/>
                <w:szCs w:val="20"/>
                <w:color w:val="auto"/>
              </w:rPr>
            </w:pPr>
            <w:r>
              <w:rPr>
                <w:rFonts w:ascii="Calibri" w:cs="Calibri" w:eastAsia="Calibri" w:hAnsi="Calibri"/>
                <w:sz w:val="14"/>
                <w:szCs w:val="14"/>
                <w:b w:val="1"/>
                <w:bCs w:val="1"/>
                <w:color w:val="auto"/>
              </w:rPr>
              <w:t>($)</w:t>
            </w:r>
          </w:p>
        </w:tc>
        <w:tc>
          <w:tcPr>
            <w:tcW w:w="1400" w:type="dxa"/>
            <w:vAlign w:val="bottom"/>
          </w:tcPr>
          <w:p>
            <w:pPr>
              <w:jc w:val="center"/>
              <w:ind w:left="51"/>
              <w:spacing w:after="0" w:line="169" w:lineRule="exact"/>
              <w:rPr>
                <w:sz w:val="20"/>
                <w:szCs w:val="20"/>
                <w:color w:val="auto"/>
              </w:rPr>
            </w:pPr>
            <w:r>
              <w:rPr>
                <w:rFonts w:ascii="Calibri" w:cs="Calibri" w:eastAsia="Calibri" w:hAnsi="Calibri"/>
                <w:sz w:val="14"/>
                <w:szCs w:val="14"/>
                <w:b w:val="1"/>
                <w:bCs w:val="1"/>
                <w:color w:val="auto"/>
              </w:rPr>
              <w:t>($)</w:t>
            </w:r>
          </w:p>
        </w:tc>
      </w:tr>
      <w:tr>
        <w:trPr>
          <w:trHeight w:val="102"/>
        </w:trPr>
        <w:tc>
          <w:tcPr>
            <w:tcW w:w="4120" w:type="dxa"/>
            <w:vAlign w:val="bottom"/>
            <w:tcBorders>
              <w:bottom w:val="single" w:sz="8" w:color="FB4E0B"/>
            </w:tcBorders>
          </w:tcPr>
          <w:p>
            <w:pPr>
              <w:spacing w:after="0"/>
              <w:rPr>
                <w:sz w:val="8"/>
                <w:szCs w:val="8"/>
                <w:color w:val="auto"/>
              </w:rPr>
            </w:pPr>
          </w:p>
        </w:tc>
        <w:tc>
          <w:tcPr>
            <w:tcW w:w="1120" w:type="dxa"/>
            <w:vAlign w:val="bottom"/>
            <w:tcBorders>
              <w:bottom w:val="single" w:sz="8" w:color="FB4E0B"/>
            </w:tcBorders>
          </w:tcPr>
          <w:p>
            <w:pPr>
              <w:spacing w:after="0"/>
              <w:rPr>
                <w:sz w:val="8"/>
                <w:szCs w:val="8"/>
                <w:color w:val="auto"/>
              </w:rPr>
            </w:pPr>
          </w:p>
        </w:tc>
        <w:tc>
          <w:tcPr>
            <w:tcW w:w="980" w:type="dxa"/>
            <w:vAlign w:val="bottom"/>
            <w:tcBorders>
              <w:bottom w:val="single" w:sz="8" w:color="FB4E0B"/>
            </w:tcBorders>
          </w:tcPr>
          <w:p>
            <w:pPr>
              <w:spacing w:after="0"/>
              <w:rPr>
                <w:sz w:val="8"/>
                <w:szCs w:val="8"/>
                <w:color w:val="auto"/>
              </w:rPr>
            </w:pPr>
          </w:p>
        </w:tc>
        <w:tc>
          <w:tcPr>
            <w:tcW w:w="900" w:type="dxa"/>
            <w:vAlign w:val="bottom"/>
            <w:tcBorders>
              <w:bottom w:val="single" w:sz="8" w:color="FB4E0B"/>
            </w:tcBorders>
          </w:tcPr>
          <w:p>
            <w:pPr>
              <w:spacing w:after="0"/>
              <w:rPr>
                <w:sz w:val="8"/>
                <w:szCs w:val="8"/>
                <w:color w:val="auto"/>
              </w:rPr>
            </w:pPr>
          </w:p>
        </w:tc>
        <w:tc>
          <w:tcPr>
            <w:tcW w:w="1140" w:type="dxa"/>
            <w:vAlign w:val="bottom"/>
            <w:tcBorders>
              <w:bottom w:val="single" w:sz="8" w:color="FB4E0B"/>
            </w:tcBorders>
          </w:tcPr>
          <w:p>
            <w:pPr>
              <w:spacing w:after="0"/>
              <w:rPr>
                <w:sz w:val="8"/>
                <w:szCs w:val="8"/>
                <w:color w:val="auto"/>
              </w:rPr>
            </w:pPr>
          </w:p>
        </w:tc>
        <w:tc>
          <w:tcPr>
            <w:tcW w:w="960" w:type="dxa"/>
            <w:vAlign w:val="bottom"/>
            <w:tcBorders>
              <w:bottom w:val="single" w:sz="8" w:color="FB4E0B"/>
            </w:tcBorders>
          </w:tcPr>
          <w:p>
            <w:pPr>
              <w:spacing w:after="0"/>
              <w:rPr>
                <w:sz w:val="8"/>
                <w:szCs w:val="8"/>
                <w:color w:val="auto"/>
              </w:rPr>
            </w:pPr>
          </w:p>
        </w:tc>
        <w:tc>
          <w:tcPr>
            <w:tcW w:w="1400" w:type="dxa"/>
            <w:vAlign w:val="bottom"/>
            <w:tcBorders>
              <w:bottom w:val="single" w:sz="8" w:color="FB4E0B"/>
            </w:tcBorders>
          </w:tcPr>
          <w:p>
            <w:pPr>
              <w:spacing w:after="0"/>
              <w:rPr>
                <w:sz w:val="8"/>
                <w:szCs w:val="8"/>
                <w:color w:val="auto"/>
              </w:rPr>
            </w:pPr>
          </w:p>
        </w:tc>
      </w:tr>
      <w:tr>
        <w:trPr>
          <w:trHeight w:val="203"/>
        </w:trPr>
        <w:tc>
          <w:tcPr>
            <w:tcW w:w="4120" w:type="dxa"/>
            <w:vAlign w:val="bottom"/>
            <w:tcBorders>
              <w:right w:val="single" w:sz="8" w:color="auto"/>
            </w:tcBorders>
          </w:tcPr>
          <w:p>
            <w:pPr>
              <w:ind w:left="20"/>
              <w:spacing w:after="0"/>
              <w:rPr>
                <w:sz w:val="20"/>
                <w:szCs w:val="20"/>
                <w:color w:val="auto"/>
              </w:rPr>
            </w:pPr>
            <w:r>
              <w:rPr>
                <w:rFonts w:ascii="Calibri" w:cs="Calibri" w:eastAsia="Calibri" w:hAnsi="Calibri"/>
                <w:sz w:val="14"/>
                <w:szCs w:val="14"/>
                <w:color w:val="auto"/>
              </w:rPr>
              <w:t>Base salary payout</w:t>
            </w:r>
          </w:p>
        </w:tc>
        <w:tc>
          <w:tcPr>
            <w:tcW w:w="11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98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9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1,500,000</w:t>
            </w:r>
          </w:p>
        </w:tc>
        <w:tc>
          <w:tcPr>
            <w:tcW w:w="9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400" w:type="dxa"/>
            <w:vAlign w:val="bottom"/>
          </w:tcPr>
          <w:p>
            <w:pPr>
              <w:jc w:val="right"/>
              <w:ind w:right="31"/>
              <w:spacing w:after="0"/>
              <w:rPr>
                <w:sz w:val="20"/>
                <w:szCs w:val="20"/>
                <w:color w:val="auto"/>
              </w:rPr>
            </w:pPr>
            <w:r>
              <w:rPr>
                <w:rFonts w:ascii="Calibri" w:cs="Calibri" w:eastAsia="Calibri" w:hAnsi="Calibri"/>
                <w:sz w:val="14"/>
                <w:szCs w:val="14"/>
                <w:color w:val="auto"/>
              </w:rPr>
              <w:t>1,500,000</w:t>
            </w:r>
          </w:p>
        </w:tc>
      </w:tr>
      <w:tr>
        <w:trPr>
          <w:trHeight w:val="83"/>
        </w:trPr>
        <w:tc>
          <w:tcPr>
            <w:tcW w:w="412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196"/>
        </w:trPr>
        <w:tc>
          <w:tcPr>
            <w:tcW w:w="4120" w:type="dxa"/>
            <w:vAlign w:val="bottom"/>
            <w:tcBorders>
              <w:right w:val="single" w:sz="8" w:color="auto"/>
            </w:tcBorders>
          </w:tcPr>
          <w:p>
            <w:pPr>
              <w:ind w:left="20"/>
              <w:spacing w:after="0"/>
              <w:rPr>
                <w:sz w:val="20"/>
                <w:szCs w:val="20"/>
                <w:color w:val="auto"/>
              </w:rPr>
            </w:pPr>
            <w:r>
              <w:rPr>
                <w:rFonts w:ascii="Calibri" w:cs="Calibri" w:eastAsia="Calibri" w:hAnsi="Calibri"/>
                <w:sz w:val="14"/>
                <w:szCs w:val="14"/>
                <w:color w:val="auto"/>
              </w:rPr>
              <w:t>Bonus payout</w:t>
            </w:r>
          </w:p>
        </w:tc>
        <w:tc>
          <w:tcPr>
            <w:tcW w:w="11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2,050,000</w:t>
            </w:r>
          </w:p>
        </w:tc>
        <w:tc>
          <w:tcPr>
            <w:tcW w:w="98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2,050,000</w:t>
            </w:r>
          </w:p>
        </w:tc>
        <w:tc>
          <w:tcPr>
            <w:tcW w:w="9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2,050,000</w:t>
            </w:r>
          </w:p>
        </w:tc>
        <w:tc>
          <w:tcPr>
            <w:tcW w:w="11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2,050,000</w:t>
            </w:r>
          </w:p>
        </w:tc>
        <w:tc>
          <w:tcPr>
            <w:tcW w:w="9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400" w:type="dxa"/>
            <w:vAlign w:val="bottom"/>
          </w:tcPr>
          <w:p>
            <w:pPr>
              <w:jc w:val="right"/>
              <w:ind w:right="31"/>
              <w:spacing w:after="0"/>
              <w:rPr>
                <w:sz w:val="20"/>
                <w:szCs w:val="20"/>
                <w:color w:val="auto"/>
              </w:rPr>
            </w:pPr>
            <w:r>
              <w:rPr>
                <w:rFonts w:ascii="Calibri" w:cs="Calibri" w:eastAsia="Calibri" w:hAnsi="Calibri"/>
                <w:sz w:val="14"/>
                <w:szCs w:val="14"/>
                <w:color w:val="auto"/>
              </w:rPr>
              <w:t>2,050,000</w:t>
            </w:r>
          </w:p>
        </w:tc>
      </w:tr>
      <w:tr>
        <w:trPr>
          <w:trHeight w:val="83"/>
        </w:trPr>
        <w:tc>
          <w:tcPr>
            <w:tcW w:w="412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196"/>
        </w:trPr>
        <w:tc>
          <w:tcPr>
            <w:tcW w:w="4120" w:type="dxa"/>
            <w:vAlign w:val="bottom"/>
            <w:tcBorders>
              <w:right w:val="single" w:sz="8" w:color="auto"/>
            </w:tcBorders>
          </w:tcPr>
          <w:p>
            <w:pPr>
              <w:ind w:left="20"/>
              <w:spacing w:after="0"/>
              <w:rPr>
                <w:sz w:val="20"/>
                <w:szCs w:val="20"/>
                <w:color w:val="auto"/>
              </w:rPr>
            </w:pPr>
            <w:r>
              <w:rPr>
                <w:rFonts w:ascii="Calibri" w:cs="Calibri" w:eastAsia="Calibri" w:hAnsi="Calibri"/>
                <w:sz w:val="14"/>
                <w:szCs w:val="14"/>
                <w:color w:val="auto"/>
              </w:rPr>
              <w:t>Life insurance</w:t>
            </w:r>
          </w:p>
        </w:tc>
        <w:tc>
          <w:tcPr>
            <w:tcW w:w="11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98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9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4,239</w:t>
            </w:r>
          </w:p>
        </w:tc>
        <w:tc>
          <w:tcPr>
            <w:tcW w:w="9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400" w:type="dxa"/>
            <w:vAlign w:val="bottom"/>
          </w:tcPr>
          <w:p>
            <w:pPr>
              <w:jc w:val="right"/>
              <w:ind w:right="31"/>
              <w:spacing w:after="0"/>
              <w:rPr>
                <w:sz w:val="20"/>
                <w:szCs w:val="20"/>
                <w:color w:val="auto"/>
              </w:rPr>
            </w:pPr>
            <w:r>
              <w:rPr>
                <w:rFonts w:ascii="Calibri" w:cs="Calibri" w:eastAsia="Calibri" w:hAnsi="Calibri"/>
                <w:sz w:val="14"/>
                <w:szCs w:val="14"/>
                <w:color w:val="auto"/>
              </w:rPr>
              <w:t>4,239</w:t>
            </w:r>
          </w:p>
        </w:tc>
      </w:tr>
      <w:tr>
        <w:trPr>
          <w:trHeight w:val="83"/>
        </w:trPr>
        <w:tc>
          <w:tcPr>
            <w:tcW w:w="412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196"/>
        </w:trPr>
        <w:tc>
          <w:tcPr>
            <w:tcW w:w="4120" w:type="dxa"/>
            <w:vAlign w:val="bottom"/>
            <w:tcBorders>
              <w:right w:val="single" w:sz="8" w:color="auto"/>
            </w:tcBorders>
          </w:tcPr>
          <w:p>
            <w:pPr>
              <w:ind w:left="20"/>
              <w:spacing w:after="0"/>
              <w:rPr>
                <w:sz w:val="20"/>
                <w:szCs w:val="20"/>
                <w:color w:val="auto"/>
              </w:rPr>
            </w:pPr>
            <w:r>
              <w:rPr>
                <w:rFonts w:ascii="Calibri" w:cs="Calibri" w:eastAsia="Calibri" w:hAnsi="Calibri"/>
                <w:sz w:val="14"/>
                <w:szCs w:val="14"/>
                <w:color w:val="auto"/>
              </w:rPr>
              <w:t>Health insurance</w:t>
            </w:r>
          </w:p>
        </w:tc>
        <w:tc>
          <w:tcPr>
            <w:tcW w:w="11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98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9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37,936</w:t>
            </w:r>
          </w:p>
        </w:tc>
        <w:tc>
          <w:tcPr>
            <w:tcW w:w="9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400" w:type="dxa"/>
            <w:vAlign w:val="bottom"/>
          </w:tcPr>
          <w:p>
            <w:pPr>
              <w:jc w:val="right"/>
              <w:ind w:right="31"/>
              <w:spacing w:after="0"/>
              <w:rPr>
                <w:sz w:val="20"/>
                <w:szCs w:val="20"/>
                <w:color w:val="auto"/>
              </w:rPr>
            </w:pPr>
            <w:r>
              <w:rPr>
                <w:rFonts w:ascii="Calibri" w:cs="Calibri" w:eastAsia="Calibri" w:hAnsi="Calibri"/>
                <w:sz w:val="14"/>
                <w:szCs w:val="14"/>
                <w:color w:val="auto"/>
              </w:rPr>
              <w:t>37,936</w:t>
            </w:r>
          </w:p>
        </w:tc>
      </w:tr>
      <w:tr>
        <w:trPr>
          <w:trHeight w:val="83"/>
        </w:trPr>
        <w:tc>
          <w:tcPr>
            <w:tcW w:w="412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196"/>
        </w:trPr>
        <w:tc>
          <w:tcPr>
            <w:tcW w:w="4120" w:type="dxa"/>
            <w:vAlign w:val="bottom"/>
            <w:tcBorders>
              <w:right w:val="single" w:sz="8" w:color="auto"/>
            </w:tcBorders>
          </w:tcPr>
          <w:p>
            <w:pPr>
              <w:ind w:left="20"/>
              <w:spacing w:after="0"/>
              <w:rPr>
                <w:sz w:val="20"/>
                <w:szCs w:val="20"/>
                <w:color w:val="auto"/>
              </w:rPr>
            </w:pPr>
            <w:r>
              <w:rPr>
                <w:rFonts w:ascii="Calibri" w:cs="Calibri" w:eastAsia="Calibri" w:hAnsi="Calibri"/>
                <w:sz w:val="14"/>
                <w:szCs w:val="14"/>
                <w:color w:val="auto"/>
              </w:rPr>
              <w:t>Restricted stock units</w:t>
            </w:r>
          </w:p>
        </w:tc>
        <w:tc>
          <w:tcPr>
            <w:tcW w:w="11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10,857,316</w:t>
            </w:r>
          </w:p>
        </w:tc>
        <w:tc>
          <w:tcPr>
            <w:tcW w:w="98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10,857,316</w:t>
            </w:r>
          </w:p>
        </w:tc>
        <w:tc>
          <w:tcPr>
            <w:tcW w:w="9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9,576,101</w:t>
            </w:r>
          </w:p>
        </w:tc>
        <w:tc>
          <w:tcPr>
            <w:tcW w:w="9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4,264,852</w:t>
            </w:r>
          </w:p>
        </w:tc>
        <w:tc>
          <w:tcPr>
            <w:tcW w:w="1400" w:type="dxa"/>
            <w:vAlign w:val="bottom"/>
          </w:tcPr>
          <w:p>
            <w:pPr>
              <w:jc w:val="right"/>
              <w:ind w:right="31"/>
              <w:spacing w:after="0"/>
              <w:rPr>
                <w:sz w:val="20"/>
                <w:szCs w:val="20"/>
                <w:color w:val="auto"/>
              </w:rPr>
            </w:pPr>
            <w:r>
              <w:rPr>
                <w:rFonts w:ascii="Calibri" w:cs="Calibri" w:eastAsia="Calibri" w:hAnsi="Calibri"/>
                <w:sz w:val="14"/>
                <w:szCs w:val="14"/>
                <w:color w:val="auto"/>
              </w:rPr>
              <w:t>10,857,316</w:t>
            </w:r>
          </w:p>
        </w:tc>
      </w:tr>
      <w:tr>
        <w:trPr>
          <w:trHeight w:val="83"/>
        </w:trPr>
        <w:tc>
          <w:tcPr>
            <w:tcW w:w="412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r>
      <w:tr>
        <w:trPr>
          <w:trHeight w:val="196"/>
        </w:trPr>
        <w:tc>
          <w:tcPr>
            <w:tcW w:w="4120" w:type="dxa"/>
            <w:vAlign w:val="bottom"/>
            <w:tcBorders>
              <w:right w:val="single" w:sz="8" w:color="auto"/>
            </w:tcBorders>
          </w:tcPr>
          <w:p>
            <w:pPr>
              <w:ind w:left="20"/>
              <w:spacing w:after="0"/>
              <w:rPr>
                <w:sz w:val="20"/>
                <w:szCs w:val="20"/>
                <w:color w:val="auto"/>
              </w:rPr>
            </w:pPr>
            <w:r>
              <w:rPr>
                <w:rFonts w:ascii="Calibri" w:cs="Calibri" w:eastAsia="Calibri" w:hAnsi="Calibri"/>
                <w:sz w:val="14"/>
                <w:szCs w:val="14"/>
                <w:color w:val="auto"/>
              </w:rPr>
              <w:t>Performance restricted</w:t>
            </w:r>
          </w:p>
        </w:tc>
        <w:tc>
          <w:tcPr>
            <w:tcW w:w="112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11,300,746</w:t>
            </w:r>
          </w:p>
        </w:tc>
        <w:tc>
          <w:tcPr>
            <w:tcW w:w="98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14,388,690</w:t>
            </w:r>
          </w:p>
        </w:tc>
        <w:tc>
          <w:tcPr>
            <w:tcW w:w="9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1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11,300,746</w:t>
            </w:r>
            <w:r>
              <w:rPr>
                <w:rFonts w:ascii="Calibri" w:cs="Calibri" w:eastAsia="Calibri" w:hAnsi="Calibri"/>
                <w:sz w:val="11"/>
                <w:szCs w:val="11"/>
                <w:color w:val="auto"/>
              </w:rPr>
              <w:t>(1)</w:t>
            </w:r>
          </w:p>
        </w:tc>
        <w:tc>
          <w:tcPr>
            <w:tcW w:w="96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12,680,575</w:t>
            </w:r>
          </w:p>
        </w:tc>
        <w:tc>
          <w:tcPr>
            <w:tcW w:w="1400" w:type="dxa"/>
            <w:vAlign w:val="bottom"/>
          </w:tcPr>
          <w:p>
            <w:pPr>
              <w:jc w:val="right"/>
              <w:ind w:right="31"/>
              <w:spacing w:after="0"/>
              <w:rPr>
                <w:sz w:val="20"/>
                <w:szCs w:val="20"/>
                <w:color w:val="auto"/>
              </w:rPr>
            </w:pPr>
            <w:r>
              <w:rPr>
                <w:rFonts w:ascii="Calibri" w:cs="Calibri" w:eastAsia="Calibri" w:hAnsi="Calibri"/>
                <w:sz w:val="14"/>
                <w:szCs w:val="14"/>
                <w:color w:val="auto"/>
              </w:rPr>
              <w:t>14,388,690</w:t>
            </w:r>
          </w:p>
        </w:tc>
      </w:tr>
      <w:tr>
        <w:trPr>
          <w:trHeight w:val="200"/>
        </w:trPr>
        <w:tc>
          <w:tcPr>
            <w:tcW w:w="4120" w:type="dxa"/>
            <w:vAlign w:val="bottom"/>
            <w:tcBorders>
              <w:right w:val="single" w:sz="8" w:color="auto"/>
            </w:tcBorders>
          </w:tcPr>
          <w:p>
            <w:pPr>
              <w:ind w:left="20"/>
              <w:spacing w:after="0" w:line="169" w:lineRule="exact"/>
              <w:rPr>
                <w:sz w:val="20"/>
                <w:szCs w:val="20"/>
                <w:color w:val="auto"/>
              </w:rPr>
            </w:pPr>
            <w:r>
              <w:rPr>
                <w:rFonts w:ascii="Calibri" w:cs="Calibri" w:eastAsia="Calibri" w:hAnsi="Calibri"/>
                <w:sz w:val="14"/>
                <w:szCs w:val="14"/>
                <w:color w:val="auto"/>
              </w:rPr>
              <w:t>stock units</w:t>
            </w:r>
          </w:p>
        </w:tc>
        <w:tc>
          <w:tcPr>
            <w:tcW w:w="11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26"/>
        </w:trPr>
        <w:tc>
          <w:tcPr>
            <w:tcW w:w="4120" w:type="dxa"/>
            <w:vAlign w:val="bottom"/>
            <w:tcBorders>
              <w:right w:val="single" w:sz="8" w:color="FB4E0B"/>
            </w:tcBorders>
            <w:shd w:val="clear" w:color="auto" w:fill="FB4E0B"/>
          </w:tcPr>
          <w:p>
            <w:pPr>
              <w:spacing w:after="0"/>
              <w:rPr>
                <w:sz w:val="2"/>
                <w:szCs w:val="2"/>
                <w:color w:val="auto"/>
              </w:rPr>
            </w:pPr>
          </w:p>
        </w:tc>
        <w:tc>
          <w:tcPr>
            <w:tcW w:w="1120" w:type="dxa"/>
            <w:vAlign w:val="bottom"/>
            <w:tcBorders>
              <w:right w:val="single" w:sz="8" w:color="FB4E0B"/>
            </w:tcBorders>
            <w:shd w:val="clear" w:color="auto" w:fill="FB4E0B"/>
          </w:tcPr>
          <w:p>
            <w:pPr>
              <w:spacing w:after="0"/>
              <w:rPr>
                <w:sz w:val="2"/>
                <w:szCs w:val="2"/>
                <w:color w:val="auto"/>
              </w:rPr>
            </w:pPr>
          </w:p>
        </w:tc>
        <w:tc>
          <w:tcPr>
            <w:tcW w:w="980" w:type="dxa"/>
            <w:vAlign w:val="bottom"/>
            <w:tcBorders>
              <w:right w:val="single" w:sz="8" w:color="FB4E0B"/>
            </w:tcBorders>
            <w:shd w:val="clear" w:color="auto" w:fill="FB4E0B"/>
          </w:tcPr>
          <w:p>
            <w:pPr>
              <w:spacing w:after="0"/>
              <w:rPr>
                <w:sz w:val="2"/>
                <w:szCs w:val="2"/>
                <w:color w:val="auto"/>
              </w:rPr>
            </w:pPr>
          </w:p>
        </w:tc>
        <w:tc>
          <w:tcPr>
            <w:tcW w:w="900" w:type="dxa"/>
            <w:vAlign w:val="bottom"/>
            <w:tcBorders>
              <w:right w:val="single" w:sz="8" w:color="FB4E0B"/>
            </w:tcBorders>
            <w:shd w:val="clear" w:color="auto" w:fill="FB4E0B"/>
          </w:tcPr>
          <w:p>
            <w:pPr>
              <w:spacing w:after="0"/>
              <w:rPr>
                <w:sz w:val="2"/>
                <w:szCs w:val="2"/>
                <w:color w:val="auto"/>
              </w:rPr>
            </w:pPr>
          </w:p>
        </w:tc>
        <w:tc>
          <w:tcPr>
            <w:tcW w:w="1140" w:type="dxa"/>
            <w:vAlign w:val="bottom"/>
            <w:tcBorders>
              <w:right w:val="single" w:sz="8" w:color="FB4E0B"/>
            </w:tcBorders>
            <w:shd w:val="clear" w:color="auto" w:fill="FB4E0B"/>
          </w:tcPr>
          <w:p>
            <w:pPr>
              <w:spacing w:after="0"/>
              <w:rPr>
                <w:sz w:val="2"/>
                <w:szCs w:val="2"/>
                <w:color w:val="auto"/>
              </w:rPr>
            </w:pPr>
          </w:p>
        </w:tc>
        <w:tc>
          <w:tcPr>
            <w:tcW w:w="960" w:type="dxa"/>
            <w:vAlign w:val="bottom"/>
            <w:tcBorders>
              <w:right w:val="single" w:sz="8" w:color="FB4E0B"/>
            </w:tcBorders>
            <w:shd w:val="clear" w:color="auto" w:fill="FB4E0B"/>
          </w:tcPr>
          <w:p>
            <w:pPr>
              <w:spacing w:after="0"/>
              <w:rPr>
                <w:sz w:val="2"/>
                <w:szCs w:val="2"/>
                <w:color w:val="auto"/>
              </w:rPr>
            </w:pPr>
          </w:p>
        </w:tc>
        <w:tc>
          <w:tcPr>
            <w:tcW w:w="1400" w:type="dxa"/>
            <w:vAlign w:val="bottom"/>
            <w:shd w:val="clear" w:color="auto" w:fill="FB4E0B"/>
          </w:tcPr>
          <w:p>
            <w:pPr>
              <w:spacing w:after="0"/>
              <w:rPr>
                <w:sz w:val="2"/>
                <w:szCs w:val="2"/>
                <w:color w:val="auto"/>
              </w:rPr>
            </w:pPr>
          </w:p>
        </w:tc>
      </w:tr>
    </w:tbl>
    <w:p>
      <w:pPr>
        <w:spacing w:after="0" w:line="98" w:lineRule="exact"/>
        <w:rPr>
          <w:sz w:val="20"/>
          <w:szCs w:val="20"/>
          <w:color w:val="auto"/>
        </w:rPr>
      </w:pPr>
    </w:p>
    <w:p>
      <w:pPr>
        <w:ind w:left="320" w:right="300" w:hanging="4"/>
        <w:spacing w:after="0" w:line="253" w:lineRule="auto"/>
        <w:tabs>
          <w:tab w:leader="none" w:pos="494" w:val="left"/>
        </w:tabs>
        <w:numPr>
          <w:ilvl w:val="0"/>
          <w:numId w:val="36"/>
        </w:numPr>
        <w:rPr>
          <w:rFonts w:ascii="Calibri" w:cs="Calibri" w:eastAsia="Calibri" w:hAnsi="Calibri"/>
          <w:sz w:val="13"/>
          <w:szCs w:val="13"/>
          <w:color w:val="auto"/>
        </w:rPr>
      </w:pPr>
      <w:r>
        <w:rPr>
          <w:rFonts w:ascii="Calibri" w:cs="Calibri" w:eastAsia="Calibri" w:hAnsi="Calibri"/>
          <w:sz w:val="13"/>
          <w:szCs w:val="13"/>
          <w:color w:val="auto"/>
        </w:rPr>
        <w:t>As described above, upon his terminaton for good reason or without cause, Mr. Kapoor is treated as having contnued his employment for two additonal years for purposes of his annual equity awards. The informaton in this table was calculated assuming target performance over the additonal two year-period, however, the actual payment would depend upon the Company’s actual performance following Mr. Kapoor’s terminaton.</w:t>
      </w:r>
    </w:p>
    <w:p>
      <w:pPr>
        <w:spacing w:after="0" w:line="294"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Maurizio Nicolelli</w:t>
      </w:r>
    </w:p>
    <w:p>
      <w:pPr>
        <w:spacing w:after="0" w:line="1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Either Mr. Nicolelli or we may terminate Mr. Nicolelli’s employment at any tme with 30 days’ notce (or 90 days’ notce if terminaton is by Mr. Nicolelli). If Mr. Nicolelli is terminated by us without “cause” (other than due to death or disability), or if Mr. Nicolelli resigns for “good reason”, Mr. Nicolelli will receive a cash severance payment equal to twelve months’ of his then-current base salary, with 25% payable on the frst payroll date at least 10 days following terminaton and the remainder payable in nine equal monthly installments.</w:t>
      </w:r>
    </w:p>
    <w:p>
      <w:pPr>
        <w:spacing w:after="0" w:line="209"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On a “change in control” (as defned in the 2018 Plan) or death, Mr. Nicolelli’s outstanding equity awards will vest as described below:</w:t>
      </w:r>
    </w:p>
    <w:p>
      <w:pPr>
        <w:spacing w:after="0" w:line="119" w:lineRule="exact"/>
        <w:rPr>
          <w:sz w:val="20"/>
          <w:szCs w:val="20"/>
          <w:color w:val="auto"/>
        </w:rPr>
      </w:pPr>
    </w:p>
    <w:p>
      <w:pPr>
        <w:ind w:left="1140" w:right="20" w:hanging="407"/>
        <w:spacing w:after="0"/>
        <w:tabs>
          <w:tab w:leader="none" w:pos="1140" w:val="left"/>
        </w:tabs>
        <w:numPr>
          <w:ilvl w:val="0"/>
          <w:numId w:val="37"/>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Time-Vested RSUs: </w:t>
      </w:r>
      <w:r>
        <w:rPr>
          <w:rFonts w:ascii="Calibri" w:cs="Calibri" w:eastAsia="Calibri" w:hAnsi="Calibri"/>
          <w:sz w:val="17"/>
          <w:szCs w:val="17"/>
          <w:color w:val="auto"/>
        </w:rPr>
        <w:t>If a change in control occurs prior to the end of the four-year vestng period, Mr. Nicolelli’s Time-Vested RSUs will be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advanced by one year. In additon, all of Mr. Nicolelli’s outstanding Time-Vested RSUs will become fully vested if, following or in specifc contemplaton of a change in control, he is terminated without cause or, following a change in control, he terminates his employment for good reason. If Mr. Nicolelli dies before the end of the four-year vestng period, all of Mr. Nicolelli’s outstanding Time-Vested RSUs will become fully vested. If Mr. Nicolelli retres with at least 10 years of service and the applicable award has been outstanding for at least 6 months, Mr. Nicolelli will become vested in all unvested RSUs that would have vested within the next 12 months absent his retrement. If Mr. Nicolelli retres with at least 5 years of service but less than 10, the number of vested Time-Vested PRSUs will be calculated as described in the preceding sentence and then reduced by 50%. Vestng of the restricted stock units granted in September 2021; however, is only accelerated (i) on Mr. Nicolelli’s death or (ii) if following or in specifc contemplaton of a change in control, he is terminated without cause or, following a change in control, he terminates his employment for good reason.</w:t>
      </w:r>
    </w:p>
    <w:p>
      <w:pPr>
        <w:spacing w:after="0" w:line="131"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94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40" w:lineRule="exact"/>
        <w:rPr>
          <w:sz w:val="20"/>
          <w:szCs w:val="20"/>
          <w:color w:val="auto"/>
        </w:rPr>
      </w:pPr>
    </w:p>
    <w:p>
      <w:pPr>
        <w:ind w:left="1140" w:right="20" w:hanging="407"/>
        <w:spacing w:after="0"/>
        <w:tabs>
          <w:tab w:leader="none" w:pos="1140" w:val="left"/>
        </w:tabs>
        <w:numPr>
          <w:ilvl w:val="0"/>
          <w:numId w:val="3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Revenue-Linked PRSUs: </w:t>
      </w:r>
      <w:r>
        <w:rPr>
          <w:rFonts w:ascii="Calibri" w:cs="Calibri" w:eastAsia="Calibri" w:hAnsi="Calibri"/>
          <w:sz w:val="17"/>
          <w:szCs w:val="17"/>
          <w:color w:val="auto"/>
        </w:rPr>
        <w:t>If a change in control occurs prior to the end of the performance period, 100% of Mr. Nicolelli’s Revenue-Linked PRSUs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will be deemed earned, will be subject to a new three year installment vestng schedule and will be advanced by one year under such schedule. In additon, all of Mr. Nicolelli’s outstanding Revenue-Linked PRSUs will become fully vested if, following or in specifc contemplaton of a change in control, he is terminated without cause or, following a change in control, he (i) terminates his employment for good reason or, (ii) dies. If Mr. Nicolelli dies prior to the end of the performance period and no change in control has occurred, Mr. Nicolelli will become vested in a porton of the outstanding Revenue-Linked PRSUs equal to (x) the number of completed full months during the 3 year performance period up to the date of Mr. Nicolelli’s death divided by (y) 36 multplied by (z) 100% of Mr. Nicolelli’s Revenue-Linked PRSUs. If Mr. Nicolelli retres with at least 10 years of service and the award has been outstanding for at least 6 months, Mr. Nicolelli will become vested in a porton of the outstanding Revenue-Linked PRSUs equal to (x) the number of years of service completed by Mr. Nicolelli from the grant date (rounding up to the closest whole number) divided by (y) 3 multplied by (z) the number of Revenue-Linked PRSUs earned based on actual performance. If Mr. Nicolelli retres with at least 5 years of service but less than 10, the number of vested Revenue-Linked PRSUs will be calculated as described in the preceding sentence and then reduced by 50%.</w:t>
      </w:r>
    </w:p>
    <w:p>
      <w:pPr>
        <w:spacing w:after="0" w:line="124" w:lineRule="exact"/>
        <w:rPr>
          <w:rFonts w:ascii="Calibri" w:cs="Calibri" w:eastAsia="Calibri" w:hAnsi="Calibri"/>
          <w:sz w:val="17"/>
          <w:szCs w:val="17"/>
          <w:color w:val="auto"/>
        </w:rPr>
      </w:pPr>
    </w:p>
    <w:p>
      <w:pPr>
        <w:ind w:left="1140" w:right="60" w:hanging="407"/>
        <w:spacing w:after="0"/>
        <w:tabs>
          <w:tab w:leader="none" w:pos="1140" w:val="left"/>
        </w:tabs>
        <w:numPr>
          <w:ilvl w:val="0"/>
          <w:numId w:val="38"/>
        </w:numPr>
        <w:rPr>
          <w:rFonts w:ascii="Calibri" w:cs="Calibri" w:eastAsia="Calibri" w:hAnsi="Calibri"/>
          <w:sz w:val="17"/>
          <w:szCs w:val="17"/>
          <w:color w:val="auto"/>
        </w:rPr>
      </w:pPr>
      <w:r>
        <w:rPr>
          <w:rFonts w:ascii="Calibri" w:cs="Calibri" w:eastAsia="Calibri" w:hAnsi="Calibri"/>
          <w:sz w:val="17"/>
          <w:szCs w:val="17"/>
          <w:b w:val="1"/>
          <w:bCs w:val="1"/>
          <w:color w:val="auto"/>
        </w:rPr>
        <w:t xml:space="preserve">Relatve TSR-Linked PRSUs: </w:t>
      </w:r>
      <w:r>
        <w:rPr>
          <w:rFonts w:ascii="Calibri" w:cs="Calibri" w:eastAsia="Calibri" w:hAnsi="Calibri"/>
          <w:sz w:val="17"/>
          <w:szCs w:val="17"/>
          <w:color w:val="auto"/>
        </w:rPr>
        <w:t>If a change in control occurs on or prior to the frst anniversary of the grant date, 100% of Mr. Nicolelli’s Relatve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TSR-Linked PRSUs will be deemed earned. If a change in control occurs afer the frst anniversary of the grant date, the performance period will be deemed to end on the date of the change in control and the Compensaton Commitee will determine the number of earned Relatve TSR-Linked PRSUs based on the TSR of the Company and the peer group as of such date. In either scenario, the Relatve TSR-Linked PRSUs that are deemed earned will be subject to a new three year installment vestng schedule and will be advanced by one year under such schedule. In additon, all of Mr. Nicolelli’s outstanding, earned TSR-Linked PRSUs will become fully vested if, following or in specifc contemplaton of a change in control, he is terminated without cause or, following a change in control, he (i) voluntarily terminates his employment for good reason or, (ii) dies. If Mr. Nicolelli dies prior to the end of the performance period and no change in control has occurred, Mr. Nicolelli will become vested in a porton of the outstanding Relatve TSR-Linked PRSUs equal to (x) the number of completed full months during the 3 year performance period up to the date of Mr. Nicolelli’s death divided by (y) 36 multplied by (z) 100% of Mr. Nicolelli’s Relatve TSR-Linked PRSUs. If Mr. Nicolelli retres with at least 10 years of service and the award has been outstanding for at least 6 months, Mr. Nicolelli will become vested in a porton of the outstanding Relatve TSR-Linked PRSUs equal to (x) the number of years of service completed by Mr. Nicolelli from the grant date (rounding up to the closest whole number) divided by (y) 3 multplied by (z) the number of Relatve TSR-Linked PRSUs earned based on actual performance. If Mr. Nicolelli retres with at least 5 years of service but less than 10, the number of vested Relatve TSR-Linked PRSUs will be calculated as described in the preceding sentence and then reduced by 50%.</w:t>
      </w:r>
    </w:p>
    <w:p>
      <w:pPr>
        <w:spacing w:after="0" w:line="218"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Mr. Nicolelli’s severance payments and terminaton-related equity acceleraton are subject to his executon of a waiver and release of claims against us. Mr. Nicolelli is subject to confdentality restrictons at all tmes, as well as noncompetton and nonsolicitaton restrictons for two years following terminaton of his employment.</w:t>
      </w:r>
    </w:p>
    <w:p>
      <w:pPr>
        <w:spacing w:after="0" w:line="129"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95</w:t>
            </w:r>
          </w:p>
        </w:tc>
      </w:tr>
    </w:tbl>
    <w:p>
      <w:pPr>
        <w:sectPr>
          <w:pgSz w:w="11900" w:h="16838" w:orient="portrait"/>
          <w:cols w:equalWidth="0" w:num="1">
            <w:col w:w="10940"/>
          </w:cols>
          <w:pgMar w:left="320" w:top="445" w:right="6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Maurizio Nicolelli</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center"/>
              <w:ind w:left="191"/>
              <w:spacing w:after="0"/>
              <w:rPr>
                <w:sz w:val="20"/>
                <w:szCs w:val="20"/>
                <w:color w:val="auto"/>
              </w:rPr>
            </w:pPr>
            <w:r>
              <w:rPr>
                <w:rFonts w:ascii="Calibri" w:cs="Calibri" w:eastAsia="Calibri" w:hAnsi="Calibri"/>
                <w:sz w:val="14"/>
                <w:szCs w:val="14"/>
                <w:b w:val="1"/>
                <w:bCs w:val="1"/>
                <w:color w:val="auto"/>
              </w:rPr>
              <w:t>Terminaton</w:t>
            </w:r>
          </w:p>
        </w:tc>
      </w:tr>
      <w:tr>
        <w:trPr>
          <w:trHeight w:val="169"/>
        </w:trPr>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rPr>
              <w:t>without cause or</w:t>
            </w:r>
          </w:p>
        </w:tc>
      </w:tr>
      <w:tr>
        <w:trPr>
          <w:trHeight w:val="169"/>
        </w:trPr>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w w:val="97"/>
              </w:rPr>
              <w:t>for good reason</w:t>
            </w:r>
          </w:p>
        </w:tc>
      </w:tr>
      <w:tr>
        <w:trPr>
          <w:trHeight w:val="169"/>
        </w:trPr>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w w:val="98"/>
              </w:rPr>
              <w:t>following change</w:t>
            </w:r>
          </w:p>
        </w:tc>
      </w:tr>
      <w:tr>
        <w:trPr>
          <w:trHeight w:val="169"/>
        </w:trPr>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w w:val="97"/>
              </w:rPr>
              <w:t>in control or</w:t>
            </w:r>
          </w:p>
        </w:tc>
      </w:tr>
      <w:tr>
        <w:trPr>
          <w:trHeight w:val="169"/>
        </w:trPr>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rPr>
              <w:t>terminaton</w:t>
            </w:r>
          </w:p>
        </w:tc>
      </w:tr>
      <w:tr>
        <w:trPr>
          <w:trHeight w:val="169"/>
        </w:trPr>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w w:val="97"/>
              </w:rPr>
              <w:t>without cause in</w:t>
            </w:r>
          </w:p>
        </w:tc>
      </w:tr>
      <w:tr>
        <w:trPr>
          <w:trHeight w:val="169"/>
        </w:trPr>
        <w:tc>
          <w:tcPr>
            <w:tcW w:w="4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w w:val="99"/>
              </w:rPr>
              <w:t>Terminaton for</w:t>
            </w:r>
          </w:p>
        </w:tc>
        <w:tc>
          <w:tcPr>
            <w:tcW w:w="1040" w:type="dxa"/>
            <w:vAlign w:val="bottom"/>
          </w:tcPr>
          <w:p>
            <w:pPr>
              <w:spacing w:after="0"/>
              <w:rPr>
                <w:sz w:val="14"/>
                <w:szCs w:val="14"/>
                <w:color w:val="auto"/>
              </w:rPr>
            </w:pPr>
          </w:p>
        </w:tc>
        <w:tc>
          <w:tcPr>
            <w:tcW w:w="128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rPr>
              <w:t>specifc</w:t>
            </w:r>
          </w:p>
        </w:tc>
      </w:tr>
      <w:tr>
        <w:trPr>
          <w:trHeight w:val="169"/>
        </w:trPr>
        <w:tc>
          <w:tcPr>
            <w:tcW w:w="4520" w:type="dxa"/>
            <w:vAlign w:val="bottom"/>
          </w:tcPr>
          <w:p>
            <w:pPr>
              <w:spacing w:after="0"/>
              <w:rPr>
                <w:sz w:val="14"/>
                <w:szCs w:val="14"/>
                <w:color w:val="auto"/>
              </w:rPr>
            </w:pPr>
          </w:p>
        </w:tc>
        <w:tc>
          <w:tcPr>
            <w:tcW w:w="128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w w:val="99"/>
              </w:rPr>
              <w:t>Death prior to a</w:t>
            </w:r>
          </w:p>
        </w:tc>
        <w:tc>
          <w:tcPr>
            <w:tcW w:w="130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rPr>
              <w:t>Death afer a</w:t>
            </w:r>
          </w:p>
        </w:tc>
        <w:tc>
          <w:tcPr>
            <w:tcW w:w="120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rPr>
              <w:t>good reason or</w:t>
            </w:r>
          </w:p>
        </w:tc>
        <w:tc>
          <w:tcPr>
            <w:tcW w:w="104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28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rPr>
              <w:t>contemplaton of</w:t>
            </w:r>
          </w:p>
        </w:tc>
      </w:tr>
      <w:tr>
        <w:trPr>
          <w:trHeight w:val="169"/>
        </w:trPr>
        <w:tc>
          <w:tcPr>
            <w:tcW w:w="452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FB4E0B"/>
              </w:rPr>
              <w:t>Payments upon</w:t>
            </w:r>
          </w:p>
        </w:tc>
        <w:tc>
          <w:tcPr>
            <w:tcW w:w="128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w w:val="99"/>
              </w:rPr>
              <w:t>change in control</w:t>
            </w:r>
          </w:p>
        </w:tc>
        <w:tc>
          <w:tcPr>
            <w:tcW w:w="130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20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w w:val="97"/>
              </w:rPr>
              <w:t>without cause</w:t>
            </w:r>
          </w:p>
        </w:tc>
        <w:tc>
          <w:tcPr>
            <w:tcW w:w="104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w w:val="95"/>
              </w:rPr>
              <w:t>control</w:t>
            </w:r>
          </w:p>
        </w:tc>
        <w:tc>
          <w:tcPr>
            <w:tcW w:w="128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w w:val="97"/>
              </w:rPr>
              <w:t>change in control</w:t>
            </w:r>
          </w:p>
        </w:tc>
      </w:tr>
      <w:tr>
        <w:trPr>
          <w:trHeight w:val="169"/>
        </w:trPr>
        <w:tc>
          <w:tcPr>
            <w:tcW w:w="4520" w:type="dxa"/>
            <w:vAlign w:val="bottom"/>
          </w:tcPr>
          <w:p>
            <w:pPr>
              <w:ind w:left="20"/>
              <w:spacing w:after="0" w:line="169" w:lineRule="exact"/>
              <w:rPr>
                <w:sz w:val="20"/>
                <w:szCs w:val="20"/>
                <w:color w:val="auto"/>
              </w:rPr>
            </w:pPr>
            <w:r>
              <w:rPr>
                <w:rFonts w:ascii="Calibri" w:cs="Calibri" w:eastAsia="Calibri" w:hAnsi="Calibri"/>
                <w:sz w:val="14"/>
                <w:szCs w:val="14"/>
                <w:b w:val="1"/>
                <w:bCs w:val="1"/>
                <w:color w:val="FB4E0B"/>
              </w:rPr>
              <w:t>terminaton</w:t>
            </w:r>
          </w:p>
        </w:tc>
        <w:tc>
          <w:tcPr>
            <w:tcW w:w="128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rPr>
              <w:t>($)</w:t>
            </w:r>
          </w:p>
        </w:tc>
        <w:tc>
          <w:tcPr>
            <w:tcW w:w="130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rPr>
              <w:t>($)</w:t>
            </w:r>
          </w:p>
        </w:tc>
        <w:tc>
          <w:tcPr>
            <w:tcW w:w="120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rPr>
              <w:t>($)</w:t>
            </w:r>
          </w:p>
        </w:tc>
        <w:tc>
          <w:tcPr>
            <w:tcW w:w="1040" w:type="dxa"/>
            <w:vAlign w:val="bottom"/>
          </w:tcPr>
          <w:p>
            <w:pPr>
              <w:jc w:val="center"/>
              <w:ind w:left="171"/>
              <w:spacing w:after="0" w:line="169" w:lineRule="exact"/>
              <w:rPr>
                <w:sz w:val="20"/>
                <w:szCs w:val="20"/>
                <w:color w:val="auto"/>
              </w:rPr>
            </w:pPr>
            <w:r>
              <w:rPr>
                <w:rFonts w:ascii="Calibri" w:cs="Calibri" w:eastAsia="Calibri" w:hAnsi="Calibri"/>
                <w:sz w:val="14"/>
                <w:szCs w:val="14"/>
                <w:b w:val="1"/>
                <w:bCs w:val="1"/>
                <w:color w:val="auto"/>
              </w:rPr>
              <w:t>($)</w:t>
            </w:r>
          </w:p>
        </w:tc>
        <w:tc>
          <w:tcPr>
            <w:tcW w:w="1280" w:type="dxa"/>
            <w:vAlign w:val="bottom"/>
          </w:tcPr>
          <w:p>
            <w:pPr>
              <w:jc w:val="center"/>
              <w:ind w:left="191"/>
              <w:spacing w:after="0" w:line="169" w:lineRule="exact"/>
              <w:rPr>
                <w:sz w:val="20"/>
                <w:szCs w:val="20"/>
                <w:color w:val="auto"/>
              </w:rPr>
            </w:pPr>
            <w:r>
              <w:rPr>
                <w:rFonts w:ascii="Calibri" w:cs="Calibri" w:eastAsia="Calibri" w:hAnsi="Calibri"/>
                <w:sz w:val="14"/>
                <w:szCs w:val="14"/>
                <w:b w:val="1"/>
                <w:bCs w:val="1"/>
                <w:color w:val="auto"/>
                <w:w w:val="88"/>
              </w:rPr>
              <w:t>($)</w:t>
            </w:r>
          </w:p>
        </w:tc>
      </w:tr>
      <w:tr>
        <w:trPr>
          <w:trHeight w:val="102"/>
        </w:trPr>
        <w:tc>
          <w:tcPr>
            <w:tcW w:w="4520" w:type="dxa"/>
            <w:vAlign w:val="bottom"/>
            <w:tcBorders>
              <w:bottom w:val="single" w:sz="8" w:color="FB4E0B"/>
            </w:tcBorders>
          </w:tcPr>
          <w:p>
            <w:pPr>
              <w:spacing w:after="0"/>
              <w:rPr>
                <w:sz w:val="8"/>
                <w:szCs w:val="8"/>
                <w:color w:val="auto"/>
              </w:rPr>
            </w:pPr>
          </w:p>
        </w:tc>
        <w:tc>
          <w:tcPr>
            <w:tcW w:w="1280" w:type="dxa"/>
            <w:vAlign w:val="bottom"/>
            <w:tcBorders>
              <w:bottom w:val="single" w:sz="8" w:color="FB4E0B"/>
            </w:tcBorders>
          </w:tcPr>
          <w:p>
            <w:pPr>
              <w:spacing w:after="0"/>
              <w:rPr>
                <w:sz w:val="8"/>
                <w:szCs w:val="8"/>
                <w:color w:val="auto"/>
              </w:rPr>
            </w:pPr>
          </w:p>
        </w:tc>
        <w:tc>
          <w:tcPr>
            <w:tcW w:w="1300" w:type="dxa"/>
            <w:vAlign w:val="bottom"/>
            <w:tcBorders>
              <w:bottom w:val="single" w:sz="8" w:color="FB4E0B"/>
            </w:tcBorders>
          </w:tcPr>
          <w:p>
            <w:pPr>
              <w:spacing w:after="0"/>
              <w:rPr>
                <w:sz w:val="8"/>
                <w:szCs w:val="8"/>
                <w:color w:val="auto"/>
              </w:rPr>
            </w:pPr>
          </w:p>
        </w:tc>
        <w:tc>
          <w:tcPr>
            <w:tcW w:w="1200" w:type="dxa"/>
            <w:vAlign w:val="bottom"/>
            <w:tcBorders>
              <w:bottom w:val="single" w:sz="8" w:color="FB4E0B"/>
            </w:tcBorders>
          </w:tcPr>
          <w:p>
            <w:pPr>
              <w:spacing w:after="0"/>
              <w:rPr>
                <w:sz w:val="8"/>
                <w:szCs w:val="8"/>
                <w:color w:val="auto"/>
              </w:rPr>
            </w:pPr>
          </w:p>
        </w:tc>
        <w:tc>
          <w:tcPr>
            <w:tcW w:w="1040" w:type="dxa"/>
            <w:vAlign w:val="bottom"/>
            <w:tcBorders>
              <w:bottom w:val="single" w:sz="8" w:color="FB4E0B"/>
            </w:tcBorders>
          </w:tcPr>
          <w:p>
            <w:pPr>
              <w:spacing w:after="0"/>
              <w:rPr>
                <w:sz w:val="8"/>
                <w:szCs w:val="8"/>
                <w:color w:val="auto"/>
              </w:rPr>
            </w:pPr>
          </w:p>
        </w:tc>
        <w:tc>
          <w:tcPr>
            <w:tcW w:w="1280" w:type="dxa"/>
            <w:vAlign w:val="bottom"/>
            <w:tcBorders>
              <w:bottom w:val="single" w:sz="8" w:color="FB4E0B"/>
            </w:tcBorders>
          </w:tcPr>
          <w:p>
            <w:pPr>
              <w:spacing w:after="0"/>
              <w:rPr>
                <w:sz w:val="8"/>
                <w:szCs w:val="8"/>
                <w:color w:val="auto"/>
              </w:rPr>
            </w:pPr>
          </w:p>
        </w:tc>
      </w:tr>
      <w:tr>
        <w:trPr>
          <w:trHeight w:val="203"/>
        </w:trPr>
        <w:tc>
          <w:tcPr>
            <w:tcW w:w="4520" w:type="dxa"/>
            <w:vAlign w:val="bottom"/>
            <w:tcBorders>
              <w:right w:val="single" w:sz="8" w:color="auto"/>
            </w:tcBorders>
          </w:tcPr>
          <w:p>
            <w:pPr>
              <w:ind w:left="160"/>
              <w:spacing w:after="0"/>
              <w:rPr>
                <w:sz w:val="20"/>
                <w:szCs w:val="20"/>
                <w:color w:val="auto"/>
              </w:rPr>
            </w:pPr>
            <w:r>
              <w:rPr>
                <w:rFonts w:ascii="Calibri" w:cs="Calibri" w:eastAsia="Calibri" w:hAnsi="Calibri"/>
                <w:sz w:val="14"/>
                <w:szCs w:val="14"/>
                <w:color w:val="auto"/>
              </w:rPr>
              <w:t>Base salary payout</w:t>
            </w:r>
          </w:p>
        </w:tc>
        <w:tc>
          <w:tcPr>
            <w:tcW w:w="128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w:t>
            </w:r>
          </w:p>
        </w:tc>
        <w:tc>
          <w:tcPr>
            <w:tcW w:w="130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w:t>
            </w:r>
          </w:p>
        </w:tc>
        <w:tc>
          <w:tcPr>
            <w:tcW w:w="120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475,000</w:t>
            </w:r>
          </w:p>
        </w:tc>
        <w:tc>
          <w:tcPr>
            <w:tcW w:w="10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w:t>
            </w:r>
          </w:p>
        </w:tc>
        <w:tc>
          <w:tcPr>
            <w:tcW w:w="1280" w:type="dxa"/>
            <w:vAlign w:val="bottom"/>
          </w:tcPr>
          <w:p>
            <w:pPr>
              <w:jc w:val="right"/>
              <w:ind w:right="131"/>
              <w:spacing w:after="0"/>
              <w:rPr>
                <w:sz w:val="20"/>
                <w:szCs w:val="20"/>
                <w:color w:val="auto"/>
              </w:rPr>
            </w:pPr>
            <w:r>
              <w:rPr>
                <w:rFonts w:ascii="Calibri" w:cs="Calibri" w:eastAsia="Calibri" w:hAnsi="Calibri"/>
                <w:sz w:val="14"/>
                <w:szCs w:val="14"/>
                <w:color w:val="auto"/>
              </w:rPr>
              <w:t>475,000</w:t>
            </w:r>
          </w:p>
        </w:tc>
      </w:tr>
      <w:tr>
        <w:trPr>
          <w:trHeight w:val="83"/>
        </w:trPr>
        <w:tc>
          <w:tcPr>
            <w:tcW w:w="452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196"/>
        </w:trPr>
        <w:tc>
          <w:tcPr>
            <w:tcW w:w="4520" w:type="dxa"/>
            <w:vAlign w:val="bottom"/>
            <w:tcBorders>
              <w:right w:val="single" w:sz="8" w:color="auto"/>
            </w:tcBorders>
          </w:tcPr>
          <w:p>
            <w:pPr>
              <w:ind w:left="160"/>
              <w:spacing w:after="0"/>
              <w:rPr>
                <w:sz w:val="20"/>
                <w:szCs w:val="20"/>
                <w:color w:val="auto"/>
              </w:rPr>
            </w:pPr>
            <w:r>
              <w:rPr>
                <w:rFonts w:ascii="Calibri" w:cs="Calibri" w:eastAsia="Calibri" w:hAnsi="Calibri"/>
                <w:sz w:val="14"/>
                <w:szCs w:val="14"/>
                <w:color w:val="auto"/>
              </w:rPr>
              <w:t>Restricted stock units</w:t>
            </w:r>
          </w:p>
        </w:tc>
        <w:tc>
          <w:tcPr>
            <w:tcW w:w="128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3,291,925</w:t>
            </w:r>
          </w:p>
        </w:tc>
        <w:tc>
          <w:tcPr>
            <w:tcW w:w="130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3,291,925</w:t>
            </w:r>
          </w:p>
        </w:tc>
        <w:tc>
          <w:tcPr>
            <w:tcW w:w="120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w:t>
            </w:r>
          </w:p>
        </w:tc>
        <w:tc>
          <w:tcPr>
            <w:tcW w:w="10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621,896</w:t>
            </w:r>
          </w:p>
        </w:tc>
        <w:tc>
          <w:tcPr>
            <w:tcW w:w="1280" w:type="dxa"/>
            <w:vAlign w:val="bottom"/>
          </w:tcPr>
          <w:p>
            <w:pPr>
              <w:jc w:val="right"/>
              <w:ind w:right="131"/>
              <w:spacing w:after="0"/>
              <w:rPr>
                <w:sz w:val="20"/>
                <w:szCs w:val="20"/>
                <w:color w:val="auto"/>
              </w:rPr>
            </w:pPr>
            <w:r>
              <w:rPr>
                <w:rFonts w:ascii="Calibri" w:cs="Calibri" w:eastAsia="Calibri" w:hAnsi="Calibri"/>
                <w:sz w:val="14"/>
                <w:szCs w:val="14"/>
                <w:color w:val="auto"/>
              </w:rPr>
              <w:t>3,291,925</w:t>
            </w:r>
          </w:p>
        </w:tc>
      </w:tr>
      <w:tr>
        <w:trPr>
          <w:trHeight w:val="83"/>
        </w:trPr>
        <w:tc>
          <w:tcPr>
            <w:tcW w:w="452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196"/>
        </w:trPr>
        <w:tc>
          <w:tcPr>
            <w:tcW w:w="4520" w:type="dxa"/>
            <w:vAlign w:val="bottom"/>
            <w:tcBorders>
              <w:right w:val="single" w:sz="8" w:color="auto"/>
            </w:tcBorders>
          </w:tcPr>
          <w:p>
            <w:pPr>
              <w:ind w:left="160"/>
              <w:spacing w:after="0"/>
              <w:rPr>
                <w:sz w:val="20"/>
                <w:szCs w:val="20"/>
                <w:color w:val="auto"/>
              </w:rPr>
            </w:pPr>
            <w:r>
              <w:rPr>
                <w:rFonts w:ascii="Calibri" w:cs="Calibri" w:eastAsia="Calibri" w:hAnsi="Calibri"/>
                <w:sz w:val="14"/>
                <w:szCs w:val="14"/>
                <w:color w:val="auto"/>
              </w:rPr>
              <w:t>Performance restricted stock units</w:t>
            </w:r>
          </w:p>
        </w:tc>
        <w:tc>
          <w:tcPr>
            <w:tcW w:w="128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755,205</w:t>
            </w:r>
          </w:p>
        </w:tc>
        <w:tc>
          <w:tcPr>
            <w:tcW w:w="1300" w:type="dxa"/>
            <w:vAlign w:val="bottom"/>
            <w:tcBorders>
              <w:right w:val="single" w:sz="8" w:color="auto"/>
            </w:tcBorders>
          </w:tcPr>
          <w:p>
            <w:pPr>
              <w:jc w:val="right"/>
              <w:ind w:right="131"/>
              <w:spacing w:after="0"/>
              <w:rPr>
                <w:sz w:val="20"/>
                <w:szCs w:val="20"/>
                <w:color w:val="auto"/>
              </w:rPr>
            </w:pPr>
            <w:r>
              <w:rPr>
                <w:rFonts w:ascii="Calibri" w:cs="Calibri" w:eastAsia="Calibri" w:hAnsi="Calibri"/>
                <w:sz w:val="14"/>
                <w:szCs w:val="14"/>
                <w:color w:val="auto"/>
              </w:rPr>
              <w:t>1,949,618</w:t>
            </w:r>
          </w:p>
        </w:tc>
        <w:tc>
          <w:tcPr>
            <w:tcW w:w="1200" w:type="dxa"/>
            <w:vAlign w:val="bottom"/>
            <w:tcBorders>
              <w:right w:val="single" w:sz="8" w:color="auto"/>
            </w:tcBorders>
          </w:tcPr>
          <w:p>
            <w:pPr>
              <w:jc w:val="right"/>
              <w:ind w:right="151"/>
              <w:spacing w:after="0"/>
              <w:rPr>
                <w:sz w:val="20"/>
                <w:szCs w:val="20"/>
                <w:color w:val="auto"/>
              </w:rPr>
            </w:pPr>
            <w:r>
              <w:rPr>
                <w:rFonts w:ascii="Calibri" w:cs="Calibri" w:eastAsia="Calibri" w:hAnsi="Calibri"/>
                <w:sz w:val="14"/>
                <w:szCs w:val="14"/>
                <w:color w:val="auto"/>
              </w:rPr>
              <w:t>—</w:t>
            </w:r>
          </w:p>
        </w:tc>
        <w:tc>
          <w:tcPr>
            <w:tcW w:w="1040" w:type="dxa"/>
            <w:vAlign w:val="bottom"/>
            <w:tcBorders>
              <w:right w:val="single" w:sz="8" w:color="auto"/>
            </w:tcBorders>
          </w:tcPr>
          <w:p>
            <w:pPr>
              <w:jc w:val="right"/>
              <w:ind w:right="91"/>
              <w:spacing w:after="0"/>
              <w:rPr>
                <w:sz w:val="20"/>
                <w:szCs w:val="20"/>
                <w:color w:val="auto"/>
              </w:rPr>
            </w:pPr>
            <w:r>
              <w:rPr>
                <w:rFonts w:ascii="Calibri" w:cs="Calibri" w:eastAsia="Calibri" w:hAnsi="Calibri"/>
                <w:sz w:val="14"/>
                <w:szCs w:val="14"/>
                <w:color w:val="auto"/>
              </w:rPr>
              <w:t>1,615,715</w:t>
            </w:r>
          </w:p>
        </w:tc>
        <w:tc>
          <w:tcPr>
            <w:tcW w:w="1280" w:type="dxa"/>
            <w:vAlign w:val="bottom"/>
          </w:tcPr>
          <w:p>
            <w:pPr>
              <w:jc w:val="right"/>
              <w:ind w:right="131"/>
              <w:spacing w:after="0"/>
              <w:rPr>
                <w:sz w:val="20"/>
                <w:szCs w:val="20"/>
                <w:color w:val="auto"/>
              </w:rPr>
            </w:pPr>
            <w:r>
              <w:rPr>
                <w:rFonts w:ascii="Calibri" w:cs="Calibri" w:eastAsia="Calibri" w:hAnsi="Calibri"/>
                <w:sz w:val="14"/>
                <w:szCs w:val="14"/>
                <w:color w:val="auto"/>
              </w:rPr>
              <w:t>1,949,618</w:t>
            </w:r>
          </w:p>
        </w:tc>
      </w:tr>
      <w:tr>
        <w:trPr>
          <w:trHeight w:val="89"/>
        </w:trPr>
        <w:tc>
          <w:tcPr>
            <w:tcW w:w="4520" w:type="dxa"/>
            <w:vAlign w:val="bottom"/>
            <w:tcBorders>
              <w:bottom w:val="single" w:sz="8" w:color="FB4E0B"/>
              <w:right w:val="single" w:sz="8" w:color="auto"/>
            </w:tcBorders>
          </w:tcPr>
          <w:p>
            <w:pPr>
              <w:spacing w:after="0"/>
              <w:rPr>
                <w:sz w:val="7"/>
                <w:szCs w:val="7"/>
                <w:color w:val="auto"/>
              </w:rPr>
            </w:pPr>
          </w:p>
        </w:tc>
        <w:tc>
          <w:tcPr>
            <w:tcW w:w="1280" w:type="dxa"/>
            <w:vAlign w:val="bottom"/>
            <w:tcBorders>
              <w:bottom w:val="single" w:sz="8" w:color="FB4E0B"/>
              <w:right w:val="single" w:sz="8" w:color="auto"/>
            </w:tcBorders>
          </w:tcPr>
          <w:p>
            <w:pPr>
              <w:spacing w:after="0"/>
              <w:rPr>
                <w:sz w:val="7"/>
                <w:szCs w:val="7"/>
                <w:color w:val="auto"/>
              </w:rPr>
            </w:pPr>
          </w:p>
        </w:tc>
        <w:tc>
          <w:tcPr>
            <w:tcW w:w="1300" w:type="dxa"/>
            <w:vAlign w:val="bottom"/>
            <w:tcBorders>
              <w:bottom w:val="single" w:sz="8" w:color="FB4E0B"/>
              <w:right w:val="single" w:sz="8" w:color="auto"/>
            </w:tcBorders>
          </w:tcPr>
          <w:p>
            <w:pPr>
              <w:spacing w:after="0"/>
              <w:rPr>
                <w:sz w:val="7"/>
                <w:szCs w:val="7"/>
                <w:color w:val="auto"/>
              </w:rPr>
            </w:pPr>
          </w:p>
        </w:tc>
        <w:tc>
          <w:tcPr>
            <w:tcW w:w="1200" w:type="dxa"/>
            <w:vAlign w:val="bottom"/>
            <w:tcBorders>
              <w:bottom w:val="single" w:sz="8" w:color="FB4E0B"/>
              <w:right w:val="single" w:sz="8" w:color="auto"/>
            </w:tcBorders>
          </w:tcPr>
          <w:p>
            <w:pPr>
              <w:spacing w:after="0"/>
              <w:rPr>
                <w:sz w:val="7"/>
                <w:szCs w:val="7"/>
                <w:color w:val="auto"/>
              </w:rPr>
            </w:pPr>
          </w:p>
        </w:tc>
        <w:tc>
          <w:tcPr>
            <w:tcW w:w="1040" w:type="dxa"/>
            <w:vAlign w:val="bottom"/>
            <w:tcBorders>
              <w:bottom w:val="single" w:sz="8" w:color="FB4E0B"/>
              <w:right w:val="single" w:sz="8" w:color="auto"/>
            </w:tcBorders>
          </w:tcPr>
          <w:p>
            <w:pPr>
              <w:spacing w:after="0"/>
              <w:rPr>
                <w:sz w:val="7"/>
                <w:szCs w:val="7"/>
                <w:color w:val="auto"/>
              </w:rPr>
            </w:pPr>
          </w:p>
        </w:tc>
        <w:tc>
          <w:tcPr>
            <w:tcW w:w="1280" w:type="dxa"/>
            <w:vAlign w:val="bottom"/>
            <w:tcBorders>
              <w:bottom w:val="single" w:sz="8" w:color="FB4E0B"/>
            </w:tcBorders>
          </w:tcPr>
          <w:p>
            <w:pPr>
              <w:spacing w:after="0"/>
              <w:rPr>
                <w:sz w:val="7"/>
                <w:szCs w:val="7"/>
                <w:color w:val="auto"/>
              </w:rPr>
            </w:pPr>
          </w:p>
        </w:tc>
      </w:tr>
    </w:tbl>
    <w:p>
      <w:pPr>
        <w:spacing w:after="0" w:line="28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Vikas Bhalla</w:t>
      </w:r>
    </w:p>
    <w:p>
      <w:pPr>
        <w:spacing w:after="0" w:line="219" w:lineRule="exact"/>
        <w:rPr>
          <w:sz w:val="20"/>
          <w:szCs w:val="20"/>
          <w:color w:val="auto"/>
        </w:rPr>
      </w:pPr>
    </w:p>
    <w:p>
      <w:pPr>
        <w:ind w:left="320" w:right="80"/>
        <w:spacing w:after="0" w:line="260" w:lineRule="auto"/>
        <w:rPr>
          <w:sz w:val="20"/>
          <w:szCs w:val="20"/>
          <w:color w:val="auto"/>
        </w:rPr>
      </w:pPr>
      <w:r>
        <w:rPr>
          <w:rFonts w:ascii="Calibri" w:cs="Calibri" w:eastAsia="Calibri" w:hAnsi="Calibri"/>
          <w:sz w:val="16"/>
          <w:szCs w:val="16"/>
          <w:color w:val="auto"/>
        </w:rPr>
        <w:t>Either Mr. Bhalla or we may terminate Mr. Bhalla’s employment at any tme with three months’ notce (or pay three months’ salary in lieu of notce). If Mr. Bhalla is terminated by us without “cause” (other than due to disability) at any tme following a change in control or in specifc contemplaton of a change in control, or if Mr. Bhalla resigns for “good reason” afer at least six months following a “change in control” (as defned in the 2015 Plan), Mr. Bhalla will receive a cash severance payment equal to twelve months’ of his then-current annual fxed compensaton, payable in twelve equal monthly installments.</w:t>
      </w:r>
    </w:p>
    <w:p>
      <w:pPr>
        <w:spacing w:after="0" w:line="194" w:lineRule="exact"/>
        <w:rPr>
          <w:sz w:val="20"/>
          <w:szCs w:val="20"/>
          <w:color w:val="auto"/>
        </w:rPr>
      </w:pPr>
    </w:p>
    <w:p>
      <w:pPr>
        <w:jc w:val="both"/>
        <w:ind w:left="320" w:right="160"/>
        <w:spacing w:after="0" w:line="239" w:lineRule="auto"/>
        <w:rPr>
          <w:sz w:val="20"/>
          <w:szCs w:val="20"/>
          <w:color w:val="auto"/>
        </w:rPr>
      </w:pPr>
      <w:r>
        <w:rPr>
          <w:rFonts w:ascii="Calibri" w:cs="Calibri" w:eastAsia="Calibri" w:hAnsi="Calibri"/>
          <w:sz w:val="17"/>
          <w:szCs w:val="17"/>
          <w:color w:val="auto"/>
        </w:rPr>
        <w:t>On a “change in control” (as defned in the 2018 Plan) or death, Mr. Bhalla’s outstanding equity awards will vest in the same manner as described for Mr. Nicolelli’s outstanding equity awards beginning on page 94, except that his restricted stock units granted in September 2021 will not vest if he terminates his employment for good reason following a change in control.</w:t>
      </w:r>
    </w:p>
    <w:p>
      <w:pPr>
        <w:spacing w:after="0" w:line="213"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Mr. Bhalla’s severance payments and terminaton-related equity acceleraton are subject to his executon of a waiver and release of claims against us. Mr. Bhalla is subject to confdentality restrictons at all tmes, as well as noncompetton and nonsolicitaton restrictons for two years following terminaton of his employment.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Vikas Bhalla</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rPr>
                <w:sz w:val="20"/>
                <w:szCs w:val="20"/>
                <w:color w:val="auto"/>
              </w:rPr>
            </w:pPr>
            <w:r>
              <w:rPr>
                <w:rFonts w:ascii="Calibri" w:cs="Calibri" w:eastAsia="Calibri" w:hAnsi="Calibri"/>
                <w:sz w:val="14"/>
                <w:szCs w:val="14"/>
                <w:b w:val="1"/>
                <w:bCs w:val="1"/>
                <w:color w:val="auto"/>
              </w:rPr>
              <w:t>Terminaton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without cause or for</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good reason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following change in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control or terminaton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without cause in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Terminaton for</w:t>
            </w: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specifc</w:t>
            </w:r>
          </w:p>
        </w:tc>
      </w:tr>
      <w:tr>
        <w:trPr>
          <w:trHeight w:val="172"/>
        </w:trPr>
        <w:tc>
          <w:tcPr>
            <w:tcW w:w="2560" w:type="dxa"/>
            <w:vAlign w:val="bottom"/>
          </w:tcPr>
          <w:p>
            <w:pPr>
              <w:spacing w:after="0"/>
              <w:rPr>
                <w:sz w:val="14"/>
                <w:szCs w:val="14"/>
                <w:color w:val="auto"/>
              </w:rPr>
            </w:pPr>
          </w:p>
        </w:tc>
        <w:tc>
          <w:tcPr>
            <w:tcW w:w="1600" w:type="dxa"/>
            <w:vAlign w:val="bottom"/>
          </w:tcPr>
          <w:p>
            <w:pPr>
              <w:jc w:val="center"/>
              <w:ind w:right="31"/>
              <w:spacing w:after="0"/>
              <w:rPr>
                <w:sz w:val="20"/>
                <w:szCs w:val="20"/>
                <w:color w:val="auto"/>
              </w:rPr>
            </w:pPr>
            <w:r>
              <w:rPr>
                <w:rFonts w:ascii="Calibri" w:cs="Calibri" w:eastAsia="Calibri" w:hAnsi="Calibri"/>
                <w:sz w:val="14"/>
                <w:szCs w:val="14"/>
                <w:b w:val="1"/>
                <w:bCs w:val="1"/>
                <w:color w:val="auto"/>
                <w:w w:val="97"/>
              </w:rPr>
              <w:t>Death prior to a</w:t>
            </w:r>
          </w:p>
        </w:tc>
        <w:tc>
          <w:tcPr>
            <w:tcW w:w="1600" w:type="dxa"/>
            <w:vAlign w:val="bottom"/>
          </w:tcPr>
          <w:p>
            <w:pPr>
              <w:jc w:val="center"/>
              <w:ind w:right="31"/>
              <w:spacing w:after="0"/>
              <w:rPr>
                <w:sz w:val="20"/>
                <w:szCs w:val="20"/>
                <w:color w:val="auto"/>
              </w:rPr>
            </w:pPr>
            <w:r>
              <w:rPr>
                <w:rFonts w:ascii="Calibri" w:cs="Calibri" w:eastAsia="Calibri" w:hAnsi="Calibri"/>
                <w:sz w:val="14"/>
                <w:szCs w:val="14"/>
                <w:b w:val="1"/>
                <w:bCs w:val="1"/>
                <w:color w:val="auto"/>
              </w:rPr>
              <w:t>Death afer a</w:t>
            </w:r>
          </w:p>
        </w:tc>
        <w:tc>
          <w:tcPr>
            <w:tcW w:w="16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8"/>
              </w:rPr>
              <w:t>good reason or</w:t>
            </w:r>
          </w:p>
        </w:tc>
        <w:tc>
          <w:tcPr>
            <w:tcW w:w="160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contemplaton of</w:t>
            </w:r>
          </w:p>
        </w:tc>
      </w:tr>
      <w:tr>
        <w:trPr>
          <w:trHeight w:val="169"/>
        </w:trPr>
        <w:tc>
          <w:tcPr>
            <w:tcW w:w="2560" w:type="dxa"/>
            <w:vAlign w:val="bottom"/>
          </w:tcPr>
          <w:p>
            <w:pPr>
              <w:ind w:left="60"/>
              <w:spacing w:after="0" w:line="166" w:lineRule="exact"/>
              <w:rPr>
                <w:sz w:val="20"/>
                <w:szCs w:val="20"/>
                <w:color w:val="auto"/>
              </w:rPr>
            </w:pPr>
            <w:r>
              <w:rPr>
                <w:rFonts w:ascii="Calibri" w:cs="Calibri" w:eastAsia="Calibri" w:hAnsi="Calibri"/>
                <w:sz w:val="14"/>
                <w:szCs w:val="14"/>
                <w:b w:val="1"/>
                <w:bCs w:val="1"/>
                <w:color w:val="FB4E0B"/>
              </w:rPr>
              <w:t>Payments upon</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64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w w:val="99"/>
              </w:rPr>
              <w:t>without cause</w:t>
            </w:r>
          </w:p>
        </w:tc>
        <w:tc>
          <w:tcPr>
            <w:tcW w:w="1600" w:type="dxa"/>
            <w:vAlign w:val="bottom"/>
          </w:tcPr>
          <w:p>
            <w:pPr>
              <w:jc w:val="center"/>
              <w:ind w:right="31"/>
              <w:spacing w:after="0" w:line="166" w:lineRule="exact"/>
              <w:rPr>
                <w:sz w:val="20"/>
                <w:szCs w:val="20"/>
                <w:color w:val="auto"/>
              </w:rPr>
            </w:pPr>
            <w:r>
              <w:rPr>
                <w:rFonts w:ascii="Calibri" w:cs="Calibri" w:eastAsia="Calibri" w:hAnsi="Calibri"/>
                <w:sz w:val="14"/>
                <w:szCs w:val="14"/>
                <w:b w:val="1"/>
                <w:bCs w:val="1"/>
                <w:color w:val="auto"/>
              </w:rPr>
              <w:t>control</w:t>
            </w:r>
          </w:p>
        </w:tc>
        <w:tc>
          <w:tcPr>
            <w:tcW w:w="1620" w:type="dxa"/>
            <w:vAlign w:val="bottom"/>
          </w:tcPr>
          <w:p>
            <w:pPr>
              <w:jc w:val="center"/>
              <w:ind w:right="11"/>
              <w:spacing w:after="0" w:line="166" w:lineRule="exact"/>
              <w:rPr>
                <w:sz w:val="20"/>
                <w:szCs w:val="20"/>
                <w:color w:val="auto"/>
              </w:rPr>
            </w:pPr>
            <w:r>
              <w:rPr>
                <w:rFonts w:ascii="Calibri" w:cs="Calibri" w:eastAsia="Calibri" w:hAnsi="Calibri"/>
                <w:sz w:val="14"/>
                <w:szCs w:val="14"/>
                <w:b w:val="1"/>
                <w:bCs w:val="1"/>
                <w:color w:val="auto"/>
                <w:w w:val="97"/>
              </w:rPr>
              <w:t>change in control</w:t>
            </w:r>
          </w:p>
        </w:tc>
      </w:tr>
      <w:tr>
        <w:trPr>
          <w:trHeight w:val="179"/>
        </w:trPr>
        <w:tc>
          <w:tcPr>
            <w:tcW w:w="2560" w:type="dxa"/>
            <w:vAlign w:val="bottom"/>
          </w:tcPr>
          <w:p>
            <w:pPr>
              <w:ind w:left="60"/>
              <w:spacing w:after="0" w:line="166" w:lineRule="exact"/>
              <w:rPr>
                <w:sz w:val="20"/>
                <w:szCs w:val="20"/>
                <w:color w:val="auto"/>
              </w:rPr>
            </w:pPr>
            <w:r>
              <w:rPr>
                <w:rFonts w:ascii="Calibri" w:cs="Calibri" w:eastAsia="Calibri" w:hAnsi="Calibri"/>
                <w:sz w:val="14"/>
                <w:szCs w:val="14"/>
                <w:b w:val="1"/>
                <w:bCs w:val="1"/>
                <w:color w:val="FB4E0B"/>
              </w:rPr>
              <w:t>terminaton</w:t>
            </w:r>
          </w:p>
        </w:tc>
        <w:tc>
          <w:tcPr>
            <w:tcW w:w="1600" w:type="dxa"/>
            <w:vAlign w:val="bottom"/>
          </w:tcPr>
          <w:p>
            <w:pPr>
              <w:jc w:val="center"/>
              <w:ind w:right="51"/>
              <w:spacing w:after="0"/>
              <w:rPr>
                <w:sz w:val="20"/>
                <w:szCs w:val="20"/>
                <w:color w:val="auto"/>
              </w:rPr>
            </w:pPr>
            <w:r>
              <w:rPr>
                <w:rFonts w:ascii="Calibri" w:cs="Calibri" w:eastAsia="Calibri" w:hAnsi="Calibri"/>
                <w:sz w:val="14"/>
                <w:szCs w:val="14"/>
                <w:b w:val="1"/>
                <w:bCs w:val="1"/>
                <w:color w:val="auto"/>
              </w:rPr>
              <w:t>($)</w:t>
            </w:r>
          </w:p>
        </w:tc>
        <w:tc>
          <w:tcPr>
            <w:tcW w:w="1600" w:type="dxa"/>
            <w:vAlign w:val="bottom"/>
          </w:tcPr>
          <w:p>
            <w:pPr>
              <w:jc w:val="center"/>
              <w:ind w:right="51"/>
              <w:spacing w:after="0"/>
              <w:rPr>
                <w:sz w:val="20"/>
                <w:szCs w:val="20"/>
                <w:color w:val="auto"/>
              </w:rPr>
            </w:pPr>
            <w:r>
              <w:rPr>
                <w:rFonts w:ascii="Calibri" w:cs="Calibri" w:eastAsia="Calibri" w:hAnsi="Calibri"/>
                <w:sz w:val="14"/>
                <w:szCs w:val="14"/>
                <w:b w:val="1"/>
                <w:bCs w:val="1"/>
                <w:color w:val="auto"/>
              </w:rPr>
              <w:t>($)</w:t>
            </w:r>
          </w:p>
        </w:tc>
        <w:tc>
          <w:tcPr>
            <w:tcW w:w="1640" w:type="dxa"/>
            <w:vAlign w:val="bottom"/>
          </w:tcPr>
          <w:p>
            <w:pPr>
              <w:jc w:val="center"/>
              <w:ind w:right="51"/>
              <w:spacing w:after="0" w:line="166" w:lineRule="exact"/>
              <w:rPr>
                <w:sz w:val="20"/>
                <w:szCs w:val="20"/>
                <w:color w:val="auto"/>
              </w:rPr>
            </w:pPr>
            <w:r>
              <w:rPr>
                <w:rFonts w:ascii="Calibri" w:cs="Calibri" w:eastAsia="Calibri" w:hAnsi="Calibri"/>
                <w:sz w:val="14"/>
                <w:szCs w:val="14"/>
                <w:b w:val="1"/>
                <w:bCs w:val="1"/>
                <w:color w:val="auto"/>
              </w:rPr>
              <w:t>($)</w:t>
            </w:r>
          </w:p>
        </w:tc>
        <w:tc>
          <w:tcPr>
            <w:tcW w:w="1600" w:type="dxa"/>
            <w:vAlign w:val="bottom"/>
          </w:tcPr>
          <w:p>
            <w:pPr>
              <w:jc w:val="center"/>
              <w:ind w:right="11"/>
              <w:spacing w:after="0" w:line="166" w:lineRule="exact"/>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spacing w:after="0" w:line="166" w:lineRule="exact"/>
              <w:rPr>
                <w:sz w:val="20"/>
                <w:szCs w:val="20"/>
                <w:color w:val="auto"/>
              </w:rPr>
            </w:pPr>
            <w:r>
              <w:rPr>
                <w:rFonts w:ascii="Calibri" w:cs="Calibri" w:eastAsia="Calibri" w:hAnsi="Calibri"/>
                <w:sz w:val="14"/>
                <w:szCs w:val="14"/>
                <w:b w:val="1"/>
                <w:bCs w:val="1"/>
                <w:color w:val="auto"/>
              </w:rPr>
              <w:t>($)</w:t>
            </w:r>
          </w:p>
        </w:tc>
      </w:tr>
      <w:tr>
        <w:trPr>
          <w:trHeight w:val="128"/>
        </w:trPr>
        <w:tc>
          <w:tcPr>
            <w:tcW w:w="2560" w:type="dxa"/>
            <w:vAlign w:val="bottom"/>
            <w:tcBorders>
              <w:bottom w:val="single" w:sz="8" w:color="FB4E0B"/>
            </w:tcBorders>
          </w:tcPr>
          <w:p>
            <w:pPr>
              <w:spacing w:after="0"/>
              <w:rPr>
                <w:sz w:val="11"/>
                <w:szCs w:val="11"/>
                <w:color w:val="auto"/>
              </w:rPr>
            </w:pPr>
          </w:p>
        </w:tc>
        <w:tc>
          <w:tcPr>
            <w:tcW w:w="1600" w:type="dxa"/>
            <w:vAlign w:val="bottom"/>
            <w:tcBorders>
              <w:bottom w:val="single" w:sz="8" w:color="FB4E0B"/>
            </w:tcBorders>
          </w:tcPr>
          <w:p>
            <w:pPr>
              <w:spacing w:after="0"/>
              <w:rPr>
                <w:sz w:val="11"/>
                <w:szCs w:val="11"/>
                <w:color w:val="auto"/>
              </w:rPr>
            </w:pPr>
          </w:p>
        </w:tc>
        <w:tc>
          <w:tcPr>
            <w:tcW w:w="1600" w:type="dxa"/>
            <w:vAlign w:val="bottom"/>
            <w:tcBorders>
              <w:bottom w:val="single" w:sz="8" w:color="FB4E0B"/>
            </w:tcBorders>
          </w:tcPr>
          <w:p>
            <w:pPr>
              <w:spacing w:after="0"/>
              <w:rPr>
                <w:sz w:val="11"/>
                <w:szCs w:val="11"/>
                <w:color w:val="auto"/>
              </w:rPr>
            </w:pPr>
          </w:p>
        </w:tc>
        <w:tc>
          <w:tcPr>
            <w:tcW w:w="1640" w:type="dxa"/>
            <w:vAlign w:val="bottom"/>
            <w:tcBorders>
              <w:bottom w:val="single" w:sz="8" w:color="FB4E0B"/>
            </w:tcBorders>
          </w:tcPr>
          <w:p>
            <w:pPr>
              <w:spacing w:after="0"/>
              <w:rPr>
                <w:sz w:val="11"/>
                <w:szCs w:val="11"/>
                <w:color w:val="auto"/>
              </w:rPr>
            </w:pPr>
          </w:p>
        </w:tc>
        <w:tc>
          <w:tcPr>
            <w:tcW w:w="1600" w:type="dxa"/>
            <w:vAlign w:val="bottom"/>
            <w:tcBorders>
              <w:bottom w:val="single" w:sz="8" w:color="FB4E0B"/>
            </w:tcBorders>
          </w:tcPr>
          <w:p>
            <w:pPr>
              <w:spacing w:after="0"/>
              <w:rPr>
                <w:sz w:val="11"/>
                <w:szCs w:val="11"/>
                <w:color w:val="auto"/>
              </w:rPr>
            </w:pPr>
          </w:p>
        </w:tc>
        <w:tc>
          <w:tcPr>
            <w:tcW w:w="1620" w:type="dxa"/>
            <w:vAlign w:val="bottom"/>
            <w:tcBorders>
              <w:bottom w:val="single" w:sz="8" w:color="FB4E0B"/>
            </w:tcBorders>
          </w:tcPr>
          <w:p>
            <w:pPr>
              <w:spacing w:after="0"/>
              <w:rPr>
                <w:sz w:val="11"/>
                <w:szCs w:val="11"/>
                <w:color w:val="auto"/>
              </w:rPr>
            </w:pPr>
          </w:p>
        </w:tc>
      </w:tr>
      <w:tr>
        <w:trPr>
          <w:trHeight w:val="242"/>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Base salary payout</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329,611</w:t>
            </w:r>
          </w:p>
        </w:tc>
        <w:tc>
          <w:tcPr>
            <w:tcW w:w="16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329,611</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Restricted stock units</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4,462,535</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4,462,535</w:t>
            </w:r>
          </w:p>
        </w:tc>
        <w:tc>
          <w:tcPr>
            <w:tcW w:w="16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1,224,682</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4,462,535</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Performance restricted stock units</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1,155,269</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2,864,998</w:t>
            </w:r>
          </w:p>
        </w:tc>
        <w:tc>
          <w:tcPr>
            <w:tcW w:w="16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2,510,830</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2,864,998</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Government-required payouts</w:t>
            </w:r>
            <w:r>
              <w:rPr>
                <w:rFonts w:ascii="Calibri" w:cs="Calibri" w:eastAsia="Calibri" w:hAnsi="Calibri"/>
                <w:sz w:val="11"/>
                <w:szCs w:val="11"/>
                <w:color w:val="auto"/>
              </w:rPr>
              <w:t>(1)</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116,473</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116,473</w:t>
            </w:r>
          </w:p>
        </w:tc>
        <w:tc>
          <w:tcPr>
            <w:tcW w:w="16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116,473</w:t>
            </w:r>
          </w:p>
        </w:tc>
        <w:tc>
          <w:tcPr>
            <w:tcW w:w="16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116,473</w:t>
            </w:r>
          </w:p>
        </w:tc>
      </w:tr>
      <w:tr>
        <w:trPr>
          <w:trHeight w:val="128"/>
        </w:trPr>
        <w:tc>
          <w:tcPr>
            <w:tcW w:w="256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4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20" w:type="dxa"/>
            <w:vAlign w:val="bottom"/>
            <w:tcBorders>
              <w:bottom w:val="single" w:sz="8" w:color="FB4E0B"/>
            </w:tcBorders>
          </w:tcPr>
          <w:p>
            <w:pPr>
              <w:spacing w:after="0"/>
              <w:rPr>
                <w:sz w:val="11"/>
                <w:szCs w:val="11"/>
                <w:color w:val="auto"/>
              </w:rPr>
            </w:pPr>
          </w:p>
        </w:tc>
      </w:tr>
    </w:tbl>
    <w:p>
      <w:pPr>
        <w:spacing w:after="0" w:line="94" w:lineRule="exact"/>
        <w:rPr>
          <w:sz w:val="20"/>
          <w:szCs w:val="20"/>
          <w:color w:val="auto"/>
        </w:rPr>
      </w:pPr>
    </w:p>
    <w:p>
      <w:pPr>
        <w:ind w:left="320"/>
        <w:spacing w:after="0"/>
        <w:rPr>
          <w:sz w:val="20"/>
          <w:szCs w:val="20"/>
          <w:color w:val="auto"/>
        </w:rPr>
      </w:pPr>
      <w:r>
        <w:rPr>
          <w:rFonts w:ascii="Calibri" w:cs="Calibri" w:eastAsia="Calibri" w:hAnsi="Calibri"/>
          <w:sz w:val="13"/>
          <w:szCs w:val="13"/>
          <w:color w:val="auto"/>
        </w:rPr>
        <w:t>(1) Represents distributons under the Gratuity Plan, which is due to Mr. Bhalla because he has earned over fve years of credited service.</w:t>
      </w:r>
    </w:p>
    <w:p>
      <w:pPr>
        <w:spacing w:after="0" w:line="124"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96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Vivek Jetley</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Either Mr. Jetley or we may terminate Mr. Jetley’s employment at any tme.</w:t>
      </w:r>
    </w:p>
    <w:p>
      <w:pPr>
        <w:spacing w:after="0" w:line="210"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On a “change in control” (as defned in the 2018 Plan) or death, Mr. Jetley’s outstanding equity awards will vest in the same manner as described for Mr. Nicolelli’s outstanding equity awards on page 94, except that his restricted stock units granted in September 2021 will not vest if he terminates his employment for good reason following a change in control.</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Mr. Jetley’s terminaton-related equity acceleraton is subject to his executon of a release of claims against us.</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Vivek Jetley</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rPr>
                <w:sz w:val="20"/>
                <w:szCs w:val="20"/>
                <w:color w:val="auto"/>
              </w:rPr>
            </w:pPr>
            <w:r>
              <w:rPr>
                <w:rFonts w:ascii="Calibri" w:cs="Calibri" w:eastAsia="Calibri" w:hAnsi="Calibri"/>
                <w:sz w:val="14"/>
                <w:szCs w:val="14"/>
                <w:b w:val="1"/>
                <w:bCs w:val="1"/>
                <w:color w:val="auto"/>
              </w:rPr>
              <w:t>Terminaton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without cause or for</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good reason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8"/>
              </w:rPr>
              <w:t>following change</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in control or</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without cause in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Terminaton for</w:t>
            </w: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specifc</w:t>
            </w:r>
          </w:p>
        </w:tc>
      </w:tr>
      <w:tr>
        <w:trPr>
          <w:trHeight w:val="169"/>
        </w:trPr>
        <w:tc>
          <w:tcPr>
            <w:tcW w:w="2560" w:type="dxa"/>
            <w:vAlign w:val="bottom"/>
          </w:tcPr>
          <w:p>
            <w:pPr>
              <w:spacing w:after="0"/>
              <w:rPr>
                <w:sz w:val="14"/>
                <w:szCs w:val="14"/>
                <w:color w:val="auto"/>
              </w:rPr>
            </w:pP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Death prior to a</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Death afer a</w:t>
            </w:r>
          </w:p>
        </w:tc>
        <w:tc>
          <w:tcPr>
            <w:tcW w:w="16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8"/>
              </w:rPr>
              <w:t>good reason or</w:t>
            </w:r>
          </w:p>
        </w:tc>
        <w:tc>
          <w:tcPr>
            <w:tcW w:w="160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contemplaton of</w:t>
            </w:r>
          </w:p>
        </w:tc>
      </w:tr>
      <w:tr>
        <w:trPr>
          <w:trHeight w:val="169"/>
        </w:trPr>
        <w:tc>
          <w:tcPr>
            <w:tcW w:w="256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FB4E0B"/>
              </w:rPr>
              <w:t>Payments upon</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6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9"/>
              </w:rPr>
              <w:t>without cause</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control</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change in control</w:t>
            </w:r>
          </w:p>
        </w:tc>
      </w:tr>
      <w:tr>
        <w:trPr>
          <w:trHeight w:val="169"/>
        </w:trPr>
        <w:tc>
          <w:tcPr>
            <w:tcW w:w="256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FB4E0B"/>
              </w:rPr>
              <w:t>terminaton</w:t>
            </w:r>
          </w:p>
        </w:tc>
        <w:tc>
          <w:tcPr>
            <w:tcW w:w="160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160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164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160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r>
      <w:tr>
        <w:trPr>
          <w:trHeight w:val="141"/>
        </w:trPr>
        <w:tc>
          <w:tcPr>
            <w:tcW w:w="2560" w:type="dxa"/>
            <w:vAlign w:val="bottom"/>
            <w:tcBorders>
              <w:bottom w:val="single" w:sz="8" w:color="FB4E0B"/>
            </w:tcBorders>
          </w:tcPr>
          <w:p>
            <w:pPr>
              <w:spacing w:after="0"/>
              <w:rPr>
                <w:sz w:val="12"/>
                <w:szCs w:val="12"/>
                <w:color w:val="auto"/>
              </w:rPr>
            </w:pPr>
          </w:p>
        </w:tc>
        <w:tc>
          <w:tcPr>
            <w:tcW w:w="1600" w:type="dxa"/>
            <w:vAlign w:val="bottom"/>
            <w:tcBorders>
              <w:bottom w:val="single" w:sz="8" w:color="FB4E0B"/>
            </w:tcBorders>
          </w:tcPr>
          <w:p>
            <w:pPr>
              <w:spacing w:after="0"/>
              <w:rPr>
                <w:sz w:val="12"/>
                <w:szCs w:val="12"/>
                <w:color w:val="auto"/>
              </w:rPr>
            </w:pPr>
          </w:p>
        </w:tc>
        <w:tc>
          <w:tcPr>
            <w:tcW w:w="1600" w:type="dxa"/>
            <w:vAlign w:val="bottom"/>
            <w:tcBorders>
              <w:bottom w:val="single" w:sz="8" w:color="FB4E0B"/>
            </w:tcBorders>
          </w:tcPr>
          <w:p>
            <w:pPr>
              <w:spacing w:after="0"/>
              <w:rPr>
                <w:sz w:val="12"/>
                <w:szCs w:val="12"/>
                <w:color w:val="auto"/>
              </w:rPr>
            </w:pPr>
          </w:p>
        </w:tc>
        <w:tc>
          <w:tcPr>
            <w:tcW w:w="1640" w:type="dxa"/>
            <w:vAlign w:val="bottom"/>
            <w:tcBorders>
              <w:bottom w:val="single" w:sz="8" w:color="FB4E0B"/>
            </w:tcBorders>
          </w:tcPr>
          <w:p>
            <w:pPr>
              <w:spacing w:after="0"/>
              <w:rPr>
                <w:sz w:val="12"/>
                <w:szCs w:val="12"/>
                <w:color w:val="auto"/>
              </w:rPr>
            </w:pPr>
          </w:p>
        </w:tc>
        <w:tc>
          <w:tcPr>
            <w:tcW w:w="1600" w:type="dxa"/>
            <w:vAlign w:val="bottom"/>
            <w:tcBorders>
              <w:bottom w:val="single" w:sz="8" w:color="FB4E0B"/>
            </w:tcBorders>
          </w:tcPr>
          <w:p>
            <w:pPr>
              <w:spacing w:after="0"/>
              <w:rPr>
                <w:sz w:val="12"/>
                <w:szCs w:val="12"/>
                <w:color w:val="auto"/>
              </w:rPr>
            </w:pPr>
          </w:p>
        </w:tc>
        <w:tc>
          <w:tcPr>
            <w:tcW w:w="1620" w:type="dxa"/>
            <w:vAlign w:val="bottom"/>
            <w:tcBorders>
              <w:bottom w:val="single" w:sz="8" w:color="FB4E0B"/>
            </w:tcBorders>
          </w:tcPr>
          <w:p>
            <w:pPr>
              <w:spacing w:after="0"/>
              <w:rPr>
                <w:sz w:val="12"/>
                <w:szCs w:val="12"/>
                <w:color w:val="auto"/>
              </w:rPr>
            </w:pPr>
          </w:p>
        </w:tc>
      </w:tr>
      <w:tr>
        <w:trPr>
          <w:trHeight w:val="242"/>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Base salary payout</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420,000</w:t>
            </w:r>
          </w:p>
        </w:tc>
        <w:tc>
          <w:tcPr>
            <w:tcW w:w="16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420,000</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Restricted stock units</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4,055,297</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4,055,297</w:t>
            </w:r>
          </w:p>
        </w:tc>
        <w:tc>
          <w:tcPr>
            <w:tcW w:w="16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1,224,682</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4,055,297</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Performance restricted stock units</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708,641</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1,809,915</w:t>
            </w:r>
          </w:p>
        </w:tc>
        <w:tc>
          <w:tcPr>
            <w:tcW w:w="16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1,522,575</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1,809,915</w:t>
            </w:r>
          </w:p>
        </w:tc>
      </w:tr>
      <w:tr>
        <w:trPr>
          <w:trHeight w:val="128"/>
        </w:trPr>
        <w:tc>
          <w:tcPr>
            <w:tcW w:w="256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4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20" w:type="dxa"/>
            <w:vAlign w:val="bottom"/>
            <w:tcBorders>
              <w:bottom w:val="single" w:sz="8" w:color="FB4E0B"/>
            </w:tcBorders>
          </w:tcPr>
          <w:p>
            <w:pPr>
              <w:spacing w:after="0"/>
              <w:rPr>
                <w:sz w:val="11"/>
                <w:szCs w:val="11"/>
                <w:color w:val="auto"/>
              </w:rPr>
            </w:pPr>
          </w:p>
        </w:tc>
      </w:tr>
    </w:tbl>
    <w:p>
      <w:pPr>
        <w:spacing w:after="0" w:line="28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Samuel Meckey</w:t>
      </w:r>
    </w:p>
    <w:p>
      <w:pPr>
        <w:spacing w:after="0" w:line="1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Either Mr. Meckey or we may terminate Mr. Meckey’s employment at any tme (though we must give Mr. Meckey 30 days’ notce if the terminaton is without “cause” and Mr. Meckey must give us 60 days’ advance notce upon any resignaton). If Mr. Meckey’s employment with the Company is terminated by the Company without “cause” (other than due to death or disability) or by Mr. Meckey for “good reason” (both “cause” and “good reason” as defned above), Mr. Meckey will receive a cash severance payment equal to 12 months base salary, with 25% payable as a lump sum payment and the remaining 75% payable in accordance with the Company’s regular payroll practces.</w:t>
      </w:r>
    </w:p>
    <w:p>
      <w:pPr>
        <w:spacing w:after="0" w:line="211" w:lineRule="exact"/>
        <w:rPr>
          <w:sz w:val="20"/>
          <w:szCs w:val="20"/>
          <w:color w:val="auto"/>
        </w:rPr>
      </w:pPr>
    </w:p>
    <w:p>
      <w:pPr>
        <w:ind w:left="320"/>
        <w:spacing w:after="0"/>
        <w:rPr>
          <w:sz w:val="20"/>
          <w:szCs w:val="20"/>
          <w:color w:val="auto"/>
        </w:rPr>
      </w:pPr>
      <w:r>
        <w:rPr>
          <w:rFonts w:ascii="Calibri" w:cs="Calibri" w:eastAsia="Calibri" w:hAnsi="Calibri"/>
          <w:sz w:val="16"/>
          <w:szCs w:val="16"/>
          <w:color w:val="auto"/>
        </w:rPr>
        <w:t>On a “change in control” (as defned in the 2018 Plan) or death, Mr. Meckey’s outstanding equity awards will vest in the same manner as described for Mr.</w:t>
      </w:r>
    </w:p>
    <w:p>
      <w:pPr>
        <w:spacing w:after="0" w:line="1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Nicolelli’s outstanding equity awards on page 94.</w:t>
      </w:r>
    </w:p>
    <w:p>
      <w:pPr>
        <w:spacing w:after="0" w:line="210"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Mr. Meckey’s severance payments and terminaton-related equity acceleraton are subject to his executon of a release of claims against us. Mr. Meckey is subject to confdentality restrictons at all tmes, as well as noncompetton, nondisparagement and nonsolicitaton restrictons during his employment and for one year thereafer.</w:t>
      </w:r>
    </w:p>
    <w:p>
      <w:pPr>
        <w:spacing w:after="0" w:line="129"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97</w:t>
            </w:r>
          </w:p>
        </w:tc>
      </w:tr>
    </w:tbl>
    <w:p>
      <w:pPr>
        <w:sectPr>
          <w:pgSz w:w="11900" w:h="16838" w:orient="portrait"/>
          <w:cols w:equalWidth="0" w:num="1">
            <w:col w:w="10940"/>
          </w:cols>
          <w:pgMar w:left="320" w:top="445" w:right="6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Indicatve payouts for Samuel Meckey</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rPr>
                <w:sz w:val="20"/>
                <w:szCs w:val="20"/>
                <w:color w:val="auto"/>
              </w:rPr>
            </w:pPr>
            <w:r>
              <w:rPr>
                <w:rFonts w:ascii="Calibri" w:cs="Calibri" w:eastAsia="Calibri" w:hAnsi="Calibri"/>
                <w:sz w:val="14"/>
                <w:szCs w:val="14"/>
                <w:b w:val="1"/>
                <w:bCs w:val="1"/>
                <w:color w:val="auto"/>
              </w:rPr>
              <w:t>Terminaton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w w:val="98"/>
              </w:rPr>
              <w:t>without cause or for</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good reason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8"/>
              </w:rPr>
              <w:t>following change</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in control or</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terminaton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without cause in</w:t>
            </w:r>
          </w:p>
        </w:tc>
      </w:tr>
      <w:tr>
        <w:trPr>
          <w:trHeight w:val="169"/>
        </w:trPr>
        <w:tc>
          <w:tcPr>
            <w:tcW w:w="2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Terminaton for</w:t>
            </w:r>
          </w:p>
        </w:tc>
        <w:tc>
          <w:tcPr>
            <w:tcW w:w="1600" w:type="dxa"/>
            <w:vAlign w:val="bottom"/>
          </w:tcPr>
          <w:p>
            <w:pPr>
              <w:spacing w:after="0"/>
              <w:rPr>
                <w:sz w:val="14"/>
                <w:szCs w:val="14"/>
                <w:color w:val="auto"/>
              </w:rPr>
            </w:pP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specifc</w:t>
            </w:r>
          </w:p>
        </w:tc>
      </w:tr>
      <w:tr>
        <w:trPr>
          <w:trHeight w:val="169"/>
        </w:trPr>
        <w:tc>
          <w:tcPr>
            <w:tcW w:w="2560" w:type="dxa"/>
            <w:vAlign w:val="bottom"/>
          </w:tcPr>
          <w:p>
            <w:pPr>
              <w:spacing w:after="0"/>
              <w:rPr>
                <w:sz w:val="14"/>
                <w:szCs w:val="14"/>
                <w:color w:val="auto"/>
              </w:rPr>
            </w:pP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Death prior to a</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Death afer a</w:t>
            </w:r>
          </w:p>
        </w:tc>
        <w:tc>
          <w:tcPr>
            <w:tcW w:w="16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8"/>
              </w:rPr>
              <w:t>good reason or</w:t>
            </w:r>
          </w:p>
        </w:tc>
        <w:tc>
          <w:tcPr>
            <w:tcW w:w="160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Change in</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contemplaton of</w:t>
            </w:r>
          </w:p>
        </w:tc>
      </w:tr>
      <w:tr>
        <w:trPr>
          <w:trHeight w:val="169"/>
        </w:trPr>
        <w:tc>
          <w:tcPr>
            <w:tcW w:w="256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FB4E0B"/>
              </w:rPr>
              <w:t>Payments upon</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7"/>
              </w:rPr>
              <w:t>change in control</w:t>
            </w:r>
          </w:p>
        </w:tc>
        <w:tc>
          <w:tcPr>
            <w:tcW w:w="164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w w:val="99"/>
              </w:rPr>
              <w:t>without cause</w:t>
            </w:r>
          </w:p>
        </w:tc>
        <w:tc>
          <w:tcPr>
            <w:tcW w:w="1600" w:type="dxa"/>
            <w:vAlign w:val="bottom"/>
          </w:tcPr>
          <w:p>
            <w:pPr>
              <w:jc w:val="center"/>
              <w:ind w:right="31"/>
              <w:spacing w:after="0" w:line="169" w:lineRule="exact"/>
              <w:rPr>
                <w:sz w:val="20"/>
                <w:szCs w:val="20"/>
                <w:color w:val="auto"/>
              </w:rPr>
            </w:pPr>
            <w:r>
              <w:rPr>
                <w:rFonts w:ascii="Calibri" w:cs="Calibri" w:eastAsia="Calibri" w:hAnsi="Calibri"/>
                <w:sz w:val="14"/>
                <w:szCs w:val="14"/>
                <w:b w:val="1"/>
                <w:bCs w:val="1"/>
                <w:color w:val="auto"/>
              </w:rPr>
              <w:t>control</w:t>
            </w:r>
          </w:p>
        </w:tc>
        <w:tc>
          <w:tcPr>
            <w:tcW w:w="162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w w:val="97"/>
              </w:rPr>
              <w:t>change in control</w:t>
            </w:r>
          </w:p>
        </w:tc>
      </w:tr>
      <w:tr>
        <w:trPr>
          <w:trHeight w:val="169"/>
        </w:trPr>
        <w:tc>
          <w:tcPr>
            <w:tcW w:w="2560" w:type="dxa"/>
            <w:vAlign w:val="bottom"/>
          </w:tcPr>
          <w:p>
            <w:pPr>
              <w:ind w:left="60"/>
              <w:spacing w:after="0" w:line="169" w:lineRule="exact"/>
              <w:rPr>
                <w:sz w:val="20"/>
                <w:szCs w:val="20"/>
                <w:color w:val="auto"/>
              </w:rPr>
            </w:pPr>
            <w:r>
              <w:rPr>
                <w:rFonts w:ascii="Calibri" w:cs="Calibri" w:eastAsia="Calibri" w:hAnsi="Calibri"/>
                <w:sz w:val="14"/>
                <w:szCs w:val="14"/>
                <w:b w:val="1"/>
                <w:bCs w:val="1"/>
                <w:color w:val="FB4E0B"/>
              </w:rPr>
              <w:t>terminaton</w:t>
            </w:r>
          </w:p>
        </w:tc>
        <w:tc>
          <w:tcPr>
            <w:tcW w:w="160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160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1640" w:type="dxa"/>
            <w:vAlign w:val="bottom"/>
          </w:tcPr>
          <w:p>
            <w:pPr>
              <w:jc w:val="center"/>
              <w:ind w:right="51"/>
              <w:spacing w:after="0" w:line="169" w:lineRule="exact"/>
              <w:rPr>
                <w:sz w:val="20"/>
                <w:szCs w:val="20"/>
                <w:color w:val="auto"/>
              </w:rPr>
            </w:pPr>
            <w:r>
              <w:rPr>
                <w:rFonts w:ascii="Calibri" w:cs="Calibri" w:eastAsia="Calibri" w:hAnsi="Calibri"/>
                <w:sz w:val="14"/>
                <w:szCs w:val="14"/>
                <w:b w:val="1"/>
                <w:bCs w:val="1"/>
                <w:color w:val="auto"/>
              </w:rPr>
              <w:t>($)</w:t>
            </w:r>
          </w:p>
        </w:tc>
        <w:tc>
          <w:tcPr>
            <w:tcW w:w="1600" w:type="dxa"/>
            <w:vAlign w:val="bottom"/>
          </w:tcPr>
          <w:p>
            <w:pPr>
              <w:jc w:val="center"/>
              <w:ind w:right="11"/>
              <w:spacing w:after="0" w:line="169" w:lineRule="exact"/>
              <w:rPr>
                <w:sz w:val="20"/>
                <w:szCs w:val="20"/>
                <w:color w:val="auto"/>
              </w:rPr>
            </w:pPr>
            <w:r>
              <w:rPr>
                <w:rFonts w:ascii="Calibri" w:cs="Calibri" w:eastAsia="Calibri" w:hAnsi="Calibri"/>
                <w:sz w:val="14"/>
                <w:szCs w:val="14"/>
                <w:b w:val="1"/>
                <w:bCs w:val="1"/>
                <w:color w:val="auto"/>
              </w:rPr>
              <w:t>($)</w:t>
            </w:r>
          </w:p>
        </w:tc>
        <w:tc>
          <w:tcPr>
            <w:tcW w:w="1620" w:type="dxa"/>
            <w:vAlign w:val="bottom"/>
          </w:tcPr>
          <w:p>
            <w:pPr>
              <w:jc w:val="center"/>
              <w:spacing w:after="0" w:line="169" w:lineRule="exact"/>
              <w:rPr>
                <w:sz w:val="20"/>
                <w:szCs w:val="20"/>
                <w:color w:val="auto"/>
              </w:rPr>
            </w:pPr>
            <w:r>
              <w:rPr>
                <w:rFonts w:ascii="Calibri" w:cs="Calibri" w:eastAsia="Calibri" w:hAnsi="Calibri"/>
                <w:sz w:val="14"/>
                <w:szCs w:val="14"/>
                <w:b w:val="1"/>
                <w:bCs w:val="1"/>
                <w:color w:val="auto"/>
              </w:rPr>
              <w:t>($)</w:t>
            </w:r>
          </w:p>
        </w:tc>
      </w:tr>
      <w:tr>
        <w:trPr>
          <w:trHeight w:val="141"/>
        </w:trPr>
        <w:tc>
          <w:tcPr>
            <w:tcW w:w="2560" w:type="dxa"/>
            <w:vAlign w:val="bottom"/>
            <w:tcBorders>
              <w:bottom w:val="single" w:sz="8" w:color="FB4E0B"/>
            </w:tcBorders>
          </w:tcPr>
          <w:p>
            <w:pPr>
              <w:spacing w:after="0"/>
              <w:rPr>
                <w:sz w:val="12"/>
                <w:szCs w:val="12"/>
                <w:color w:val="auto"/>
              </w:rPr>
            </w:pPr>
          </w:p>
        </w:tc>
        <w:tc>
          <w:tcPr>
            <w:tcW w:w="1600" w:type="dxa"/>
            <w:vAlign w:val="bottom"/>
            <w:tcBorders>
              <w:bottom w:val="single" w:sz="8" w:color="FB4E0B"/>
            </w:tcBorders>
          </w:tcPr>
          <w:p>
            <w:pPr>
              <w:spacing w:after="0"/>
              <w:rPr>
                <w:sz w:val="12"/>
                <w:szCs w:val="12"/>
                <w:color w:val="auto"/>
              </w:rPr>
            </w:pPr>
          </w:p>
        </w:tc>
        <w:tc>
          <w:tcPr>
            <w:tcW w:w="1600" w:type="dxa"/>
            <w:vAlign w:val="bottom"/>
            <w:tcBorders>
              <w:bottom w:val="single" w:sz="8" w:color="FB4E0B"/>
            </w:tcBorders>
          </w:tcPr>
          <w:p>
            <w:pPr>
              <w:spacing w:after="0"/>
              <w:rPr>
                <w:sz w:val="12"/>
                <w:szCs w:val="12"/>
                <w:color w:val="auto"/>
              </w:rPr>
            </w:pPr>
          </w:p>
        </w:tc>
        <w:tc>
          <w:tcPr>
            <w:tcW w:w="1640" w:type="dxa"/>
            <w:vAlign w:val="bottom"/>
            <w:tcBorders>
              <w:bottom w:val="single" w:sz="8" w:color="FB4E0B"/>
            </w:tcBorders>
          </w:tcPr>
          <w:p>
            <w:pPr>
              <w:spacing w:after="0"/>
              <w:rPr>
                <w:sz w:val="12"/>
                <w:szCs w:val="12"/>
                <w:color w:val="auto"/>
              </w:rPr>
            </w:pPr>
          </w:p>
        </w:tc>
        <w:tc>
          <w:tcPr>
            <w:tcW w:w="1600" w:type="dxa"/>
            <w:vAlign w:val="bottom"/>
            <w:tcBorders>
              <w:bottom w:val="single" w:sz="8" w:color="FB4E0B"/>
            </w:tcBorders>
          </w:tcPr>
          <w:p>
            <w:pPr>
              <w:spacing w:after="0"/>
              <w:rPr>
                <w:sz w:val="12"/>
                <w:szCs w:val="12"/>
                <w:color w:val="auto"/>
              </w:rPr>
            </w:pPr>
          </w:p>
        </w:tc>
        <w:tc>
          <w:tcPr>
            <w:tcW w:w="1620" w:type="dxa"/>
            <w:vAlign w:val="bottom"/>
            <w:tcBorders>
              <w:bottom w:val="single" w:sz="8" w:color="FB4E0B"/>
            </w:tcBorders>
          </w:tcPr>
          <w:p>
            <w:pPr>
              <w:spacing w:after="0"/>
              <w:rPr>
                <w:sz w:val="12"/>
                <w:szCs w:val="12"/>
                <w:color w:val="auto"/>
              </w:rPr>
            </w:pPr>
          </w:p>
        </w:tc>
      </w:tr>
      <w:tr>
        <w:trPr>
          <w:trHeight w:val="242"/>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Base salary payout</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442,000</w:t>
            </w:r>
          </w:p>
        </w:tc>
        <w:tc>
          <w:tcPr>
            <w:tcW w:w="16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442,000</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Restricted stock units</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3,658,627</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3,658,627</w:t>
            </w:r>
          </w:p>
        </w:tc>
        <w:tc>
          <w:tcPr>
            <w:tcW w:w="16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1,008,178</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3,658,627</w:t>
            </w:r>
          </w:p>
        </w:tc>
      </w:tr>
      <w:tr>
        <w:trPr>
          <w:trHeight w:val="122"/>
        </w:trPr>
        <w:tc>
          <w:tcPr>
            <w:tcW w:w="256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35"/>
        </w:trPr>
        <w:tc>
          <w:tcPr>
            <w:tcW w:w="2560" w:type="dxa"/>
            <w:vAlign w:val="bottom"/>
            <w:tcBorders>
              <w:right w:val="single" w:sz="8" w:color="auto"/>
            </w:tcBorders>
          </w:tcPr>
          <w:p>
            <w:pPr>
              <w:ind w:left="60"/>
              <w:spacing w:after="0"/>
              <w:rPr>
                <w:sz w:val="20"/>
                <w:szCs w:val="20"/>
                <w:color w:val="auto"/>
              </w:rPr>
            </w:pPr>
            <w:r>
              <w:rPr>
                <w:rFonts w:ascii="Calibri" w:cs="Calibri" w:eastAsia="Calibri" w:hAnsi="Calibri"/>
                <w:sz w:val="14"/>
                <w:szCs w:val="14"/>
                <w:color w:val="auto"/>
              </w:rPr>
              <w:t>Performance restricted stock units</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991,429</w:t>
            </w:r>
          </w:p>
        </w:tc>
        <w:tc>
          <w:tcPr>
            <w:tcW w:w="160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2,499,020</w:t>
            </w:r>
          </w:p>
        </w:tc>
        <w:tc>
          <w:tcPr>
            <w:tcW w:w="1640" w:type="dxa"/>
            <w:vAlign w:val="bottom"/>
            <w:tcBorders>
              <w:right w:val="single" w:sz="8" w:color="auto"/>
            </w:tcBorders>
          </w:tcPr>
          <w:p>
            <w:pPr>
              <w:jc w:val="right"/>
              <w:ind w:right="71"/>
              <w:spacing w:after="0"/>
              <w:rPr>
                <w:sz w:val="20"/>
                <w:szCs w:val="20"/>
                <w:color w:val="auto"/>
              </w:rPr>
            </w:pPr>
            <w:r>
              <w:rPr>
                <w:rFonts w:ascii="Calibri" w:cs="Calibri" w:eastAsia="Calibri" w:hAnsi="Calibri"/>
                <w:sz w:val="14"/>
                <w:szCs w:val="14"/>
                <w:color w:val="auto"/>
              </w:rPr>
              <w:t>—</w:t>
            </w:r>
          </w:p>
        </w:tc>
        <w:tc>
          <w:tcPr>
            <w:tcW w:w="1600" w:type="dxa"/>
            <w:vAlign w:val="bottom"/>
            <w:tcBorders>
              <w:right w:val="single" w:sz="8" w:color="auto"/>
            </w:tcBorders>
          </w:tcPr>
          <w:p>
            <w:pPr>
              <w:jc w:val="right"/>
              <w:ind w:right="51"/>
              <w:spacing w:after="0"/>
              <w:rPr>
                <w:sz w:val="20"/>
                <w:szCs w:val="20"/>
                <w:color w:val="auto"/>
              </w:rPr>
            </w:pPr>
            <w:r>
              <w:rPr>
                <w:rFonts w:ascii="Calibri" w:cs="Calibri" w:eastAsia="Calibri" w:hAnsi="Calibri"/>
                <w:sz w:val="14"/>
                <w:szCs w:val="14"/>
                <w:color w:val="auto"/>
              </w:rPr>
              <w:t>2,141,232</w:t>
            </w:r>
          </w:p>
        </w:tc>
        <w:tc>
          <w:tcPr>
            <w:tcW w:w="1620" w:type="dxa"/>
            <w:vAlign w:val="bottom"/>
          </w:tcPr>
          <w:p>
            <w:pPr>
              <w:jc w:val="right"/>
              <w:ind w:right="51"/>
              <w:spacing w:after="0"/>
              <w:rPr>
                <w:sz w:val="20"/>
                <w:szCs w:val="20"/>
                <w:color w:val="auto"/>
              </w:rPr>
            </w:pPr>
            <w:r>
              <w:rPr>
                <w:rFonts w:ascii="Calibri" w:cs="Calibri" w:eastAsia="Calibri" w:hAnsi="Calibri"/>
                <w:sz w:val="14"/>
                <w:szCs w:val="14"/>
                <w:color w:val="auto"/>
              </w:rPr>
              <w:t>2,499,020</w:t>
            </w:r>
          </w:p>
        </w:tc>
      </w:tr>
      <w:tr>
        <w:trPr>
          <w:trHeight w:val="128"/>
        </w:trPr>
        <w:tc>
          <w:tcPr>
            <w:tcW w:w="256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40" w:type="dxa"/>
            <w:vAlign w:val="bottom"/>
            <w:tcBorders>
              <w:bottom w:val="single" w:sz="8" w:color="FB4E0B"/>
              <w:right w:val="single" w:sz="8" w:color="auto"/>
            </w:tcBorders>
          </w:tcPr>
          <w:p>
            <w:pPr>
              <w:spacing w:after="0"/>
              <w:rPr>
                <w:sz w:val="11"/>
                <w:szCs w:val="11"/>
                <w:color w:val="auto"/>
              </w:rPr>
            </w:pPr>
          </w:p>
        </w:tc>
        <w:tc>
          <w:tcPr>
            <w:tcW w:w="1600" w:type="dxa"/>
            <w:vAlign w:val="bottom"/>
            <w:tcBorders>
              <w:bottom w:val="single" w:sz="8" w:color="FB4E0B"/>
              <w:right w:val="single" w:sz="8" w:color="auto"/>
            </w:tcBorders>
          </w:tcPr>
          <w:p>
            <w:pPr>
              <w:spacing w:after="0"/>
              <w:rPr>
                <w:sz w:val="11"/>
                <w:szCs w:val="11"/>
                <w:color w:val="auto"/>
              </w:rPr>
            </w:pPr>
          </w:p>
        </w:tc>
        <w:tc>
          <w:tcPr>
            <w:tcW w:w="1620" w:type="dxa"/>
            <w:vAlign w:val="bottom"/>
            <w:tcBorders>
              <w:bottom w:val="single" w:sz="8" w:color="FB4E0B"/>
            </w:tcBorders>
          </w:tcPr>
          <w:p>
            <w:pPr>
              <w:spacing w:after="0"/>
              <w:rPr>
                <w:sz w:val="11"/>
                <w:szCs w:val="11"/>
                <w:color w:val="auto"/>
              </w:rPr>
            </w:pPr>
          </w:p>
        </w:tc>
      </w:tr>
    </w:tbl>
    <w:p>
      <w:pPr>
        <w:spacing w:after="0" w:line="282"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Certain defned terms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cause</w:t>
      </w:r>
    </w:p>
    <w:p>
      <w:pPr>
        <w:spacing w:after="0" w:line="106" w:lineRule="exact"/>
        <w:rPr>
          <w:sz w:val="20"/>
          <w:szCs w:val="20"/>
          <w:color w:val="auto"/>
        </w:rPr>
      </w:pPr>
    </w:p>
    <w:p>
      <w:pPr>
        <w:ind w:left="320" w:right="20"/>
        <w:spacing w:after="0" w:line="256" w:lineRule="auto"/>
        <w:rPr>
          <w:sz w:val="20"/>
          <w:szCs w:val="20"/>
          <w:color w:val="auto"/>
        </w:rPr>
      </w:pPr>
      <w:r>
        <w:rPr>
          <w:rFonts w:ascii="Calibri" w:cs="Calibri" w:eastAsia="Calibri" w:hAnsi="Calibri"/>
          <w:sz w:val="16"/>
          <w:szCs w:val="16"/>
          <w:color w:val="auto"/>
        </w:rPr>
        <w:t>The following defniton of “cause” applies to all named executve ofcers unless stated otherwise. “Cause” will occur if: (i) there is a fnal nonappealable convicton of, or pleading of no contest to, (1) a crime of moral turpitude which causes serious economic injury or serious injury to our reputaton or (2) a felony; (ii) the executve engages in fraud, embezzlement, gross negligence, self-dealing, dishonesty or other gross and willful misconduct which causes serious and demonstrable injury to us; (iii) the executve materially violates any of our material policies (for Mr. Kapoor, which is not remedied within 15 days of receipt of notce from the Company specifying the breach in reasonable detail); (iv) the executve willfully and contnually fails to substantally perform his dutes (other than for reason of physical or mental incapacity) which contnues beyond 15 days afer we notfy him in writng of his need to substantally improve his performance; provided that a failure to achieve performance objectves will not by itself consttute cause and no act or failure to act shall be considered “willful” unless done or failed to be done by the executve in bad faith and without a reasonable belief that his actons or omission was in our best interest; (v) the executve fails to reasonably cooperate in a governmental investgaton involving us; (vi) the executve materially, knowingly and intentonally fails to comply with applicable laws with respect to the executon of the Company’s business operatons (subject to a presumpton of good faith if the executve is following advice of counsel); (vii) the executve fails to follow his supervisor’s (or, for Messrs. Kapoor our board of directors’) lawful instructons and does not remedy the failure for 15 days afer we give him writen notce; (viii) the executve’s use of alcohol or drugs materially interferes with the performance of his dutes; (ix) for Mr. Kapoor only, he fails to take reasonable steps to end certain afliatons specifed in his employment agreement within six months afer a request by our board of directors; or (x) for Mr. Kapoor only, he materially breaches any material term of his employment agreement which is not remedied within 15 days of receipt of notce from the Company specifying the breach in reasonable detail.</w:t>
      </w:r>
    </w:p>
    <w:p>
      <w:pPr>
        <w:spacing w:after="0" w:line="308"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good reason</w:t>
      </w:r>
    </w:p>
    <w:p>
      <w:pPr>
        <w:spacing w:after="0" w:line="106" w:lineRule="exact"/>
        <w:rPr>
          <w:sz w:val="20"/>
          <w:szCs w:val="20"/>
          <w:color w:val="auto"/>
        </w:rPr>
      </w:pPr>
    </w:p>
    <w:p>
      <w:pPr>
        <w:jc w:val="both"/>
        <w:ind w:left="320" w:right="20"/>
        <w:spacing w:after="0" w:line="239" w:lineRule="auto"/>
        <w:rPr>
          <w:sz w:val="20"/>
          <w:szCs w:val="20"/>
          <w:color w:val="auto"/>
        </w:rPr>
      </w:pPr>
      <w:r>
        <w:rPr>
          <w:rFonts w:ascii="Calibri" w:cs="Calibri" w:eastAsia="Calibri" w:hAnsi="Calibri"/>
          <w:sz w:val="17"/>
          <w:szCs w:val="17"/>
          <w:color w:val="auto"/>
        </w:rPr>
        <w:t>For Mr. Kapoor, “good reason” generally means: (i) his dutes or responsibilites are substantally reduced, he is required to report to anyone other than our board of directors, or his ttle as our ofcer is adversely changed; however, if following a change in control, his new ttle and authority are similar to his old ttle and authority, then any change in the executve’s ttle will not</w:t>
      </w:r>
    </w:p>
    <w:p>
      <w:pPr>
        <w:spacing w:after="0" w:line="129" w:lineRule="exact"/>
        <w:rPr>
          <w:sz w:val="20"/>
          <w:szCs w:val="20"/>
          <w:color w:val="auto"/>
        </w:rPr>
      </w:pPr>
    </w:p>
    <w:p>
      <w:pPr>
        <w:ind w:left="960"/>
        <w:spacing w:after="0"/>
        <w:tabs>
          <w:tab w:leader="none" w:pos="1360" w:val="left"/>
          <w:tab w:leader="none" w:pos="1720" w:val="left"/>
        </w:tabs>
        <w:rPr>
          <w:sz w:val="20"/>
          <w:szCs w:val="20"/>
          <w:color w:val="auto"/>
        </w:rPr>
      </w:pPr>
      <w:r>
        <w:rPr>
          <w:rFonts w:ascii="Calibri" w:cs="Calibri" w:eastAsia="Calibri" w:hAnsi="Calibri"/>
          <w:sz w:val="17"/>
          <w:szCs w:val="17"/>
          <w:b w:val="1"/>
          <w:bCs w:val="1"/>
          <w:color w:val="auto"/>
        </w:rPr>
        <w:t>98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540"/>
        <w:spacing w:after="0"/>
        <w:rPr>
          <w:sz w:val="20"/>
          <w:szCs w:val="20"/>
          <w:color w:val="auto"/>
        </w:rPr>
      </w:pPr>
      <w:r>
        <w:rPr>
          <w:rFonts w:ascii="Calibri" w:cs="Calibri" w:eastAsia="Calibri" w:hAnsi="Calibri"/>
          <w:sz w:val="14"/>
          <w:szCs w:val="14"/>
          <w:b w:val="1"/>
          <w:bCs w:val="1"/>
          <w:color w:val="D8D8D8"/>
        </w:rPr>
        <w:t>Executve compensaton</w:t>
      </w:r>
    </w:p>
    <w:p>
      <w:pPr>
        <w:spacing w:after="0" w:line="14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consttute a signifcant reducton in his dutes and authorites, it being understood that “good reason” shall be deemed to exist if Mr. Kapoor is no longer the chief executve ofcer of the Company or any entty that acquires the Company; (ii) his base salary is reduced, or his target annual bonus opportunity is reduced below 100% of his base salary; (iii) the ofce or locaton where he is based in the metropolitan New York City area is moved more than 30 miles, and the new locaton is more than 30 miles from his primary residence in the metropolitan New York City area; or (iv) we breach any material term of his employment agreement. If Mr. Kapoor plans to terminate his employment for good reason, he must notfy us within 45 days following the date the executve frst becomes aware of the circumstances giving rise to good reason and must allow us 30 days to remedy the problem.</w:t>
      </w:r>
    </w:p>
    <w:p>
      <w:pPr>
        <w:spacing w:after="0" w:line="21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defniton of “good reason” applies to Messrs. Nicolelli, Bhalla, and Meckey unless stated otherwise. “Good reason” means, without the executve’s prior writen consent: (i) the executve’s dutes or responsibilites are substantally reduced, or he is required to report to anyone other than our board of directors, or our CEO; (ii) the executve’s ttle as our ofcer is adversely changed; however, if following a change in control (as defned in the 2018 Plan), his new ttle and authority are similar to his old ttle and authority, then any change in the executve’s ttle will not consttute a signifcant reducton in his dutes and authorites; (iii) for Messrs. Nicolelli and Meckey only, there is a change in the ofce or locaton where the executve is based of more than 50 miles and such new ofce or locaton is more than 50 miles from the executve’s primary residence; or (iv) we breach any material term of the executve’s employment agreement or severance agreement. If the executve plans to terminate his employment for good reason, he must notfy us within 30 days following the date the executve frst becomes aware of the circumstances giving rise to good reason and must allow us 30 days to remedy the problem.</w:t>
      </w: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change in control</w:t>
      </w:r>
    </w:p>
    <w:p>
      <w:pPr>
        <w:spacing w:after="0" w:line="106"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 “change in control” (as generally defned in Mr. Kapoor’s employment agreement and the 2018 Plan, as applicable) generally means any of the following events: (i) any person or group becomes a benefcial owner (within the meaning of Rule 13d-3 under the Exchange Act) of more than 50% of either (1) the combined votng power of our then-outstanding votng securites enttled to vote in the electon of directors or (2) our outstanding shares of common stock, assuming all rights to acquire common stock through optons, warrants, conversion of convertble stock or debt, and the like are exercised; (ii) a majority of the members of our board of directors changes from those in ofce as of the date of Mr. Kapoor’s employment agreement or the efectve date of the 2018 Plan (as applicable), except that the electon of any new director whose electon or nominaton was approved by at least two-thirds of our incumbent directors will not be regarded towards a change in the majority for these purposes; (iii) our dissoluton or liquidaton; (iv) the sale, transfer or other dispositon of all or substantally all of our business or our assets; or (v) consummaton of a reorganizaton, recapitalizaton, merger, consolidaton or similar transacton with another entty which requires the approval of our stockholders; however, any such transacton will not be a change in control if afer the transacton (1) more than 50% of the total votng power of the resultng entty or its ultmate parent is represented by what were our outstanding votng securites before the transacton in substantally the same proporton among holders; (2) no person or group is or becomes the benefcial owner of more than 50% of the total votng power of the outstanding votng securites eligible to elect members of our board of directors of the parent or surviving company; and (3) at least a majority of the members of our board of directors of the parent or surviving company following the transacton were our board members when our board frst approved the transacton.</w:t>
      </w:r>
    </w:p>
    <w:p>
      <w:pPr>
        <w:spacing w:after="0" w:line="133" w:lineRule="exact"/>
        <w:rPr>
          <w:sz w:val="20"/>
          <w:szCs w:val="20"/>
          <w:color w:val="auto"/>
        </w:rPr>
      </w:pPr>
    </w:p>
    <w:tbl>
      <w:tblPr>
        <w:tblLayout w:type="fixed"/>
        <w:tblInd w:w="8100" w:type="dxa"/>
        <w:tblCellMar>
          <w:top w:w="0" w:type="dxa"/>
          <w:left w:w="0" w:type="dxa"/>
          <w:bottom w:w="0" w:type="dxa"/>
          <w:right w:w="0" w:type="dxa"/>
        </w:tblCellMar>
      </w:tblPr>
      <w:tr>
        <w:trPr>
          <w:trHeight w:val="342"/>
        </w:trPr>
        <w:tc>
          <w:tcPr>
            <w:tcW w:w="188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300" w:type="dxa"/>
            <w:vAlign w:val="bottom"/>
          </w:tcPr>
          <w:p>
            <w:pPr>
              <w:jc w:val="right"/>
              <w:spacing w:after="0"/>
              <w:rPr>
                <w:sz w:val="20"/>
                <w:szCs w:val="20"/>
                <w:color w:val="auto"/>
              </w:rPr>
            </w:pPr>
            <w:r>
              <w:rPr>
                <w:rFonts w:ascii="Calibri" w:cs="Calibri" w:eastAsia="Calibri" w:hAnsi="Calibri"/>
                <w:sz w:val="17"/>
                <w:szCs w:val="17"/>
                <w:b w:val="1"/>
                <w:bCs w:val="1"/>
                <w:color w:val="auto"/>
              </w:rPr>
              <w:t>99</w:t>
            </w:r>
          </w:p>
        </w:tc>
      </w:tr>
    </w:tbl>
    <w:p>
      <w:pPr>
        <w:sectPr>
          <w:pgSz w:w="11900" w:h="16838" w:orient="portrait"/>
          <w:cols w:equalWidth="0" w:num="1">
            <w:col w:w="10940"/>
          </w:cols>
          <w:pgMar w:left="320" w:top="445" w:right="6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9"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Defniton of retrement</w:t>
      </w:r>
    </w:p>
    <w:p>
      <w:pPr>
        <w:spacing w:after="0" w:line="10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 “retrement” generally means a named executve ofcer’s voluntary terminaton of employment that is efectve afer he reaches age 60.</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CEO pay rato</w:t>
      </w:r>
    </w:p>
    <w:p>
      <w:pPr>
        <w:spacing w:after="0" w:line="114" w:lineRule="exact"/>
        <w:rPr>
          <w:sz w:val="20"/>
          <w:szCs w:val="20"/>
          <w:color w:val="auto"/>
        </w:rPr>
      </w:pPr>
    </w:p>
    <w:p>
      <w:pPr>
        <w:ind w:left="320" w:right="200"/>
        <w:spacing w:after="0"/>
        <w:rPr>
          <w:sz w:val="20"/>
          <w:szCs w:val="20"/>
          <w:color w:val="auto"/>
        </w:rPr>
      </w:pPr>
      <w:r>
        <w:rPr>
          <w:rFonts w:ascii="Calibri" w:cs="Calibri" w:eastAsia="Calibri" w:hAnsi="Calibri"/>
          <w:sz w:val="17"/>
          <w:szCs w:val="17"/>
          <w:color w:val="auto"/>
        </w:rPr>
        <w:t>In accordance with SEC rules and the Dodd-Frank Wall Street Reform and Consumer Protecton Act, presented below is an estmate of the rato of our CEO’s annual total compensaton to our median employee’s annual total compensaton (our “Pay Rato”). Due to the size and complexity of our organizaton, which as of December 31, 2021 was made up of approximately 37,000 professionals throughout the world, with delivery centers in over 10 countries, our Pay Rato is based on reasonable assumptons and estmates described below.</w:t>
      </w:r>
    </w:p>
    <w:p>
      <w:pPr>
        <w:spacing w:after="0" w:line="211"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We calculated our Pay Rato by looking at our entre employee populaton (excluding our CEO) as of December 31, 2021, but excluding leased employees and independent contractors. We then calculated each employee’s “total pay” using the sum of his or her fxed pay / base salary and variable pay (including any performance bonus, sales commission, and retenton or signing bonus). We also annualized total pay for all full-tme and part-tme employees that were employed for less than the full fscal year 2021.</w:t>
      </w:r>
    </w:p>
    <w:p>
      <w:pPr>
        <w:spacing w:after="0" w:line="211" w:lineRule="exact"/>
        <w:rPr>
          <w:sz w:val="20"/>
          <w:szCs w:val="20"/>
          <w:color w:val="auto"/>
        </w:rPr>
      </w:pPr>
    </w:p>
    <w:p>
      <w:pPr>
        <w:jc w:val="both"/>
        <w:ind w:left="320"/>
        <w:spacing w:after="0"/>
        <w:rPr>
          <w:sz w:val="20"/>
          <w:szCs w:val="20"/>
          <w:color w:val="auto"/>
        </w:rPr>
      </w:pPr>
      <w:r>
        <w:rPr>
          <w:rFonts w:ascii="Calibri" w:cs="Calibri" w:eastAsia="Calibri" w:hAnsi="Calibri"/>
          <w:sz w:val="17"/>
          <w:szCs w:val="17"/>
          <w:color w:val="auto"/>
        </w:rPr>
        <w:t>For all employees located in jurisdictons other than the United States, a cost-of-living adjustment was made to align their compensaton with the cost-of-living standards in the United States, the jurisdicton in which our CEO resides. Finally, we identfed the median employee and calculated his or her annual total compensaton and the CEO’s annual total compensaton in the manner required by Item 402(u) of Regulaton S-K, to determine the pay rato shown in the table below.</w:t>
      </w:r>
    </w:p>
    <w:p>
      <w:pPr>
        <w:spacing w:after="0" w:line="340"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FB4E0B"/>
        </w:rPr>
        <w:t>Pay Rato – all employees (with COLA)</w:t>
      </w:r>
      <w:r>
        <w:rPr>
          <w:rFonts w:ascii="Calibri" w:cs="Calibri" w:eastAsia="Calibri" w:hAnsi="Calibri"/>
          <w:sz w:val="29"/>
          <w:szCs w:val="29"/>
          <w:b w:val="1"/>
          <w:bCs w:val="1"/>
          <w:color w:val="FB4E0B"/>
          <w:vertAlign w:val="superscript"/>
        </w:rPr>
        <w:t>(1)</w:t>
      </w:r>
    </w:p>
    <w:tbl>
      <w:tblPr>
        <w:tblLayout w:type="fixed"/>
        <w:tblInd w:w="320" w:type="dxa"/>
        <w:tblCellMar>
          <w:top w:w="0" w:type="dxa"/>
          <w:left w:w="0" w:type="dxa"/>
          <w:bottom w:w="0" w:type="dxa"/>
          <w:right w:w="0" w:type="dxa"/>
        </w:tblCellMar>
      </w:tblPr>
      <w:tr>
        <w:trPr>
          <w:trHeight w:val="289"/>
        </w:trPr>
        <w:tc>
          <w:tcPr>
            <w:tcW w:w="9460" w:type="dxa"/>
            <w:vAlign w:val="bottom"/>
            <w:tcBorders>
              <w:top w:val="single" w:sz="8" w:color="FB4E0B"/>
              <w:right w:val="single" w:sz="8" w:color="auto"/>
            </w:tcBorders>
          </w:tcPr>
          <w:p>
            <w:pPr>
              <w:ind w:left="40"/>
              <w:spacing w:after="0"/>
              <w:rPr>
                <w:sz w:val="20"/>
                <w:szCs w:val="20"/>
                <w:color w:val="auto"/>
              </w:rPr>
            </w:pPr>
            <w:r>
              <w:rPr>
                <w:rFonts w:ascii="Calibri" w:cs="Calibri" w:eastAsia="Calibri" w:hAnsi="Calibri"/>
                <w:sz w:val="17"/>
                <w:szCs w:val="17"/>
                <w:color w:val="auto"/>
              </w:rPr>
              <w:t>Chief Executve Ofcer’s annual total compensaton</w:t>
            </w:r>
          </w:p>
        </w:tc>
        <w:tc>
          <w:tcPr>
            <w:tcW w:w="220" w:type="dxa"/>
            <w:vAlign w:val="bottom"/>
            <w:tcBorders>
              <w:top w:val="single" w:sz="8" w:color="FB4E0B"/>
            </w:tcBorders>
          </w:tcPr>
          <w:p>
            <w:pPr>
              <w:jc w:val="right"/>
              <w:spacing w:after="0"/>
              <w:rPr>
                <w:sz w:val="20"/>
                <w:szCs w:val="20"/>
                <w:color w:val="auto"/>
              </w:rPr>
            </w:pPr>
            <w:r>
              <w:rPr>
                <w:rFonts w:ascii="Calibri" w:cs="Calibri" w:eastAsia="Calibri" w:hAnsi="Calibri"/>
                <w:sz w:val="17"/>
                <w:szCs w:val="17"/>
                <w:color w:val="auto"/>
              </w:rPr>
              <w:t>$</w:t>
            </w:r>
          </w:p>
        </w:tc>
        <w:tc>
          <w:tcPr>
            <w:tcW w:w="940" w:type="dxa"/>
            <w:vAlign w:val="bottom"/>
            <w:tcBorders>
              <w:top w:val="single" w:sz="8" w:color="FB4E0B"/>
            </w:tcBorders>
          </w:tcPr>
          <w:p>
            <w:pPr>
              <w:jc w:val="right"/>
              <w:ind w:right="13"/>
              <w:spacing w:after="0"/>
              <w:rPr>
                <w:sz w:val="20"/>
                <w:szCs w:val="20"/>
                <w:color w:val="auto"/>
              </w:rPr>
            </w:pPr>
            <w:r>
              <w:rPr>
                <w:rFonts w:ascii="Calibri" w:cs="Calibri" w:eastAsia="Calibri" w:hAnsi="Calibri"/>
                <w:sz w:val="17"/>
                <w:szCs w:val="17"/>
                <w:color w:val="auto"/>
              </w:rPr>
              <w:t>10,033,589</w:t>
            </w: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269"/>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Median employee’s annual total compensaton</w:t>
            </w:r>
          </w:p>
        </w:tc>
        <w:tc>
          <w:tcPr>
            <w:tcW w:w="220" w:type="dxa"/>
            <w:vAlign w:val="bottom"/>
          </w:tcPr>
          <w:p>
            <w:pPr>
              <w:jc w:val="right"/>
              <w:spacing w:after="0"/>
              <w:rPr>
                <w:sz w:val="20"/>
                <w:szCs w:val="20"/>
                <w:color w:val="auto"/>
              </w:rPr>
            </w:pPr>
            <w:r>
              <w:rPr>
                <w:rFonts w:ascii="Calibri" w:cs="Calibri" w:eastAsia="Calibri" w:hAnsi="Calibri"/>
                <w:sz w:val="17"/>
                <w:szCs w:val="17"/>
                <w:color w:val="auto"/>
              </w:rPr>
              <w:t>$</w:t>
            </w:r>
          </w:p>
        </w:tc>
        <w:tc>
          <w:tcPr>
            <w:tcW w:w="940" w:type="dxa"/>
            <w:vAlign w:val="bottom"/>
          </w:tcPr>
          <w:p>
            <w:pPr>
              <w:jc w:val="right"/>
              <w:ind w:right="33"/>
              <w:spacing w:after="0"/>
              <w:rPr>
                <w:sz w:val="20"/>
                <w:szCs w:val="20"/>
                <w:color w:val="auto"/>
              </w:rPr>
            </w:pPr>
            <w:r>
              <w:rPr>
                <w:rFonts w:ascii="Calibri" w:cs="Calibri" w:eastAsia="Calibri" w:hAnsi="Calibri"/>
                <w:sz w:val="17"/>
                <w:szCs w:val="17"/>
                <w:color w:val="auto"/>
              </w:rPr>
              <w:t>10,275</w:t>
            </w: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269"/>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Rato of Chief Executve Ofcer’s annual total compensaton to median employee’s annual total compensaton</w:t>
            </w:r>
          </w:p>
        </w:tc>
        <w:tc>
          <w:tcPr>
            <w:tcW w:w="22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Calibri" w:cs="Calibri" w:eastAsia="Calibri" w:hAnsi="Calibri"/>
                <w:sz w:val="17"/>
                <w:szCs w:val="17"/>
                <w:color w:val="auto"/>
              </w:rPr>
              <w:t>977:1</w:t>
            </w:r>
          </w:p>
        </w:tc>
      </w:tr>
      <w:tr>
        <w:trPr>
          <w:trHeight w:val="133"/>
        </w:trPr>
        <w:tc>
          <w:tcPr>
            <w:tcW w:w="9460" w:type="dxa"/>
            <w:vAlign w:val="bottom"/>
            <w:tcBorders>
              <w:bottom w:val="single" w:sz="8" w:color="FB4E0B"/>
              <w:right w:val="single" w:sz="8" w:color="auto"/>
            </w:tcBorders>
          </w:tcPr>
          <w:p>
            <w:pPr>
              <w:spacing w:after="0"/>
              <w:rPr>
                <w:sz w:val="11"/>
                <w:szCs w:val="11"/>
                <w:color w:val="auto"/>
              </w:rPr>
            </w:pPr>
          </w:p>
        </w:tc>
        <w:tc>
          <w:tcPr>
            <w:tcW w:w="220" w:type="dxa"/>
            <w:vAlign w:val="bottom"/>
            <w:tcBorders>
              <w:bottom w:val="single" w:sz="8" w:color="FB4E0B"/>
            </w:tcBorders>
          </w:tcPr>
          <w:p>
            <w:pPr>
              <w:spacing w:after="0"/>
              <w:rPr>
                <w:sz w:val="11"/>
                <w:szCs w:val="11"/>
                <w:color w:val="auto"/>
              </w:rPr>
            </w:pPr>
          </w:p>
        </w:tc>
        <w:tc>
          <w:tcPr>
            <w:tcW w:w="940" w:type="dxa"/>
            <w:vAlign w:val="bottom"/>
            <w:tcBorders>
              <w:bottom w:val="single" w:sz="8" w:color="FB4E0B"/>
            </w:tcBorders>
          </w:tcPr>
          <w:p>
            <w:pPr>
              <w:spacing w:after="0"/>
              <w:rPr>
                <w:sz w:val="11"/>
                <w:szCs w:val="11"/>
                <w:color w:val="auto"/>
              </w:rPr>
            </w:pPr>
          </w:p>
        </w:tc>
      </w:tr>
    </w:tbl>
    <w:p>
      <w:pPr>
        <w:ind w:left="320" w:right="140" w:hanging="4"/>
        <w:spacing w:after="0" w:line="241" w:lineRule="auto"/>
        <w:tabs>
          <w:tab w:leader="none" w:pos="494" w:val="left"/>
        </w:tabs>
        <w:numPr>
          <w:ilvl w:val="0"/>
          <w:numId w:val="39"/>
        </w:numPr>
        <w:rPr>
          <w:rFonts w:ascii="Calibri" w:cs="Calibri" w:eastAsia="Calibri" w:hAnsi="Calibri"/>
          <w:sz w:val="13"/>
          <w:szCs w:val="13"/>
          <w:color w:val="auto"/>
        </w:rPr>
      </w:pPr>
      <w:r>
        <w:rPr>
          <w:rFonts w:ascii="Calibri" w:cs="Calibri" w:eastAsia="Calibri" w:hAnsi="Calibri"/>
          <w:sz w:val="13"/>
          <w:szCs w:val="13"/>
          <w:color w:val="auto"/>
        </w:rPr>
        <w:t>2021 Mercer Combined Index. Our median employee, identfed without performing a cost-of-living adjustment, is based in India and had an annual total compensaton of $6,780, resultng in a pay rato of 1480:1.</w:t>
      </w:r>
    </w:p>
    <w:p>
      <w:pPr>
        <w:spacing w:after="0" w:line="123"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100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40"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Approximately 94% of our employees are located outside of the United States, primarily in India and the Philippines. As is common with many global companies, our compensaton programs are market based, and as such they may difer for employees based on the country where an employee works. Accordingly, we believe that it is important to show our pay-rato calculated in a similar manner as described above using the median U.S.-based employee to provide a commensurable view of our pay practces.</w:t>
      </w:r>
    </w:p>
    <w:p>
      <w:pPr>
        <w:spacing w:after="0" w:line="352" w:lineRule="exact"/>
        <w:rPr>
          <w:sz w:val="20"/>
          <w:szCs w:val="20"/>
          <w:color w:val="auto"/>
        </w:rPr>
      </w:pPr>
    </w:p>
    <w:p>
      <w:pPr>
        <w:ind w:left="360"/>
        <w:spacing w:after="0"/>
        <w:rPr>
          <w:sz w:val="20"/>
          <w:szCs w:val="20"/>
          <w:color w:val="auto"/>
        </w:rPr>
      </w:pPr>
      <w:r>
        <w:rPr>
          <w:rFonts w:ascii="Calibri" w:cs="Calibri" w:eastAsia="Calibri" w:hAnsi="Calibri"/>
          <w:sz w:val="17"/>
          <w:szCs w:val="17"/>
          <w:b w:val="1"/>
          <w:bCs w:val="1"/>
          <w:color w:val="FB4E0B"/>
        </w:rPr>
        <w:t>Pay Rato – United States employees</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302"/>
        </w:trPr>
        <w:tc>
          <w:tcPr>
            <w:tcW w:w="9460" w:type="dxa"/>
            <w:vAlign w:val="bottom"/>
            <w:tcBorders>
              <w:top w:val="single" w:sz="8" w:color="FB4E0B"/>
              <w:right w:val="single" w:sz="8" w:color="auto"/>
            </w:tcBorders>
          </w:tcPr>
          <w:p>
            <w:pPr>
              <w:ind w:left="40"/>
              <w:spacing w:after="0"/>
              <w:rPr>
                <w:sz w:val="20"/>
                <w:szCs w:val="20"/>
                <w:color w:val="auto"/>
              </w:rPr>
            </w:pPr>
            <w:r>
              <w:rPr>
                <w:rFonts w:ascii="Calibri" w:cs="Calibri" w:eastAsia="Calibri" w:hAnsi="Calibri"/>
                <w:sz w:val="17"/>
                <w:szCs w:val="17"/>
                <w:color w:val="auto"/>
              </w:rPr>
              <w:t>Chief Executve Ofcer’s annual total compensaton</w:t>
            </w:r>
          </w:p>
        </w:tc>
        <w:tc>
          <w:tcPr>
            <w:tcW w:w="200" w:type="dxa"/>
            <w:vAlign w:val="bottom"/>
            <w:tcBorders>
              <w:top w:val="single" w:sz="8" w:color="FB4E0B"/>
            </w:tcBorders>
          </w:tcPr>
          <w:p>
            <w:pPr>
              <w:jc w:val="right"/>
              <w:spacing w:after="0"/>
              <w:rPr>
                <w:sz w:val="20"/>
                <w:szCs w:val="20"/>
                <w:color w:val="auto"/>
              </w:rPr>
            </w:pPr>
            <w:r>
              <w:rPr>
                <w:rFonts w:ascii="Calibri" w:cs="Calibri" w:eastAsia="Calibri" w:hAnsi="Calibri"/>
                <w:sz w:val="17"/>
                <w:szCs w:val="17"/>
                <w:color w:val="auto"/>
              </w:rPr>
              <w:t>$</w:t>
            </w:r>
          </w:p>
        </w:tc>
        <w:tc>
          <w:tcPr>
            <w:tcW w:w="960" w:type="dxa"/>
            <w:vAlign w:val="bottom"/>
            <w:tcBorders>
              <w:top w:val="single" w:sz="8" w:color="FB4E0B"/>
            </w:tcBorders>
          </w:tcPr>
          <w:p>
            <w:pPr>
              <w:jc w:val="right"/>
              <w:ind w:right="13"/>
              <w:spacing w:after="0"/>
              <w:rPr>
                <w:sz w:val="20"/>
                <w:szCs w:val="20"/>
                <w:color w:val="auto"/>
              </w:rPr>
            </w:pPr>
            <w:r>
              <w:rPr>
                <w:rFonts w:ascii="Calibri" w:cs="Calibri" w:eastAsia="Calibri" w:hAnsi="Calibri"/>
                <w:sz w:val="17"/>
                <w:szCs w:val="17"/>
                <w:color w:val="auto"/>
              </w:rPr>
              <w:t>10,033,589</w:t>
            </w: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269"/>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Median employee’s annual total compensaton</w:t>
            </w:r>
          </w:p>
        </w:tc>
        <w:tc>
          <w:tcPr>
            <w:tcW w:w="200" w:type="dxa"/>
            <w:vAlign w:val="bottom"/>
          </w:tcPr>
          <w:p>
            <w:pPr>
              <w:jc w:val="right"/>
              <w:spacing w:after="0"/>
              <w:rPr>
                <w:sz w:val="20"/>
                <w:szCs w:val="20"/>
                <w:color w:val="auto"/>
              </w:rPr>
            </w:pPr>
            <w:r>
              <w:rPr>
                <w:rFonts w:ascii="Calibri" w:cs="Calibri" w:eastAsia="Calibri" w:hAnsi="Calibri"/>
                <w:sz w:val="17"/>
                <w:szCs w:val="17"/>
                <w:color w:val="auto"/>
              </w:rPr>
              <w:t>$</w:t>
            </w:r>
          </w:p>
        </w:tc>
        <w:tc>
          <w:tcPr>
            <w:tcW w:w="960" w:type="dxa"/>
            <w:vAlign w:val="bottom"/>
          </w:tcPr>
          <w:p>
            <w:pPr>
              <w:jc w:val="right"/>
              <w:ind w:right="33"/>
              <w:spacing w:after="0"/>
              <w:rPr>
                <w:sz w:val="20"/>
                <w:szCs w:val="20"/>
                <w:color w:val="auto"/>
              </w:rPr>
            </w:pPr>
            <w:r>
              <w:rPr>
                <w:rFonts w:ascii="Calibri" w:cs="Calibri" w:eastAsia="Calibri" w:hAnsi="Calibri"/>
                <w:sz w:val="17"/>
                <w:szCs w:val="17"/>
                <w:color w:val="auto"/>
              </w:rPr>
              <w:t>93,916</w:t>
            </w:r>
          </w:p>
        </w:tc>
      </w:tr>
      <w:tr>
        <w:trPr>
          <w:trHeight w:val="127"/>
        </w:trPr>
        <w:tc>
          <w:tcPr>
            <w:tcW w:w="94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269"/>
        </w:trPr>
        <w:tc>
          <w:tcPr>
            <w:tcW w:w="946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color w:val="auto"/>
              </w:rPr>
              <w:t>Rato of Chief Executve Ofcer’s annual total compensaton to median employee’s annual total compensaton</w:t>
            </w:r>
          </w:p>
        </w:tc>
        <w:tc>
          <w:tcPr>
            <w:tcW w:w="2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Calibri" w:cs="Calibri" w:eastAsia="Calibri" w:hAnsi="Calibri"/>
                <w:sz w:val="17"/>
                <w:szCs w:val="17"/>
                <w:color w:val="auto"/>
              </w:rPr>
              <w:t>107:1</w:t>
            </w:r>
          </w:p>
        </w:tc>
      </w:tr>
      <w:tr>
        <w:trPr>
          <w:trHeight w:val="133"/>
        </w:trPr>
        <w:tc>
          <w:tcPr>
            <w:tcW w:w="9460" w:type="dxa"/>
            <w:vAlign w:val="bottom"/>
            <w:tcBorders>
              <w:bottom w:val="single" w:sz="8" w:color="FB4E0B"/>
              <w:right w:val="single" w:sz="8" w:color="auto"/>
            </w:tcBorders>
          </w:tcPr>
          <w:p>
            <w:pPr>
              <w:spacing w:after="0"/>
              <w:rPr>
                <w:sz w:val="11"/>
                <w:szCs w:val="11"/>
                <w:color w:val="auto"/>
              </w:rPr>
            </w:pPr>
          </w:p>
        </w:tc>
        <w:tc>
          <w:tcPr>
            <w:tcW w:w="200" w:type="dxa"/>
            <w:vAlign w:val="bottom"/>
            <w:tcBorders>
              <w:bottom w:val="single" w:sz="8" w:color="FB4E0B"/>
            </w:tcBorders>
          </w:tcPr>
          <w:p>
            <w:pPr>
              <w:spacing w:after="0"/>
              <w:rPr>
                <w:sz w:val="11"/>
                <w:szCs w:val="11"/>
                <w:color w:val="auto"/>
              </w:rPr>
            </w:pPr>
          </w:p>
        </w:tc>
        <w:tc>
          <w:tcPr>
            <w:tcW w:w="960" w:type="dxa"/>
            <w:vAlign w:val="bottom"/>
            <w:tcBorders>
              <w:bottom w:val="single" w:sz="8" w:color="FB4E0B"/>
            </w:tcBorders>
          </w:tcPr>
          <w:p>
            <w:pPr>
              <w:spacing w:after="0"/>
              <w:rPr>
                <w:sz w:val="11"/>
                <w:szCs w:val="11"/>
                <w:color w:val="auto"/>
              </w:rPr>
            </w:pPr>
          </w:p>
        </w:tc>
      </w:tr>
      <w:tr>
        <w:trPr>
          <w:trHeight w:val="445"/>
        </w:trPr>
        <w:tc>
          <w:tcPr>
            <w:tcW w:w="9460" w:type="dxa"/>
            <w:vAlign w:val="bottom"/>
          </w:tcPr>
          <w:p>
            <w:pPr>
              <w:ind w:left="7700"/>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200" w:type="dxa"/>
            <w:vAlign w:val="bottom"/>
          </w:tcPr>
          <w:p>
            <w:pPr>
              <w:spacing w:after="0"/>
              <w:rPr>
                <w:sz w:val="24"/>
                <w:szCs w:val="24"/>
                <w:color w:val="auto"/>
              </w:rPr>
            </w:pPr>
          </w:p>
        </w:tc>
        <w:tc>
          <w:tcPr>
            <w:tcW w:w="960" w:type="dxa"/>
            <w:vAlign w:val="bottom"/>
          </w:tcPr>
          <w:p>
            <w:pPr>
              <w:jc w:val="right"/>
              <w:ind w:right="573"/>
              <w:spacing w:after="0"/>
              <w:rPr>
                <w:sz w:val="20"/>
                <w:szCs w:val="20"/>
                <w:color w:val="auto"/>
              </w:rPr>
            </w:pPr>
            <w:r>
              <w:rPr>
                <w:rFonts w:ascii="Calibri" w:cs="Calibri" w:eastAsia="Calibri" w:hAnsi="Calibri"/>
                <w:sz w:val="17"/>
                <w:szCs w:val="17"/>
                <w:b w:val="1"/>
                <w:bCs w:val="1"/>
                <w:color w:val="auto"/>
              </w:rPr>
              <w:t>101</w:t>
            </w:r>
          </w:p>
        </w:tc>
      </w:tr>
    </w:tbl>
    <w:p>
      <w:pPr>
        <w:sectPr>
          <w:pgSz w:w="11900" w:h="16838" w:orient="portrait"/>
          <w:cols w:equalWidth="0" w:num="1">
            <w:col w:w="10940"/>
          </w:cols>
          <w:pgMar w:left="320" w:top="445" w:right="6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Executve compensaton</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Director compensaton for fscal year 2021</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following table sets forth informaton for compensaton earned in fscal year 2021 by our non-executve directors who served during fscal year 2021:</w:t>
      </w:r>
    </w:p>
    <w:p>
      <w:pPr>
        <w:spacing w:after="0" w:line="352"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Fees earned or</w:t>
            </w:r>
          </w:p>
        </w:tc>
        <w:tc>
          <w:tcPr>
            <w:tcW w:w="18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Calibri" w:cs="Calibri" w:eastAsia="Calibri" w:hAnsi="Calibri"/>
                <w:sz w:val="17"/>
                <w:szCs w:val="17"/>
                <w:b w:val="1"/>
                <w:bCs w:val="1"/>
                <w:color w:val="FB4E0B"/>
              </w:rPr>
              <w:t>All Other</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vMerge w:val="restart"/>
          </w:tcPr>
          <w:p>
            <w:pPr>
              <w:ind w:left="40"/>
              <w:spacing w:after="0"/>
              <w:rPr>
                <w:sz w:val="20"/>
                <w:szCs w:val="20"/>
                <w:color w:val="auto"/>
              </w:rPr>
            </w:pPr>
            <w:r>
              <w:rPr>
                <w:rFonts w:ascii="Calibri" w:cs="Calibri" w:eastAsia="Calibri" w:hAnsi="Calibri"/>
                <w:sz w:val="17"/>
                <w:szCs w:val="17"/>
                <w:b w:val="1"/>
                <w:bCs w:val="1"/>
                <w:color w:val="FB4E0B"/>
              </w:rPr>
              <w:t>Name</w:t>
            </w:r>
            <w:r>
              <w:rPr>
                <w:rFonts w:ascii="Calibri" w:cs="Calibri" w:eastAsia="Calibri" w:hAnsi="Calibri"/>
                <w:sz w:val="29"/>
                <w:szCs w:val="29"/>
                <w:b w:val="1"/>
                <w:bCs w:val="1"/>
                <w:color w:val="FB4E0B"/>
                <w:vertAlign w:val="superscript"/>
              </w:rPr>
              <w:t>(1)</w:t>
            </w:r>
          </w:p>
        </w:tc>
        <w:tc>
          <w:tcPr>
            <w:tcW w:w="1680" w:type="dxa"/>
            <w:vAlign w:val="bottom"/>
          </w:tcPr>
          <w:p>
            <w:pPr>
              <w:jc w:val="center"/>
              <w:ind w:right="13"/>
              <w:spacing w:after="0" w:line="206" w:lineRule="exact"/>
              <w:rPr>
                <w:sz w:val="20"/>
                <w:szCs w:val="20"/>
                <w:color w:val="auto"/>
              </w:rPr>
            </w:pPr>
            <w:r>
              <w:rPr>
                <w:rFonts w:ascii="Calibri" w:cs="Calibri" w:eastAsia="Calibri" w:hAnsi="Calibri"/>
                <w:sz w:val="17"/>
                <w:szCs w:val="17"/>
                <w:b w:val="1"/>
                <w:bCs w:val="1"/>
                <w:color w:val="FB4E0B"/>
                <w:w w:val="98"/>
              </w:rPr>
              <w:t>paid in cash</w:t>
            </w:r>
          </w:p>
        </w:tc>
        <w:tc>
          <w:tcPr>
            <w:tcW w:w="1860" w:type="dxa"/>
            <w:vAlign w:val="bottom"/>
          </w:tcPr>
          <w:p>
            <w:pPr>
              <w:jc w:val="right"/>
              <w:ind w:right="394"/>
              <w:spacing w:after="0"/>
              <w:rPr>
                <w:sz w:val="20"/>
                <w:szCs w:val="20"/>
                <w:color w:val="auto"/>
              </w:rPr>
            </w:pPr>
            <w:r>
              <w:rPr>
                <w:rFonts w:ascii="Calibri" w:cs="Calibri" w:eastAsia="Calibri" w:hAnsi="Calibri"/>
                <w:sz w:val="17"/>
                <w:szCs w:val="17"/>
                <w:b w:val="1"/>
                <w:bCs w:val="1"/>
                <w:color w:val="FB4E0B"/>
              </w:rPr>
              <w:t>Stock awards</w:t>
            </w:r>
          </w:p>
        </w:tc>
        <w:tc>
          <w:tcPr>
            <w:tcW w:w="1900" w:type="dxa"/>
            <w:vAlign w:val="bottom"/>
          </w:tcPr>
          <w:p>
            <w:pPr>
              <w:jc w:val="center"/>
              <w:spacing w:after="0"/>
              <w:rPr>
                <w:sz w:val="20"/>
                <w:szCs w:val="20"/>
                <w:color w:val="auto"/>
              </w:rPr>
            </w:pPr>
            <w:r>
              <w:rPr>
                <w:rFonts w:ascii="Calibri" w:cs="Calibri" w:eastAsia="Calibri" w:hAnsi="Calibri"/>
                <w:sz w:val="17"/>
                <w:szCs w:val="17"/>
                <w:b w:val="1"/>
                <w:bCs w:val="1"/>
                <w:color w:val="FB4E0B"/>
              </w:rPr>
              <w:t>compensaton</w:t>
            </w:r>
          </w:p>
        </w:tc>
        <w:tc>
          <w:tcPr>
            <w:tcW w:w="1500" w:type="dxa"/>
            <w:vAlign w:val="bottom"/>
          </w:tcPr>
          <w:p>
            <w:pPr>
              <w:jc w:val="right"/>
              <w:ind w:right="493"/>
              <w:spacing w:after="0" w:line="206" w:lineRule="exact"/>
              <w:rPr>
                <w:sz w:val="20"/>
                <w:szCs w:val="20"/>
                <w:color w:val="auto"/>
              </w:rPr>
            </w:pPr>
            <w:r>
              <w:rPr>
                <w:rFonts w:ascii="Calibri" w:cs="Calibri" w:eastAsia="Calibri" w:hAnsi="Calibri"/>
                <w:sz w:val="17"/>
                <w:szCs w:val="17"/>
                <w:b w:val="1"/>
                <w:bCs w:val="1"/>
                <w:color w:val="FB4E0B"/>
              </w:rPr>
              <w:t>Total</w:t>
            </w:r>
          </w:p>
        </w:tc>
        <w:tc>
          <w:tcPr>
            <w:tcW w:w="0" w:type="dxa"/>
            <w:vAlign w:val="bottom"/>
          </w:tcPr>
          <w:p>
            <w:pPr>
              <w:spacing w:after="0"/>
              <w:rPr>
                <w:sz w:val="1"/>
                <w:szCs w:val="1"/>
                <w:color w:val="auto"/>
              </w:rPr>
            </w:pPr>
          </w:p>
        </w:tc>
      </w:tr>
      <w:tr>
        <w:trPr>
          <w:trHeight w:val="352"/>
        </w:trPr>
        <w:tc>
          <w:tcPr>
            <w:tcW w:w="3680" w:type="dxa"/>
            <w:vAlign w:val="bottom"/>
            <w:tcBorders>
              <w:bottom w:val="single" w:sz="8" w:color="FB4E0B"/>
            </w:tcBorders>
            <w:vMerge w:val="continue"/>
          </w:tcPr>
          <w:p>
            <w:pPr>
              <w:spacing w:after="0"/>
              <w:rPr>
                <w:sz w:val="24"/>
                <w:szCs w:val="24"/>
                <w:color w:val="auto"/>
              </w:rPr>
            </w:pPr>
          </w:p>
        </w:tc>
        <w:tc>
          <w:tcPr>
            <w:tcW w:w="1680" w:type="dxa"/>
            <w:vAlign w:val="bottom"/>
            <w:tcBorders>
              <w:bottom w:val="single" w:sz="8" w:color="FB4E0B"/>
            </w:tcBorders>
          </w:tcPr>
          <w:p>
            <w:pPr>
              <w:jc w:val="center"/>
              <w:ind w:right="13"/>
              <w:spacing w:after="0" w:line="206" w:lineRule="exact"/>
              <w:rPr>
                <w:sz w:val="20"/>
                <w:szCs w:val="20"/>
                <w:color w:val="auto"/>
              </w:rPr>
            </w:pPr>
            <w:r>
              <w:rPr>
                <w:rFonts w:ascii="Calibri" w:cs="Calibri" w:eastAsia="Calibri" w:hAnsi="Calibri"/>
                <w:sz w:val="17"/>
                <w:szCs w:val="17"/>
                <w:b w:val="1"/>
                <w:bCs w:val="1"/>
                <w:color w:val="FB4E0B"/>
                <w:w w:val="93"/>
              </w:rPr>
              <w:t>($)</w:t>
            </w:r>
          </w:p>
        </w:tc>
        <w:tc>
          <w:tcPr>
            <w:tcW w:w="1860" w:type="dxa"/>
            <w:vAlign w:val="bottom"/>
            <w:tcBorders>
              <w:bottom w:val="single" w:sz="8" w:color="FB4E0B"/>
            </w:tcBorders>
          </w:tcPr>
          <w:p>
            <w:pPr>
              <w:jc w:val="right"/>
              <w:ind w:right="594"/>
              <w:spacing w:after="0" w:line="346" w:lineRule="exact"/>
              <w:rPr>
                <w:sz w:val="20"/>
                <w:szCs w:val="20"/>
                <w:color w:val="auto"/>
              </w:rPr>
            </w:pPr>
            <w:r>
              <w:rPr>
                <w:rFonts w:ascii="Calibri" w:cs="Calibri" w:eastAsia="Calibri" w:hAnsi="Calibri"/>
                <w:sz w:val="34"/>
                <w:szCs w:val="34"/>
                <w:b w:val="1"/>
                <w:bCs w:val="1"/>
                <w:color w:val="FB4E0B"/>
                <w:vertAlign w:val="subscript"/>
              </w:rPr>
              <w:t>($)</w:t>
            </w:r>
            <w:r>
              <w:rPr>
                <w:rFonts w:ascii="Calibri" w:cs="Calibri" w:eastAsia="Calibri" w:hAnsi="Calibri"/>
                <w:sz w:val="15"/>
                <w:szCs w:val="15"/>
                <w:b w:val="1"/>
                <w:bCs w:val="1"/>
                <w:color w:val="FB4E0B"/>
              </w:rPr>
              <w:t>(2)(3)</w:t>
            </w:r>
          </w:p>
        </w:tc>
        <w:tc>
          <w:tcPr>
            <w:tcW w:w="1900" w:type="dxa"/>
            <w:vAlign w:val="bottom"/>
            <w:tcBorders>
              <w:bottom w:val="single" w:sz="8" w:color="FB4E0B"/>
            </w:tcBorders>
          </w:tcPr>
          <w:p>
            <w:pPr>
              <w:jc w:val="center"/>
              <w:spacing w:after="0" w:line="346" w:lineRule="exact"/>
              <w:rPr>
                <w:sz w:val="20"/>
                <w:szCs w:val="20"/>
                <w:color w:val="auto"/>
              </w:rPr>
            </w:pPr>
            <w:r>
              <w:rPr>
                <w:rFonts w:ascii="Calibri" w:cs="Calibri" w:eastAsia="Calibri" w:hAnsi="Calibri"/>
                <w:sz w:val="17"/>
                <w:szCs w:val="17"/>
                <w:b w:val="1"/>
                <w:bCs w:val="1"/>
                <w:color w:val="FB4E0B"/>
                <w:w w:val="87"/>
              </w:rPr>
              <w:t>($)</w:t>
            </w:r>
            <w:r>
              <w:rPr>
                <w:rFonts w:ascii="Calibri" w:cs="Calibri" w:eastAsia="Calibri" w:hAnsi="Calibri"/>
                <w:sz w:val="29"/>
                <w:szCs w:val="29"/>
                <w:b w:val="1"/>
                <w:bCs w:val="1"/>
                <w:color w:val="FB4E0B"/>
                <w:w w:val="87"/>
                <w:vertAlign w:val="superscript"/>
              </w:rPr>
              <w:t>(4)</w:t>
            </w:r>
          </w:p>
        </w:tc>
        <w:tc>
          <w:tcPr>
            <w:tcW w:w="1500" w:type="dxa"/>
            <w:vAlign w:val="bottom"/>
            <w:tcBorders>
              <w:bottom w:val="single" w:sz="8" w:color="FB4E0B"/>
            </w:tcBorders>
          </w:tcPr>
          <w:p>
            <w:pPr>
              <w:jc w:val="right"/>
              <w:ind w:right="573"/>
              <w:spacing w:after="0" w:line="206" w:lineRule="exact"/>
              <w:rPr>
                <w:sz w:val="20"/>
                <w:szCs w:val="20"/>
                <w:color w:val="auto"/>
              </w:rPr>
            </w:pPr>
            <w:r>
              <w:rPr>
                <w:rFonts w:ascii="Calibri" w:cs="Calibri" w:eastAsia="Calibri" w:hAnsi="Calibri"/>
                <w:sz w:val="17"/>
                <w:szCs w:val="17"/>
                <w:b w:val="1"/>
                <w:bCs w:val="1"/>
                <w:color w:val="FB4E0B"/>
              </w:rPr>
              <w:t>($)</w:t>
            </w:r>
          </w:p>
        </w:tc>
        <w:tc>
          <w:tcPr>
            <w:tcW w:w="0" w:type="dxa"/>
            <w:vAlign w:val="bottom"/>
          </w:tcPr>
          <w:p>
            <w:pPr>
              <w:spacing w:after="0"/>
              <w:rPr>
                <w:sz w:val="1"/>
                <w:szCs w:val="1"/>
                <w:color w:val="auto"/>
              </w:rPr>
            </w:pPr>
          </w:p>
        </w:tc>
      </w:tr>
      <w:tr>
        <w:trPr>
          <w:trHeight w:val="403"/>
        </w:trPr>
        <w:tc>
          <w:tcPr>
            <w:tcW w:w="368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David Kelso</w:t>
            </w:r>
            <w:r>
              <w:rPr>
                <w:rFonts w:ascii="Calibri" w:cs="Calibri" w:eastAsia="Calibri" w:hAnsi="Calibri"/>
                <w:sz w:val="29"/>
                <w:szCs w:val="29"/>
                <w:b w:val="1"/>
                <w:bCs w:val="1"/>
                <w:color w:val="auto"/>
                <w:vertAlign w:val="superscript"/>
              </w:rPr>
              <w:t>(5)</w:t>
            </w:r>
          </w:p>
        </w:tc>
        <w:tc>
          <w:tcPr>
            <w:tcW w:w="1680" w:type="dxa"/>
            <w:vAlign w:val="bottom"/>
            <w:tcBorders>
              <w:bottom w:val="single" w:sz="8" w:color="auto"/>
              <w:right w:val="single" w:sz="8" w:color="auto"/>
            </w:tcBorders>
          </w:tcPr>
          <w:p>
            <w:pPr>
              <w:jc w:val="right"/>
              <w:ind w:right="273"/>
              <w:spacing w:after="0"/>
              <w:rPr>
                <w:sz w:val="20"/>
                <w:szCs w:val="20"/>
                <w:color w:val="auto"/>
              </w:rPr>
            </w:pPr>
            <w:r>
              <w:rPr>
                <w:rFonts w:ascii="Calibri" w:cs="Calibri" w:eastAsia="Calibri" w:hAnsi="Calibri"/>
                <w:sz w:val="17"/>
                <w:szCs w:val="17"/>
                <w:color w:val="auto"/>
              </w:rPr>
              <w:t>37,813</w:t>
            </w:r>
          </w:p>
        </w:tc>
        <w:tc>
          <w:tcPr>
            <w:tcW w:w="1860" w:type="dxa"/>
            <w:vAlign w:val="bottom"/>
            <w:tcBorders>
              <w:bottom w:val="single" w:sz="8" w:color="auto"/>
              <w:right w:val="single" w:sz="8" w:color="auto"/>
            </w:tcBorders>
          </w:tcPr>
          <w:p>
            <w:pPr>
              <w:jc w:val="right"/>
              <w:ind w:right="374"/>
              <w:spacing w:after="0"/>
              <w:rPr>
                <w:sz w:val="20"/>
                <w:szCs w:val="20"/>
                <w:color w:val="auto"/>
              </w:rPr>
            </w:pPr>
            <w:r>
              <w:rPr>
                <w:rFonts w:ascii="Calibri" w:cs="Calibri" w:eastAsia="Calibri" w:hAnsi="Calibri"/>
                <w:sz w:val="17"/>
                <w:szCs w:val="17"/>
                <w:color w:val="auto"/>
              </w:rPr>
              <w:t>—</w:t>
            </w:r>
          </w:p>
        </w:tc>
        <w:tc>
          <w:tcPr>
            <w:tcW w:w="1900" w:type="dxa"/>
            <w:vAlign w:val="bottom"/>
            <w:tcBorders>
              <w:bottom w:val="single" w:sz="8" w:color="auto"/>
              <w:right w:val="single" w:sz="8" w:color="auto"/>
            </w:tcBorders>
          </w:tcPr>
          <w:p>
            <w:pPr>
              <w:jc w:val="right"/>
              <w:ind w:right="373"/>
              <w:spacing w:after="0"/>
              <w:rPr>
                <w:sz w:val="20"/>
                <w:szCs w:val="20"/>
                <w:color w:val="auto"/>
              </w:rPr>
            </w:pPr>
            <w:r>
              <w:rPr>
                <w:rFonts w:ascii="Calibri" w:cs="Calibri" w:eastAsia="Calibri" w:hAnsi="Calibri"/>
                <w:sz w:val="17"/>
                <w:szCs w:val="17"/>
                <w:color w:val="auto"/>
              </w:rPr>
              <w:t>—</w:t>
            </w:r>
          </w:p>
        </w:tc>
        <w:tc>
          <w:tcPr>
            <w:tcW w:w="1500" w:type="dxa"/>
            <w:vAlign w:val="bottom"/>
            <w:tcBorders>
              <w:bottom w:val="single" w:sz="8" w:color="auto"/>
            </w:tcBorders>
          </w:tcPr>
          <w:p>
            <w:pPr>
              <w:jc w:val="right"/>
              <w:ind w:right="353"/>
              <w:spacing w:after="0"/>
              <w:rPr>
                <w:sz w:val="20"/>
                <w:szCs w:val="20"/>
                <w:color w:val="auto"/>
              </w:rPr>
            </w:pPr>
            <w:r>
              <w:rPr>
                <w:rFonts w:ascii="Calibri" w:cs="Calibri" w:eastAsia="Calibri" w:hAnsi="Calibri"/>
                <w:sz w:val="17"/>
                <w:szCs w:val="17"/>
                <w:color w:val="auto"/>
              </w:rPr>
              <w:t>37,813</w:t>
            </w:r>
          </w:p>
        </w:tc>
        <w:tc>
          <w:tcPr>
            <w:tcW w:w="0" w:type="dxa"/>
            <w:vAlign w:val="bottom"/>
          </w:tcPr>
          <w:p>
            <w:pPr>
              <w:spacing w:after="0"/>
              <w:rPr>
                <w:sz w:val="1"/>
                <w:szCs w:val="1"/>
                <w:color w:val="auto"/>
              </w:rPr>
            </w:pPr>
          </w:p>
        </w:tc>
      </w:tr>
      <w:tr>
        <w:trPr>
          <w:trHeight w:val="396"/>
        </w:trPr>
        <w:tc>
          <w:tcPr>
            <w:tcW w:w="368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Deborah Kerr</w:t>
            </w:r>
            <w:r>
              <w:rPr>
                <w:rFonts w:ascii="Calibri" w:cs="Calibri" w:eastAsia="Calibri" w:hAnsi="Calibri"/>
                <w:sz w:val="29"/>
                <w:szCs w:val="29"/>
                <w:b w:val="1"/>
                <w:bCs w:val="1"/>
                <w:color w:val="auto"/>
                <w:vertAlign w:val="superscript"/>
              </w:rPr>
              <w:t>(5)</w:t>
            </w:r>
          </w:p>
        </w:tc>
        <w:tc>
          <w:tcPr>
            <w:tcW w:w="1680" w:type="dxa"/>
            <w:vAlign w:val="bottom"/>
            <w:tcBorders>
              <w:bottom w:val="single" w:sz="8" w:color="auto"/>
              <w:right w:val="single" w:sz="8" w:color="auto"/>
            </w:tcBorders>
          </w:tcPr>
          <w:p>
            <w:pPr>
              <w:jc w:val="right"/>
              <w:ind w:right="273"/>
              <w:spacing w:after="0"/>
              <w:rPr>
                <w:sz w:val="20"/>
                <w:szCs w:val="20"/>
                <w:color w:val="auto"/>
              </w:rPr>
            </w:pPr>
            <w:r>
              <w:rPr>
                <w:rFonts w:ascii="Calibri" w:cs="Calibri" w:eastAsia="Calibri" w:hAnsi="Calibri"/>
                <w:sz w:val="17"/>
                <w:szCs w:val="17"/>
                <w:color w:val="auto"/>
              </w:rPr>
              <w:t>36,667</w:t>
            </w:r>
          </w:p>
        </w:tc>
        <w:tc>
          <w:tcPr>
            <w:tcW w:w="1860" w:type="dxa"/>
            <w:vAlign w:val="bottom"/>
            <w:tcBorders>
              <w:bottom w:val="single" w:sz="8" w:color="auto"/>
              <w:right w:val="single" w:sz="8" w:color="auto"/>
            </w:tcBorders>
          </w:tcPr>
          <w:p>
            <w:pPr>
              <w:jc w:val="right"/>
              <w:ind w:right="374"/>
              <w:spacing w:after="0"/>
              <w:rPr>
                <w:sz w:val="20"/>
                <w:szCs w:val="20"/>
                <w:color w:val="auto"/>
              </w:rPr>
            </w:pPr>
            <w:r>
              <w:rPr>
                <w:rFonts w:ascii="Calibri" w:cs="Calibri" w:eastAsia="Calibri" w:hAnsi="Calibri"/>
                <w:sz w:val="17"/>
                <w:szCs w:val="17"/>
                <w:color w:val="auto"/>
              </w:rPr>
              <w:t>—</w:t>
            </w:r>
          </w:p>
        </w:tc>
        <w:tc>
          <w:tcPr>
            <w:tcW w:w="1900" w:type="dxa"/>
            <w:vAlign w:val="bottom"/>
            <w:tcBorders>
              <w:bottom w:val="single" w:sz="8" w:color="auto"/>
              <w:right w:val="single" w:sz="8" w:color="auto"/>
            </w:tcBorders>
          </w:tcPr>
          <w:p>
            <w:pPr>
              <w:jc w:val="right"/>
              <w:ind w:right="373"/>
              <w:spacing w:after="0"/>
              <w:rPr>
                <w:sz w:val="20"/>
                <w:szCs w:val="20"/>
                <w:color w:val="auto"/>
              </w:rPr>
            </w:pPr>
            <w:r>
              <w:rPr>
                <w:rFonts w:ascii="Calibri" w:cs="Calibri" w:eastAsia="Calibri" w:hAnsi="Calibri"/>
                <w:sz w:val="17"/>
                <w:szCs w:val="17"/>
                <w:color w:val="auto"/>
              </w:rPr>
              <w:t>—</w:t>
            </w:r>
          </w:p>
        </w:tc>
        <w:tc>
          <w:tcPr>
            <w:tcW w:w="1500" w:type="dxa"/>
            <w:vAlign w:val="bottom"/>
            <w:tcBorders>
              <w:bottom w:val="single" w:sz="8" w:color="auto"/>
            </w:tcBorders>
          </w:tcPr>
          <w:p>
            <w:pPr>
              <w:jc w:val="right"/>
              <w:ind w:right="353"/>
              <w:spacing w:after="0"/>
              <w:rPr>
                <w:sz w:val="20"/>
                <w:szCs w:val="20"/>
                <w:color w:val="auto"/>
              </w:rPr>
            </w:pPr>
            <w:r>
              <w:rPr>
                <w:rFonts w:ascii="Calibri" w:cs="Calibri" w:eastAsia="Calibri" w:hAnsi="Calibri"/>
                <w:sz w:val="17"/>
                <w:szCs w:val="17"/>
                <w:color w:val="auto"/>
              </w:rPr>
              <w:t>36,667</w:t>
            </w:r>
          </w:p>
        </w:tc>
        <w:tc>
          <w:tcPr>
            <w:tcW w:w="0" w:type="dxa"/>
            <w:vAlign w:val="bottom"/>
          </w:tcPr>
          <w:p>
            <w:pPr>
              <w:spacing w:after="0"/>
              <w:rPr>
                <w:sz w:val="1"/>
                <w:szCs w:val="1"/>
                <w:color w:val="auto"/>
              </w:rPr>
            </w:pPr>
          </w:p>
        </w:tc>
      </w:tr>
      <w:tr>
        <w:trPr>
          <w:trHeight w:val="269"/>
        </w:trPr>
        <w:tc>
          <w:tcPr>
            <w:tcW w:w="3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Anne Minto</w:t>
            </w:r>
          </w:p>
        </w:tc>
        <w:tc>
          <w:tcPr>
            <w:tcW w:w="1680" w:type="dxa"/>
            <w:vAlign w:val="bottom"/>
            <w:tcBorders>
              <w:right w:val="single" w:sz="8" w:color="auto"/>
            </w:tcBorders>
          </w:tcPr>
          <w:p>
            <w:pPr>
              <w:jc w:val="right"/>
              <w:ind w:right="273"/>
              <w:spacing w:after="0"/>
              <w:rPr>
                <w:sz w:val="20"/>
                <w:szCs w:val="20"/>
                <w:color w:val="auto"/>
              </w:rPr>
            </w:pPr>
            <w:r>
              <w:rPr>
                <w:rFonts w:ascii="Calibri" w:cs="Calibri" w:eastAsia="Calibri" w:hAnsi="Calibri"/>
                <w:sz w:val="17"/>
                <w:szCs w:val="17"/>
                <w:color w:val="auto"/>
              </w:rPr>
              <w:t>80,000</w:t>
            </w:r>
          </w:p>
        </w:tc>
        <w:tc>
          <w:tcPr>
            <w:tcW w:w="1860" w:type="dxa"/>
            <w:vAlign w:val="bottom"/>
            <w:tcBorders>
              <w:right w:val="single" w:sz="8" w:color="auto"/>
            </w:tcBorders>
          </w:tcPr>
          <w:p>
            <w:pPr>
              <w:jc w:val="right"/>
              <w:ind w:right="374"/>
              <w:spacing w:after="0"/>
              <w:rPr>
                <w:sz w:val="20"/>
                <w:szCs w:val="20"/>
                <w:color w:val="auto"/>
              </w:rPr>
            </w:pPr>
            <w:r>
              <w:rPr>
                <w:rFonts w:ascii="Calibri" w:cs="Calibri" w:eastAsia="Calibri" w:hAnsi="Calibri"/>
                <w:sz w:val="17"/>
                <w:szCs w:val="17"/>
                <w:color w:val="auto"/>
              </w:rPr>
              <w:t>140,000</w:t>
            </w:r>
          </w:p>
        </w:tc>
        <w:tc>
          <w:tcPr>
            <w:tcW w:w="1900" w:type="dxa"/>
            <w:vAlign w:val="bottom"/>
            <w:tcBorders>
              <w:right w:val="single" w:sz="8" w:color="auto"/>
            </w:tcBorders>
          </w:tcPr>
          <w:p>
            <w:pPr>
              <w:jc w:val="right"/>
              <w:ind w:right="373"/>
              <w:spacing w:after="0"/>
              <w:rPr>
                <w:sz w:val="20"/>
                <w:szCs w:val="20"/>
                <w:color w:val="auto"/>
              </w:rPr>
            </w:pPr>
            <w:r>
              <w:rPr>
                <w:rFonts w:ascii="Calibri" w:cs="Calibri" w:eastAsia="Calibri" w:hAnsi="Calibri"/>
                <w:sz w:val="17"/>
                <w:szCs w:val="17"/>
                <w:color w:val="auto"/>
              </w:rPr>
              <w:t>10,623</w:t>
            </w:r>
          </w:p>
        </w:tc>
        <w:tc>
          <w:tcPr>
            <w:tcW w:w="1500" w:type="dxa"/>
            <w:vAlign w:val="bottom"/>
          </w:tcPr>
          <w:p>
            <w:pPr>
              <w:jc w:val="right"/>
              <w:ind w:right="353"/>
              <w:spacing w:after="0"/>
              <w:rPr>
                <w:sz w:val="20"/>
                <w:szCs w:val="20"/>
                <w:color w:val="auto"/>
              </w:rPr>
            </w:pPr>
            <w:r>
              <w:rPr>
                <w:rFonts w:ascii="Calibri" w:cs="Calibri" w:eastAsia="Calibri" w:hAnsi="Calibri"/>
                <w:sz w:val="17"/>
                <w:szCs w:val="17"/>
                <w:color w:val="auto"/>
              </w:rPr>
              <w:t>230,623</w:t>
            </w:r>
          </w:p>
        </w:tc>
        <w:tc>
          <w:tcPr>
            <w:tcW w:w="0" w:type="dxa"/>
            <w:vAlign w:val="bottom"/>
          </w:tcPr>
          <w:p>
            <w:pPr>
              <w:spacing w:after="0"/>
              <w:rPr>
                <w:sz w:val="1"/>
                <w:szCs w:val="1"/>
                <w:color w:val="auto"/>
              </w:rPr>
            </w:pPr>
          </w:p>
        </w:tc>
      </w:tr>
      <w:tr>
        <w:trPr>
          <w:trHeight w:val="127"/>
        </w:trPr>
        <w:tc>
          <w:tcPr>
            <w:tcW w:w="368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3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Som Mital</w:t>
            </w:r>
          </w:p>
        </w:tc>
        <w:tc>
          <w:tcPr>
            <w:tcW w:w="1680" w:type="dxa"/>
            <w:vAlign w:val="bottom"/>
            <w:tcBorders>
              <w:right w:val="single" w:sz="8" w:color="auto"/>
            </w:tcBorders>
          </w:tcPr>
          <w:p>
            <w:pPr>
              <w:jc w:val="right"/>
              <w:ind w:right="273"/>
              <w:spacing w:after="0"/>
              <w:rPr>
                <w:sz w:val="20"/>
                <w:szCs w:val="20"/>
                <w:color w:val="auto"/>
              </w:rPr>
            </w:pPr>
            <w:r>
              <w:rPr>
                <w:rFonts w:ascii="Calibri" w:cs="Calibri" w:eastAsia="Calibri" w:hAnsi="Calibri"/>
                <w:sz w:val="17"/>
                <w:szCs w:val="17"/>
                <w:color w:val="auto"/>
              </w:rPr>
              <w:t>80,000</w:t>
            </w:r>
          </w:p>
        </w:tc>
        <w:tc>
          <w:tcPr>
            <w:tcW w:w="1860" w:type="dxa"/>
            <w:vAlign w:val="bottom"/>
            <w:tcBorders>
              <w:right w:val="single" w:sz="8" w:color="auto"/>
            </w:tcBorders>
          </w:tcPr>
          <w:p>
            <w:pPr>
              <w:jc w:val="right"/>
              <w:ind w:right="374"/>
              <w:spacing w:after="0"/>
              <w:rPr>
                <w:sz w:val="20"/>
                <w:szCs w:val="20"/>
                <w:color w:val="auto"/>
              </w:rPr>
            </w:pPr>
            <w:r>
              <w:rPr>
                <w:rFonts w:ascii="Calibri" w:cs="Calibri" w:eastAsia="Calibri" w:hAnsi="Calibri"/>
                <w:sz w:val="17"/>
                <w:szCs w:val="17"/>
                <w:color w:val="auto"/>
              </w:rPr>
              <w:t>140,000</w:t>
            </w:r>
          </w:p>
        </w:tc>
        <w:tc>
          <w:tcPr>
            <w:tcW w:w="1900" w:type="dxa"/>
            <w:vAlign w:val="bottom"/>
            <w:tcBorders>
              <w:right w:val="single" w:sz="8" w:color="auto"/>
            </w:tcBorders>
          </w:tcPr>
          <w:p>
            <w:pPr>
              <w:jc w:val="right"/>
              <w:ind w:right="373"/>
              <w:spacing w:after="0"/>
              <w:rPr>
                <w:sz w:val="20"/>
                <w:szCs w:val="20"/>
                <w:color w:val="auto"/>
              </w:rPr>
            </w:pPr>
            <w:r>
              <w:rPr>
                <w:rFonts w:ascii="Calibri" w:cs="Calibri" w:eastAsia="Calibri" w:hAnsi="Calibri"/>
                <w:sz w:val="17"/>
                <w:szCs w:val="17"/>
                <w:color w:val="auto"/>
              </w:rPr>
              <w:t>2,765</w:t>
            </w:r>
          </w:p>
        </w:tc>
        <w:tc>
          <w:tcPr>
            <w:tcW w:w="1500" w:type="dxa"/>
            <w:vAlign w:val="bottom"/>
          </w:tcPr>
          <w:p>
            <w:pPr>
              <w:jc w:val="right"/>
              <w:ind w:right="353"/>
              <w:spacing w:after="0"/>
              <w:rPr>
                <w:sz w:val="20"/>
                <w:szCs w:val="20"/>
                <w:color w:val="auto"/>
              </w:rPr>
            </w:pPr>
            <w:r>
              <w:rPr>
                <w:rFonts w:ascii="Calibri" w:cs="Calibri" w:eastAsia="Calibri" w:hAnsi="Calibri"/>
                <w:sz w:val="17"/>
                <w:szCs w:val="17"/>
                <w:color w:val="auto"/>
              </w:rPr>
              <w:t>222,765</w:t>
            </w:r>
          </w:p>
        </w:tc>
        <w:tc>
          <w:tcPr>
            <w:tcW w:w="0" w:type="dxa"/>
            <w:vAlign w:val="bottom"/>
          </w:tcPr>
          <w:p>
            <w:pPr>
              <w:spacing w:after="0"/>
              <w:rPr>
                <w:sz w:val="1"/>
                <w:szCs w:val="1"/>
                <w:color w:val="auto"/>
              </w:rPr>
            </w:pPr>
          </w:p>
        </w:tc>
      </w:tr>
      <w:tr>
        <w:trPr>
          <w:trHeight w:val="127"/>
        </w:trPr>
        <w:tc>
          <w:tcPr>
            <w:tcW w:w="368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3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Clyde Ostler</w:t>
            </w:r>
          </w:p>
        </w:tc>
        <w:tc>
          <w:tcPr>
            <w:tcW w:w="1680" w:type="dxa"/>
            <w:vAlign w:val="bottom"/>
            <w:tcBorders>
              <w:right w:val="single" w:sz="8" w:color="auto"/>
            </w:tcBorders>
          </w:tcPr>
          <w:p>
            <w:pPr>
              <w:jc w:val="right"/>
              <w:ind w:right="273"/>
              <w:spacing w:after="0"/>
              <w:rPr>
                <w:sz w:val="20"/>
                <w:szCs w:val="20"/>
                <w:color w:val="auto"/>
              </w:rPr>
            </w:pPr>
            <w:r>
              <w:rPr>
                <w:rFonts w:ascii="Calibri" w:cs="Calibri" w:eastAsia="Calibri" w:hAnsi="Calibri"/>
                <w:sz w:val="17"/>
                <w:szCs w:val="17"/>
                <w:color w:val="auto"/>
              </w:rPr>
              <w:t>95,000</w:t>
            </w:r>
          </w:p>
        </w:tc>
        <w:tc>
          <w:tcPr>
            <w:tcW w:w="1860" w:type="dxa"/>
            <w:vAlign w:val="bottom"/>
            <w:tcBorders>
              <w:right w:val="single" w:sz="8" w:color="auto"/>
            </w:tcBorders>
          </w:tcPr>
          <w:p>
            <w:pPr>
              <w:jc w:val="right"/>
              <w:ind w:right="374"/>
              <w:spacing w:after="0"/>
              <w:rPr>
                <w:sz w:val="20"/>
                <w:szCs w:val="20"/>
                <w:color w:val="auto"/>
              </w:rPr>
            </w:pPr>
            <w:r>
              <w:rPr>
                <w:rFonts w:ascii="Calibri" w:cs="Calibri" w:eastAsia="Calibri" w:hAnsi="Calibri"/>
                <w:sz w:val="17"/>
                <w:szCs w:val="17"/>
                <w:color w:val="auto"/>
              </w:rPr>
              <w:t>140,000</w:t>
            </w:r>
          </w:p>
        </w:tc>
        <w:tc>
          <w:tcPr>
            <w:tcW w:w="1900" w:type="dxa"/>
            <w:vAlign w:val="bottom"/>
            <w:tcBorders>
              <w:right w:val="single" w:sz="8" w:color="auto"/>
            </w:tcBorders>
          </w:tcPr>
          <w:p>
            <w:pPr>
              <w:jc w:val="right"/>
              <w:ind w:right="373"/>
              <w:spacing w:after="0"/>
              <w:rPr>
                <w:sz w:val="20"/>
                <w:szCs w:val="20"/>
                <w:color w:val="auto"/>
              </w:rPr>
            </w:pPr>
            <w:r>
              <w:rPr>
                <w:rFonts w:ascii="Calibri" w:cs="Calibri" w:eastAsia="Calibri" w:hAnsi="Calibri"/>
                <w:sz w:val="17"/>
                <w:szCs w:val="17"/>
                <w:color w:val="auto"/>
              </w:rPr>
              <w:t>—</w:t>
            </w:r>
          </w:p>
        </w:tc>
        <w:tc>
          <w:tcPr>
            <w:tcW w:w="1500" w:type="dxa"/>
            <w:vAlign w:val="bottom"/>
          </w:tcPr>
          <w:p>
            <w:pPr>
              <w:jc w:val="right"/>
              <w:ind w:right="353"/>
              <w:spacing w:after="0"/>
              <w:rPr>
                <w:sz w:val="20"/>
                <w:szCs w:val="20"/>
                <w:color w:val="auto"/>
              </w:rPr>
            </w:pPr>
            <w:r>
              <w:rPr>
                <w:rFonts w:ascii="Calibri" w:cs="Calibri" w:eastAsia="Calibri" w:hAnsi="Calibri"/>
                <w:sz w:val="17"/>
                <w:szCs w:val="17"/>
                <w:color w:val="auto"/>
              </w:rPr>
              <w:t>235,000</w:t>
            </w:r>
          </w:p>
        </w:tc>
        <w:tc>
          <w:tcPr>
            <w:tcW w:w="0" w:type="dxa"/>
            <w:vAlign w:val="bottom"/>
          </w:tcPr>
          <w:p>
            <w:pPr>
              <w:spacing w:after="0"/>
              <w:rPr>
                <w:sz w:val="1"/>
                <w:szCs w:val="1"/>
                <w:color w:val="auto"/>
              </w:rPr>
            </w:pPr>
          </w:p>
        </w:tc>
      </w:tr>
      <w:tr>
        <w:trPr>
          <w:trHeight w:val="127"/>
        </w:trPr>
        <w:tc>
          <w:tcPr>
            <w:tcW w:w="368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6"/>
        </w:trPr>
        <w:tc>
          <w:tcPr>
            <w:tcW w:w="3680" w:type="dxa"/>
            <w:vAlign w:val="bottom"/>
            <w:tcBorders>
              <w:bottom w:val="single" w:sz="8" w:color="auto"/>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Vikram Pandit</w:t>
            </w:r>
            <w:r>
              <w:rPr>
                <w:rFonts w:ascii="Calibri" w:cs="Calibri" w:eastAsia="Calibri" w:hAnsi="Calibri"/>
                <w:sz w:val="29"/>
                <w:szCs w:val="29"/>
                <w:b w:val="1"/>
                <w:bCs w:val="1"/>
                <w:color w:val="auto"/>
                <w:vertAlign w:val="superscript"/>
              </w:rPr>
              <w:t>(6)</w:t>
            </w:r>
          </w:p>
        </w:tc>
        <w:tc>
          <w:tcPr>
            <w:tcW w:w="1680" w:type="dxa"/>
            <w:vAlign w:val="bottom"/>
            <w:tcBorders>
              <w:bottom w:val="single" w:sz="8" w:color="auto"/>
              <w:right w:val="single" w:sz="8" w:color="auto"/>
            </w:tcBorders>
          </w:tcPr>
          <w:p>
            <w:pPr>
              <w:jc w:val="right"/>
              <w:ind w:right="273"/>
              <w:spacing w:after="0"/>
              <w:rPr>
                <w:sz w:val="20"/>
                <w:szCs w:val="20"/>
                <w:color w:val="auto"/>
              </w:rPr>
            </w:pPr>
            <w:r>
              <w:rPr>
                <w:rFonts w:ascii="Calibri" w:cs="Calibri" w:eastAsia="Calibri" w:hAnsi="Calibri"/>
                <w:sz w:val="17"/>
                <w:szCs w:val="17"/>
                <w:color w:val="auto"/>
              </w:rPr>
              <w:t>82,500</w:t>
            </w:r>
          </w:p>
        </w:tc>
        <w:tc>
          <w:tcPr>
            <w:tcW w:w="1860" w:type="dxa"/>
            <w:vAlign w:val="bottom"/>
            <w:tcBorders>
              <w:bottom w:val="single" w:sz="8" w:color="auto"/>
              <w:right w:val="single" w:sz="8" w:color="auto"/>
            </w:tcBorders>
          </w:tcPr>
          <w:p>
            <w:pPr>
              <w:jc w:val="right"/>
              <w:ind w:right="374"/>
              <w:spacing w:after="0"/>
              <w:rPr>
                <w:sz w:val="20"/>
                <w:szCs w:val="20"/>
                <w:color w:val="auto"/>
              </w:rPr>
            </w:pPr>
            <w:r>
              <w:rPr>
                <w:rFonts w:ascii="Calibri" w:cs="Calibri" w:eastAsia="Calibri" w:hAnsi="Calibri"/>
                <w:sz w:val="17"/>
                <w:szCs w:val="17"/>
                <w:color w:val="auto"/>
              </w:rPr>
              <w:t>140,000</w:t>
            </w:r>
          </w:p>
        </w:tc>
        <w:tc>
          <w:tcPr>
            <w:tcW w:w="1900" w:type="dxa"/>
            <w:vAlign w:val="bottom"/>
            <w:tcBorders>
              <w:bottom w:val="single" w:sz="8" w:color="auto"/>
              <w:right w:val="single" w:sz="8" w:color="auto"/>
            </w:tcBorders>
          </w:tcPr>
          <w:p>
            <w:pPr>
              <w:jc w:val="right"/>
              <w:ind w:right="373"/>
              <w:spacing w:after="0"/>
              <w:rPr>
                <w:sz w:val="20"/>
                <w:szCs w:val="20"/>
                <w:color w:val="auto"/>
              </w:rPr>
            </w:pPr>
            <w:r>
              <w:rPr>
                <w:rFonts w:ascii="Calibri" w:cs="Calibri" w:eastAsia="Calibri" w:hAnsi="Calibri"/>
                <w:sz w:val="17"/>
                <w:szCs w:val="17"/>
                <w:color w:val="auto"/>
              </w:rPr>
              <w:t>—</w:t>
            </w:r>
          </w:p>
        </w:tc>
        <w:tc>
          <w:tcPr>
            <w:tcW w:w="1500" w:type="dxa"/>
            <w:vAlign w:val="bottom"/>
            <w:tcBorders>
              <w:bottom w:val="single" w:sz="8" w:color="auto"/>
            </w:tcBorders>
          </w:tcPr>
          <w:p>
            <w:pPr>
              <w:jc w:val="right"/>
              <w:ind w:right="353"/>
              <w:spacing w:after="0"/>
              <w:rPr>
                <w:sz w:val="20"/>
                <w:szCs w:val="20"/>
                <w:color w:val="auto"/>
              </w:rPr>
            </w:pPr>
            <w:r>
              <w:rPr>
                <w:rFonts w:ascii="Calibri" w:cs="Calibri" w:eastAsia="Calibri" w:hAnsi="Calibri"/>
                <w:sz w:val="17"/>
                <w:szCs w:val="17"/>
                <w:color w:val="auto"/>
              </w:rPr>
              <w:t>222,500</w:t>
            </w:r>
          </w:p>
        </w:tc>
        <w:tc>
          <w:tcPr>
            <w:tcW w:w="0" w:type="dxa"/>
            <w:vAlign w:val="bottom"/>
          </w:tcPr>
          <w:p>
            <w:pPr>
              <w:spacing w:after="0"/>
              <w:rPr>
                <w:sz w:val="1"/>
                <w:szCs w:val="1"/>
                <w:color w:val="auto"/>
              </w:rPr>
            </w:pPr>
          </w:p>
        </w:tc>
      </w:tr>
      <w:tr>
        <w:trPr>
          <w:trHeight w:val="269"/>
        </w:trPr>
        <w:tc>
          <w:tcPr>
            <w:tcW w:w="3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Kristy Pipes</w:t>
            </w:r>
          </w:p>
        </w:tc>
        <w:tc>
          <w:tcPr>
            <w:tcW w:w="1680" w:type="dxa"/>
            <w:vAlign w:val="bottom"/>
            <w:tcBorders>
              <w:right w:val="single" w:sz="8" w:color="auto"/>
            </w:tcBorders>
          </w:tcPr>
          <w:p>
            <w:pPr>
              <w:jc w:val="right"/>
              <w:ind w:right="273"/>
              <w:spacing w:after="0"/>
              <w:rPr>
                <w:sz w:val="20"/>
                <w:szCs w:val="20"/>
                <w:color w:val="auto"/>
              </w:rPr>
            </w:pPr>
            <w:r>
              <w:rPr>
                <w:rFonts w:ascii="Calibri" w:cs="Calibri" w:eastAsia="Calibri" w:hAnsi="Calibri"/>
                <w:sz w:val="17"/>
                <w:szCs w:val="17"/>
                <w:color w:val="auto"/>
              </w:rPr>
              <w:t>82,500</w:t>
            </w:r>
          </w:p>
        </w:tc>
        <w:tc>
          <w:tcPr>
            <w:tcW w:w="1860" w:type="dxa"/>
            <w:vAlign w:val="bottom"/>
            <w:tcBorders>
              <w:right w:val="single" w:sz="8" w:color="auto"/>
            </w:tcBorders>
          </w:tcPr>
          <w:p>
            <w:pPr>
              <w:jc w:val="right"/>
              <w:ind w:right="374"/>
              <w:spacing w:after="0"/>
              <w:rPr>
                <w:sz w:val="20"/>
                <w:szCs w:val="20"/>
                <w:color w:val="auto"/>
              </w:rPr>
            </w:pPr>
            <w:r>
              <w:rPr>
                <w:rFonts w:ascii="Calibri" w:cs="Calibri" w:eastAsia="Calibri" w:hAnsi="Calibri"/>
                <w:sz w:val="17"/>
                <w:szCs w:val="17"/>
                <w:color w:val="auto"/>
              </w:rPr>
              <w:t>140,000</w:t>
            </w:r>
          </w:p>
        </w:tc>
        <w:tc>
          <w:tcPr>
            <w:tcW w:w="1900" w:type="dxa"/>
            <w:vAlign w:val="bottom"/>
            <w:tcBorders>
              <w:right w:val="single" w:sz="8" w:color="auto"/>
            </w:tcBorders>
          </w:tcPr>
          <w:p>
            <w:pPr>
              <w:jc w:val="right"/>
              <w:ind w:right="373"/>
              <w:spacing w:after="0"/>
              <w:rPr>
                <w:sz w:val="20"/>
                <w:szCs w:val="20"/>
                <w:color w:val="auto"/>
              </w:rPr>
            </w:pPr>
            <w:r>
              <w:rPr>
                <w:rFonts w:ascii="Calibri" w:cs="Calibri" w:eastAsia="Calibri" w:hAnsi="Calibri"/>
                <w:sz w:val="17"/>
                <w:szCs w:val="17"/>
                <w:color w:val="auto"/>
              </w:rPr>
              <w:t>—</w:t>
            </w:r>
          </w:p>
        </w:tc>
        <w:tc>
          <w:tcPr>
            <w:tcW w:w="1500" w:type="dxa"/>
            <w:vAlign w:val="bottom"/>
          </w:tcPr>
          <w:p>
            <w:pPr>
              <w:jc w:val="right"/>
              <w:ind w:right="353"/>
              <w:spacing w:after="0"/>
              <w:rPr>
                <w:sz w:val="20"/>
                <w:szCs w:val="20"/>
                <w:color w:val="auto"/>
              </w:rPr>
            </w:pPr>
            <w:r>
              <w:rPr>
                <w:rFonts w:ascii="Calibri" w:cs="Calibri" w:eastAsia="Calibri" w:hAnsi="Calibri"/>
                <w:sz w:val="17"/>
                <w:szCs w:val="17"/>
                <w:color w:val="auto"/>
              </w:rPr>
              <w:t>222,500</w:t>
            </w:r>
          </w:p>
        </w:tc>
        <w:tc>
          <w:tcPr>
            <w:tcW w:w="0" w:type="dxa"/>
            <w:vAlign w:val="bottom"/>
          </w:tcPr>
          <w:p>
            <w:pPr>
              <w:spacing w:after="0"/>
              <w:rPr>
                <w:sz w:val="1"/>
                <w:szCs w:val="1"/>
                <w:color w:val="auto"/>
              </w:rPr>
            </w:pPr>
          </w:p>
        </w:tc>
      </w:tr>
      <w:tr>
        <w:trPr>
          <w:trHeight w:val="127"/>
        </w:trPr>
        <w:tc>
          <w:tcPr>
            <w:tcW w:w="368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3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Nitn Sahney</w:t>
            </w:r>
          </w:p>
        </w:tc>
        <w:tc>
          <w:tcPr>
            <w:tcW w:w="1680" w:type="dxa"/>
            <w:vAlign w:val="bottom"/>
            <w:tcBorders>
              <w:right w:val="single" w:sz="8" w:color="auto"/>
            </w:tcBorders>
          </w:tcPr>
          <w:p>
            <w:pPr>
              <w:jc w:val="right"/>
              <w:ind w:right="273"/>
              <w:spacing w:after="0"/>
              <w:rPr>
                <w:sz w:val="20"/>
                <w:szCs w:val="20"/>
                <w:color w:val="auto"/>
              </w:rPr>
            </w:pPr>
            <w:r>
              <w:rPr>
                <w:rFonts w:ascii="Calibri" w:cs="Calibri" w:eastAsia="Calibri" w:hAnsi="Calibri"/>
                <w:sz w:val="17"/>
                <w:szCs w:val="17"/>
                <w:color w:val="auto"/>
              </w:rPr>
              <w:t>92,500</w:t>
            </w:r>
          </w:p>
        </w:tc>
        <w:tc>
          <w:tcPr>
            <w:tcW w:w="1860" w:type="dxa"/>
            <w:vAlign w:val="bottom"/>
            <w:tcBorders>
              <w:right w:val="single" w:sz="8" w:color="auto"/>
            </w:tcBorders>
          </w:tcPr>
          <w:p>
            <w:pPr>
              <w:jc w:val="right"/>
              <w:ind w:right="374"/>
              <w:spacing w:after="0"/>
              <w:rPr>
                <w:sz w:val="20"/>
                <w:szCs w:val="20"/>
                <w:color w:val="auto"/>
              </w:rPr>
            </w:pPr>
            <w:r>
              <w:rPr>
                <w:rFonts w:ascii="Calibri" w:cs="Calibri" w:eastAsia="Calibri" w:hAnsi="Calibri"/>
                <w:sz w:val="17"/>
                <w:szCs w:val="17"/>
                <w:color w:val="auto"/>
              </w:rPr>
              <w:t>140,000</w:t>
            </w:r>
          </w:p>
        </w:tc>
        <w:tc>
          <w:tcPr>
            <w:tcW w:w="1900" w:type="dxa"/>
            <w:vAlign w:val="bottom"/>
            <w:tcBorders>
              <w:right w:val="single" w:sz="8" w:color="auto"/>
            </w:tcBorders>
          </w:tcPr>
          <w:p>
            <w:pPr>
              <w:jc w:val="right"/>
              <w:ind w:right="373"/>
              <w:spacing w:after="0"/>
              <w:rPr>
                <w:sz w:val="20"/>
                <w:szCs w:val="20"/>
                <w:color w:val="auto"/>
              </w:rPr>
            </w:pPr>
            <w:r>
              <w:rPr>
                <w:rFonts w:ascii="Calibri" w:cs="Calibri" w:eastAsia="Calibri" w:hAnsi="Calibri"/>
                <w:sz w:val="17"/>
                <w:szCs w:val="17"/>
                <w:color w:val="auto"/>
              </w:rPr>
              <w:t>—</w:t>
            </w:r>
          </w:p>
        </w:tc>
        <w:tc>
          <w:tcPr>
            <w:tcW w:w="1500" w:type="dxa"/>
            <w:vAlign w:val="bottom"/>
          </w:tcPr>
          <w:p>
            <w:pPr>
              <w:jc w:val="right"/>
              <w:ind w:right="353"/>
              <w:spacing w:after="0"/>
              <w:rPr>
                <w:sz w:val="20"/>
                <w:szCs w:val="20"/>
                <w:color w:val="auto"/>
              </w:rPr>
            </w:pPr>
            <w:r>
              <w:rPr>
                <w:rFonts w:ascii="Calibri" w:cs="Calibri" w:eastAsia="Calibri" w:hAnsi="Calibri"/>
                <w:sz w:val="17"/>
                <w:szCs w:val="17"/>
                <w:color w:val="auto"/>
              </w:rPr>
              <w:t>232,500</w:t>
            </w:r>
          </w:p>
        </w:tc>
        <w:tc>
          <w:tcPr>
            <w:tcW w:w="0" w:type="dxa"/>
            <w:vAlign w:val="bottom"/>
          </w:tcPr>
          <w:p>
            <w:pPr>
              <w:spacing w:after="0"/>
              <w:rPr>
                <w:sz w:val="1"/>
                <w:szCs w:val="1"/>
                <w:color w:val="auto"/>
              </w:rPr>
            </w:pPr>
          </w:p>
        </w:tc>
      </w:tr>
      <w:tr>
        <w:trPr>
          <w:trHeight w:val="127"/>
        </w:trPr>
        <w:tc>
          <w:tcPr>
            <w:tcW w:w="368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3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Garen Staglin</w:t>
            </w:r>
          </w:p>
        </w:tc>
        <w:tc>
          <w:tcPr>
            <w:tcW w:w="1680" w:type="dxa"/>
            <w:vAlign w:val="bottom"/>
            <w:tcBorders>
              <w:right w:val="single" w:sz="8" w:color="auto"/>
            </w:tcBorders>
          </w:tcPr>
          <w:p>
            <w:pPr>
              <w:jc w:val="right"/>
              <w:ind w:right="273"/>
              <w:spacing w:after="0"/>
              <w:rPr>
                <w:sz w:val="20"/>
                <w:szCs w:val="20"/>
                <w:color w:val="auto"/>
              </w:rPr>
            </w:pPr>
            <w:r>
              <w:rPr>
                <w:rFonts w:ascii="Calibri" w:cs="Calibri" w:eastAsia="Calibri" w:hAnsi="Calibri"/>
                <w:sz w:val="17"/>
                <w:szCs w:val="17"/>
                <w:color w:val="auto"/>
              </w:rPr>
              <w:t>180,000</w:t>
            </w:r>
          </w:p>
        </w:tc>
        <w:tc>
          <w:tcPr>
            <w:tcW w:w="1860" w:type="dxa"/>
            <w:vAlign w:val="bottom"/>
            <w:tcBorders>
              <w:right w:val="single" w:sz="8" w:color="auto"/>
            </w:tcBorders>
          </w:tcPr>
          <w:p>
            <w:pPr>
              <w:jc w:val="right"/>
              <w:ind w:right="374"/>
              <w:spacing w:after="0"/>
              <w:rPr>
                <w:sz w:val="20"/>
                <w:szCs w:val="20"/>
                <w:color w:val="auto"/>
              </w:rPr>
            </w:pPr>
            <w:r>
              <w:rPr>
                <w:rFonts w:ascii="Calibri" w:cs="Calibri" w:eastAsia="Calibri" w:hAnsi="Calibri"/>
                <w:sz w:val="17"/>
                <w:szCs w:val="17"/>
                <w:color w:val="auto"/>
              </w:rPr>
              <w:t>240,000</w:t>
            </w:r>
          </w:p>
        </w:tc>
        <w:tc>
          <w:tcPr>
            <w:tcW w:w="1900" w:type="dxa"/>
            <w:vAlign w:val="bottom"/>
            <w:tcBorders>
              <w:right w:val="single" w:sz="8" w:color="auto"/>
            </w:tcBorders>
          </w:tcPr>
          <w:p>
            <w:pPr>
              <w:jc w:val="right"/>
              <w:ind w:right="373"/>
              <w:spacing w:after="0"/>
              <w:rPr>
                <w:sz w:val="20"/>
                <w:szCs w:val="20"/>
                <w:color w:val="auto"/>
              </w:rPr>
            </w:pPr>
            <w:r>
              <w:rPr>
                <w:rFonts w:ascii="Calibri" w:cs="Calibri" w:eastAsia="Calibri" w:hAnsi="Calibri"/>
                <w:sz w:val="17"/>
                <w:szCs w:val="17"/>
                <w:color w:val="auto"/>
              </w:rPr>
              <w:t>61,908</w:t>
            </w:r>
          </w:p>
        </w:tc>
        <w:tc>
          <w:tcPr>
            <w:tcW w:w="1500" w:type="dxa"/>
            <w:vAlign w:val="bottom"/>
          </w:tcPr>
          <w:p>
            <w:pPr>
              <w:jc w:val="right"/>
              <w:ind w:right="353"/>
              <w:spacing w:after="0"/>
              <w:rPr>
                <w:sz w:val="20"/>
                <w:szCs w:val="20"/>
                <w:color w:val="auto"/>
              </w:rPr>
            </w:pPr>
            <w:r>
              <w:rPr>
                <w:rFonts w:ascii="Calibri" w:cs="Calibri" w:eastAsia="Calibri" w:hAnsi="Calibri"/>
                <w:sz w:val="17"/>
                <w:szCs w:val="17"/>
                <w:color w:val="auto"/>
              </w:rPr>
              <w:t>481,908</w:t>
            </w:r>
          </w:p>
        </w:tc>
        <w:tc>
          <w:tcPr>
            <w:tcW w:w="0" w:type="dxa"/>
            <w:vAlign w:val="bottom"/>
          </w:tcPr>
          <w:p>
            <w:pPr>
              <w:spacing w:after="0"/>
              <w:rPr>
                <w:sz w:val="1"/>
                <w:szCs w:val="1"/>
                <w:color w:val="auto"/>
              </w:rPr>
            </w:pPr>
          </w:p>
        </w:tc>
      </w:tr>
      <w:tr>
        <w:trPr>
          <w:trHeight w:val="127"/>
        </w:trPr>
        <w:tc>
          <w:tcPr>
            <w:tcW w:w="368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3680" w:type="dxa"/>
            <w:vAlign w:val="bottom"/>
            <w:tcBorders>
              <w:right w:val="single" w:sz="8" w:color="auto"/>
            </w:tcBorders>
          </w:tcPr>
          <w:p>
            <w:pPr>
              <w:ind w:left="40"/>
              <w:spacing w:after="0"/>
              <w:rPr>
                <w:sz w:val="20"/>
                <w:szCs w:val="20"/>
                <w:color w:val="auto"/>
              </w:rPr>
            </w:pPr>
            <w:r>
              <w:rPr>
                <w:rFonts w:ascii="Calibri" w:cs="Calibri" w:eastAsia="Calibri" w:hAnsi="Calibri"/>
                <w:sz w:val="17"/>
                <w:szCs w:val="17"/>
                <w:b w:val="1"/>
                <w:bCs w:val="1"/>
                <w:color w:val="auto"/>
              </w:rPr>
              <w:t>Jaynie Studenmund</w:t>
            </w:r>
          </w:p>
        </w:tc>
        <w:tc>
          <w:tcPr>
            <w:tcW w:w="1680" w:type="dxa"/>
            <w:vAlign w:val="bottom"/>
            <w:tcBorders>
              <w:right w:val="single" w:sz="8" w:color="auto"/>
            </w:tcBorders>
          </w:tcPr>
          <w:p>
            <w:pPr>
              <w:jc w:val="right"/>
              <w:ind w:right="273"/>
              <w:spacing w:after="0"/>
              <w:rPr>
                <w:sz w:val="20"/>
                <w:szCs w:val="20"/>
                <w:color w:val="auto"/>
              </w:rPr>
            </w:pPr>
            <w:r>
              <w:rPr>
                <w:rFonts w:ascii="Calibri" w:cs="Calibri" w:eastAsia="Calibri" w:hAnsi="Calibri"/>
                <w:sz w:val="17"/>
                <w:szCs w:val="17"/>
                <w:color w:val="auto"/>
              </w:rPr>
              <w:t>92,500</w:t>
            </w:r>
          </w:p>
        </w:tc>
        <w:tc>
          <w:tcPr>
            <w:tcW w:w="1860" w:type="dxa"/>
            <w:vAlign w:val="bottom"/>
            <w:tcBorders>
              <w:right w:val="single" w:sz="8" w:color="auto"/>
            </w:tcBorders>
          </w:tcPr>
          <w:p>
            <w:pPr>
              <w:jc w:val="right"/>
              <w:ind w:right="374"/>
              <w:spacing w:after="0"/>
              <w:rPr>
                <w:sz w:val="20"/>
                <w:szCs w:val="20"/>
                <w:color w:val="auto"/>
              </w:rPr>
            </w:pPr>
            <w:r>
              <w:rPr>
                <w:rFonts w:ascii="Calibri" w:cs="Calibri" w:eastAsia="Calibri" w:hAnsi="Calibri"/>
                <w:sz w:val="17"/>
                <w:szCs w:val="17"/>
                <w:color w:val="auto"/>
              </w:rPr>
              <w:t>140,000</w:t>
            </w:r>
          </w:p>
        </w:tc>
        <w:tc>
          <w:tcPr>
            <w:tcW w:w="1900" w:type="dxa"/>
            <w:vAlign w:val="bottom"/>
            <w:tcBorders>
              <w:right w:val="single" w:sz="8" w:color="auto"/>
            </w:tcBorders>
          </w:tcPr>
          <w:p>
            <w:pPr>
              <w:jc w:val="right"/>
              <w:ind w:right="373"/>
              <w:spacing w:after="0"/>
              <w:rPr>
                <w:sz w:val="20"/>
                <w:szCs w:val="20"/>
                <w:color w:val="auto"/>
              </w:rPr>
            </w:pPr>
            <w:r>
              <w:rPr>
                <w:rFonts w:ascii="Calibri" w:cs="Calibri" w:eastAsia="Calibri" w:hAnsi="Calibri"/>
                <w:sz w:val="17"/>
                <w:szCs w:val="17"/>
                <w:color w:val="auto"/>
              </w:rPr>
              <w:t>—</w:t>
            </w:r>
          </w:p>
        </w:tc>
        <w:tc>
          <w:tcPr>
            <w:tcW w:w="1500" w:type="dxa"/>
            <w:vAlign w:val="bottom"/>
          </w:tcPr>
          <w:p>
            <w:pPr>
              <w:jc w:val="right"/>
              <w:ind w:right="353"/>
              <w:spacing w:after="0"/>
              <w:rPr>
                <w:sz w:val="20"/>
                <w:szCs w:val="20"/>
                <w:color w:val="auto"/>
              </w:rPr>
            </w:pPr>
            <w:r>
              <w:rPr>
                <w:rFonts w:ascii="Calibri" w:cs="Calibri" w:eastAsia="Calibri" w:hAnsi="Calibri"/>
                <w:sz w:val="17"/>
                <w:szCs w:val="17"/>
                <w:color w:val="auto"/>
              </w:rPr>
              <w:t>232,500</w:t>
            </w:r>
          </w:p>
        </w:tc>
        <w:tc>
          <w:tcPr>
            <w:tcW w:w="0" w:type="dxa"/>
            <w:vAlign w:val="bottom"/>
          </w:tcPr>
          <w:p>
            <w:pPr>
              <w:spacing w:after="0"/>
              <w:rPr>
                <w:sz w:val="1"/>
                <w:szCs w:val="1"/>
                <w:color w:val="auto"/>
              </w:rPr>
            </w:pPr>
          </w:p>
        </w:tc>
      </w:tr>
      <w:tr>
        <w:trPr>
          <w:trHeight w:val="133"/>
        </w:trPr>
        <w:tc>
          <w:tcPr>
            <w:tcW w:w="3680" w:type="dxa"/>
            <w:vAlign w:val="bottom"/>
            <w:tcBorders>
              <w:bottom w:val="single" w:sz="8" w:color="FB4E0B"/>
              <w:right w:val="single" w:sz="8" w:color="auto"/>
            </w:tcBorders>
          </w:tcPr>
          <w:p>
            <w:pPr>
              <w:spacing w:after="0"/>
              <w:rPr>
                <w:sz w:val="11"/>
                <w:szCs w:val="11"/>
                <w:color w:val="auto"/>
              </w:rPr>
            </w:pPr>
          </w:p>
        </w:tc>
        <w:tc>
          <w:tcPr>
            <w:tcW w:w="1680" w:type="dxa"/>
            <w:vAlign w:val="bottom"/>
            <w:tcBorders>
              <w:bottom w:val="single" w:sz="8" w:color="FB4E0B"/>
              <w:right w:val="single" w:sz="8" w:color="auto"/>
            </w:tcBorders>
          </w:tcPr>
          <w:p>
            <w:pPr>
              <w:spacing w:after="0"/>
              <w:rPr>
                <w:sz w:val="11"/>
                <w:szCs w:val="11"/>
                <w:color w:val="auto"/>
              </w:rPr>
            </w:pPr>
          </w:p>
        </w:tc>
        <w:tc>
          <w:tcPr>
            <w:tcW w:w="1860" w:type="dxa"/>
            <w:vAlign w:val="bottom"/>
            <w:tcBorders>
              <w:bottom w:val="single" w:sz="8" w:color="FB4E0B"/>
              <w:right w:val="single" w:sz="8" w:color="auto"/>
            </w:tcBorders>
          </w:tcPr>
          <w:p>
            <w:pPr>
              <w:spacing w:after="0"/>
              <w:rPr>
                <w:sz w:val="11"/>
                <w:szCs w:val="11"/>
                <w:color w:val="auto"/>
              </w:rPr>
            </w:pPr>
          </w:p>
        </w:tc>
        <w:tc>
          <w:tcPr>
            <w:tcW w:w="1900" w:type="dxa"/>
            <w:vAlign w:val="bottom"/>
            <w:tcBorders>
              <w:bottom w:val="single" w:sz="8" w:color="FB4E0B"/>
              <w:right w:val="single" w:sz="8" w:color="auto"/>
            </w:tcBorders>
          </w:tcPr>
          <w:p>
            <w:pPr>
              <w:spacing w:after="0"/>
              <w:rPr>
                <w:sz w:val="11"/>
                <w:szCs w:val="11"/>
                <w:color w:val="auto"/>
              </w:rPr>
            </w:pPr>
          </w:p>
        </w:tc>
        <w:tc>
          <w:tcPr>
            <w:tcW w:w="150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bl>
    <w:p>
      <w:pPr>
        <w:ind w:left="320" w:right="20" w:hanging="4"/>
        <w:spacing w:after="0" w:line="248" w:lineRule="auto"/>
        <w:tabs>
          <w:tab w:leader="none" w:pos="494" w:val="left"/>
        </w:tabs>
        <w:numPr>
          <w:ilvl w:val="0"/>
          <w:numId w:val="40"/>
        </w:numPr>
        <w:rPr>
          <w:rFonts w:ascii="Calibri" w:cs="Calibri" w:eastAsia="Calibri" w:hAnsi="Calibri"/>
          <w:sz w:val="13"/>
          <w:szCs w:val="13"/>
          <w:color w:val="auto"/>
        </w:rPr>
      </w:pPr>
      <w:r>
        <w:rPr>
          <w:rFonts w:ascii="Calibri" w:cs="Calibri" w:eastAsia="Calibri" w:hAnsi="Calibri"/>
          <w:sz w:val="13"/>
          <w:szCs w:val="13"/>
          <w:color w:val="auto"/>
        </w:rPr>
        <w:t>Mr. Kapoor’s compensaton during 2021 was based solely on his role as CEO, as disclosed in the “Summary compensaton table for fscal year 2021” beginning on page 83 and discussed in “Compensaton Discussion and Analysis” beginning on page 60. He does not receive any additonal compensaton for his services as a director. Ms. Pipes, a current non-executve director, was appointed to the board of directors efectve January 19, 2021.</w:t>
      </w:r>
    </w:p>
    <w:p>
      <w:pPr>
        <w:spacing w:after="0" w:line="8" w:lineRule="exact"/>
        <w:rPr>
          <w:rFonts w:ascii="Calibri" w:cs="Calibri" w:eastAsia="Calibri" w:hAnsi="Calibri"/>
          <w:sz w:val="13"/>
          <w:szCs w:val="13"/>
          <w:color w:val="auto"/>
        </w:rPr>
      </w:pPr>
    </w:p>
    <w:p>
      <w:pPr>
        <w:jc w:val="both"/>
        <w:ind w:left="320" w:right="500" w:hanging="4"/>
        <w:spacing w:after="0" w:line="253" w:lineRule="auto"/>
        <w:tabs>
          <w:tab w:leader="none" w:pos="494" w:val="left"/>
        </w:tabs>
        <w:numPr>
          <w:ilvl w:val="0"/>
          <w:numId w:val="40"/>
        </w:numPr>
        <w:rPr>
          <w:rFonts w:ascii="Calibri" w:cs="Calibri" w:eastAsia="Calibri" w:hAnsi="Calibri"/>
          <w:sz w:val="13"/>
          <w:szCs w:val="13"/>
          <w:color w:val="auto"/>
        </w:rPr>
      </w:pPr>
      <w:r>
        <w:rPr>
          <w:rFonts w:ascii="Calibri" w:cs="Calibri" w:eastAsia="Calibri" w:hAnsi="Calibri"/>
          <w:sz w:val="13"/>
          <w:szCs w:val="13"/>
          <w:color w:val="auto"/>
        </w:rPr>
        <w:t>Amounts refect the aggregate grant date fair value of stock awards and opton awards recognized for fnancial statement reportng purposes for the fscal year ended December 31, 2021, in accordance with FASB ASC Topic 718 (disregarding any forfeiture assumptons). Assumptons used in the calculaton of these amounts are included in footnotes 2 and 22 to our audited fnancial statements for the fscal year ended December 31, 2021 included in the 2021 Form 10-K.</w:t>
      </w:r>
    </w:p>
    <w:p>
      <w:pPr>
        <w:spacing w:after="0" w:line="2" w:lineRule="exact"/>
        <w:rPr>
          <w:rFonts w:ascii="Calibri" w:cs="Calibri" w:eastAsia="Calibri" w:hAnsi="Calibri"/>
          <w:sz w:val="13"/>
          <w:szCs w:val="13"/>
          <w:color w:val="auto"/>
        </w:rPr>
      </w:pPr>
    </w:p>
    <w:p>
      <w:pPr>
        <w:ind w:left="500" w:hanging="184"/>
        <w:spacing w:after="0"/>
        <w:tabs>
          <w:tab w:leader="none" w:pos="500" w:val="left"/>
        </w:tabs>
        <w:numPr>
          <w:ilvl w:val="0"/>
          <w:numId w:val="40"/>
        </w:numPr>
        <w:rPr>
          <w:rFonts w:ascii="Calibri" w:cs="Calibri" w:eastAsia="Calibri" w:hAnsi="Calibri"/>
          <w:sz w:val="13"/>
          <w:szCs w:val="13"/>
          <w:color w:val="auto"/>
        </w:rPr>
      </w:pPr>
      <w:r>
        <w:rPr>
          <w:rFonts w:ascii="Calibri" w:cs="Calibri" w:eastAsia="Calibri" w:hAnsi="Calibri"/>
          <w:sz w:val="13"/>
          <w:szCs w:val="13"/>
          <w:color w:val="auto"/>
        </w:rPr>
        <w:t>The outstanding equity awards held by our non-employee directors on December 31, 2021 is set forth on the table below:</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560" w:type="dxa"/>
            <w:vAlign w:val="bottom"/>
            <w:vMerge w:val="restart"/>
          </w:tcPr>
          <w:p>
            <w:pPr>
              <w:jc w:val="center"/>
              <w:spacing w:after="0"/>
              <w:rPr>
                <w:sz w:val="20"/>
                <w:szCs w:val="20"/>
                <w:color w:val="auto"/>
              </w:rPr>
            </w:pPr>
            <w:r>
              <w:rPr>
                <w:rFonts w:ascii="Calibri" w:cs="Calibri" w:eastAsia="Calibri" w:hAnsi="Calibri"/>
                <w:sz w:val="17"/>
                <w:szCs w:val="17"/>
                <w:b w:val="1"/>
                <w:bCs w:val="1"/>
                <w:color w:val="FB4E0B"/>
              </w:rPr>
              <w:t>No. of securites</w:t>
            </w:r>
          </w:p>
        </w:tc>
        <w:tc>
          <w:tcPr>
            <w:tcW w:w="2660" w:type="dxa"/>
            <w:vAlign w:val="bottom"/>
          </w:tcPr>
          <w:p>
            <w:pPr>
              <w:jc w:val="center"/>
              <w:spacing w:after="0"/>
              <w:rPr>
                <w:sz w:val="20"/>
                <w:szCs w:val="20"/>
                <w:color w:val="auto"/>
              </w:rPr>
            </w:pPr>
            <w:r>
              <w:rPr>
                <w:rFonts w:ascii="Calibri" w:cs="Calibri" w:eastAsia="Calibri" w:hAnsi="Calibri"/>
                <w:sz w:val="17"/>
                <w:szCs w:val="17"/>
                <w:b w:val="1"/>
                <w:bCs w:val="1"/>
                <w:color w:val="FB4E0B"/>
              </w:rPr>
              <w:t>No. of securites</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60" w:type="dxa"/>
            <w:vAlign w:val="bottom"/>
            <w:vMerge w:val="continue"/>
          </w:tcPr>
          <w:p>
            <w:pPr>
              <w:spacing w:after="0"/>
              <w:rPr>
                <w:sz w:val="17"/>
                <w:szCs w:val="17"/>
                <w:color w:val="auto"/>
              </w:rPr>
            </w:pPr>
          </w:p>
        </w:tc>
        <w:tc>
          <w:tcPr>
            <w:tcW w:w="2660" w:type="dxa"/>
            <w:vAlign w:val="bottom"/>
          </w:tcPr>
          <w:p>
            <w:pPr>
              <w:jc w:val="right"/>
              <w:ind w:right="473"/>
              <w:spacing w:after="0" w:line="198" w:lineRule="exact"/>
              <w:rPr>
                <w:sz w:val="20"/>
                <w:szCs w:val="20"/>
                <w:color w:val="auto"/>
              </w:rPr>
            </w:pPr>
            <w:r>
              <w:rPr>
                <w:rFonts w:ascii="Calibri" w:cs="Calibri" w:eastAsia="Calibri" w:hAnsi="Calibri"/>
                <w:sz w:val="17"/>
                <w:szCs w:val="17"/>
                <w:b w:val="1"/>
                <w:bCs w:val="1"/>
                <w:color w:val="FB4E0B"/>
              </w:rPr>
              <w:t>underlying unexercised</w:t>
            </w:r>
          </w:p>
        </w:tc>
        <w:tc>
          <w:tcPr>
            <w:tcW w:w="2500" w:type="dxa"/>
            <w:vAlign w:val="bottom"/>
          </w:tcPr>
          <w:p>
            <w:pPr>
              <w:jc w:val="center"/>
              <w:spacing w:after="0" w:line="198" w:lineRule="exact"/>
              <w:rPr>
                <w:sz w:val="20"/>
                <w:szCs w:val="20"/>
                <w:color w:val="auto"/>
              </w:rPr>
            </w:pPr>
            <w:r>
              <w:rPr>
                <w:rFonts w:ascii="Calibri" w:cs="Calibri" w:eastAsia="Calibri" w:hAnsi="Calibri"/>
                <w:sz w:val="17"/>
                <w:szCs w:val="17"/>
                <w:b w:val="1"/>
                <w:bCs w:val="1"/>
                <w:color w:val="FB4E0B"/>
              </w:rPr>
              <w:t>No. of shares or</w:t>
            </w:r>
          </w:p>
        </w:tc>
        <w:tc>
          <w:tcPr>
            <w:tcW w:w="0" w:type="dxa"/>
            <w:vAlign w:val="bottom"/>
          </w:tcPr>
          <w:p>
            <w:pPr>
              <w:spacing w:after="0"/>
              <w:rPr>
                <w:sz w:val="1"/>
                <w:szCs w:val="1"/>
                <w:color w:val="auto"/>
              </w:rPr>
            </w:pPr>
          </w:p>
        </w:tc>
      </w:tr>
      <w:tr>
        <w:trPr>
          <w:trHeight w:val="208"/>
        </w:trPr>
        <w:tc>
          <w:tcPr>
            <w:tcW w:w="1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56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FB4E0B"/>
                <w:w w:val="99"/>
              </w:rPr>
              <w:t>underlying unexercised</w:t>
            </w:r>
          </w:p>
        </w:tc>
        <w:tc>
          <w:tcPr>
            <w:tcW w:w="2660" w:type="dxa"/>
            <w:vAlign w:val="bottom"/>
          </w:tcPr>
          <w:p>
            <w:pPr>
              <w:jc w:val="center"/>
              <w:ind w:right="13"/>
              <w:spacing w:after="0"/>
              <w:rPr>
                <w:sz w:val="20"/>
                <w:szCs w:val="20"/>
                <w:color w:val="auto"/>
              </w:rPr>
            </w:pPr>
            <w:r>
              <w:rPr>
                <w:rFonts w:ascii="Calibri" w:cs="Calibri" w:eastAsia="Calibri" w:hAnsi="Calibri"/>
                <w:sz w:val="17"/>
                <w:szCs w:val="17"/>
                <w:b w:val="1"/>
                <w:bCs w:val="1"/>
                <w:color w:val="FB4E0B"/>
              </w:rPr>
              <w:t>optons (#)</w:t>
            </w:r>
          </w:p>
        </w:tc>
        <w:tc>
          <w:tcPr>
            <w:tcW w:w="2500" w:type="dxa"/>
            <w:vAlign w:val="bottom"/>
          </w:tcPr>
          <w:p>
            <w:pPr>
              <w:jc w:val="center"/>
              <w:spacing w:after="0"/>
              <w:rPr>
                <w:sz w:val="20"/>
                <w:szCs w:val="20"/>
                <w:color w:val="auto"/>
              </w:rPr>
            </w:pPr>
            <w:r>
              <w:rPr>
                <w:rFonts w:ascii="Calibri" w:cs="Calibri" w:eastAsia="Calibri" w:hAnsi="Calibri"/>
                <w:sz w:val="17"/>
                <w:szCs w:val="17"/>
                <w:b w:val="1"/>
                <w:bCs w:val="1"/>
                <w:color w:val="FB4E0B"/>
                <w:w w:val="99"/>
              </w:rPr>
              <w:t>units of stock</w:t>
            </w:r>
          </w:p>
        </w:tc>
        <w:tc>
          <w:tcPr>
            <w:tcW w:w="0" w:type="dxa"/>
            <w:vAlign w:val="bottom"/>
          </w:tcPr>
          <w:p>
            <w:pPr>
              <w:spacing w:after="0"/>
              <w:rPr>
                <w:sz w:val="1"/>
                <w:szCs w:val="1"/>
                <w:color w:val="auto"/>
              </w:rPr>
            </w:pPr>
          </w:p>
        </w:tc>
      </w:tr>
      <w:tr>
        <w:trPr>
          <w:trHeight w:val="219"/>
        </w:trPr>
        <w:tc>
          <w:tcPr>
            <w:tcW w:w="1460" w:type="dxa"/>
            <w:vAlign w:val="bottom"/>
          </w:tcPr>
          <w:p>
            <w:pPr>
              <w:ind w:left="40"/>
              <w:spacing w:after="0" w:line="206" w:lineRule="exact"/>
              <w:rPr>
                <w:sz w:val="20"/>
                <w:szCs w:val="20"/>
                <w:color w:val="auto"/>
              </w:rPr>
            </w:pPr>
            <w:r>
              <w:rPr>
                <w:rFonts w:ascii="Calibri" w:cs="Calibri" w:eastAsia="Calibri" w:hAnsi="Calibri"/>
                <w:sz w:val="17"/>
                <w:szCs w:val="17"/>
                <w:b w:val="1"/>
                <w:bCs w:val="1"/>
                <w:color w:val="FB4E0B"/>
              </w:rPr>
              <w:t>Name</w:t>
            </w:r>
          </w:p>
        </w:tc>
        <w:tc>
          <w:tcPr>
            <w:tcW w:w="1440" w:type="dxa"/>
            <w:vAlign w:val="bottom"/>
          </w:tcPr>
          <w:p>
            <w:pPr>
              <w:spacing w:after="0"/>
              <w:rPr>
                <w:sz w:val="19"/>
                <w:szCs w:val="19"/>
                <w:color w:val="auto"/>
              </w:rPr>
            </w:pPr>
          </w:p>
        </w:tc>
        <w:tc>
          <w:tcPr>
            <w:tcW w:w="256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FB4E0B"/>
              </w:rPr>
              <w:t>optons (#) exercisable</w:t>
            </w:r>
          </w:p>
        </w:tc>
        <w:tc>
          <w:tcPr>
            <w:tcW w:w="266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unexercisable</w:t>
            </w:r>
          </w:p>
        </w:tc>
        <w:tc>
          <w:tcPr>
            <w:tcW w:w="250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that have not vested</w:t>
            </w:r>
          </w:p>
        </w:tc>
        <w:tc>
          <w:tcPr>
            <w:tcW w:w="0" w:type="dxa"/>
            <w:vAlign w:val="bottom"/>
          </w:tcPr>
          <w:p>
            <w:pPr>
              <w:spacing w:after="0"/>
              <w:rPr>
                <w:sz w:val="1"/>
                <w:szCs w:val="1"/>
                <w:color w:val="auto"/>
              </w:rPr>
            </w:pPr>
          </w:p>
        </w:tc>
      </w:tr>
      <w:tr>
        <w:trPr>
          <w:trHeight w:val="133"/>
        </w:trPr>
        <w:tc>
          <w:tcPr>
            <w:tcW w:w="1460" w:type="dxa"/>
            <w:vAlign w:val="bottom"/>
            <w:tcBorders>
              <w:bottom w:val="single" w:sz="8" w:color="FB4E0B"/>
            </w:tcBorders>
          </w:tcPr>
          <w:p>
            <w:pPr>
              <w:spacing w:after="0"/>
              <w:rPr>
                <w:sz w:val="11"/>
                <w:szCs w:val="11"/>
                <w:color w:val="auto"/>
              </w:rPr>
            </w:pPr>
          </w:p>
        </w:tc>
        <w:tc>
          <w:tcPr>
            <w:tcW w:w="1440" w:type="dxa"/>
            <w:vAlign w:val="bottom"/>
            <w:tcBorders>
              <w:bottom w:val="single" w:sz="8" w:color="FB4E0B"/>
            </w:tcBorders>
          </w:tcPr>
          <w:p>
            <w:pPr>
              <w:spacing w:after="0"/>
              <w:rPr>
                <w:sz w:val="11"/>
                <w:szCs w:val="11"/>
                <w:color w:val="auto"/>
              </w:rPr>
            </w:pPr>
          </w:p>
        </w:tc>
        <w:tc>
          <w:tcPr>
            <w:tcW w:w="2560" w:type="dxa"/>
            <w:vAlign w:val="bottom"/>
            <w:tcBorders>
              <w:bottom w:val="single" w:sz="8" w:color="FB4E0B"/>
            </w:tcBorders>
          </w:tcPr>
          <w:p>
            <w:pPr>
              <w:spacing w:after="0"/>
              <w:rPr>
                <w:sz w:val="11"/>
                <w:szCs w:val="11"/>
                <w:color w:val="auto"/>
              </w:rPr>
            </w:pPr>
          </w:p>
        </w:tc>
        <w:tc>
          <w:tcPr>
            <w:tcW w:w="2660" w:type="dxa"/>
            <w:vAlign w:val="bottom"/>
            <w:tcBorders>
              <w:bottom w:val="single" w:sz="8" w:color="FB4E0B"/>
            </w:tcBorders>
          </w:tcPr>
          <w:p>
            <w:pPr>
              <w:spacing w:after="0"/>
              <w:rPr>
                <w:sz w:val="11"/>
                <w:szCs w:val="11"/>
                <w:color w:val="auto"/>
              </w:rPr>
            </w:pPr>
          </w:p>
        </w:tc>
        <w:tc>
          <w:tcPr>
            <w:tcW w:w="250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460" w:type="dxa"/>
            <w:vAlign w:val="bottom"/>
          </w:tcPr>
          <w:p>
            <w:pPr>
              <w:ind w:left="40"/>
              <w:spacing w:after="0"/>
              <w:rPr>
                <w:sz w:val="20"/>
                <w:szCs w:val="20"/>
                <w:color w:val="auto"/>
              </w:rPr>
            </w:pPr>
            <w:r>
              <w:rPr>
                <w:rFonts w:ascii="Calibri" w:cs="Calibri" w:eastAsia="Calibri" w:hAnsi="Calibri"/>
                <w:sz w:val="17"/>
                <w:szCs w:val="17"/>
                <w:b w:val="1"/>
                <w:bCs w:val="1"/>
                <w:color w:val="auto"/>
              </w:rPr>
              <w:t>David Kelso</w:t>
            </w:r>
          </w:p>
        </w:tc>
        <w:tc>
          <w:tcPr>
            <w:tcW w:w="1440" w:type="dxa"/>
            <w:vAlign w:val="bottom"/>
            <w:tcBorders>
              <w:right w:val="single" w:sz="8" w:color="auto"/>
            </w:tcBorders>
          </w:tcPr>
          <w:p>
            <w:pPr>
              <w:spacing w:after="0"/>
              <w:rPr>
                <w:sz w:val="24"/>
                <w:szCs w:val="24"/>
                <w:color w:val="auto"/>
              </w:rPr>
            </w:pPr>
          </w:p>
        </w:tc>
        <w:tc>
          <w:tcPr>
            <w:tcW w:w="2560" w:type="dxa"/>
            <w:vAlign w:val="bottom"/>
            <w:tcBorders>
              <w:right w:val="single" w:sz="8" w:color="auto"/>
            </w:tcBorders>
          </w:tcPr>
          <w:p>
            <w:pPr>
              <w:jc w:val="right"/>
              <w:ind w:right="413"/>
              <w:spacing w:after="0"/>
              <w:rPr>
                <w:sz w:val="20"/>
                <w:szCs w:val="20"/>
                <w:color w:val="auto"/>
              </w:rPr>
            </w:pPr>
            <w:r>
              <w:rPr>
                <w:rFonts w:ascii="Calibri" w:cs="Calibri" w:eastAsia="Calibri" w:hAnsi="Calibri"/>
                <w:sz w:val="17"/>
                <w:szCs w:val="17"/>
                <w:color w:val="auto"/>
              </w:rPr>
              <w:t>0</w:t>
            </w:r>
          </w:p>
        </w:tc>
        <w:tc>
          <w:tcPr>
            <w:tcW w:w="266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500" w:type="dxa"/>
            <w:vAlign w:val="bottom"/>
          </w:tcPr>
          <w:p>
            <w:pPr>
              <w:jc w:val="right"/>
              <w:ind w:right="473"/>
              <w:spacing w:after="0"/>
              <w:rPr>
                <w:sz w:val="20"/>
                <w:szCs w:val="20"/>
                <w:color w:val="auto"/>
              </w:rPr>
            </w:pPr>
            <w:r>
              <w:rPr>
                <w:rFonts w:ascii="Calibri" w:cs="Calibri" w:eastAsia="Calibri" w:hAnsi="Calibri"/>
                <w:sz w:val="17"/>
                <w:szCs w:val="17"/>
                <w:color w:val="auto"/>
              </w:rPr>
              <w:t>0</w:t>
            </w:r>
          </w:p>
        </w:tc>
        <w:tc>
          <w:tcPr>
            <w:tcW w:w="0" w:type="dxa"/>
            <w:vAlign w:val="bottom"/>
          </w:tcPr>
          <w:p>
            <w:pPr>
              <w:spacing w:after="0"/>
              <w:rPr>
                <w:sz w:val="1"/>
                <w:szCs w:val="1"/>
                <w:color w:val="auto"/>
              </w:rPr>
            </w:pPr>
          </w:p>
        </w:tc>
      </w:tr>
      <w:tr>
        <w:trPr>
          <w:trHeight w:val="127"/>
        </w:trPr>
        <w:tc>
          <w:tcPr>
            <w:tcW w:w="146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460" w:type="dxa"/>
            <w:vAlign w:val="bottom"/>
          </w:tcPr>
          <w:p>
            <w:pPr>
              <w:ind w:left="40"/>
              <w:spacing w:after="0"/>
              <w:rPr>
                <w:sz w:val="20"/>
                <w:szCs w:val="20"/>
                <w:color w:val="auto"/>
              </w:rPr>
            </w:pPr>
            <w:r>
              <w:rPr>
                <w:rFonts w:ascii="Calibri" w:cs="Calibri" w:eastAsia="Calibri" w:hAnsi="Calibri"/>
                <w:sz w:val="17"/>
                <w:szCs w:val="17"/>
                <w:b w:val="1"/>
                <w:bCs w:val="1"/>
                <w:color w:val="auto"/>
              </w:rPr>
              <w:t>Deborah Kerr</w:t>
            </w:r>
          </w:p>
        </w:tc>
        <w:tc>
          <w:tcPr>
            <w:tcW w:w="1440" w:type="dxa"/>
            <w:vAlign w:val="bottom"/>
            <w:tcBorders>
              <w:right w:val="single" w:sz="8" w:color="auto"/>
            </w:tcBorders>
          </w:tcPr>
          <w:p>
            <w:pPr>
              <w:spacing w:after="0"/>
              <w:rPr>
                <w:sz w:val="23"/>
                <w:szCs w:val="23"/>
                <w:color w:val="auto"/>
              </w:rPr>
            </w:pPr>
          </w:p>
        </w:tc>
        <w:tc>
          <w:tcPr>
            <w:tcW w:w="2560" w:type="dxa"/>
            <w:vAlign w:val="bottom"/>
            <w:tcBorders>
              <w:right w:val="single" w:sz="8" w:color="auto"/>
            </w:tcBorders>
          </w:tcPr>
          <w:p>
            <w:pPr>
              <w:jc w:val="right"/>
              <w:ind w:right="413"/>
              <w:spacing w:after="0"/>
              <w:rPr>
                <w:sz w:val="20"/>
                <w:szCs w:val="20"/>
                <w:color w:val="auto"/>
              </w:rPr>
            </w:pPr>
            <w:r>
              <w:rPr>
                <w:rFonts w:ascii="Calibri" w:cs="Calibri" w:eastAsia="Calibri" w:hAnsi="Calibri"/>
                <w:sz w:val="17"/>
                <w:szCs w:val="17"/>
                <w:color w:val="auto"/>
              </w:rPr>
              <w:t>0</w:t>
            </w:r>
          </w:p>
        </w:tc>
        <w:tc>
          <w:tcPr>
            <w:tcW w:w="266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500" w:type="dxa"/>
            <w:vAlign w:val="bottom"/>
          </w:tcPr>
          <w:p>
            <w:pPr>
              <w:jc w:val="right"/>
              <w:ind w:right="473"/>
              <w:spacing w:after="0"/>
              <w:rPr>
                <w:sz w:val="20"/>
                <w:szCs w:val="20"/>
                <w:color w:val="auto"/>
              </w:rPr>
            </w:pPr>
            <w:r>
              <w:rPr>
                <w:rFonts w:ascii="Calibri" w:cs="Calibri" w:eastAsia="Calibri" w:hAnsi="Calibri"/>
                <w:sz w:val="17"/>
                <w:szCs w:val="17"/>
                <w:color w:val="auto"/>
              </w:rPr>
              <w:t>0</w:t>
            </w:r>
          </w:p>
        </w:tc>
        <w:tc>
          <w:tcPr>
            <w:tcW w:w="0" w:type="dxa"/>
            <w:vAlign w:val="bottom"/>
          </w:tcPr>
          <w:p>
            <w:pPr>
              <w:spacing w:after="0"/>
              <w:rPr>
                <w:sz w:val="1"/>
                <w:szCs w:val="1"/>
                <w:color w:val="auto"/>
              </w:rPr>
            </w:pPr>
          </w:p>
        </w:tc>
      </w:tr>
      <w:tr>
        <w:trPr>
          <w:trHeight w:val="127"/>
        </w:trPr>
        <w:tc>
          <w:tcPr>
            <w:tcW w:w="146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460" w:type="dxa"/>
            <w:vAlign w:val="bottom"/>
          </w:tcPr>
          <w:p>
            <w:pPr>
              <w:ind w:left="40"/>
              <w:spacing w:after="0"/>
              <w:rPr>
                <w:sz w:val="20"/>
                <w:szCs w:val="20"/>
                <w:color w:val="auto"/>
              </w:rPr>
            </w:pPr>
            <w:r>
              <w:rPr>
                <w:rFonts w:ascii="Calibri" w:cs="Calibri" w:eastAsia="Calibri" w:hAnsi="Calibri"/>
                <w:sz w:val="17"/>
                <w:szCs w:val="17"/>
                <w:b w:val="1"/>
                <w:bCs w:val="1"/>
                <w:color w:val="auto"/>
              </w:rPr>
              <w:t>Anne Minto</w:t>
            </w:r>
          </w:p>
        </w:tc>
        <w:tc>
          <w:tcPr>
            <w:tcW w:w="1440" w:type="dxa"/>
            <w:vAlign w:val="bottom"/>
            <w:tcBorders>
              <w:right w:val="single" w:sz="8" w:color="auto"/>
            </w:tcBorders>
          </w:tcPr>
          <w:p>
            <w:pPr>
              <w:spacing w:after="0"/>
              <w:rPr>
                <w:sz w:val="23"/>
                <w:szCs w:val="23"/>
                <w:color w:val="auto"/>
              </w:rPr>
            </w:pPr>
          </w:p>
        </w:tc>
        <w:tc>
          <w:tcPr>
            <w:tcW w:w="2560" w:type="dxa"/>
            <w:vAlign w:val="bottom"/>
            <w:tcBorders>
              <w:right w:val="single" w:sz="8" w:color="auto"/>
            </w:tcBorders>
          </w:tcPr>
          <w:p>
            <w:pPr>
              <w:jc w:val="right"/>
              <w:ind w:right="413"/>
              <w:spacing w:after="0"/>
              <w:rPr>
                <w:sz w:val="20"/>
                <w:szCs w:val="20"/>
                <w:color w:val="auto"/>
              </w:rPr>
            </w:pPr>
            <w:r>
              <w:rPr>
                <w:rFonts w:ascii="Calibri" w:cs="Calibri" w:eastAsia="Calibri" w:hAnsi="Calibri"/>
                <w:sz w:val="17"/>
                <w:szCs w:val="17"/>
                <w:color w:val="auto"/>
              </w:rPr>
              <w:t>3,093</w:t>
            </w:r>
          </w:p>
        </w:tc>
        <w:tc>
          <w:tcPr>
            <w:tcW w:w="266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500" w:type="dxa"/>
            <w:vAlign w:val="bottom"/>
          </w:tcPr>
          <w:p>
            <w:pPr>
              <w:jc w:val="right"/>
              <w:ind w:right="473"/>
              <w:spacing w:after="0"/>
              <w:rPr>
                <w:sz w:val="20"/>
                <w:szCs w:val="20"/>
                <w:color w:val="auto"/>
              </w:rPr>
            </w:pPr>
            <w:r>
              <w:rPr>
                <w:rFonts w:ascii="Calibri" w:cs="Calibri" w:eastAsia="Calibri" w:hAnsi="Calibri"/>
                <w:sz w:val="17"/>
                <w:szCs w:val="17"/>
                <w:color w:val="auto"/>
              </w:rPr>
              <w:t>1,420</w:t>
            </w:r>
          </w:p>
        </w:tc>
        <w:tc>
          <w:tcPr>
            <w:tcW w:w="0" w:type="dxa"/>
            <w:vAlign w:val="bottom"/>
          </w:tcPr>
          <w:p>
            <w:pPr>
              <w:spacing w:after="0"/>
              <w:rPr>
                <w:sz w:val="1"/>
                <w:szCs w:val="1"/>
                <w:color w:val="auto"/>
              </w:rPr>
            </w:pPr>
          </w:p>
        </w:tc>
      </w:tr>
      <w:tr>
        <w:trPr>
          <w:trHeight w:val="127"/>
        </w:trPr>
        <w:tc>
          <w:tcPr>
            <w:tcW w:w="146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460" w:type="dxa"/>
            <w:vAlign w:val="bottom"/>
          </w:tcPr>
          <w:p>
            <w:pPr>
              <w:ind w:left="40"/>
              <w:spacing w:after="0"/>
              <w:rPr>
                <w:sz w:val="20"/>
                <w:szCs w:val="20"/>
                <w:color w:val="auto"/>
              </w:rPr>
            </w:pPr>
            <w:r>
              <w:rPr>
                <w:rFonts w:ascii="Calibri" w:cs="Calibri" w:eastAsia="Calibri" w:hAnsi="Calibri"/>
                <w:sz w:val="17"/>
                <w:szCs w:val="17"/>
                <w:b w:val="1"/>
                <w:bCs w:val="1"/>
                <w:color w:val="auto"/>
              </w:rPr>
              <w:t>Som Mital</w:t>
            </w:r>
          </w:p>
        </w:tc>
        <w:tc>
          <w:tcPr>
            <w:tcW w:w="1440" w:type="dxa"/>
            <w:vAlign w:val="bottom"/>
            <w:tcBorders>
              <w:right w:val="single" w:sz="8" w:color="auto"/>
            </w:tcBorders>
          </w:tcPr>
          <w:p>
            <w:pPr>
              <w:spacing w:after="0"/>
              <w:rPr>
                <w:sz w:val="23"/>
                <w:szCs w:val="23"/>
                <w:color w:val="auto"/>
              </w:rPr>
            </w:pPr>
          </w:p>
        </w:tc>
        <w:tc>
          <w:tcPr>
            <w:tcW w:w="2560" w:type="dxa"/>
            <w:vAlign w:val="bottom"/>
            <w:tcBorders>
              <w:right w:val="single" w:sz="8" w:color="auto"/>
            </w:tcBorders>
          </w:tcPr>
          <w:p>
            <w:pPr>
              <w:jc w:val="right"/>
              <w:ind w:right="413"/>
              <w:spacing w:after="0"/>
              <w:rPr>
                <w:sz w:val="20"/>
                <w:szCs w:val="20"/>
                <w:color w:val="auto"/>
              </w:rPr>
            </w:pPr>
            <w:r>
              <w:rPr>
                <w:rFonts w:ascii="Calibri" w:cs="Calibri" w:eastAsia="Calibri" w:hAnsi="Calibri"/>
                <w:sz w:val="17"/>
                <w:szCs w:val="17"/>
                <w:color w:val="auto"/>
              </w:rPr>
              <w:t>0</w:t>
            </w:r>
          </w:p>
        </w:tc>
        <w:tc>
          <w:tcPr>
            <w:tcW w:w="266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500" w:type="dxa"/>
            <w:vAlign w:val="bottom"/>
          </w:tcPr>
          <w:p>
            <w:pPr>
              <w:jc w:val="right"/>
              <w:ind w:right="473"/>
              <w:spacing w:after="0"/>
              <w:rPr>
                <w:sz w:val="20"/>
                <w:szCs w:val="20"/>
                <w:color w:val="auto"/>
              </w:rPr>
            </w:pPr>
            <w:r>
              <w:rPr>
                <w:rFonts w:ascii="Calibri" w:cs="Calibri" w:eastAsia="Calibri" w:hAnsi="Calibri"/>
                <w:sz w:val="17"/>
                <w:szCs w:val="17"/>
                <w:color w:val="auto"/>
              </w:rPr>
              <w:t>1,420</w:t>
            </w:r>
          </w:p>
        </w:tc>
        <w:tc>
          <w:tcPr>
            <w:tcW w:w="0" w:type="dxa"/>
            <w:vAlign w:val="bottom"/>
          </w:tcPr>
          <w:p>
            <w:pPr>
              <w:spacing w:after="0"/>
              <w:rPr>
                <w:sz w:val="1"/>
                <w:szCs w:val="1"/>
                <w:color w:val="auto"/>
              </w:rPr>
            </w:pPr>
          </w:p>
        </w:tc>
      </w:tr>
      <w:tr>
        <w:trPr>
          <w:trHeight w:val="127"/>
        </w:trPr>
        <w:tc>
          <w:tcPr>
            <w:tcW w:w="146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460" w:type="dxa"/>
            <w:vAlign w:val="bottom"/>
          </w:tcPr>
          <w:p>
            <w:pPr>
              <w:ind w:left="40"/>
              <w:spacing w:after="0"/>
              <w:rPr>
                <w:sz w:val="20"/>
                <w:szCs w:val="20"/>
                <w:color w:val="auto"/>
              </w:rPr>
            </w:pPr>
            <w:r>
              <w:rPr>
                <w:rFonts w:ascii="Calibri" w:cs="Calibri" w:eastAsia="Calibri" w:hAnsi="Calibri"/>
                <w:sz w:val="17"/>
                <w:szCs w:val="17"/>
                <w:b w:val="1"/>
                <w:bCs w:val="1"/>
                <w:color w:val="auto"/>
              </w:rPr>
              <w:t>Clyde Ostler</w:t>
            </w:r>
          </w:p>
        </w:tc>
        <w:tc>
          <w:tcPr>
            <w:tcW w:w="1440" w:type="dxa"/>
            <w:vAlign w:val="bottom"/>
            <w:tcBorders>
              <w:right w:val="single" w:sz="8" w:color="auto"/>
            </w:tcBorders>
          </w:tcPr>
          <w:p>
            <w:pPr>
              <w:spacing w:after="0"/>
              <w:rPr>
                <w:sz w:val="23"/>
                <w:szCs w:val="23"/>
                <w:color w:val="auto"/>
              </w:rPr>
            </w:pPr>
          </w:p>
        </w:tc>
        <w:tc>
          <w:tcPr>
            <w:tcW w:w="2560" w:type="dxa"/>
            <w:vAlign w:val="bottom"/>
            <w:tcBorders>
              <w:right w:val="single" w:sz="8" w:color="auto"/>
            </w:tcBorders>
          </w:tcPr>
          <w:p>
            <w:pPr>
              <w:jc w:val="right"/>
              <w:ind w:right="413"/>
              <w:spacing w:after="0"/>
              <w:rPr>
                <w:sz w:val="20"/>
                <w:szCs w:val="20"/>
                <w:color w:val="auto"/>
              </w:rPr>
            </w:pPr>
            <w:r>
              <w:rPr>
                <w:rFonts w:ascii="Calibri" w:cs="Calibri" w:eastAsia="Calibri" w:hAnsi="Calibri"/>
                <w:sz w:val="17"/>
                <w:szCs w:val="17"/>
                <w:color w:val="auto"/>
              </w:rPr>
              <w:t>0</w:t>
            </w:r>
          </w:p>
        </w:tc>
        <w:tc>
          <w:tcPr>
            <w:tcW w:w="266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500" w:type="dxa"/>
            <w:vAlign w:val="bottom"/>
          </w:tcPr>
          <w:p>
            <w:pPr>
              <w:jc w:val="right"/>
              <w:ind w:right="473"/>
              <w:spacing w:after="0"/>
              <w:rPr>
                <w:sz w:val="20"/>
                <w:szCs w:val="20"/>
                <w:color w:val="auto"/>
              </w:rPr>
            </w:pPr>
            <w:r>
              <w:rPr>
                <w:rFonts w:ascii="Calibri" w:cs="Calibri" w:eastAsia="Calibri" w:hAnsi="Calibri"/>
                <w:sz w:val="17"/>
                <w:szCs w:val="17"/>
                <w:color w:val="auto"/>
              </w:rPr>
              <w:t>1,420</w:t>
            </w:r>
          </w:p>
        </w:tc>
        <w:tc>
          <w:tcPr>
            <w:tcW w:w="0" w:type="dxa"/>
            <w:vAlign w:val="bottom"/>
          </w:tcPr>
          <w:p>
            <w:pPr>
              <w:spacing w:after="0"/>
              <w:rPr>
                <w:sz w:val="1"/>
                <w:szCs w:val="1"/>
                <w:color w:val="auto"/>
              </w:rPr>
            </w:pPr>
          </w:p>
        </w:tc>
      </w:tr>
      <w:tr>
        <w:trPr>
          <w:trHeight w:val="127"/>
        </w:trPr>
        <w:tc>
          <w:tcPr>
            <w:tcW w:w="146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460" w:type="dxa"/>
            <w:vAlign w:val="bottom"/>
          </w:tcPr>
          <w:p>
            <w:pPr>
              <w:ind w:left="40"/>
              <w:spacing w:after="0"/>
              <w:rPr>
                <w:sz w:val="20"/>
                <w:szCs w:val="20"/>
                <w:color w:val="auto"/>
              </w:rPr>
            </w:pPr>
            <w:r>
              <w:rPr>
                <w:rFonts w:ascii="Calibri" w:cs="Calibri" w:eastAsia="Calibri" w:hAnsi="Calibri"/>
                <w:sz w:val="17"/>
                <w:szCs w:val="17"/>
                <w:b w:val="1"/>
                <w:bCs w:val="1"/>
                <w:color w:val="auto"/>
              </w:rPr>
              <w:t>Vikram Pandit</w:t>
            </w:r>
          </w:p>
        </w:tc>
        <w:tc>
          <w:tcPr>
            <w:tcW w:w="1440" w:type="dxa"/>
            <w:vAlign w:val="bottom"/>
            <w:tcBorders>
              <w:right w:val="single" w:sz="8" w:color="auto"/>
            </w:tcBorders>
          </w:tcPr>
          <w:p>
            <w:pPr>
              <w:spacing w:after="0"/>
              <w:rPr>
                <w:sz w:val="23"/>
                <w:szCs w:val="23"/>
                <w:color w:val="auto"/>
              </w:rPr>
            </w:pPr>
          </w:p>
        </w:tc>
        <w:tc>
          <w:tcPr>
            <w:tcW w:w="2560" w:type="dxa"/>
            <w:vAlign w:val="bottom"/>
            <w:tcBorders>
              <w:right w:val="single" w:sz="8" w:color="auto"/>
            </w:tcBorders>
          </w:tcPr>
          <w:p>
            <w:pPr>
              <w:jc w:val="right"/>
              <w:ind w:right="413"/>
              <w:spacing w:after="0"/>
              <w:rPr>
                <w:sz w:val="20"/>
                <w:szCs w:val="20"/>
                <w:color w:val="auto"/>
              </w:rPr>
            </w:pPr>
            <w:r>
              <w:rPr>
                <w:rFonts w:ascii="Calibri" w:cs="Calibri" w:eastAsia="Calibri" w:hAnsi="Calibri"/>
                <w:sz w:val="17"/>
                <w:szCs w:val="17"/>
                <w:color w:val="auto"/>
              </w:rPr>
              <w:t>0</w:t>
            </w:r>
          </w:p>
        </w:tc>
        <w:tc>
          <w:tcPr>
            <w:tcW w:w="266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500" w:type="dxa"/>
            <w:vAlign w:val="bottom"/>
          </w:tcPr>
          <w:p>
            <w:pPr>
              <w:jc w:val="right"/>
              <w:ind w:right="473"/>
              <w:spacing w:after="0"/>
              <w:rPr>
                <w:sz w:val="20"/>
                <w:szCs w:val="20"/>
                <w:color w:val="auto"/>
              </w:rPr>
            </w:pPr>
            <w:r>
              <w:rPr>
                <w:rFonts w:ascii="Calibri" w:cs="Calibri" w:eastAsia="Calibri" w:hAnsi="Calibri"/>
                <w:sz w:val="17"/>
                <w:szCs w:val="17"/>
                <w:color w:val="auto"/>
              </w:rPr>
              <w:t>1,420</w:t>
            </w:r>
          </w:p>
        </w:tc>
        <w:tc>
          <w:tcPr>
            <w:tcW w:w="0" w:type="dxa"/>
            <w:vAlign w:val="bottom"/>
          </w:tcPr>
          <w:p>
            <w:pPr>
              <w:spacing w:after="0"/>
              <w:rPr>
                <w:sz w:val="1"/>
                <w:szCs w:val="1"/>
                <w:color w:val="auto"/>
              </w:rPr>
            </w:pPr>
          </w:p>
        </w:tc>
      </w:tr>
      <w:tr>
        <w:trPr>
          <w:trHeight w:val="127"/>
        </w:trPr>
        <w:tc>
          <w:tcPr>
            <w:tcW w:w="146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460" w:type="dxa"/>
            <w:vAlign w:val="bottom"/>
          </w:tcPr>
          <w:p>
            <w:pPr>
              <w:ind w:left="40"/>
              <w:spacing w:after="0"/>
              <w:rPr>
                <w:sz w:val="20"/>
                <w:szCs w:val="20"/>
                <w:color w:val="auto"/>
              </w:rPr>
            </w:pPr>
            <w:r>
              <w:rPr>
                <w:rFonts w:ascii="Calibri" w:cs="Calibri" w:eastAsia="Calibri" w:hAnsi="Calibri"/>
                <w:sz w:val="17"/>
                <w:szCs w:val="17"/>
                <w:b w:val="1"/>
                <w:bCs w:val="1"/>
                <w:color w:val="auto"/>
              </w:rPr>
              <w:t>Kristy Pipes</w:t>
            </w:r>
          </w:p>
        </w:tc>
        <w:tc>
          <w:tcPr>
            <w:tcW w:w="1440" w:type="dxa"/>
            <w:vAlign w:val="bottom"/>
            <w:tcBorders>
              <w:right w:val="single" w:sz="8" w:color="auto"/>
            </w:tcBorders>
          </w:tcPr>
          <w:p>
            <w:pPr>
              <w:spacing w:after="0"/>
              <w:rPr>
                <w:sz w:val="23"/>
                <w:szCs w:val="23"/>
                <w:color w:val="auto"/>
              </w:rPr>
            </w:pPr>
          </w:p>
        </w:tc>
        <w:tc>
          <w:tcPr>
            <w:tcW w:w="2560" w:type="dxa"/>
            <w:vAlign w:val="bottom"/>
            <w:tcBorders>
              <w:right w:val="single" w:sz="8" w:color="auto"/>
            </w:tcBorders>
          </w:tcPr>
          <w:p>
            <w:pPr>
              <w:jc w:val="right"/>
              <w:ind w:right="413"/>
              <w:spacing w:after="0"/>
              <w:rPr>
                <w:sz w:val="20"/>
                <w:szCs w:val="20"/>
                <w:color w:val="auto"/>
              </w:rPr>
            </w:pPr>
            <w:r>
              <w:rPr>
                <w:rFonts w:ascii="Calibri" w:cs="Calibri" w:eastAsia="Calibri" w:hAnsi="Calibri"/>
                <w:sz w:val="17"/>
                <w:szCs w:val="17"/>
                <w:color w:val="auto"/>
              </w:rPr>
              <w:t>0</w:t>
            </w:r>
          </w:p>
        </w:tc>
        <w:tc>
          <w:tcPr>
            <w:tcW w:w="266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500" w:type="dxa"/>
            <w:vAlign w:val="bottom"/>
          </w:tcPr>
          <w:p>
            <w:pPr>
              <w:jc w:val="right"/>
              <w:ind w:right="473"/>
              <w:spacing w:after="0"/>
              <w:rPr>
                <w:sz w:val="20"/>
                <w:szCs w:val="20"/>
                <w:color w:val="auto"/>
              </w:rPr>
            </w:pPr>
            <w:r>
              <w:rPr>
                <w:rFonts w:ascii="Calibri" w:cs="Calibri" w:eastAsia="Calibri" w:hAnsi="Calibri"/>
                <w:sz w:val="17"/>
                <w:szCs w:val="17"/>
                <w:color w:val="auto"/>
              </w:rPr>
              <w:t>2,069</w:t>
            </w:r>
          </w:p>
        </w:tc>
        <w:tc>
          <w:tcPr>
            <w:tcW w:w="0" w:type="dxa"/>
            <w:vAlign w:val="bottom"/>
          </w:tcPr>
          <w:p>
            <w:pPr>
              <w:spacing w:after="0"/>
              <w:rPr>
                <w:sz w:val="1"/>
                <w:szCs w:val="1"/>
                <w:color w:val="auto"/>
              </w:rPr>
            </w:pPr>
          </w:p>
        </w:tc>
      </w:tr>
      <w:tr>
        <w:trPr>
          <w:trHeight w:val="127"/>
        </w:trPr>
        <w:tc>
          <w:tcPr>
            <w:tcW w:w="146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460" w:type="dxa"/>
            <w:vAlign w:val="bottom"/>
          </w:tcPr>
          <w:p>
            <w:pPr>
              <w:ind w:left="40"/>
              <w:spacing w:after="0"/>
              <w:rPr>
                <w:sz w:val="20"/>
                <w:szCs w:val="20"/>
                <w:color w:val="auto"/>
              </w:rPr>
            </w:pPr>
            <w:r>
              <w:rPr>
                <w:rFonts w:ascii="Calibri" w:cs="Calibri" w:eastAsia="Calibri" w:hAnsi="Calibri"/>
                <w:sz w:val="17"/>
                <w:szCs w:val="17"/>
                <w:b w:val="1"/>
                <w:bCs w:val="1"/>
                <w:color w:val="auto"/>
              </w:rPr>
              <w:t>Nitn Sahney</w:t>
            </w:r>
          </w:p>
        </w:tc>
        <w:tc>
          <w:tcPr>
            <w:tcW w:w="1440" w:type="dxa"/>
            <w:vAlign w:val="bottom"/>
            <w:tcBorders>
              <w:right w:val="single" w:sz="8" w:color="auto"/>
            </w:tcBorders>
          </w:tcPr>
          <w:p>
            <w:pPr>
              <w:spacing w:after="0"/>
              <w:rPr>
                <w:sz w:val="23"/>
                <w:szCs w:val="23"/>
                <w:color w:val="auto"/>
              </w:rPr>
            </w:pPr>
          </w:p>
        </w:tc>
        <w:tc>
          <w:tcPr>
            <w:tcW w:w="2560" w:type="dxa"/>
            <w:vAlign w:val="bottom"/>
            <w:tcBorders>
              <w:right w:val="single" w:sz="8" w:color="auto"/>
            </w:tcBorders>
          </w:tcPr>
          <w:p>
            <w:pPr>
              <w:jc w:val="right"/>
              <w:ind w:right="413"/>
              <w:spacing w:after="0"/>
              <w:rPr>
                <w:sz w:val="20"/>
                <w:szCs w:val="20"/>
                <w:color w:val="auto"/>
              </w:rPr>
            </w:pPr>
            <w:r>
              <w:rPr>
                <w:rFonts w:ascii="Calibri" w:cs="Calibri" w:eastAsia="Calibri" w:hAnsi="Calibri"/>
                <w:sz w:val="17"/>
                <w:szCs w:val="17"/>
                <w:color w:val="auto"/>
              </w:rPr>
              <w:t>0</w:t>
            </w:r>
          </w:p>
        </w:tc>
        <w:tc>
          <w:tcPr>
            <w:tcW w:w="266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500" w:type="dxa"/>
            <w:vAlign w:val="bottom"/>
          </w:tcPr>
          <w:p>
            <w:pPr>
              <w:jc w:val="right"/>
              <w:ind w:right="473"/>
              <w:spacing w:after="0"/>
              <w:rPr>
                <w:sz w:val="20"/>
                <w:szCs w:val="20"/>
                <w:color w:val="auto"/>
              </w:rPr>
            </w:pPr>
            <w:r>
              <w:rPr>
                <w:rFonts w:ascii="Calibri" w:cs="Calibri" w:eastAsia="Calibri" w:hAnsi="Calibri"/>
                <w:sz w:val="17"/>
                <w:szCs w:val="17"/>
                <w:color w:val="auto"/>
              </w:rPr>
              <w:t>1,420</w:t>
            </w:r>
          </w:p>
        </w:tc>
        <w:tc>
          <w:tcPr>
            <w:tcW w:w="0" w:type="dxa"/>
            <w:vAlign w:val="bottom"/>
          </w:tcPr>
          <w:p>
            <w:pPr>
              <w:spacing w:after="0"/>
              <w:rPr>
                <w:sz w:val="1"/>
                <w:szCs w:val="1"/>
                <w:color w:val="auto"/>
              </w:rPr>
            </w:pPr>
          </w:p>
        </w:tc>
      </w:tr>
      <w:tr>
        <w:trPr>
          <w:trHeight w:val="127"/>
        </w:trPr>
        <w:tc>
          <w:tcPr>
            <w:tcW w:w="146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460" w:type="dxa"/>
            <w:vAlign w:val="bottom"/>
          </w:tcPr>
          <w:p>
            <w:pPr>
              <w:ind w:left="40"/>
              <w:spacing w:after="0"/>
              <w:rPr>
                <w:sz w:val="20"/>
                <w:szCs w:val="20"/>
                <w:color w:val="auto"/>
              </w:rPr>
            </w:pPr>
            <w:r>
              <w:rPr>
                <w:rFonts w:ascii="Calibri" w:cs="Calibri" w:eastAsia="Calibri" w:hAnsi="Calibri"/>
                <w:sz w:val="17"/>
                <w:szCs w:val="17"/>
                <w:b w:val="1"/>
                <w:bCs w:val="1"/>
                <w:color w:val="auto"/>
              </w:rPr>
              <w:t>Garen Staglin</w:t>
            </w:r>
          </w:p>
        </w:tc>
        <w:tc>
          <w:tcPr>
            <w:tcW w:w="1440" w:type="dxa"/>
            <w:vAlign w:val="bottom"/>
            <w:tcBorders>
              <w:right w:val="single" w:sz="8" w:color="auto"/>
            </w:tcBorders>
          </w:tcPr>
          <w:p>
            <w:pPr>
              <w:spacing w:after="0"/>
              <w:rPr>
                <w:sz w:val="23"/>
                <w:szCs w:val="23"/>
                <w:color w:val="auto"/>
              </w:rPr>
            </w:pPr>
          </w:p>
        </w:tc>
        <w:tc>
          <w:tcPr>
            <w:tcW w:w="2560" w:type="dxa"/>
            <w:vAlign w:val="bottom"/>
            <w:tcBorders>
              <w:right w:val="single" w:sz="8" w:color="auto"/>
            </w:tcBorders>
          </w:tcPr>
          <w:p>
            <w:pPr>
              <w:jc w:val="right"/>
              <w:ind w:right="413"/>
              <w:spacing w:after="0"/>
              <w:rPr>
                <w:sz w:val="20"/>
                <w:szCs w:val="20"/>
                <w:color w:val="auto"/>
              </w:rPr>
            </w:pPr>
            <w:r>
              <w:rPr>
                <w:rFonts w:ascii="Calibri" w:cs="Calibri" w:eastAsia="Calibri" w:hAnsi="Calibri"/>
                <w:sz w:val="17"/>
                <w:szCs w:val="17"/>
                <w:color w:val="auto"/>
              </w:rPr>
              <w:t>0</w:t>
            </w:r>
          </w:p>
        </w:tc>
        <w:tc>
          <w:tcPr>
            <w:tcW w:w="266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500" w:type="dxa"/>
            <w:vAlign w:val="bottom"/>
          </w:tcPr>
          <w:p>
            <w:pPr>
              <w:jc w:val="right"/>
              <w:ind w:right="473"/>
              <w:spacing w:after="0"/>
              <w:rPr>
                <w:sz w:val="20"/>
                <w:szCs w:val="20"/>
                <w:color w:val="auto"/>
              </w:rPr>
            </w:pPr>
            <w:r>
              <w:rPr>
                <w:rFonts w:ascii="Calibri" w:cs="Calibri" w:eastAsia="Calibri" w:hAnsi="Calibri"/>
                <w:sz w:val="17"/>
                <w:szCs w:val="17"/>
                <w:color w:val="auto"/>
              </w:rPr>
              <w:t>2,695</w:t>
            </w:r>
          </w:p>
        </w:tc>
        <w:tc>
          <w:tcPr>
            <w:tcW w:w="0" w:type="dxa"/>
            <w:vAlign w:val="bottom"/>
          </w:tcPr>
          <w:p>
            <w:pPr>
              <w:spacing w:after="0"/>
              <w:rPr>
                <w:sz w:val="1"/>
                <w:szCs w:val="1"/>
                <w:color w:val="auto"/>
              </w:rPr>
            </w:pPr>
          </w:p>
        </w:tc>
      </w:tr>
      <w:tr>
        <w:trPr>
          <w:trHeight w:val="127"/>
        </w:trPr>
        <w:tc>
          <w:tcPr>
            <w:tcW w:w="146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spacing w:after="0"/>
              <w:rPr>
                <w:sz w:val="11"/>
                <w:szCs w:val="11"/>
                <w:color w:val="auto"/>
              </w:rPr>
            </w:pPr>
          </w:p>
        </w:tc>
        <w:tc>
          <w:tcPr>
            <w:tcW w:w="2560" w:type="dxa"/>
            <w:vAlign w:val="bottom"/>
            <w:tcBorders>
              <w:bottom w:val="single" w:sz="8" w:color="auto"/>
              <w:right w:val="single" w:sz="8" w:color="auto"/>
            </w:tcBorders>
          </w:tcPr>
          <w:p>
            <w:pPr>
              <w:spacing w:after="0"/>
              <w:rPr>
                <w:sz w:val="11"/>
                <w:szCs w:val="11"/>
                <w:color w:val="auto"/>
              </w:rPr>
            </w:pPr>
          </w:p>
        </w:tc>
        <w:tc>
          <w:tcPr>
            <w:tcW w:w="26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1460" w:type="dxa"/>
            <w:vAlign w:val="bottom"/>
          </w:tcPr>
          <w:p>
            <w:pPr>
              <w:ind w:left="40"/>
              <w:spacing w:after="0"/>
              <w:rPr>
                <w:sz w:val="20"/>
                <w:szCs w:val="20"/>
                <w:color w:val="auto"/>
              </w:rPr>
            </w:pPr>
            <w:r>
              <w:rPr>
                <w:rFonts w:ascii="Calibri" w:cs="Calibri" w:eastAsia="Calibri" w:hAnsi="Calibri"/>
                <w:sz w:val="17"/>
                <w:szCs w:val="17"/>
                <w:b w:val="1"/>
                <w:bCs w:val="1"/>
                <w:color w:val="auto"/>
              </w:rPr>
              <w:t>Jaynie Studenmund</w:t>
            </w:r>
          </w:p>
        </w:tc>
        <w:tc>
          <w:tcPr>
            <w:tcW w:w="1440" w:type="dxa"/>
            <w:vAlign w:val="bottom"/>
            <w:tcBorders>
              <w:right w:val="single" w:sz="8" w:color="auto"/>
            </w:tcBorders>
          </w:tcPr>
          <w:p>
            <w:pPr>
              <w:spacing w:after="0"/>
              <w:rPr>
                <w:sz w:val="23"/>
                <w:szCs w:val="23"/>
                <w:color w:val="auto"/>
              </w:rPr>
            </w:pPr>
          </w:p>
        </w:tc>
        <w:tc>
          <w:tcPr>
            <w:tcW w:w="2560" w:type="dxa"/>
            <w:vAlign w:val="bottom"/>
            <w:tcBorders>
              <w:right w:val="single" w:sz="8" w:color="auto"/>
            </w:tcBorders>
          </w:tcPr>
          <w:p>
            <w:pPr>
              <w:jc w:val="right"/>
              <w:ind w:right="413"/>
              <w:spacing w:after="0"/>
              <w:rPr>
                <w:sz w:val="20"/>
                <w:szCs w:val="20"/>
                <w:color w:val="auto"/>
              </w:rPr>
            </w:pPr>
            <w:r>
              <w:rPr>
                <w:rFonts w:ascii="Calibri" w:cs="Calibri" w:eastAsia="Calibri" w:hAnsi="Calibri"/>
                <w:sz w:val="17"/>
                <w:szCs w:val="17"/>
                <w:color w:val="auto"/>
              </w:rPr>
              <w:t>0</w:t>
            </w:r>
          </w:p>
        </w:tc>
        <w:tc>
          <w:tcPr>
            <w:tcW w:w="2660" w:type="dxa"/>
            <w:vAlign w:val="bottom"/>
            <w:tcBorders>
              <w:right w:val="single" w:sz="8" w:color="auto"/>
            </w:tcBorders>
          </w:tcPr>
          <w:p>
            <w:pPr>
              <w:jc w:val="right"/>
              <w:ind w:right="453"/>
              <w:spacing w:after="0"/>
              <w:rPr>
                <w:sz w:val="20"/>
                <w:szCs w:val="20"/>
                <w:color w:val="auto"/>
              </w:rPr>
            </w:pPr>
            <w:r>
              <w:rPr>
                <w:rFonts w:ascii="Calibri" w:cs="Calibri" w:eastAsia="Calibri" w:hAnsi="Calibri"/>
                <w:sz w:val="17"/>
                <w:szCs w:val="17"/>
                <w:color w:val="auto"/>
              </w:rPr>
              <w:t>0</w:t>
            </w:r>
          </w:p>
        </w:tc>
        <w:tc>
          <w:tcPr>
            <w:tcW w:w="2500" w:type="dxa"/>
            <w:vAlign w:val="bottom"/>
          </w:tcPr>
          <w:p>
            <w:pPr>
              <w:jc w:val="right"/>
              <w:ind w:right="473"/>
              <w:spacing w:after="0"/>
              <w:rPr>
                <w:sz w:val="20"/>
                <w:szCs w:val="20"/>
                <w:color w:val="auto"/>
              </w:rPr>
            </w:pPr>
            <w:r>
              <w:rPr>
                <w:rFonts w:ascii="Calibri" w:cs="Calibri" w:eastAsia="Calibri" w:hAnsi="Calibri"/>
                <w:sz w:val="17"/>
                <w:szCs w:val="17"/>
                <w:color w:val="auto"/>
              </w:rPr>
              <w:t>1,420</w:t>
            </w:r>
          </w:p>
        </w:tc>
        <w:tc>
          <w:tcPr>
            <w:tcW w:w="0" w:type="dxa"/>
            <w:vAlign w:val="bottom"/>
          </w:tcPr>
          <w:p>
            <w:pPr>
              <w:spacing w:after="0"/>
              <w:rPr>
                <w:sz w:val="1"/>
                <w:szCs w:val="1"/>
                <w:color w:val="auto"/>
              </w:rPr>
            </w:pPr>
          </w:p>
        </w:tc>
      </w:tr>
      <w:tr>
        <w:trPr>
          <w:trHeight w:val="133"/>
        </w:trPr>
        <w:tc>
          <w:tcPr>
            <w:tcW w:w="1460" w:type="dxa"/>
            <w:vAlign w:val="bottom"/>
            <w:tcBorders>
              <w:bottom w:val="single" w:sz="8" w:color="FB4E0B"/>
            </w:tcBorders>
          </w:tcPr>
          <w:p>
            <w:pPr>
              <w:spacing w:after="0"/>
              <w:rPr>
                <w:sz w:val="11"/>
                <w:szCs w:val="11"/>
                <w:color w:val="auto"/>
              </w:rPr>
            </w:pPr>
          </w:p>
        </w:tc>
        <w:tc>
          <w:tcPr>
            <w:tcW w:w="1440" w:type="dxa"/>
            <w:vAlign w:val="bottom"/>
            <w:tcBorders>
              <w:bottom w:val="single" w:sz="8" w:color="FB4E0B"/>
              <w:right w:val="single" w:sz="8" w:color="auto"/>
            </w:tcBorders>
          </w:tcPr>
          <w:p>
            <w:pPr>
              <w:spacing w:after="0"/>
              <w:rPr>
                <w:sz w:val="11"/>
                <w:szCs w:val="11"/>
                <w:color w:val="auto"/>
              </w:rPr>
            </w:pPr>
          </w:p>
        </w:tc>
        <w:tc>
          <w:tcPr>
            <w:tcW w:w="2560" w:type="dxa"/>
            <w:vAlign w:val="bottom"/>
            <w:tcBorders>
              <w:bottom w:val="single" w:sz="8" w:color="FB4E0B"/>
              <w:right w:val="single" w:sz="8" w:color="auto"/>
            </w:tcBorders>
          </w:tcPr>
          <w:p>
            <w:pPr>
              <w:spacing w:after="0"/>
              <w:rPr>
                <w:sz w:val="11"/>
                <w:szCs w:val="11"/>
                <w:color w:val="auto"/>
              </w:rPr>
            </w:pPr>
          </w:p>
        </w:tc>
        <w:tc>
          <w:tcPr>
            <w:tcW w:w="2660" w:type="dxa"/>
            <w:vAlign w:val="bottom"/>
            <w:tcBorders>
              <w:bottom w:val="single" w:sz="8" w:color="FB4E0B"/>
              <w:right w:val="single" w:sz="8" w:color="auto"/>
            </w:tcBorders>
          </w:tcPr>
          <w:p>
            <w:pPr>
              <w:spacing w:after="0"/>
              <w:rPr>
                <w:sz w:val="11"/>
                <w:szCs w:val="11"/>
                <w:color w:val="auto"/>
              </w:rPr>
            </w:pPr>
          </w:p>
        </w:tc>
        <w:tc>
          <w:tcPr>
            <w:tcW w:w="250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445"/>
        </w:trPr>
        <w:tc>
          <w:tcPr>
            <w:tcW w:w="1460" w:type="dxa"/>
            <w:vAlign w:val="bottom"/>
          </w:tcPr>
          <w:p>
            <w:pPr>
              <w:ind w:left="640"/>
              <w:spacing w:after="0"/>
              <w:rPr>
                <w:sz w:val="20"/>
                <w:szCs w:val="20"/>
                <w:color w:val="auto"/>
              </w:rPr>
            </w:pPr>
            <w:r>
              <w:rPr>
                <w:rFonts w:ascii="Calibri" w:cs="Calibri" w:eastAsia="Calibri" w:hAnsi="Calibri"/>
                <w:sz w:val="17"/>
                <w:szCs w:val="17"/>
                <w:b w:val="1"/>
                <w:bCs w:val="1"/>
                <w:color w:val="auto"/>
              </w:rPr>
              <w:t xml:space="preserve">102   </w:t>
            </w:r>
            <w:r>
              <w:rPr>
                <w:rFonts w:ascii="Calibri" w:cs="Calibri" w:eastAsia="Calibri" w:hAnsi="Calibri"/>
                <w:sz w:val="27"/>
                <w:szCs w:val="27"/>
                <w:b w:val="1"/>
                <w:bCs w:val="1"/>
                <w:color w:val="FB4E0B"/>
              </w:rPr>
              <w:t>/</w:t>
            </w:r>
          </w:p>
        </w:tc>
        <w:tc>
          <w:tcPr>
            <w:tcW w:w="4000" w:type="dxa"/>
            <w:vAlign w:val="bottom"/>
            <w:gridSpan w:val="2"/>
          </w:tcPr>
          <w:p>
            <w:pPr>
              <w:jc w:val="right"/>
              <w:ind w:right="2493"/>
              <w:spacing w:after="0"/>
              <w:rPr>
                <w:sz w:val="20"/>
                <w:szCs w:val="20"/>
                <w:color w:val="auto"/>
              </w:rPr>
            </w:pPr>
            <w:r>
              <w:rPr>
                <w:rFonts w:ascii="Calibri" w:cs="Calibri" w:eastAsia="Calibri" w:hAnsi="Calibri"/>
                <w:sz w:val="13"/>
                <w:szCs w:val="13"/>
                <w:color w:val="auto"/>
              </w:rPr>
              <w:t>EXL 2022 Proxy Statement</w:t>
            </w:r>
          </w:p>
        </w:tc>
        <w:tc>
          <w:tcPr>
            <w:tcW w:w="2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45" w:right="6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Executve compensaton</w:t>
      </w:r>
    </w:p>
    <w:p>
      <w:pPr>
        <w:spacing w:after="0" w:line="155" w:lineRule="exact"/>
        <w:rPr>
          <w:sz w:val="20"/>
          <w:szCs w:val="20"/>
          <w:color w:val="auto"/>
        </w:rPr>
      </w:pPr>
    </w:p>
    <w:p>
      <w:pPr>
        <w:ind w:left="320" w:right="520" w:hanging="4"/>
        <w:spacing w:after="0" w:line="251" w:lineRule="auto"/>
        <w:tabs>
          <w:tab w:leader="none" w:pos="494" w:val="left"/>
        </w:tabs>
        <w:numPr>
          <w:ilvl w:val="0"/>
          <w:numId w:val="41"/>
        </w:numPr>
        <w:rPr>
          <w:rFonts w:ascii="Calibri" w:cs="Calibri" w:eastAsia="Calibri" w:hAnsi="Calibri"/>
          <w:sz w:val="13"/>
          <w:szCs w:val="13"/>
          <w:color w:val="auto"/>
        </w:rPr>
      </w:pPr>
      <w:r>
        <w:rPr>
          <w:rFonts w:ascii="Calibri" w:cs="Calibri" w:eastAsia="Calibri" w:hAnsi="Calibri"/>
          <w:sz w:val="13"/>
          <w:szCs w:val="13"/>
          <w:color w:val="auto"/>
        </w:rPr>
        <w:t>For Ms. Minto and Mr. Mital, amount refects our reimbursement to the director for fees associated with tax preparer services. For Mr. Staglin, amount refects our reimbursement for costs associated with secretarial services.</w:t>
      </w:r>
    </w:p>
    <w:p>
      <w:pPr>
        <w:spacing w:after="0" w:line="3" w:lineRule="exact"/>
        <w:rPr>
          <w:rFonts w:ascii="Calibri" w:cs="Calibri" w:eastAsia="Calibri" w:hAnsi="Calibri"/>
          <w:sz w:val="13"/>
          <w:szCs w:val="13"/>
          <w:color w:val="auto"/>
        </w:rPr>
      </w:pPr>
    </w:p>
    <w:p>
      <w:pPr>
        <w:ind w:left="500" w:hanging="184"/>
        <w:spacing w:after="0"/>
        <w:tabs>
          <w:tab w:leader="none" w:pos="500" w:val="left"/>
        </w:tabs>
        <w:numPr>
          <w:ilvl w:val="0"/>
          <w:numId w:val="41"/>
        </w:numPr>
        <w:rPr>
          <w:rFonts w:ascii="Calibri" w:cs="Calibri" w:eastAsia="Calibri" w:hAnsi="Calibri"/>
          <w:sz w:val="13"/>
          <w:szCs w:val="13"/>
          <w:color w:val="auto"/>
        </w:rPr>
      </w:pPr>
      <w:r>
        <w:rPr>
          <w:rFonts w:ascii="Calibri" w:cs="Calibri" w:eastAsia="Calibri" w:hAnsi="Calibri"/>
          <w:sz w:val="13"/>
          <w:szCs w:val="13"/>
          <w:color w:val="auto"/>
        </w:rPr>
        <w:t>Mr. Kelso and Ms. Kerr each departed from the board of directors following the Company’s 2021 Annual Meetng of Stockholders in June 2021.</w:t>
      </w:r>
    </w:p>
    <w:p>
      <w:pPr>
        <w:spacing w:after="0" w:line="10" w:lineRule="exact"/>
        <w:rPr>
          <w:rFonts w:ascii="Calibri" w:cs="Calibri" w:eastAsia="Calibri" w:hAnsi="Calibri"/>
          <w:sz w:val="13"/>
          <w:szCs w:val="13"/>
          <w:color w:val="auto"/>
        </w:rPr>
      </w:pPr>
    </w:p>
    <w:p>
      <w:pPr>
        <w:ind w:left="500" w:hanging="184"/>
        <w:spacing w:after="0"/>
        <w:tabs>
          <w:tab w:leader="none" w:pos="500" w:val="left"/>
        </w:tabs>
        <w:numPr>
          <w:ilvl w:val="0"/>
          <w:numId w:val="41"/>
        </w:numPr>
        <w:rPr>
          <w:rFonts w:ascii="Calibri" w:cs="Calibri" w:eastAsia="Calibri" w:hAnsi="Calibri"/>
          <w:sz w:val="13"/>
          <w:szCs w:val="13"/>
          <w:color w:val="auto"/>
        </w:rPr>
      </w:pPr>
      <w:r>
        <w:rPr>
          <w:rFonts w:ascii="Calibri" w:cs="Calibri" w:eastAsia="Calibri" w:hAnsi="Calibri"/>
          <w:sz w:val="13"/>
          <w:szCs w:val="13"/>
          <w:color w:val="auto"/>
        </w:rPr>
        <w:t>Pursuant to the Investment Agreement, Mr. Pandit’s 2021 compensaton was paid to The Orogen Group.</w:t>
      </w:r>
    </w:p>
    <w:p>
      <w:pPr>
        <w:spacing w:after="0" w:line="207"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For 2021, non-employee directors (other than the non-executve Chairman) were eligible to receive an annual retainer fee in the amount of $60,000 in cash and $140,000 in equity valued at the tme of grant. The non-executve Chairman of our board of directors was eligible to receive an annual retainer fee in the amount of $160,000 in cash and $240,000 in equity valued at the tme of grant. New non-employee directors who join our board of directors during a calendar quarter are eligible to receive the full cash fee for such calendar quarter and a pro-rated equity grant. The chairperson of our Audit Commitee was eligible to receive an additonal annual fee of $25,000 in cash, and other members of our Audit Commitee were eligible to receive an additonal annual fee of $12,500 in cash. The Chairpersons of commitees other than our Audit Commitee were eligible to receive an additonal annual fee of $20,000 in cash, and members of commitees other than our Audit Commitee were eligible to receive an additonal annual fee of $10,000. For 2022, we revised our director compensaton program to increase our annual retainer fee to $85,000 in cash and $190,000 in equity, remove additonal annual fees for non-chair commitee membership, and adjust additonal annual fees for commitee chairs.</w:t>
      </w:r>
    </w:p>
    <w:p>
      <w:pPr>
        <w:spacing w:after="0" w:line="214"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There are no additonal fees payable for atendance at our board or commitee meetngs (whether in person, telephonic or otherwise). We make quarterly cash payments in respect of the director fees to our directors.</w:t>
      </w:r>
    </w:p>
    <w:p>
      <w:pPr>
        <w:spacing w:after="0" w:line="211" w:lineRule="exact"/>
        <w:rPr>
          <w:sz w:val="20"/>
          <w:szCs w:val="20"/>
          <w:color w:val="auto"/>
        </w:rPr>
      </w:pPr>
    </w:p>
    <w:p>
      <w:pPr>
        <w:ind w:left="320" w:right="400"/>
        <w:spacing w:after="0" w:line="239" w:lineRule="auto"/>
        <w:rPr>
          <w:sz w:val="20"/>
          <w:szCs w:val="20"/>
          <w:color w:val="auto"/>
        </w:rPr>
      </w:pPr>
      <w:r>
        <w:rPr>
          <w:rFonts w:ascii="Calibri" w:cs="Calibri" w:eastAsia="Calibri" w:hAnsi="Calibri"/>
          <w:sz w:val="17"/>
          <w:szCs w:val="17"/>
          <w:color w:val="auto"/>
        </w:rPr>
        <w:t>Holders of restricted stock units do not receive the underlying shares of common stock untl the units have vested and are setled. Unless the director elects otherwise, the restricted stock units issued to each of our non-employee directors will setle on the earliest of:</w:t>
      </w:r>
    </w:p>
    <w:p>
      <w:pPr>
        <w:spacing w:after="0" w:line="119" w:lineRule="exact"/>
        <w:rPr>
          <w:sz w:val="20"/>
          <w:szCs w:val="20"/>
          <w:color w:val="auto"/>
        </w:rPr>
      </w:pPr>
    </w:p>
    <w:p>
      <w:pPr>
        <w:ind w:left="1140" w:hanging="407"/>
        <w:spacing w:after="0"/>
        <w:tabs>
          <w:tab w:leader="none" w:pos="1140" w:val="left"/>
        </w:tabs>
        <w:numPr>
          <w:ilvl w:val="0"/>
          <w:numId w:val="42"/>
        </w:numPr>
        <w:rPr>
          <w:rFonts w:ascii="Calibri" w:cs="Calibri" w:eastAsia="Calibri" w:hAnsi="Calibri"/>
          <w:sz w:val="17"/>
          <w:szCs w:val="17"/>
          <w:color w:val="auto"/>
        </w:rPr>
      </w:pPr>
      <w:r>
        <w:rPr>
          <w:rFonts w:ascii="Calibri" w:cs="Calibri" w:eastAsia="Calibri" w:hAnsi="Calibri"/>
          <w:sz w:val="17"/>
          <w:szCs w:val="17"/>
          <w:color w:val="auto"/>
        </w:rPr>
        <w:t>such director’s death;</w:t>
      </w:r>
    </w:p>
    <w:p>
      <w:pPr>
        <w:spacing w:after="0" w:line="119" w:lineRule="exact"/>
        <w:rPr>
          <w:rFonts w:ascii="Calibri" w:cs="Calibri" w:eastAsia="Calibri" w:hAnsi="Calibri"/>
          <w:sz w:val="17"/>
          <w:szCs w:val="17"/>
          <w:color w:val="auto"/>
        </w:rPr>
      </w:pPr>
    </w:p>
    <w:p>
      <w:pPr>
        <w:ind w:left="1140" w:right="60" w:hanging="407"/>
        <w:spacing w:after="0" w:line="239" w:lineRule="auto"/>
        <w:tabs>
          <w:tab w:leader="none" w:pos="1140" w:val="left"/>
        </w:tabs>
        <w:numPr>
          <w:ilvl w:val="0"/>
          <w:numId w:val="42"/>
        </w:numPr>
        <w:rPr>
          <w:rFonts w:ascii="Calibri" w:cs="Calibri" w:eastAsia="Calibri" w:hAnsi="Calibri"/>
          <w:sz w:val="17"/>
          <w:szCs w:val="17"/>
          <w:color w:val="auto"/>
        </w:rPr>
      </w:pPr>
      <w:r>
        <w:rPr>
          <w:rFonts w:ascii="Calibri" w:cs="Calibri" w:eastAsia="Calibri" w:hAnsi="Calibri"/>
          <w:sz w:val="17"/>
          <w:szCs w:val="17"/>
          <w:color w:val="auto"/>
        </w:rPr>
        <w:t>180 days following the end of such director’s term on our board of directors, or if the director has satsfed our stock ownership guidelines and made an electon prior to the grant, the vestng date of the award; and</w:t>
      </w:r>
    </w:p>
    <w:p>
      <w:pPr>
        <w:spacing w:after="0" w:line="120" w:lineRule="exact"/>
        <w:rPr>
          <w:rFonts w:ascii="Calibri" w:cs="Calibri" w:eastAsia="Calibri" w:hAnsi="Calibri"/>
          <w:sz w:val="17"/>
          <w:szCs w:val="17"/>
          <w:color w:val="auto"/>
        </w:rPr>
      </w:pPr>
    </w:p>
    <w:p>
      <w:pPr>
        <w:ind w:left="1140" w:right="200" w:hanging="407"/>
        <w:spacing w:after="0" w:line="239" w:lineRule="auto"/>
        <w:tabs>
          <w:tab w:leader="none" w:pos="1140" w:val="left"/>
        </w:tabs>
        <w:numPr>
          <w:ilvl w:val="0"/>
          <w:numId w:val="42"/>
        </w:numPr>
        <w:rPr>
          <w:rFonts w:ascii="Calibri" w:cs="Calibri" w:eastAsia="Calibri" w:hAnsi="Calibri"/>
          <w:sz w:val="17"/>
          <w:szCs w:val="17"/>
          <w:color w:val="auto"/>
        </w:rPr>
      </w:pPr>
      <w:r>
        <w:rPr>
          <w:rFonts w:ascii="Calibri" w:cs="Calibri" w:eastAsia="Calibri" w:hAnsi="Calibri"/>
          <w:sz w:val="17"/>
          <w:szCs w:val="17"/>
          <w:color w:val="auto"/>
        </w:rPr>
        <w:t>the occurrence of a “change in control,” as defned in the 2006 Plan, 2015 Plan or 2018 Plan, as applicable, that satsfes the requirements of Secton 409A of the Code.</w:t>
      </w:r>
    </w:p>
    <w:p>
      <w:pPr>
        <w:spacing w:after="0" w:line="127"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103</w:t>
            </w:r>
          </w:p>
        </w:tc>
      </w:tr>
    </w:tbl>
    <w:p>
      <w:pPr>
        <w:sectPr>
          <w:pgSz w:w="11900" w:h="16838" w:orient="portrait"/>
          <w:cols w:equalWidth="0" w:num="1">
            <w:col w:w="10940"/>
          </w:cols>
          <w:pgMar w:left="320" w:top="445" w:right="6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Stock ownership of directors, executve ofcers and certain benefcial owners</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Stock ownership of directors, executve ofcers and certain benefcial owners</w:t>
      </w:r>
    </w:p>
    <w:p>
      <w:pPr>
        <w:spacing w:after="0" w:line="22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Unless otherwise indicated, the table below sets forth informaton with respect to the benefcial ownership of our common stock by:</w:t>
      </w:r>
    </w:p>
    <w:p>
      <w:pPr>
        <w:spacing w:after="0" w:line="235" w:lineRule="exact"/>
        <w:rPr>
          <w:sz w:val="20"/>
          <w:szCs w:val="20"/>
          <w:color w:val="auto"/>
        </w:rPr>
      </w:pPr>
    </w:p>
    <w:p>
      <w:pPr>
        <w:ind w:left="1140" w:hanging="407"/>
        <w:spacing w:after="0"/>
        <w:tabs>
          <w:tab w:leader="none" w:pos="1140"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each of our directors and each of our named executve ofcers individually;</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each person who is known to be the benefcial owner of more than 5% of our common stock;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all of our current directors and current executve ofcers (i.e., not just named executve ofcers) as a group.</w:t>
      </w:r>
    </w:p>
    <w:p>
      <w:pPr>
        <w:spacing w:after="0" w:line="210"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amounts and percentages of common stock benefcially owned below are as of March 31, 2022 (the “Determinaton Date”) and are reported on the basis of the regulatons of the SEC governing the determinaton of benefcial ownership of securites. Under these rules, a person is deemed to be a benefcial owner of a security if that person has or shares votng power, which includes the power to vote or to direct the votng of such security, or investment power, which includes the power to dispose of or to direct the dispositon of such security. A person is also deemed to be a benefcial owner of any securites of which that person has a right to acquire benefcial ownership within 60 days of the Determinaton Date. Under these rules, more than one person may be deemed to be a benefcial owner of the same securites. Except as otherwise indicated below, each of the persons named in the table has sole votng and investment power with respect to the securites benefcially owned by such person as set forth opposite such person’s name.</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780" w:type="dxa"/>
            <w:vAlign w:val="bottom"/>
            <w:gridSpan w:val="2"/>
          </w:tcPr>
          <w:p>
            <w:pPr>
              <w:jc w:val="right"/>
              <w:ind w:right="821"/>
              <w:spacing w:after="0"/>
              <w:rPr>
                <w:sz w:val="20"/>
                <w:szCs w:val="20"/>
                <w:color w:val="auto"/>
              </w:rPr>
            </w:pPr>
            <w:r>
              <w:rPr>
                <w:rFonts w:ascii="Calibri" w:cs="Calibri" w:eastAsia="Calibri" w:hAnsi="Calibri"/>
                <w:sz w:val="17"/>
                <w:szCs w:val="17"/>
                <w:b w:val="1"/>
                <w:bCs w:val="1"/>
                <w:color w:val="auto"/>
              </w:rPr>
              <w:t>Benefcial ownership</w:t>
            </w:r>
          </w:p>
        </w:tc>
        <w:tc>
          <w:tcPr>
            <w:tcW w:w="9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42"/>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jc w:val="right"/>
              <w:ind w:right="361"/>
              <w:spacing w:after="0"/>
              <w:rPr>
                <w:sz w:val="20"/>
                <w:szCs w:val="20"/>
                <w:color w:val="auto"/>
              </w:rPr>
            </w:pPr>
            <w:r>
              <w:rPr>
                <w:rFonts w:ascii="Calibri" w:cs="Calibri" w:eastAsia="Calibri" w:hAnsi="Calibri"/>
                <w:sz w:val="17"/>
                <w:szCs w:val="17"/>
                <w:b w:val="1"/>
                <w:bCs w:val="1"/>
                <w:color w:val="auto"/>
              </w:rPr>
              <w:t>Vested but</w:t>
            </w:r>
          </w:p>
        </w:tc>
        <w:tc>
          <w:tcPr>
            <w:tcW w:w="880" w:type="dxa"/>
            <w:vAlign w:val="bottom"/>
          </w:tcPr>
          <w:p>
            <w:pPr>
              <w:spacing w:after="0"/>
              <w:rPr>
                <w:sz w:val="24"/>
                <w:szCs w:val="24"/>
                <w:color w:val="auto"/>
              </w:rPr>
            </w:pPr>
          </w:p>
        </w:tc>
      </w:tr>
      <w:tr>
        <w:trPr>
          <w:trHeight w:val="341"/>
        </w:trPr>
        <w:tc>
          <w:tcPr>
            <w:tcW w:w="220" w:type="dxa"/>
            <w:vAlign w:val="bottom"/>
          </w:tcPr>
          <w:p>
            <w:pPr>
              <w:spacing w:after="0"/>
              <w:rPr>
                <w:sz w:val="24"/>
                <w:szCs w:val="24"/>
                <w:color w:val="auto"/>
              </w:rPr>
            </w:pPr>
          </w:p>
        </w:tc>
        <w:tc>
          <w:tcPr>
            <w:tcW w:w="5220" w:type="dxa"/>
            <w:vAlign w:val="bottom"/>
            <w:tcBorders>
              <w:bottom w:val="single" w:sz="8" w:color="FB4E0B"/>
            </w:tcBorders>
            <w:gridSpan w:val="2"/>
          </w:tcPr>
          <w:p>
            <w:pPr>
              <w:ind w:left="340"/>
              <w:spacing w:after="0" w:line="335" w:lineRule="exact"/>
              <w:rPr>
                <w:sz w:val="20"/>
                <w:szCs w:val="20"/>
                <w:color w:val="auto"/>
              </w:rPr>
            </w:pPr>
            <w:r>
              <w:rPr>
                <w:rFonts w:ascii="Calibri" w:cs="Calibri" w:eastAsia="Calibri" w:hAnsi="Calibri"/>
                <w:sz w:val="17"/>
                <w:szCs w:val="17"/>
                <w:b w:val="1"/>
                <w:bCs w:val="1"/>
                <w:color w:val="auto"/>
              </w:rPr>
              <w:t>Name and address</w:t>
            </w:r>
            <w:r>
              <w:rPr>
                <w:rFonts w:ascii="Calibri" w:cs="Calibri" w:eastAsia="Calibri" w:hAnsi="Calibri"/>
                <w:sz w:val="29"/>
                <w:szCs w:val="29"/>
                <w:b w:val="1"/>
                <w:bCs w:val="1"/>
                <w:color w:val="auto"/>
                <w:vertAlign w:val="superscript"/>
              </w:rPr>
              <w:t>(1)</w:t>
            </w:r>
          </w:p>
        </w:tc>
        <w:tc>
          <w:tcPr>
            <w:tcW w:w="1500" w:type="dxa"/>
            <w:vAlign w:val="bottom"/>
            <w:tcBorders>
              <w:bottom w:val="single" w:sz="8" w:color="FB4E0B"/>
            </w:tcBorders>
          </w:tcPr>
          <w:p>
            <w:pPr>
              <w:jc w:val="right"/>
              <w:ind w:right="441"/>
              <w:spacing w:after="0"/>
              <w:rPr>
                <w:sz w:val="20"/>
                <w:szCs w:val="20"/>
                <w:color w:val="auto"/>
              </w:rPr>
            </w:pPr>
            <w:r>
              <w:rPr>
                <w:rFonts w:ascii="Calibri" w:cs="Calibri" w:eastAsia="Calibri" w:hAnsi="Calibri"/>
                <w:sz w:val="17"/>
                <w:szCs w:val="17"/>
                <w:b w:val="1"/>
                <w:bCs w:val="1"/>
                <w:color w:val="auto"/>
              </w:rPr>
              <w:t>Shares</w:t>
            </w:r>
          </w:p>
        </w:tc>
        <w:tc>
          <w:tcPr>
            <w:tcW w:w="900" w:type="dxa"/>
            <w:vAlign w:val="bottom"/>
            <w:tcBorders>
              <w:bottom w:val="single" w:sz="8" w:color="FB4E0B"/>
            </w:tcBorders>
          </w:tcPr>
          <w:p>
            <w:pPr>
              <w:jc w:val="right"/>
              <w:ind w:right="282"/>
              <w:spacing w:after="0" w:line="334" w:lineRule="exact"/>
              <w:rPr>
                <w:sz w:val="20"/>
                <w:szCs w:val="20"/>
                <w:color w:val="auto"/>
              </w:rPr>
            </w:pPr>
            <w:r>
              <w:rPr>
                <w:rFonts w:ascii="Calibri" w:cs="Calibri" w:eastAsia="Calibri" w:hAnsi="Calibri"/>
                <w:sz w:val="34"/>
                <w:szCs w:val="34"/>
                <w:b w:val="1"/>
                <w:bCs w:val="1"/>
                <w:color w:val="auto"/>
                <w:vertAlign w:val="subscript"/>
              </w:rPr>
              <w:t>%</w:t>
            </w:r>
            <w:r>
              <w:rPr>
                <w:rFonts w:ascii="Calibri" w:cs="Calibri" w:eastAsia="Calibri" w:hAnsi="Calibri"/>
                <w:sz w:val="15"/>
                <w:szCs w:val="15"/>
                <w:b w:val="1"/>
                <w:bCs w:val="1"/>
                <w:color w:val="auto"/>
              </w:rPr>
              <w:t>(2)</w:t>
            </w:r>
          </w:p>
        </w:tc>
        <w:tc>
          <w:tcPr>
            <w:tcW w:w="1680" w:type="dxa"/>
            <w:vAlign w:val="bottom"/>
            <w:tcBorders>
              <w:bottom w:val="single" w:sz="8" w:color="FB4E0B"/>
            </w:tcBorders>
          </w:tcPr>
          <w:p>
            <w:pPr>
              <w:jc w:val="right"/>
              <w:ind w:right="121"/>
              <w:spacing w:after="0" w:line="335" w:lineRule="exact"/>
              <w:rPr>
                <w:sz w:val="20"/>
                <w:szCs w:val="20"/>
                <w:color w:val="auto"/>
              </w:rPr>
            </w:pPr>
            <w:r>
              <w:rPr>
                <w:rFonts w:ascii="Calibri" w:cs="Calibri" w:eastAsia="Calibri" w:hAnsi="Calibri"/>
                <w:sz w:val="17"/>
                <w:szCs w:val="17"/>
                <w:b w:val="1"/>
                <w:bCs w:val="1"/>
                <w:color w:val="auto"/>
              </w:rPr>
              <w:t>unsetled RSUs</w:t>
            </w:r>
            <w:r>
              <w:rPr>
                <w:rFonts w:ascii="Calibri" w:cs="Calibri" w:eastAsia="Calibri" w:hAnsi="Calibri"/>
                <w:sz w:val="29"/>
                <w:szCs w:val="29"/>
                <w:b w:val="1"/>
                <w:bCs w:val="1"/>
                <w:color w:val="auto"/>
                <w:vertAlign w:val="superscript"/>
              </w:rPr>
              <w:t>(3)</w:t>
            </w:r>
          </w:p>
        </w:tc>
        <w:tc>
          <w:tcPr>
            <w:tcW w:w="880" w:type="dxa"/>
            <w:vAlign w:val="bottom"/>
            <w:tcBorders>
              <w:bottom w:val="single" w:sz="8" w:color="FB4E0B"/>
            </w:tcBorders>
          </w:tcPr>
          <w:p>
            <w:pPr>
              <w:jc w:val="right"/>
              <w:ind w:right="201"/>
              <w:spacing w:after="0"/>
              <w:rPr>
                <w:sz w:val="20"/>
                <w:szCs w:val="20"/>
                <w:color w:val="auto"/>
              </w:rPr>
            </w:pPr>
            <w:r>
              <w:rPr>
                <w:rFonts w:ascii="Calibri" w:cs="Calibri" w:eastAsia="Calibri" w:hAnsi="Calibri"/>
                <w:sz w:val="17"/>
                <w:szCs w:val="17"/>
                <w:b w:val="1"/>
                <w:bCs w:val="1"/>
                <w:color w:val="auto"/>
              </w:rPr>
              <w:t>Total</w:t>
            </w:r>
          </w:p>
        </w:tc>
      </w:tr>
      <w:tr>
        <w:trPr>
          <w:trHeight w:val="259"/>
        </w:trPr>
        <w:tc>
          <w:tcPr>
            <w:tcW w:w="220" w:type="dxa"/>
            <w:vAlign w:val="bottom"/>
          </w:tcPr>
          <w:p>
            <w:pPr>
              <w:spacing w:after="0"/>
              <w:rPr>
                <w:sz w:val="22"/>
                <w:szCs w:val="22"/>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b w:val="1"/>
                <w:bCs w:val="1"/>
                <w:color w:val="FB4E0B"/>
              </w:rPr>
              <w:t>5% Benefcial owners</w:t>
            </w: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105"/>
        </w:trPr>
        <w:tc>
          <w:tcPr>
            <w:tcW w:w="220" w:type="dxa"/>
            <w:vAlign w:val="bottom"/>
          </w:tcPr>
          <w:p>
            <w:pPr>
              <w:spacing w:after="0"/>
              <w:rPr>
                <w:sz w:val="9"/>
                <w:szCs w:val="9"/>
                <w:color w:val="auto"/>
              </w:rPr>
            </w:pPr>
          </w:p>
        </w:tc>
        <w:tc>
          <w:tcPr>
            <w:tcW w:w="522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r>
        <w:trPr>
          <w:trHeight w:val="252"/>
        </w:trPr>
        <w:tc>
          <w:tcPr>
            <w:tcW w:w="220" w:type="dxa"/>
            <w:vAlign w:val="bottom"/>
          </w:tcPr>
          <w:p>
            <w:pPr>
              <w:spacing w:after="0"/>
              <w:rPr>
                <w:sz w:val="21"/>
                <w:szCs w:val="21"/>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Blackrock Inc.</w:t>
            </w:r>
            <w:r>
              <w:rPr>
                <w:rFonts w:ascii="Calibri" w:cs="Calibri" w:eastAsia="Calibri" w:hAnsi="Calibri"/>
                <w:sz w:val="13"/>
                <w:szCs w:val="13"/>
                <w:color w:val="auto"/>
              </w:rPr>
              <w:t>(4)</w:t>
            </w:r>
          </w:p>
        </w:tc>
        <w:tc>
          <w:tcPr>
            <w:tcW w:w="1500" w:type="dxa"/>
            <w:vAlign w:val="bottom"/>
          </w:tcPr>
          <w:p>
            <w:pPr>
              <w:jc w:val="right"/>
              <w:ind w:right="321"/>
              <w:spacing w:after="0"/>
              <w:rPr>
                <w:sz w:val="20"/>
                <w:szCs w:val="20"/>
                <w:color w:val="auto"/>
              </w:rPr>
            </w:pPr>
            <w:r>
              <w:rPr>
                <w:rFonts w:ascii="Calibri" w:cs="Calibri" w:eastAsia="Calibri" w:hAnsi="Calibri"/>
                <w:sz w:val="16"/>
                <w:szCs w:val="16"/>
                <w:color w:val="auto"/>
              </w:rPr>
              <w:t>4,986,346</w:t>
            </w:r>
          </w:p>
        </w:tc>
        <w:tc>
          <w:tcPr>
            <w:tcW w:w="900" w:type="dxa"/>
            <w:vAlign w:val="bottom"/>
          </w:tcPr>
          <w:p>
            <w:pPr>
              <w:jc w:val="center"/>
              <w:ind w:right="2"/>
              <w:spacing w:after="0"/>
              <w:rPr>
                <w:sz w:val="20"/>
                <w:szCs w:val="20"/>
                <w:color w:val="auto"/>
              </w:rPr>
            </w:pPr>
            <w:r>
              <w:rPr>
                <w:rFonts w:ascii="Calibri" w:cs="Calibri" w:eastAsia="Calibri" w:hAnsi="Calibri"/>
                <w:sz w:val="16"/>
                <w:szCs w:val="16"/>
                <w:color w:val="auto"/>
                <w:w w:val="95"/>
              </w:rPr>
              <w:t>14.96%</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880" w:type="dxa"/>
            <w:vAlign w:val="bottom"/>
          </w:tcPr>
          <w:p>
            <w:pPr>
              <w:spacing w:after="0"/>
              <w:rPr>
                <w:sz w:val="21"/>
                <w:szCs w:val="21"/>
                <w:color w:val="auto"/>
              </w:rPr>
            </w:pP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The Vanguard Group, Inc.</w:t>
            </w:r>
            <w:r>
              <w:rPr>
                <w:rFonts w:ascii="Calibri" w:cs="Calibri" w:eastAsia="Calibri" w:hAnsi="Calibri"/>
                <w:sz w:val="13"/>
                <w:szCs w:val="13"/>
                <w:color w:val="auto"/>
              </w:rPr>
              <w:t>(5)</w:t>
            </w:r>
          </w:p>
        </w:tc>
        <w:tc>
          <w:tcPr>
            <w:tcW w:w="1500" w:type="dxa"/>
            <w:vAlign w:val="bottom"/>
          </w:tcPr>
          <w:p>
            <w:pPr>
              <w:jc w:val="right"/>
              <w:ind w:right="321"/>
              <w:spacing w:after="0"/>
              <w:rPr>
                <w:sz w:val="20"/>
                <w:szCs w:val="20"/>
                <w:color w:val="auto"/>
              </w:rPr>
            </w:pPr>
            <w:r>
              <w:rPr>
                <w:rFonts w:ascii="Calibri" w:cs="Calibri" w:eastAsia="Calibri" w:hAnsi="Calibri"/>
                <w:sz w:val="16"/>
                <w:szCs w:val="16"/>
                <w:color w:val="auto"/>
              </w:rPr>
              <w:t>3,556,074</w:t>
            </w:r>
          </w:p>
        </w:tc>
        <w:tc>
          <w:tcPr>
            <w:tcW w:w="900" w:type="dxa"/>
            <w:vAlign w:val="bottom"/>
          </w:tcPr>
          <w:p>
            <w:pPr>
              <w:jc w:val="center"/>
              <w:ind w:right="2"/>
              <w:spacing w:after="0"/>
              <w:rPr>
                <w:sz w:val="20"/>
                <w:szCs w:val="20"/>
                <w:color w:val="auto"/>
              </w:rPr>
            </w:pPr>
            <w:r>
              <w:rPr>
                <w:rFonts w:ascii="Calibri" w:cs="Calibri" w:eastAsia="Calibri" w:hAnsi="Calibri"/>
                <w:sz w:val="16"/>
                <w:szCs w:val="16"/>
                <w:color w:val="auto"/>
                <w:w w:val="95"/>
              </w:rPr>
              <w:t>10.70%</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88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FMR LLC</w:t>
            </w:r>
            <w:r>
              <w:rPr>
                <w:rFonts w:ascii="Calibri" w:cs="Calibri" w:eastAsia="Calibri" w:hAnsi="Calibri"/>
                <w:sz w:val="13"/>
                <w:szCs w:val="13"/>
                <w:color w:val="auto"/>
              </w:rPr>
              <w:t>(6)</w:t>
            </w:r>
          </w:p>
        </w:tc>
        <w:tc>
          <w:tcPr>
            <w:tcW w:w="1500" w:type="dxa"/>
            <w:vAlign w:val="bottom"/>
          </w:tcPr>
          <w:p>
            <w:pPr>
              <w:jc w:val="right"/>
              <w:ind w:right="321"/>
              <w:spacing w:after="0"/>
              <w:rPr>
                <w:sz w:val="20"/>
                <w:szCs w:val="20"/>
                <w:color w:val="auto"/>
              </w:rPr>
            </w:pPr>
            <w:r>
              <w:rPr>
                <w:rFonts w:ascii="Calibri" w:cs="Calibri" w:eastAsia="Calibri" w:hAnsi="Calibri"/>
                <w:sz w:val="16"/>
                <w:szCs w:val="16"/>
                <w:color w:val="auto"/>
              </w:rPr>
              <w:t>2,056,711</w:t>
            </w:r>
          </w:p>
        </w:tc>
        <w:tc>
          <w:tcPr>
            <w:tcW w:w="900" w:type="dxa"/>
            <w:vAlign w:val="bottom"/>
          </w:tcPr>
          <w:p>
            <w:pPr>
              <w:jc w:val="right"/>
              <w:ind w:right="182"/>
              <w:spacing w:after="0"/>
              <w:rPr>
                <w:sz w:val="20"/>
                <w:szCs w:val="20"/>
                <w:color w:val="auto"/>
              </w:rPr>
            </w:pPr>
            <w:r>
              <w:rPr>
                <w:rFonts w:ascii="Calibri" w:cs="Calibri" w:eastAsia="Calibri" w:hAnsi="Calibri"/>
                <w:sz w:val="16"/>
                <w:szCs w:val="16"/>
                <w:color w:val="auto"/>
              </w:rPr>
              <w:t>6.17%</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880" w:type="dxa"/>
            <w:vAlign w:val="bottom"/>
          </w:tcPr>
          <w:p>
            <w:pPr>
              <w:spacing w:after="0"/>
              <w:rPr>
                <w:sz w:val="24"/>
                <w:szCs w:val="24"/>
                <w:color w:val="auto"/>
              </w:rPr>
            </w:pP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b w:val="1"/>
                <w:bCs w:val="1"/>
                <w:color w:val="FB4E0B"/>
              </w:rPr>
              <w:t>Named Executve Ofcers</w:t>
            </w: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5"/>
        </w:trPr>
        <w:tc>
          <w:tcPr>
            <w:tcW w:w="220" w:type="dxa"/>
            <w:vAlign w:val="bottom"/>
          </w:tcPr>
          <w:p>
            <w:pPr>
              <w:spacing w:after="0"/>
              <w:rPr>
                <w:sz w:val="9"/>
                <w:szCs w:val="9"/>
                <w:color w:val="auto"/>
              </w:rPr>
            </w:pPr>
          </w:p>
        </w:tc>
        <w:tc>
          <w:tcPr>
            <w:tcW w:w="522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r>
        <w:trPr>
          <w:trHeight w:val="252"/>
        </w:trPr>
        <w:tc>
          <w:tcPr>
            <w:tcW w:w="220" w:type="dxa"/>
            <w:vAlign w:val="bottom"/>
          </w:tcPr>
          <w:p>
            <w:pPr>
              <w:spacing w:after="0"/>
              <w:rPr>
                <w:sz w:val="21"/>
                <w:szCs w:val="21"/>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Rohit Kapoor</w:t>
            </w:r>
          </w:p>
        </w:tc>
        <w:tc>
          <w:tcPr>
            <w:tcW w:w="1500" w:type="dxa"/>
            <w:vAlign w:val="bottom"/>
          </w:tcPr>
          <w:p>
            <w:pPr>
              <w:jc w:val="right"/>
              <w:ind w:right="181"/>
              <w:spacing w:after="0"/>
              <w:rPr>
                <w:sz w:val="20"/>
                <w:szCs w:val="20"/>
                <w:color w:val="auto"/>
              </w:rPr>
            </w:pPr>
            <w:r>
              <w:rPr>
                <w:rFonts w:ascii="Calibri" w:cs="Calibri" w:eastAsia="Calibri" w:hAnsi="Calibri"/>
                <w:sz w:val="16"/>
                <w:szCs w:val="16"/>
                <w:color w:val="auto"/>
              </w:rPr>
              <w:t>655,867</w:t>
            </w:r>
            <w:r>
              <w:rPr>
                <w:rFonts w:ascii="Calibri" w:cs="Calibri" w:eastAsia="Calibri" w:hAnsi="Calibri"/>
                <w:sz w:val="13"/>
                <w:szCs w:val="13"/>
                <w:color w:val="auto"/>
              </w:rPr>
              <w:t>(7)</w:t>
            </w:r>
          </w:p>
        </w:tc>
        <w:tc>
          <w:tcPr>
            <w:tcW w:w="900" w:type="dxa"/>
            <w:vAlign w:val="bottom"/>
          </w:tcPr>
          <w:p>
            <w:pPr>
              <w:jc w:val="right"/>
              <w:ind w:right="182"/>
              <w:spacing w:after="0"/>
              <w:rPr>
                <w:sz w:val="20"/>
                <w:szCs w:val="20"/>
                <w:color w:val="auto"/>
              </w:rPr>
            </w:pPr>
            <w:r>
              <w:rPr>
                <w:rFonts w:ascii="Calibri" w:cs="Calibri" w:eastAsia="Calibri" w:hAnsi="Calibri"/>
                <w:sz w:val="16"/>
                <w:szCs w:val="16"/>
                <w:color w:val="auto"/>
              </w:rPr>
              <w:t>1.97%</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655,867</w:t>
            </w: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Maurizio Nicolelli</w:t>
            </w:r>
          </w:p>
        </w:tc>
        <w:tc>
          <w:tcPr>
            <w:tcW w:w="1500" w:type="dxa"/>
            <w:vAlign w:val="bottom"/>
          </w:tcPr>
          <w:p>
            <w:pPr>
              <w:jc w:val="right"/>
              <w:ind w:right="321"/>
              <w:spacing w:after="0"/>
              <w:rPr>
                <w:sz w:val="20"/>
                <w:szCs w:val="20"/>
                <w:color w:val="auto"/>
              </w:rPr>
            </w:pPr>
            <w:r>
              <w:rPr>
                <w:rFonts w:ascii="Calibri" w:cs="Calibri" w:eastAsia="Calibri" w:hAnsi="Calibri"/>
                <w:sz w:val="16"/>
                <w:szCs w:val="16"/>
                <w:color w:val="auto"/>
              </w:rPr>
              <w:t>7,527</w:t>
            </w:r>
          </w:p>
        </w:tc>
        <w:tc>
          <w:tcPr>
            <w:tcW w:w="90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7,527</w:t>
            </w: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Vikas Bhalla</w:t>
            </w:r>
          </w:p>
        </w:tc>
        <w:tc>
          <w:tcPr>
            <w:tcW w:w="1500" w:type="dxa"/>
            <w:vAlign w:val="bottom"/>
          </w:tcPr>
          <w:p>
            <w:pPr>
              <w:jc w:val="right"/>
              <w:ind w:right="321"/>
              <w:spacing w:after="0"/>
              <w:rPr>
                <w:sz w:val="20"/>
                <w:szCs w:val="20"/>
                <w:color w:val="auto"/>
              </w:rPr>
            </w:pPr>
            <w:r>
              <w:rPr>
                <w:rFonts w:ascii="Calibri" w:cs="Calibri" w:eastAsia="Calibri" w:hAnsi="Calibri"/>
                <w:sz w:val="16"/>
                <w:szCs w:val="16"/>
                <w:color w:val="auto"/>
              </w:rPr>
              <w:t>16,863</w:t>
            </w:r>
          </w:p>
        </w:tc>
        <w:tc>
          <w:tcPr>
            <w:tcW w:w="90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16,863</w:t>
            </w: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Vivek Jetley</w:t>
            </w:r>
          </w:p>
        </w:tc>
        <w:tc>
          <w:tcPr>
            <w:tcW w:w="1500" w:type="dxa"/>
            <w:vAlign w:val="bottom"/>
          </w:tcPr>
          <w:p>
            <w:pPr>
              <w:jc w:val="right"/>
              <w:ind w:right="321"/>
              <w:spacing w:after="0"/>
              <w:rPr>
                <w:sz w:val="20"/>
                <w:szCs w:val="20"/>
                <w:color w:val="auto"/>
              </w:rPr>
            </w:pPr>
            <w:r>
              <w:rPr>
                <w:rFonts w:ascii="Calibri" w:cs="Calibri" w:eastAsia="Calibri" w:hAnsi="Calibri"/>
                <w:sz w:val="16"/>
                <w:szCs w:val="16"/>
                <w:color w:val="auto"/>
              </w:rPr>
              <w:t>49,662</w:t>
            </w:r>
          </w:p>
        </w:tc>
        <w:tc>
          <w:tcPr>
            <w:tcW w:w="90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49,662</w:t>
            </w: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Samuel Meckey</w:t>
            </w:r>
          </w:p>
        </w:tc>
        <w:tc>
          <w:tcPr>
            <w:tcW w:w="1500" w:type="dxa"/>
            <w:vAlign w:val="bottom"/>
          </w:tcPr>
          <w:p>
            <w:pPr>
              <w:jc w:val="right"/>
              <w:ind w:right="321"/>
              <w:spacing w:after="0"/>
              <w:rPr>
                <w:sz w:val="20"/>
                <w:szCs w:val="20"/>
                <w:color w:val="auto"/>
              </w:rPr>
            </w:pPr>
            <w:r>
              <w:rPr>
                <w:rFonts w:ascii="Calibri" w:cs="Calibri" w:eastAsia="Calibri" w:hAnsi="Calibri"/>
                <w:sz w:val="16"/>
                <w:szCs w:val="16"/>
                <w:color w:val="auto"/>
              </w:rPr>
              <w:t>13,581</w:t>
            </w:r>
          </w:p>
        </w:tc>
        <w:tc>
          <w:tcPr>
            <w:tcW w:w="90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13,581</w:t>
            </w:r>
          </w:p>
        </w:tc>
      </w:tr>
      <w:tr>
        <w:trPr>
          <w:trHeight w:val="105"/>
        </w:trPr>
        <w:tc>
          <w:tcPr>
            <w:tcW w:w="2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r>
        <w:trPr>
          <w:trHeight w:val="252"/>
        </w:trPr>
        <w:tc>
          <w:tcPr>
            <w:tcW w:w="220" w:type="dxa"/>
            <w:vAlign w:val="bottom"/>
          </w:tcPr>
          <w:p>
            <w:pPr>
              <w:spacing w:after="0"/>
              <w:rPr>
                <w:sz w:val="21"/>
                <w:szCs w:val="21"/>
                <w:color w:val="auto"/>
              </w:rPr>
            </w:pPr>
          </w:p>
        </w:tc>
        <w:tc>
          <w:tcPr>
            <w:tcW w:w="940" w:type="dxa"/>
            <w:vAlign w:val="bottom"/>
          </w:tcPr>
          <w:p>
            <w:pPr>
              <w:ind w:left="340"/>
              <w:spacing w:after="0"/>
              <w:rPr>
                <w:sz w:val="20"/>
                <w:szCs w:val="20"/>
                <w:color w:val="auto"/>
              </w:rPr>
            </w:pPr>
            <w:r>
              <w:rPr>
                <w:rFonts w:ascii="Calibri" w:cs="Calibri" w:eastAsia="Calibri" w:hAnsi="Calibri"/>
                <w:sz w:val="16"/>
                <w:szCs w:val="16"/>
                <w:b w:val="1"/>
                <w:bCs w:val="1"/>
                <w:color w:val="FB4E0B"/>
                <w:w w:val="95"/>
              </w:rPr>
              <w:t>Directors</w:t>
            </w:r>
          </w:p>
        </w:tc>
        <w:tc>
          <w:tcPr>
            <w:tcW w:w="4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05"/>
        </w:trPr>
        <w:tc>
          <w:tcPr>
            <w:tcW w:w="220" w:type="dxa"/>
            <w:vAlign w:val="bottom"/>
          </w:tcPr>
          <w:p>
            <w:pPr>
              <w:spacing w:after="0"/>
              <w:rPr>
                <w:sz w:val="9"/>
                <w:szCs w:val="9"/>
                <w:color w:val="auto"/>
              </w:rPr>
            </w:pPr>
          </w:p>
        </w:tc>
        <w:tc>
          <w:tcPr>
            <w:tcW w:w="522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r>
        <w:trPr>
          <w:trHeight w:val="252"/>
        </w:trPr>
        <w:tc>
          <w:tcPr>
            <w:tcW w:w="220" w:type="dxa"/>
            <w:vAlign w:val="bottom"/>
          </w:tcPr>
          <w:p>
            <w:pPr>
              <w:spacing w:after="0"/>
              <w:rPr>
                <w:sz w:val="21"/>
                <w:szCs w:val="21"/>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Anne E. Minto</w:t>
            </w:r>
          </w:p>
        </w:tc>
        <w:tc>
          <w:tcPr>
            <w:tcW w:w="1500" w:type="dxa"/>
            <w:vAlign w:val="bottom"/>
          </w:tcPr>
          <w:p>
            <w:pPr>
              <w:jc w:val="right"/>
              <w:ind w:right="181"/>
              <w:spacing w:after="0"/>
              <w:rPr>
                <w:sz w:val="20"/>
                <w:szCs w:val="20"/>
                <w:color w:val="auto"/>
              </w:rPr>
            </w:pPr>
            <w:r>
              <w:rPr>
                <w:rFonts w:ascii="Calibri" w:cs="Calibri" w:eastAsia="Calibri" w:hAnsi="Calibri"/>
                <w:sz w:val="16"/>
                <w:szCs w:val="16"/>
                <w:color w:val="auto"/>
              </w:rPr>
              <w:t>3,093</w:t>
            </w:r>
            <w:r>
              <w:rPr>
                <w:rFonts w:ascii="Calibri" w:cs="Calibri" w:eastAsia="Calibri" w:hAnsi="Calibri"/>
                <w:sz w:val="13"/>
                <w:szCs w:val="13"/>
                <w:color w:val="auto"/>
              </w:rPr>
              <w:t>(8)</w:t>
            </w:r>
          </w:p>
        </w:tc>
        <w:tc>
          <w:tcPr>
            <w:tcW w:w="90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21,437</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24,530</w:t>
            </w: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Som Mital</w:t>
            </w:r>
          </w:p>
        </w:tc>
        <w:tc>
          <w:tcPr>
            <w:tcW w:w="1500" w:type="dxa"/>
            <w:vAlign w:val="bottom"/>
          </w:tcPr>
          <w:p>
            <w:pPr>
              <w:jc w:val="right"/>
              <w:ind w:right="321"/>
              <w:spacing w:after="0"/>
              <w:rPr>
                <w:sz w:val="20"/>
                <w:szCs w:val="20"/>
                <w:color w:val="auto"/>
              </w:rPr>
            </w:pPr>
            <w:r>
              <w:rPr>
                <w:rFonts w:ascii="Calibri" w:cs="Calibri" w:eastAsia="Calibri" w:hAnsi="Calibri"/>
                <w:sz w:val="16"/>
                <w:szCs w:val="16"/>
                <w:color w:val="auto"/>
              </w:rPr>
              <w:t>—</w:t>
            </w:r>
          </w:p>
        </w:tc>
        <w:tc>
          <w:tcPr>
            <w:tcW w:w="90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13,033</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13,033</w:t>
            </w: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Clyde W. Ostler</w:t>
            </w:r>
          </w:p>
        </w:tc>
        <w:tc>
          <w:tcPr>
            <w:tcW w:w="1500" w:type="dxa"/>
            <w:vAlign w:val="bottom"/>
          </w:tcPr>
          <w:p>
            <w:pPr>
              <w:jc w:val="right"/>
              <w:ind w:right="321"/>
              <w:spacing w:after="0"/>
              <w:rPr>
                <w:sz w:val="20"/>
                <w:szCs w:val="20"/>
                <w:color w:val="auto"/>
              </w:rPr>
            </w:pPr>
            <w:r>
              <w:rPr>
                <w:rFonts w:ascii="Calibri" w:cs="Calibri" w:eastAsia="Calibri" w:hAnsi="Calibri"/>
                <w:sz w:val="16"/>
                <w:szCs w:val="16"/>
                <w:color w:val="auto"/>
              </w:rPr>
              <w:t>22,261</w:t>
            </w:r>
          </w:p>
        </w:tc>
        <w:tc>
          <w:tcPr>
            <w:tcW w:w="90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37,184</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59,445</w:t>
            </w: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Vikram S. Pandit</w:t>
            </w:r>
          </w:p>
        </w:tc>
        <w:tc>
          <w:tcPr>
            <w:tcW w:w="1500" w:type="dxa"/>
            <w:vAlign w:val="bottom"/>
          </w:tcPr>
          <w:p>
            <w:pPr>
              <w:jc w:val="right"/>
              <w:ind w:right="181"/>
              <w:spacing w:after="0"/>
              <w:rPr>
                <w:sz w:val="20"/>
                <w:szCs w:val="20"/>
                <w:color w:val="auto"/>
              </w:rPr>
            </w:pPr>
            <w:r>
              <w:rPr>
                <w:rFonts w:ascii="Calibri" w:cs="Calibri" w:eastAsia="Calibri" w:hAnsi="Calibri"/>
                <w:sz w:val="16"/>
                <w:szCs w:val="16"/>
                <w:color w:val="auto"/>
              </w:rPr>
              <w:t>310,394</w:t>
            </w:r>
            <w:r>
              <w:rPr>
                <w:rFonts w:ascii="Calibri" w:cs="Calibri" w:eastAsia="Calibri" w:hAnsi="Calibri"/>
                <w:sz w:val="13"/>
                <w:szCs w:val="13"/>
                <w:color w:val="auto"/>
              </w:rPr>
              <w:t>(9)</w:t>
            </w:r>
          </w:p>
        </w:tc>
        <w:tc>
          <w:tcPr>
            <w:tcW w:w="90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5,358</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5,358</w:t>
            </w: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Kristy Pipes</w:t>
            </w:r>
          </w:p>
        </w:tc>
        <w:tc>
          <w:tcPr>
            <w:tcW w:w="1500" w:type="dxa"/>
            <w:vAlign w:val="bottom"/>
          </w:tcPr>
          <w:p>
            <w:pPr>
              <w:jc w:val="right"/>
              <w:ind w:right="321"/>
              <w:spacing w:after="0"/>
              <w:rPr>
                <w:sz w:val="20"/>
                <w:szCs w:val="20"/>
                <w:color w:val="auto"/>
              </w:rPr>
            </w:pPr>
            <w:r>
              <w:rPr>
                <w:rFonts w:ascii="Calibri" w:cs="Calibri" w:eastAsia="Calibri" w:hAnsi="Calibri"/>
                <w:sz w:val="16"/>
                <w:szCs w:val="16"/>
                <w:color w:val="auto"/>
              </w:rPr>
              <w:t>—</w:t>
            </w:r>
          </w:p>
        </w:tc>
        <w:tc>
          <w:tcPr>
            <w:tcW w:w="90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649</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649</w:t>
            </w: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Nitn Sahney</w:t>
            </w:r>
          </w:p>
        </w:tc>
        <w:tc>
          <w:tcPr>
            <w:tcW w:w="1500" w:type="dxa"/>
            <w:vAlign w:val="bottom"/>
          </w:tcPr>
          <w:p>
            <w:pPr>
              <w:jc w:val="right"/>
              <w:ind w:right="321"/>
              <w:spacing w:after="0"/>
              <w:rPr>
                <w:sz w:val="20"/>
                <w:szCs w:val="20"/>
                <w:color w:val="auto"/>
              </w:rPr>
            </w:pPr>
            <w:r>
              <w:rPr>
                <w:rFonts w:ascii="Calibri" w:cs="Calibri" w:eastAsia="Calibri" w:hAnsi="Calibri"/>
                <w:sz w:val="16"/>
                <w:szCs w:val="16"/>
                <w:color w:val="auto"/>
              </w:rPr>
              <w:t>—</w:t>
            </w:r>
          </w:p>
        </w:tc>
        <w:tc>
          <w:tcPr>
            <w:tcW w:w="90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10,862</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10,862</w:t>
            </w: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Garen K. Staglin</w:t>
            </w:r>
          </w:p>
        </w:tc>
        <w:tc>
          <w:tcPr>
            <w:tcW w:w="1500" w:type="dxa"/>
            <w:vAlign w:val="bottom"/>
          </w:tcPr>
          <w:p>
            <w:pPr>
              <w:jc w:val="right"/>
              <w:ind w:right="121"/>
              <w:spacing w:after="0"/>
              <w:rPr>
                <w:sz w:val="20"/>
                <w:szCs w:val="20"/>
                <w:color w:val="auto"/>
              </w:rPr>
            </w:pPr>
            <w:r>
              <w:rPr>
                <w:rFonts w:ascii="Calibri" w:cs="Calibri" w:eastAsia="Calibri" w:hAnsi="Calibri"/>
                <w:sz w:val="16"/>
                <w:szCs w:val="16"/>
                <w:color w:val="auto"/>
              </w:rPr>
              <w:t>35,028</w:t>
            </w:r>
            <w:r>
              <w:rPr>
                <w:rFonts w:ascii="Calibri" w:cs="Calibri" w:eastAsia="Calibri" w:hAnsi="Calibri"/>
                <w:sz w:val="13"/>
                <w:szCs w:val="13"/>
                <w:color w:val="auto"/>
              </w:rPr>
              <w:t>(10)</w:t>
            </w:r>
          </w:p>
        </w:tc>
        <w:tc>
          <w:tcPr>
            <w:tcW w:w="90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53,502</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88,530</w:t>
            </w:r>
          </w:p>
        </w:tc>
      </w:tr>
      <w:tr>
        <w:trPr>
          <w:trHeight w:val="351"/>
        </w:trPr>
        <w:tc>
          <w:tcPr>
            <w:tcW w:w="220" w:type="dxa"/>
            <w:vAlign w:val="bottom"/>
          </w:tcPr>
          <w:p>
            <w:pPr>
              <w:spacing w:after="0"/>
              <w:rPr>
                <w:sz w:val="24"/>
                <w:szCs w:val="24"/>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color w:val="auto"/>
              </w:rPr>
              <w:t>Jaynie M. Studenmund</w:t>
            </w:r>
          </w:p>
        </w:tc>
        <w:tc>
          <w:tcPr>
            <w:tcW w:w="1500" w:type="dxa"/>
            <w:vAlign w:val="bottom"/>
          </w:tcPr>
          <w:p>
            <w:pPr>
              <w:jc w:val="right"/>
              <w:ind w:right="321"/>
              <w:spacing w:after="0"/>
              <w:rPr>
                <w:sz w:val="20"/>
                <w:szCs w:val="20"/>
                <w:color w:val="auto"/>
              </w:rPr>
            </w:pPr>
            <w:r>
              <w:rPr>
                <w:rFonts w:ascii="Calibri" w:cs="Calibri" w:eastAsia="Calibri" w:hAnsi="Calibri"/>
                <w:sz w:val="16"/>
                <w:szCs w:val="16"/>
                <w:color w:val="auto"/>
              </w:rPr>
              <w:t>3,645</w:t>
            </w:r>
          </w:p>
        </w:tc>
        <w:tc>
          <w:tcPr>
            <w:tcW w:w="900" w:type="dxa"/>
            <w:vAlign w:val="bottom"/>
          </w:tcPr>
          <w:p>
            <w:pPr>
              <w:jc w:val="center"/>
              <w:spacing w:after="0"/>
              <w:rPr>
                <w:sz w:val="20"/>
                <w:szCs w:val="20"/>
                <w:color w:val="auto"/>
              </w:rPr>
            </w:pPr>
            <w:r>
              <w:rPr>
                <w:rFonts w:ascii="Calibri" w:cs="Calibri" w:eastAsia="Calibri" w:hAnsi="Calibri"/>
                <w:sz w:val="16"/>
                <w:szCs w:val="16"/>
                <w:color w:val="auto"/>
                <w:w w:val="99"/>
              </w:rPr>
              <w:t>*</w:t>
            </w:r>
          </w:p>
        </w:tc>
        <w:tc>
          <w:tcPr>
            <w:tcW w:w="1680" w:type="dxa"/>
            <w:vAlign w:val="bottom"/>
          </w:tcPr>
          <w:p>
            <w:pPr>
              <w:jc w:val="right"/>
              <w:ind w:right="121"/>
              <w:spacing w:after="0"/>
              <w:rPr>
                <w:sz w:val="20"/>
                <w:szCs w:val="20"/>
                <w:color w:val="auto"/>
              </w:rPr>
            </w:pPr>
            <w:r>
              <w:rPr>
                <w:rFonts w:ascii="Calibri" w:cs="Calibri" w:eastAsia="Calibri" w:hAnsi="Calibri"/>
                <w:sz w:val="16"/>
                <w:szCs w:val="16"/>
                <w:color w:val="auto"/>
              </w:rPr>
              <w:t>5,399</w:t>
            </w:r>
          </w:p>
        </w:tc>
        <w:tc>
          <w:tcPr>
            <w:tcW w:w="880" w:type="dxa"/>
            <w:vAlign w:val="bottom"/>
          </w:tcPr>
          <w:p>
            <w:pPr>
              <w:jc w:val="right"/>
              <w:ind w:right="101"/>
              <w:spacing w:after="0"/>
              <w:rPr>
                <w:sz w:val="20"/>
                <w:szCs w:val="20"/>
                <w:color w:val="auto"/>
              </w:rPr>
            </w:pPr>
            <w:r>
              <w:rPr>
                <w:rFonts w:ascii="Calibri" w:cs="Calibri" w:eastAsia="Calibri" w:hAnsi="Calibri"/>
                <w:sz w:val="16"/>
                <w:szCs w:val="16"/>
                <w:color w:val="auto"/>
              </w:rPr>
              <w:t>9,044</w:t>
            </w:r>
          </w:p>
        </w:tc>
      </w:tr>
      <w:tr>
        <w:trPr>
          <w:trHeight w:val="105"/>
        </w:trPr>
        <w:tc>
          <w:tcPr>
            <w:tcW w:w="220" w:type="dxa"/>
            <w:vAlign w:val="bottom"/>
          </w:tcPr>
          <w:p>
            <w:pPr>
              <w:spacing w:after="0"/>
              <w:rPr>
                <w:sz w:val="9"/>
                <w:szCs w:val="9"/>
                <w:color w:val="auto"/>
              </w:rPr>
            </w:pPr>
          </w:p>
        </w:tc>
        <w:tc>
          <w:tcPr>
            <w:tcW w:w="5220" w:type="dxa"/>
            <w:vAlign w:val="bottom"/>
            <w:tcBorders>
              <w:bottom w:val="single" w:sz="8" w:color="auto"/>
            </w:tcBorders>
            <w:gridSpan w:val="2"/>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r>
        <w:trPr>
          <w:trHeight w:val="252"/>
        </w:trPr>
        <w:tc>
          <w:tcPr>
            <w:tcW w:w="220" w:type="dxa"/>
            <w:vAlign w:val="bottom"/>
          </w:tcPr>
          <w:p>
            <w:pPr>
              <w:spacing w:after="0"/>
              <w:rPr>
                <w:sz w:val="21"/>
                <w:szCs w:val="21"/>
                <w:color w:val="auto"/>
              </w:rPr>
            </w:pPr>
          </w:p>
        </w:tc>
        <w:tc>
          <w:tcPr>
            <w:tcW w:w="5220" w:type="dxa"/>
            <w:vAlign w:val="bottom"/>
            <w:gridSpan w:val="2"/>
          </w:tcPr>
          <w:p>
            <w:pPr>
              <w:ind w:left="340"/>
              <w:spacing w:after="0"/>
              <w:rPr>
                <w:sz w:val="20"/>
                <w:szCs w:val="20"/>
                <w:color w:val="auto"/>
              </w:rPr>
            </w:pPr>
            <w:r>
              <w:rPr>
                <w:rFonts w:ascii="Calibri" w:cs="Calibri" w:eastAsia="Calibri" w:hAnsi="Calibri"/>
                <w:sz w:val="16"/>
                <w:szCs w:val="16"/>
                <w:b w:val="1"/>
                <w:bCs w:val="1"/>
                <w:color w:val="auto"/>
              </w:rPr>
              <w:t>All current directors and executve ofcers as a group (18 people)</w:t>
            </w:r>
            <w:r>
              <w:rPr>
                <w:rFonts w:ascii="Calibri" w:cs="Calibri" w:eastAsia="Calibri" w:hAnsi="Calibri"/>
                <w:sz w:val="13"/>
                <w:szCs w:val="13"/>
                <w:b w:val="1"/>
                <w:bCs w:val="1"/>
                <w:color w:val="auto"/>
              </w:rPr>
              <w:t>(11)</w:t>
            </w:r>
          </w:p>
        </w:tc>
        <w:tc>
          <w:tcPr>
            <w:tcW w:w="1500" w:type="dxa"/>
            <w:vAlign w:val="bottom"/>
          </w:tcPr>
          <w:p>
            <w:pPr>
              <w:jc w:val="right"/>
              <w:ind w:right="101"/>
              <w:spacing w:after="0"/>
              <w:rPr>
                <w:sz w:val="20"/>
                <w:szCs w:val="20"/>
                <w:color w:val="auto"/>
              </w:rPr>
            </w:pPr>
            <w:r>
              <w:rPr>
                <w:rFonts w:ascii="Calibri" w:cs="Calibri" w:eastAsia="Calibri" w:hAnsi="Calibri"/>
                <w:sz w:val="16"/>
                <w:szCs w:val="16"/>
                <w:b w:val="1"/>
                <w:bCs w:val="1"/>
                <w:color w:val="auto"/>
              </w:rPr>
              <w:t>1,169,958</w:t>
            </w:r>
            <w:r>
              <w:rPr>
                <w:rFonts w:ascii="Calibri" w:cs="Calibri" w:eastAsia="Calibri" w:hAnsi="Calibri"/>
                <w:sz w:val="13"/>
                <w:szCs w:val="13"/>
                <w:b w:val="1"/>
                <w:bCs w:val="1"/>
                <w:color w:val="auto"/>
              </w:rPr>
              <w:t>(12)</w:t>
            </w:r>
          </w:p>
        </w:tc>
        <w:tc>
          <w:tcPr>
            <w:tcW w:w="90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3.51</w:t>
            </w:r>
          </w:p>
        </w:tc>
        <w:tc>
          <w:tcPr>
            <w:tcW w:w="16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85"/>
        </w:trPr>
        <w:tc>
          <w:tcPr>
            <w:tcW w:w="220" w:type="dxa"/>
            <w:vAlign w:val="bottom"/>
          </w:tcPr>
          <w:p>
            <w:pPr>
              <w:spacing w:after="0"/>
              <w:rPr>
                <w:sz w:val="7"/>
                <w:szCs w:val="7"/>
                <w:color w:val="auto"/>
              </w:rPr>
            </w:pPr>
          </w:p>
        </w:tc>
        <w:tc>
          <w:tcPr>
            <w:tcW w:w="940" w:type="dxa"/>
            <w:vAlign w:val="bottom"/>
            <w:tcBorders>
              <w:bottom w:val="single" w:sz="8" w:color="FB4E0B"/>
            </w:tcBorders>
          </w:tcPr>
          <w:p>
            <w:pPr>
              <w:spacing w:after="0"/>
              <w:rPr>
                <w:sz w:val="7"/>
                <w:szCs w:val="7"/>
                <w:color w:val="auto"/>
              </w:rPr>
            </w:pPr>
          </w:p>
        </w:tc>
        <w:tc>
          <w:tcPr>
            <w:tcW w:w="4280" w:type="dxa"/>
            <w:vAlign w:val="bottom"/>
            <w:tcBorders>
              <w:bottom w:val="single" w:sz="8" w:color="FB4E0B"/>
            </w:tcBorders>
          </w:tcPr>
          <w:p>
            <w:pPr>
              <w:spacing w:after="0"/>
              <w:rPr>
                <w:sz w:val="7"/>
                <w:szCs w:val="7"/>
                <w:color w:val="auto"/>
              </w:rPr>
            </w:pPr>
          </w:p>
        </w:tc>
        <w:tc>
          <w:tcPr>
            <w:tcW w:w="1500" w:type="dxa"/>
            <w:vAlign w:val="bottom"/>
            <w:tcBorders>
              <w:bottom w:val="single" w:sz="8" w:color="FB4E0B"/>
            </w:tcBorders>
          </w:tcPr>
          <w:p>
            <w:pPr>
              <w:spacing w:after="0"/>
              <w:rPr>
                <w:sz w:val="7"/>
                <w:szCs w:val="7"/>
                <w:color w:val="auto"/>
              </w:rPr>
            </w:pPr>
          </w:p>
        </w:tc>
        <w:tc>
          <w:tcPr>
            <w:tcW w:w="900" w:type="dxa"/>
            <w:vAlign w:val="bottom"/>
            <w:tcBorders>
              <w:bottom w:val="single" w:sz="8" w:color="FB4E0B"/>
            </w:tcBorders>
          </w:tcPr>
          <w:p>
            <w:pPr>
              <w:spacing w:after="0"/>
              <w:rPr>
                <w:sz w:val="7"/>
                <w:szCs w:val="7"/>
                <w:color w:val="auto"/>
              </w:rPr>
            </w:pPr>
          </w:p>
        </w:tc>
        <w:tc>
          <w:tcPr>
            <w:tcW w:w="1680" w:type="dxa"/>
            <w:vAlign w:val="bottom"/>
            <w:tcBorders>
              <w:bottom w:val="single" w:sz="8" w:color="FB4E0B"/>
            </w:tcBorders>
          </w:tcPr>
          <w:p>
            <w:pPr>
              <w:spacing w:after="0"/>
              <w:rPr>
                <w:sz w:val="7"/>
                <w:szCs w:val="7"/>
                <w:color w:val="auto"/>
              </w:rPr>
            </w:pPr>
          </w:p>
        </w:tc>
        <w:tc>
          <w:tcPr>
            <w:tcW w:w="880" w:type="dxa"/>
            <w:vAlign w:val="bottom"/>
            <w:tcBorders>
              <w:bottom w:val="single" w:sz="8" w:color="FB4E0B"/>
            </w:tcBorders>
          </w:tcPr>
          <w:p>
            <w:pPr>
              <w:spacing w:after="0"/>
              <w:rPr>
                <w:sz w:val="7"/>
                <w:szCs w:val="7"/>
                <w:color w:val="auto"/>
              </w:rPr>
            </w:pPr>
          </w:p>
        </w:tc>
      </w:tr>
      <w:tr>
        <w:trPr>
          <w:trHeight w:val="292"/>
        </w:trPr>
        <w:tc>
          <w:tcPr>
            <w:tcW w:w="1160" w:type="dxa"/>
            <w:vAlign w:val="bottom"/>
            <w:gridSpan w:val="2"/>
          </w:tcPr>
          <w:p>
            <w:pPr>
              <w:jc w:val="right"/>
              <w:ind w:right="302"/>
              <w:spacing w:after="0"/>
              <w:rPr>
                <w:sz w:val="20"/>
                <w:szCs w:val="20"/>
                <w:color w:val="auto"/>
              </w:rPr>
            </w:pPr>
            <w:r>
              <w:rPr>
                <w:rFonts w:ascii="Calibri" w:cs="Calibri" w:eastAsia="Calibri" w:hAnsi="Calibri"/>
                <w:sz w:val="13"/>
                <w:szCs w:val="13"/>
                <w:color w:val="auto"/>
                <w:w w:val="97"/>
              </w:rPr>
              <w:t>*Less than 1%.</w:t>
            </w:r>
          </w:p>
        </w:tc>
        <w:tc>
          <w:tcPr>
            <w:tcW w:w="4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65"/>
        </w:trPr>
        <w:tc>
          <w:tcPr>
            <w:tcW w:w="1160" w:type="dxa"/>
            <w:vAlign w:val="bottom"/>
            <w:gridSpan w:val="2"/>
          </w:tcPr>
          <w:p>
            <w:pPr>
              <w:jc w:val="right"/>
              <w:ind w:right="182"/>
              <w:spacing w:after="0"/>
              <w:rPr>
                <w:sz w:val="20"/>
                <w:szCs w:val="20"/>
                <w:color w:val="auto"/>
              </w:rPr>
            </w:pPr>
            <w:r>
              <w:rPr>
                <w:rFonts w:ascii="Calibri" w:cs="Calibri" w:eastAsia="Calibri" w:hAnsi="Calibri"/>
                <w:sz w:val="17"/>
                <w:szCs w:val="17"/>
                <w:b w:val="1"/>
                <w:bCs w:val="1"/>
                <w:color w:val="auto"/>
              </w:rPr>
              <w:t>104</w:t>
            </w:r>
          </w:p>
        </w:tc>
        <w:tc>
          <w:tcPr>
            <w:tcW w:w="4280" w:type="dxa"/>
            <w:vAlign w:val="bottom"/>
          </w:tcPr>
          <w:p>
            <w:pPr>
              <w:spacing w:after="0"/>
              <w:rPr>
                <w:sz w:val="20"/>
                <w:szCs w:val="20"/>
                <w:color w:val="auto"/>
              </w:rPr>
            </w:pPr>
            <w:r>
              <w:rPr>
                <w:rFonts w:ascii="Calibri" w:cs="Calibri" w:eastAsia="Calibri" w:hAnsi="Calibri"/>
                <w:sz w:val="28"/>
                <w:szCs w:val="28"/>
                <w:b w:val="1"/>
                <w:bCs w:val="1"/>
                <w:color w:val="FB4E0B"/>
              </w:rPr>
              <w:t xml:space="preserve">/  </w:t>
            </w:r>
            <w:r>
              <w:rPr>
                <w:rFonts w:ascii="Calibri" w:cs="Calibri" w:eastAsia="Calibri" w:hAnsi="Calibri"/>
                <w:sz w:val="13"/>
                <w:szCs w:val="13"/>
                <w:color w:val="000000"/>
              </w:rPr>
              <w:t>EXL 2022 Proxy Statement</w:t>
            </w: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940"/>
          </w:cols>
          <w:pgMar w:left="320" w:top="445" w:right="6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Stock ownership of directors, executve ofcers and certain benefcial owners</w:t>
      </w:r>
    </w:p>
    <w:p>
      <w:pPr>
        <w:spacing w:after="0" w:line="152" w:lineRule="exact"/>
        <w:rPr>
          <w:sz w:val="20"/>
          <w:szCs w:val="20"/>
          <w:color w:val="auto"/>
        </w:rPr>
      </w:pPr>
    </w:p>
    <w:p>
      <w:pPr>
        <w:ind w:left="500" w:hanging="184"/>
        <w:spacing w:after="0"/>
        <w:tabs>
          <w:tab w:leader="none" w:pos="500" w:val="left"/>
        </w:tabs>
        <w:numPr>
          <w:ilvl w:val="0"/>
          <w:numId w:val="44"/>
        </w:numPr>
        <w:rPr>
          <w:rFonts w:ascii="Calibri" w:cs="Calibri" w:eastAsia="Calibri" w:hAnsi="Calibri"/>
          <w:sz w:val="13"/>
          <w:szCs w:val="13"/>
          <w:color w:val="auto"/>
        </w:rPr>
      </w:pPr>
      <w:r>
        <w:rPr>
          <w:rFonts w:ascii="Calibri" w:cs="Calibri" w:eastAsia="Calibri" w:hAnsi="Calibri"/>
          <w:sz w:val="13"/>
          <w:szCs w:val="13"/>
          <w:color w:val="auto"/>
        </w:rPr>
        <w:t>Unless otherwise noted, the business address of each benefcial owner is c/o ExlService Holdings, Inc., 320 Park Avenue, 29th Floor, New York, New York 10022.</w:t>
      </w:r>
    </w:p>
    <w:p>
      <w:pPr>
        <w:spacing w:after="0" w:line="153" w:lineRule="exact"/>
        <w:rPr>
          <w:rFonts w:ascii="Calibri" w:cs="Calibri" w:eastAsia="Calibri" w:hAnsi="Calibri"/>
          <w:sz w:val="13"/>
          <w:szCs w:val="13"/>
          <w:color w:val="auto"/>
        </w:rPr>
      </w:pPr>
    </w:p>
    <w:p>
      <w:pPr>
        <w:ind w:left="500" w:hanging="184"/>
        <w:spacing w:after="0"/>
        <w:tabs>
          <w:tab w:leader="none" w:pos="500" w:val="left"/>
        </w:tabs>
        <w:numPr>
          <w:ilvl w:val="0"/>
          <w:numId w:val="44"/>
        </w:numPr>
        <w:rPr>
          <w:rFonts w:ascii="Calibri" w:cs="Calibri" w:eastAsia="Calibri" w:hAnsi="Calibri"/>
          <w:sz w:val="13"/>
          <w:szCs w:val="13"/>
          <w:color w:val="auto"/>
        </w:rPr>
      </w:pPr>
      <w:r>
        <w:rPr>
          <w:rFonts w:ascii="Calibri" w:cs="Calibri" w:eastAsia="Calibri" w:hAnsi="Calibri"/>
          <w:sz w:val="13"/>
          <w:szCs w:val="13"/>
          <w:color w:val="auto"/>
        </w:rPr>
        <w:t>Based on 33,328,744 shares outstanding as of the Determinaton Date.</w:t>
      </w:r>
    </w:p>
    <w:p>
      <w:pPr>
        <w:spacing w:after="0" w:line="156" w:lineRule="exact"/>
        <w:rPr>
          <w:rFonts w:ascii="Calibri" w:cs="Calibri" w:eastAsia="Calibri" w:hAnsi="Calibri"/>
          <w:sz w:val="13"/>
          <w:szCs w:val="13"/>
          <w:color w:val="auto"/>
        </w:rPr>
      </w:pPr>
    </w:p>
    <w:p>
      <w:pPr>
        <w:ind w:left="320" w:right="80" w:hanging="4"/>
        <w:spacing w:after="0" w:line="254" w:lineRule="auto"/>
        <w:tabs>
          <w:tab w:leader="none" w:pos="494" w:val="left"/>
        </w:tabs>
        <w:numPr>
          <w:ilvl w:val="0"/>
          <w:numId w:val="44"/>
        </w:numPr>
        <w:rPr>
          <w:rFonts w:ascii="Calibri" w:cs="Calibri" w:eastAsia="Calibri" w:hAnsi="Calibri"/>
          <w:sz w:val="13"/>
          <w:szCs w:val="13"/>
          <w:color w:val="auto"/>
        </w:rPr>
      </w:pPr>
      <w:r>
        <w:rPr>
          <w:rFonts w:ascii="Calibri" w:cs="Calibri" w:eastAsia="Calibri" w:hAnsi="Calibri"/>
          <w:sz w:val="13"/>
          <w:szCs w:val="13"/>
          <w:color w:val="auto"/>
        </w:rPr>
        <w:t>For non-management directors, this column includes restricted stock units (previously granted for service on the Board) that have vested but are unsetled. Because vested restricted stock units generally setle 180 days following the director’s term of service (see “Director compensaton for fscal year 2021” for additonal details on setlement), the units are not treated as benefcially owned under SEC rules because the holder does not have the right to acquire the underlying stock within 60 days of the Determinaton Date. However, restricted stock units that are vested but unsetled provide a meaningful alignment with the Company’s stockholders, and they count towards our stock ownership policy for non-employee directors, which requires directors to maintain stock ownership of at least fve tmes their respectve annual retainers.</w:t>
      </w:r>
    </w:p>
    <w:p>
      <w:pPr>
        <w:spacing w:after="0" w:line="135" w:lineRule="exact"/>
        <w:rPr>
          <w:rFonts w:ascii="Calibri" w:cs="Calibri" w:eastAsia="Calibri" w:hAnsi="Calibri"/>
          <w:sz w:val="13"/>
          <w:szCs w:val="13"/>
          <w:color w:val="auto"/>
        </w:rPr>
      </w:pPr>
    </w:p>
    <w:p>
      <w:pPr>
        <w:ind w:left="320" w:right="300" w:hanging="4"/>
        <w:spacing w:after="0" w:line="251" w:lineRule="auto"/>
        <w:tabs>
          <w:tab w:leader="none" w:pos="494" w:val="left"/>
        </w:tabs>
        <w:numPr>
          <w:ilvl w:val="0"/>
          <w:numId w:val="44"/>
        </w:numPr>
        <w:rPr>
          <w:rFonts w:ascii="Calibri" w:cs="Calibri" w:eastAsia="Calibri" w:hAnsi="Calibri"/>
          <w:sz w:val="13"/>
          <w:szCs w:val="13"/>
          <w:color w:val="auto"/>
        </w:rPr>
      </w:pPr>
      <w:r>
        <w:rPr>
          <w:rFonts w:ascii="Calibri" w:cs="Calibri" w:eastAsia="Calibri" w:hAnsi="Calibri"/>
          <w:sz w:val="13"/>
          <w:szCs w:val="13"/>
          <w:color w:val="auto"/>
        </w:rPr>
        <w:t>Based on the Schedule 13G/A fled on January 28, 2022, BlackRock, Inc. had sole votng power with respect to 4,947,704 shares and sole dispositve power with respect to 4,986,346 shares. The business address of Blackrock, Inc. is 55 East 52nd Street, New York, New York 10022.</w:t>
      </w:r>
    </w:p>
    <w:p>
      <w:pPr>
        <w:spacing w:after="0" w:line="149" w:lineRule="exact"/>
        <w:rPr>
          <w:rFonts w:ascii="Calibri" w:cs="Calibri" w:eastAsia="Calibri" w:hAnsi="Calibri"/>
          <w:sz w:val="13"/>
          <w:szCs w:val="13"/>
          <w:color w:val="auto"/>
        </w:rPr>
      </w:pPr>
    </w:p>
    <w:p>
      <w:pPr>
        <w:ind w:left="320" w:right="160" w:hanging="4"/>
        <w:spacing w:after="0" w:line="251" w:lineRule="auto"/>
        <w:tabs>
          <w:tab w:leader="none" w:pos="494" w:val="left"/>
        </w:tabs>
        <w:numPr>
          <w:ilvl w:val="0"/>
          <w:numId w:val="44"/>
        </w:numPr>
        <w:rPr>
          <w:rFonts w:ascii="Calibri" w:cs="Calibri" w:eastAsia="Calibri" w:hAnsi="Calibri"/>
          <w:sz w:val="13"/>
          <w:szCs w:val="13"/>
          <w:color w:val="auto"/>
        </w:rPr>
      </w:pPr>
      <w:r>
        <w:rPr>
          <w:rFonts w:ascii="Calibri" w:cs="Calibri" w:eastAsia="Calibri" w:hAnsi="Calibri"/>
          <w:sz w:val="13"/>
          <w:szCs w:val="13"/>
          <w:color w:val="auto"/>
        </w:rPr>
        <w:t>Based on the Schedule 13G/A fled on February 10, 2022, The Vanguard Group, Inc. had shared votng power with respect to 62,521 shares, sole dispositve power with respect to 3,474,157 shares and shared dispositve power with respect to 91,917 shares. The business address of The Vanguard Group, Inc. is 100 Vanguard Boulevard, Malvern, PA 19355.</w:t>
      </w:r>
    </w:p>
    <w:p>
      <w:pPr>
        <w:spacing w:after="0" w:line="149" w:lineRule="exact"/>
        <w:rPr>
          <w:rFonts w:ascii="Calibri" w:cs="Calibri" w:eastAsia="Calibri" w:hAnsi="Calibri"/>
          <w:sz w:val="13"/>
          <w:szCs w:val="13"/>
          <w:color w:val="auto"/>
        </w:rPr>
      </w:pPr>
    </w:p>
    <w:p>
      <w:pPr>
        <w:ind w:left="320" w:right="260" w:hanging="4"/>
        <w:spacing w:after="0" w:line="251" w:lineRule="auto"/>
        <w:tabs>
          <w:tab w:leader="none" w:pos="494" w:val="left"/>
        </w:tabs>
        <w:numPr>
          <w:ilvl w:val="0"/>
          <w:numId w:val="44"/>
        </w:numPr>
        <w:rPr>
          <w:rFonts w:ascii="Calibri" w:cs="Calibri" w:eastAsia="Calibri" w:hAnsi="Calibri"/>
          <w:sz w:val="13"/>
          <w:szCs w:val="13"/>
          <w:color w:val="auto"/>
        </w:rPr>
      </w:pPr>
      <w:r>
        <w:rPr>
          <w:rFonts w:ascii="Calibri" w:cs="Calibri" w:eastAsia="Calibri" w:hAnsi="Calibri"/>
          <w:sz w:val="13"/>
          <w:szCs w:val="13"/>
          <w:color w:val="auto"/>
        </w:rPr>
        <w:t>Based on the Schedule 13G/A fled on February 9, 2022, FMR LLC had sole votng power with respect to 600,920 shares and sole dispositve power with respect to 2,056,711 shares. The business address of FMR LLC is 245 Summer Street, Boston, Massachusets 02210.</w:t>
      </w:r>
    </w:p>
    <w:p>
      <w:pPr>
        <w:spacing w:after="0" w:line="133" w:lineRule="exact"/>
        <w:rPr>
          <w:rFonts w:ascii="Calibri" w:cs="Calibri" w:eastAsia="Calibri" w:hAnsi="Calibri"/>
          <w:sz w:val="13"/>
          <w:szCs w:val="13"/>
          <w:color w:val="auto"/>
        </w:rPr>
      </w:pPr>
    </w:p>
    <w:p>
      <w:pPr>
        <w:ind w:left="500" w:hanging="184"/>
        <w:spacing w:after="0"/>
        <w:tabs>
          <w:tab w:leader="none" w:pos="500" w:val="left"/>
        </w:tabs>
        <w:numPr>
          <w:ilvl w:val="0"/>
          <w:numId w:val="44"/>
        </w:numPr>
        <w:rPr>
          <w:rFonts w:ascii="Calibri" w:cs="Calibri" w:eastAsia="Calibri" w:hAnsi="Calibri"/>
          <w:sz w:val="13"/>
          <w:szCs w:val="13"/>
          <w:color w:val="auto"/>
        </w:rPr>
      </w:pPr>
      <w:r>
        <w:rPr>
          <w:rFonts w:ascii="Calibri" w:cs="Calibri" w:eastAsia="Calibri" w:hAnsi="Calibri"/>
          <w:sz w:val="13"/>
          <w:szCs w:val="13"/>
          <w:color w:val="auto"/>
        </w:rPr>
        <w:t>The amount includes: (a) 177,134 shares of our common stock owned indirectly by Mr. Kapoor through a family trust created in 2016 under a 2005 grantor-retained annuity trust, for which</w:t>
      </w:r>
    </w:p>
    <w:p>
      <w:pPr>
        <w:spacing w:after="0" w:line="14" w:lineRule="exact"/>
        <w:rPr>
          <w:sz w:val="20"/>
          <w:szCs w:val="20"/>
          <w:color w:val="auto"/>
        </w:rPr>
      </w:pPr>
    </w:p>
    <w:p>
      <w:pPr>
        <w:ind w:left="320" w:right="20"/>
        <w:spacing w:after="0" w:line="254" w:lineRule="auto"/>
        <w:rPr>
          <w:sz w:val="20"/>
          <w:szCs w:val="20"/>
          <w:color w:val="auto"/>
        </w:rPr>
      </w:pPr>
      <w:r>
        <w:rPr>
          <w:rFonts w:ascii="Calibri" w:cs="Calibri" w:eastAsia="Calibri" w:hAnsi="Calibri"/>
          <w:sz w:val="13"/>
          <w:szCs w:val="13"/>
          <w:color w:val="auto"/>
        </w:rPr>
        <w:t>Mr. Kapoor’s spouse and Mr. Kapoor’s brother are the co-trustees and share dispositve and votng control over the shares in the trust, (b) 40,219 shares of our common stock owned indirectly by Mr. Kapoor through a family trust created in 2016 under a 2013 grantor retained annuity trust, for which Mr. Kapoor’s spouse and Mr. Kapoor’s brother are the co-trustees and share dispositve and votng control over the shares in the trust, (c) 84,000 shares of our common stock owned indirectly by Mr. Kapoor through a spousal lifetme access trust, for which Mr. Kapoor’s spouse and Mr. Kapoor’s brother are the co-trustees and share dispositve and votng control over the shares in the trust, (d) 84,000 shares of our common stock owned indirectly by Mr. Kapoor through a spousal lifetme access trust for Mr. Kapoor’s spouse, for which Mr. Kapoor and Mr. Kapoor’s brother are the co-trustees and share dispositve and votng control over the shares in the trust, and (e) 97,185 shares of our common stock owned indirectly by Mr. Kapoor through a family trust created in 2016 for which Mr. Kapoor is the investment advisor to Commonwealth Trust Company, the trustee.</w:t>
      </w:r>
    </w:p>
    <w:p>
      <w:pPr>
        <w:spacing w:after="0" w:line="150" w:lineRule="exact"/>
        <w:rPr>
          <w:sz w:val="20"/>
          <w:szCs w:val="20"/>
          <w:color w:val="auto"/>
        </w:rPr>
      </w:pPr>
    </w:p>
    <w:p>
      <w:pPr>
        <w:ind w:left="320" w:right="200" w:hanging="4"/>
        <w:spacing w:after="0" w:line="251" w:lineRule="auto"/>
        <w:tabs>
          <w:tab w:leader="none" w:pos="494" w:val="left"/>
        </w:tabs>
        <w:numPr>
          <w:ilvl w:val="0"/>
          <w:numId w:val="45"/>
        </w:numPr>
        <w:rPr>
          <w:rFonts w:ascii="Calibri" w:cs="Calibri" w:eastAsia="Calibri" w:hAnsi="Calibri"/>
          <w:sz w:val="13"/>
          <w:szCs w:val="13"/>
          <w:color w:val="auto"/>
        </w:rPr>
      </w:pPr>
      <w:r>
        <w:rPr>
          <w:rFonts w:ascii="Calibri" w:cs="Calibri" w:eastAsia="Calibri" w:hAnsi="Calibri"/>
          <w:sz w:val="13"/>
          <w:szCs w:val="13"/>
          <w:color w:val="auto"/>
        </w:rPr>
        <w:t>This amount consists of 3,093 shares of our common stock of which Ms. Minto has the right to acquire benefcial ownership within 60 days of the Determinaton Date pursuant to currently vested and exercisable stock optons.</w:t>
      </w:r>
    </w:p>
    <w:p>
      <w:pPr>
        <w:spacing w:after="0" w:line="149" w:lineRule="exact"/>
        <w:rPr>
          <w:rFonts w:ascii="Calibri" w:cs="Calibri" w:eastAsia="Calibri" w:hAnsi="Calibri"/>
          <w:sz w:val="13"/>
          <w:szCs w:val="13"/>
          <w:color w:val="auto"/>
        </w:rPr>
      </w:pPr>
    </w:p>
    <w:p>
      <w:pPr>
        <w:ind w:left="320" w:right="320" w:hanging="4"/>
        <w:spacing w:after="0" w:line="253" w:lineRule="auto"/>
        <w:tabs>
          <w:tab w:leader="none" w:pos="494" w:val="left"/>
        </w:tabs>
        <w:numPr>
          <w:ilvl w:val="0"/>
          <w:numId w:val="45"/>
        </w:numPr>
        <w:rPr>
          <w:rFonts w:ascii="Calibri" w:cs="Calibri" w:eastAsia="Calibri" w:hAnsi="Calibri"/>
          <w:sz w:val="13"/>
          <w:szCs w:val="13"/>
          <w:color w:val="auto"/>
        </w:rPr>
      </w:pPr>
      <w:r>
        <w:rPr>
          <w:rFonts w:ascii="Calibri" w:cs="Calibri" w:eastAsia="Calibri" w:hAnsi="Calibri"/>
          <w:sz w:val="13"/>
          <w:szCs w:val="13"/>
          <w:color w:val="auto"/>
        </w:rPr>
        <w:t>Mr. Pandit has shared dispositve and votng control over the reported securites, which are held by Orogen Echo LLC (“OE”). The Orogen Group LLC (“Orogen”) is the sole member of OE and Mr. Pandit is the Chairman and Chief Executve Ofcer of Orogen. Orogen Holdings LLC and Atairos-Orogen Holdings, LLC are the sole members with joint investment control of Orogen. Mr. Pandit has majority votng control of Orogen Holdings LLC.</w:t>
      </w:r>
    </w:p>
    <w:p>
      <w:pPr>
        <w:spacing w:after="0" w:line="135" w:lineRule="exact"/>
        <w:rPr>
          <w:rFonts w:ascii="Calibri" w:cs="Calibri" w:eastAsia="Calibri" w:hAnsi="Calibri"/>
          <w:sz w:val="13"/>
          <w:szCs w:val="13"/>
          <w:color w:val="auto"/>
        </w:rPr>
      </w:pPr>
    </w:p>
    <w:p>
      <w:pPr>
        <w:ind w:left="320" w:right="20" w:hanging="4"/>
        <w:spacing w:after="0" w:line="251" w:lineRule="auto"/>
        <w:tabs>
          <w:tab w:leader="none" w:pos="560" w:val="left"/>
        </w:tabs>
        <w:numPr>
          <w:ilvl w:val="0"/>
          <w:numId w:val="45"/>
        </w:numPr>
        <w:rPr>
          <w:rFonts w:ascii="Calibri" w:cs="Calibri" w:eastAsia="Calibri" w:hAnsi="Calibri"/>
          <w:sz w:val="13"/>
          <w:szCs w:val="13"/>
          <w:color w:val="auto"/>
        </w:rPr>
      </w:pPr>
      <w:r>
        <w:rPr>
          <w:rFonts w:ascii="Calibri" w:cs="Calibri" w:eastAsia="Calibri" w:hAnsi="Calibri"/>
          <w:sz w:val="13"/>
          <w:szCs w:val="13"/>
          <w:color w:val="auto"/>
        </w:rPr>
        <w:t>This amount includes 1,854 shares of our common stock owned indirectly by Mr. Staglin through an irrevocable family trust created in 2018, for which Mr. Staglin’s spouse is the sole benefciary and trustee with sole dispositve and votng control over the shares in the trust.</w:t>
      </w:r>
    </w:p>
    <w:p>
      <w:pPr>
        <w:spacing w:after="0" w:line="146" w:lineRule="exact"/>
        <w:rPr>
          <w:rFonts w:ascii="Calibri" w:cs="Calibri" w:eastAsia="Calibri" w:hAnsi="Calibri"/>
          <w:sz w:val="13"/>
          <w:szCs w:val="13"/>
          <w:color w:val="auto"/>
        </w:rPr>
      </w:pPr>
    </w:p>
    <w:p>
      <w:pPr>
        <w:ind w:left="560" w:hanging="244"/>
        <w:spacing w:after="0"/>
        <w:tabs>
          <w:tab w:leader="none" w:pos="560" w:val="left"/>
        </w:tabs>
        <w:numPr>
          <w:ilvl w:val="0"/>
          <w:numId w:val="45"/>
        </w:numPr>
        <w:rPr>
          <w:rFonts w:ascii="Calibri" w:cs="Calibri" w:eastAsia="Calibri" w:hAnsi="Calibri"/>
          <w:sz w:val="13"/>
          <w:szCs w:val="13"/>
          <w:color w:val="auto"/>
        </w:rPr>
      </w:pPr>
      <w:r>
        <w:rPr>
          <w:rFonts w:ascii="Calibri" w:cs="Calibri" w:eastAsia="Calibri" w:hAnsi="Calibri"/>
          <w:sz w:val="13"/>
          <w:szCs w:val="13"/>
          <w:color w:val="auto"/>
        </w:rPr>
        <w:t>Includes all eight current non-employee directors and our 10 current executve ofcers.</w:t>
      </w:r>
    </w:p>
    <w:p>
      <w:pPr>
        <w:spacing w:after="0" w:line="156" w:lineRule="exact"/>
        <w:rPr>
          <w:rFonts w:ascii="Calibri" w:cs="Calibri" w:eastAsia="Calibri" w:hAnsi="Calibri"/>
          <w:sz w:val="13"/>
          <w:szCs w:val="13"/>
          <w:color w:val="auto"/>
        </w:rPr>
      </w:pPr>
    </w:p>
    <w:p>
      <w:pPr>
        <w:ind w:left="320" w:right="140" w:hanging="4"/>
        <w:spacing w:after="0" w:line="251" w:lineRule="auto"/>
        <w:tabs>
          <w:tab w:leader="none" w:pos="560" w:val="left"/>
        </w:tabs>
        <w:numPr>
          <w:ilvl w:val="0"/>
          <w:numId w:val="45"/>
        </w:numPr>
        <w:rPr>
          <w:rFonts w:ascii="Calibri" w:cs="Calibri" w:eastAsia="Calibri" w:hAnsi="Calibri"/>
          <w:sz w:val="13"/>
          <w:szCs w:val="13"/>
          <w:color w:val="auto"/>
        </w:rPr>
      </w:pPr>
      <w:r>
        <w:rPr>
          <w:rFonts w:ascii="Calibri" w:cs="Calibri" w:eastAsia="Calibri" w:hAnsi="Calibri"/>
          <w:sz w:val="13"/>
          <w:szCs w:val="13"/>
          <w:color w:val="auto"/>
        </w:rPr>
        <w:t>This amount includes an aggregate of 3,093 shares of our common stock of which our current directors and current executve ofcers have the right to acquire benefcial ownership within 60 days of the Determinaton Date pursuant to currently vested and exercisable stock optons.</w:t>
      </w:r>
    </w:p>
    <w:p>
      <w:pPr>
        <w:spacing w:after="0" w:line="116"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105</w:t>
            </w:r>
          </w:p>
        </w:tc>
      </w:tr>
    </w:tbl>
    <w:p>
      <w:pPr>
        <w:sectPr>
          <w:pgSz w:w="11900" w:h="16838" w:orient="portrait"/>
          <w:cols w:equalWidth="0" w:num="1">
            <w:col w:w="10940"/>
          </w:cols>
          <w:pgMar w:left="320" w:top="445" w:right="6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Certain relatonships and related person transactons</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Certain relatonships and related person transactons</w:t>
      </w:r>
    </w:p>
    <w:p>
      <w:pPr>
        <w:spacing w:after="0" w:line="200" w:lineRule="exact"/>
        <w:rPr>
          <w:sz w:val="20"/>
          <w:szCs w:val="20"/>
          <w:color w:val="auto"/>
        </w:rPr>
      </w:pPr>
    </w:p>
    <w:p>
      <w:pPr>
        <w:spacing w:after="0" w:line="242" w:lineRule="exact"/>
        <w:rPr>
          <w:sz w:val="20"/>
          <w:szCs w:val="20"/>
          <w:color w:val="auto"/>
        </w:rPr>
      </w:pPr>
    </w:p>
    <w:tbl>
      <w:tblPr>
        <w:tblLayout w:type="fixed"/>
        <w:tblInd w:w="320" w:type="dxa"/>
        <w:tblCellMar>
          <w:top w:w="0" w:type="dxa"/>
          <w:left w:w="0" w:type="dxa"/>
          <w:bottom w:w="0" w:type="dxa"/>
          <w:right w:w="0" w:type="dxa"/>
        </w:tblCellMar>
      </w:tblPr>
      <w:tr>
        <w:trPr>
          <w:trHeight w:val="280"/>
        </w:trPr>
        <w:tc>
          <w:tcPr>
            <w:tcW w:w="6140" w:type="dxa"/>
            <w:vAlign w:val="bottom"/>
          </w:tcPr>
          <w:p>
            <w:pPr>
              <w:spacing w:after="0"/>
              <w:rPr>
                <w:sz w:val="24"/>
                <w:szCs w:val="24"/>
                <w:color w:val="auto"/>
              </w:rPr>
            </w:pPr>
          </w:p>
        </w:tc>
        <w:tc>
          <w:tcPr>
            <w:tcW w:w="4480" w:type="dxa"/>
            <w:vAlign w:val="bottom"/>
            <w:gridSpan w:val="2"/>
            <w:shd w:val="clear" w:color="auto" w:fill="D8D8D8"/>
          </w:tcPr>
          <w:p>
            <w:pPr>
              <w:ind w:left="300"/>
              <w:spacing w:after="0"/>
              <w:rPr>
                <w:sz w:val="20"/>
                <w:szCs w:val="20"/>
                <w:color w:val="auto"/>
              </w:rPr>
            </w:pPr>
            <w:r>
              <w:rPr>
                <w:rFonts w:ascii="Calibri" w:cs="Calibri" w:eastAsia="Calibri" w:hAnsi="Calibri"/>
                <w:sz w:val="19"/>
                <w:szCs w:val="19"/>
                <w:b w:val="1"/>
                <w:bCs w:val="1"/>
                <w:color w:val="FB4E0B"/>
              </w:rPr>
              <w:t>Factors used in assessing related party</w:t>
            </w:r>
          </w:p>
        </w:tc>
        <w:tc>
          <w:tcPr>
            <w:tcW w:w="0" w:type="dxa"/>
            <w:vAlign w:val="bottom"/>
          </w:tcPr>
          <w:p>
            <w:pPr>
              <w:spacing w:after="0"/>
              <w:rPr>
                <w:sz w:val="1"/>
                <w:szCs w:val="1"/>
                <w:color w:val="auto"/>
              </w:rPr>
            </w:pPr>
          </w:p>
        </w:tc>
      </w:tr>
      <w:tr>
        <w:trPr>
          <w:trHeight w:val="234"/>
        </w:trPr>
        <w:tc>
          <w:tcPr>
            <w:tcW w:w="6140" w:type="dxa"/>
            <w:vAlign w:val="bottom"/>
            <w:vMerge w:val="restart"/>
          </w:tcPr>
          <w:p>
            <w:pPr>
              <w:spacing w:after="0"/>
              <w:rPr>
                <w:sz w:val="20"/>
                <w:szCs w:val="20"/>
                <w:color w:val="auto"/>
              </w:rPr>
            </w:pPr>
            <w:r>
              <w:rPr>
                <w:rFonts w:ascii="Calibri" w:cs="Calibri" w:eastAsia="Calibri" w:hAnsi="Calibri"/>
                <w:sz w:val="24"/>
                <w:szCs w:val="24"/>
                <w:color w:val="auto"/>
              </w:rPr>
              <w:t>Review and approval of related party transactons</w:t>
            </w:r>
          </w:p>
        </w:tc>
        <w:tc>
          <w:tcPr>
            <w:tcW w:w="4480" w:type="dxa"/>
            <w:vAlign w:val="bottom"/>
            <w:gridSpan w:val="2"/>
            <w:shd w:val="clear" w:color="auto" w:fill="D8D8D8"/>
          </w:tcPr>
          <w:p>
            <w:pPr>
              <w:ind w:left="300"/>
              <w:spacing w:after="0"/>
              <w:rPr>
                <w:sz w:val="20"/>
                <w:szCs w:val="20"/>
                <w:color w:val="auto"/>
              </w:rPr>
            </w:pPr>
            <w:r>
              <w:rPr>
                <w:rFonts w:ascii="Calibri" w:cs="Calibri" w:eastAsia="Calibri" w:hAnsi="Calibri"/>
                <w:sz w:val="19"/>
                <w:szCs w:val="19"/>
                <w:b w:val="1"/>
                <w:bCs w:val="1"/>
                <w:color w:val="FB4E0B"/>
              </w:rPr>
              <w:t>transactons</w:t>
            </w:r>
          </w:p>
        </w:tc>
        <w:tc>
          <w:tcPr>
            <w:tcW w:w="0" w:type="dxa"/>
            <w:vAlign w:val="bottom"/>
          </w:tcPr>
          <w:p>
            <w:pPr>
              <w:spacing w:after="0"/>
              <w:rPr>
                <w:sz w:val="1"/>
                <w:szCs w:val="1"/>
                <w:color w:val="auto"/>
              </w:rPr>
            </w:pPr>
          </w:p>
        </w:tc>
      </w:tr>
      <w:tr>
        <w:trPr>
          <w:trHeight w:val="317"/>
        </w:trPr>
        <w:tc>
          <w:tcPr>
            <w:tcW w:w="6140" w:type="dxa"/>
            <w:vAlign w:val="bottom"/>
            <w:vMerge w:val="continue"/>
          </w:tcPr>
          <w:p>
            <w:pPr>
              <w:spacing w:after="0"/>
              <w:rPr>
                <w:sz w:val="24"/>
                <w:szCs w:val="24"/>
                <w:color w:val="auto"/>
              </w:rPr>
            </w:pPr>
          </w:p>
        </w:tc>
        <w:tc>
          <w:tcPr>
            <w:tcW w:w="620" w:type="dxa"/>
            <w:vAlign w:val="bottom"/>
            <w:shd w:val="clear" w:color="auto" w:fill="D8D8D8"/>
          </w:tcPr>
          <w:p>
            <w:pPr>
              <w:ind w:left="440"/>
              <w:spacing w:after="0"/>
              <w:rPr>
                <w:sz w:val="20"/>
                <w:szCs w:val="20"/>
                <w:color w:val="auto"/>
              </w:rPr>
            </w:pPr>
            <w:r>
              <w:rPr>
                <w:rFonts w:ascii="Calibri" w:cs="Calibri" w:eastAsia="Calibri" w:hAnsi="Calibri"/>
                <w:sz w:val="14"/>
                <w:szCs w:val="14"/>
                <w:color w:val="auto"/>
                <w:w w:val="76"/>
              </w:rPr>
              <w:t>• </w:t>
            </w:r>
          </w:p>
        </w:tc>
        <w:tc>
          <w:tcPr>
            <w:tcW w:w="386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The nature of the related party transacton</w:t>
            </w:r>
          </w:p>
        </w:tc>
        <w:tc>
          <w:tcPr>
            <w:tcW w:w="0" w:type="dxa"/>
            <w:vAlign w:val="bottom"/>
          </w:tcPr>
          <w:p>
            <w:pPr>
              <w:spacing w:after="0"/>
              <w:rPr>
                <w:sz w:val="1"/>
                <w:szCs w:val="1"/>
                <w:color w:val="auto"/>
              </w:rPr>
            </w:pPr>
          </w:p>
        </w:tc>
      </w:tr>
      <w:tr>
        <w:trPr>
          <w:trHeight w:val="273"/>
        </w:trPr>
        <w:tc>
          <w:tcPr>
            <w:tcW w:w="6140" w:type="dxa"/>
            <w:vAlign w:val="bottom"/>
            <w:vMerge w:val="restart"/>
          </w:tcPr>
          <w:p>
            <w:pPr>
              <w:spacing w:after="0"/>
              <w:rPr>
                <w:sz w:val="20"/>
                <w:szCs w:val="20"/>
                <w:color w:val="auto"/>
              </w:rPr>
            </w:pPr>
            <w:r>
              <w:rPr>
                <w:rFonts w:ascii="Calibri" w:cs="Calibri" w:eastAsia="Calibri" w:hAnsi="Calibri"/>
                <w:sz w:val="17"/>
                <w:szCs w:val="17"/>
                <w:color w:val="auto"/>
              </w:rPr>
              <w:t>We review all relatonships and transactons in which we, our directors and executve</w:t>
            </w:r>
          </w:p>
        </w:tc>
        <w:tc>
          <w:tcPr>
            <w:tcW w:w="620" w:type="dxa"/>
            <w:vAlign w:val="bottom"/>
            <w:shd w:val="clear" w:color="auto" w:fill="D8D8D8"/>
          </w:tcPr>
          <w:p>
            <w:pPr>
              <w:ind w:left="440"/>
              <w:spacing w:after="0"/>
              <w:rPr>
                <w:sz w:val="20"/>
                <w:szCs w:val="20"/>
                <w:color w:val="auto"/>
              </w:rPr>
            </w:pPr>
            <w:r>
              <w:rPr>
                <w:rFonts w:ascii="Calibri" w:cs="Calibri" w:eastAsia="Calibri" w:hAnsi="Calibri"/>
                <w:sz w:val="14"/>
                <w:szCs w:val="14"/>
                <w:color w:val="auto"/>
                <w:w w:val="76"/>
              </w:rPr>
              <w:t>• </w:t>
            </w:r>
          </w:p>
        </w:tc>
        <w:tc>
          <w:tcPr>
            <w:tcW w:w="386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The related party’s interest in the transacton</w:t>
            </w:r>
          </w:p>
        </w:tc>
        <w:tc>
          <w:tcPr>
            <w:tcW w:w="0" w:type="dxa"/>
            <w:vAlign w:val="bottom"/>
          </w:tcPr>
          <w:p>
            <w:pPr>
              <w:spacing w:after="0"/>
              <w:rPr>
                <w:sz w:val="1"/>
                <w:szCs w:val="1"/>
                <w:color w:val="auto"/>
              </w:rPr>
            </w:pPr>
          </w:p>
        </w:tc>
      </w:tr>
      <w:tr>
        <w:trPr>
          <w:trHeight w:val="69"/>
        </w:trPr>
        <w:tc>
          <w:tcPr>
            <w:tcW w:w="6140" w:type="dxa"/>
            <w:vAlign w:val="bottom"/>
            <w:vMerge w:val="continue"/>
          </w:tcPr>
          <w:p>
            <w:pPr>
              <w:spacing w:after="0"/>
              <w:rPr>
                <w:sz w:val="6"/>
                <w:szCs w:val="6"/>
                <w:color w:val="auto"/>
              </w:rPr>
            </w:pPr>
          </w:p>
        </w:tc>
        <w:tc>
          <w:tcPr>
            <w:tcW w:w="620" w:type="dxa"/>
            <w:vAlign w:val="bottom"/>
            <w:shd w:val="clear" w:color="auto" w:fill="D8D8D8"/>
          </w:tcPr>
          <w:p>
            <w:pPr>
              <w:spacing w:after="0"/>
              <w:rPr>
                <w:sz w:val="6"/>
                <w:szCs w:val="6"/>
                <w:color w:val="auto"/>
              </w:rPr>
            </w:pPr>
          </w:p>
        </w:tc>
        <w:tc>
          <w:tcPr>
            <w:tcW w:w="386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6140" w:type="dxa"/>
            <w:vAlign w:val="bottom"/>
          </w:tcPr>
          <w:p>
            <w:pPr>
              <w:spacing w:after="0"/>
              <w:rPr>
                <w:sz w:val="20"/>
                <w:szCs w:val="20"/>
                <w:color w:val="auto"/>
              </w:rPr>
            </w:pPr>
            <w:r>
              <w:rPr>
                <w:rFonts w:ascii="Calibri" w:cs="Calibri" w:eastAsia="Calibri" w:hAnsi="Calibri"/>
                <w:sz w:val="17"/>
                <w:szCs w:val="17"/>
                <w:color w:val="auto"/>
              </w:rPr>
              <w:t>ofcers or their immediate family members and our 5% stockholders are partcipants to</w:t>
            </w:r>
          </w:p>
        </w:tc>
        <w:tc>
          <w:tcPr>
            <w:tcW w:w="620" w:type="dxa"/>
            <w:vAlign w:val="bottom"/>
            <w:shd w:val="clear" w:color="auto" w:fill="D8D8D8"/>
          </w:tcPr>
          <w:p>
            <w:pPr>
              <w:ind w:left="440"/>
              <w:spacing w:after="0"/>
              <w:rPr>
                <w:sz w:val="20"/>
                <w:szCs w:val="20"/>
                <w:color w:val="auto"/>
              </w:rPr>
            </w:pPr>
            <w:r>
              <w:rPr>
                <w:rFonts w:ascii="Calibri" w:cs="Calibri" w:eastAsia="Calibri" w:hAnsi="Calibri"/>
                <w:sz w:val="14"/>
                <w:szCs w:val="14"/>
                <w:color w:val="auto"/>
                <w:w w:val="76"/>
              </w:rPr>
              <w:t>• </w:t>
            </w:r>
          </w:p>
        </w:tc>
        <w:tc>
          <w:tcPr>
            <w:tcW w:w="3860" w:type="dxa"/>
            <w:vAlign w:val="bottom"/>
            <w:shd w:val="clear" w:color="auto" w:fill="D8D8D8"/>
          </w:tcPr>
          <w:p>
            <w:pPr>
              <w:ind w:left="60"/>
              <w:spacing w:after="0"/>
              <w:rPr>
                <w:sz w:val="20"/>
                <w:szCs w:val="20"/>
                <w:color w:val="auto"/>
              </w:rPr>
            </w:pPr>
            <w:r>
              <w:rPr>
                <w:rFonts w:ascii="Calibri" w:cs="Calibri" w:eastAsia="Calibri" w:hAnsi="Calibri"/>
                <w:sz w:val="16"/>
                <w:szCs w:val="16"/>
                <w:color w:val="auto"/>
              </w:rPr>
              <w:t>  The material terms of the transacton, including the</w:t>
            </w:r>
          </w:p>
        </w:tc>
        <w:tc>
          <w:tcPr>
            <w:tcW w:w="0" w:type="dxa"/>
            <w:vAlign w:val="bottom"/>
          </w:tcPr>
          <w:p>
            <w:pPr>
              <w:spacing w:after="0"/>
              <w:rPr>
                <w:sz w:val="1"/>
                <w:szCs w:val="1"/>
                <w:color w:val="auto"/>
              </w:rPr>
            </w:pPr>
          </w:p>
        </w:tc>
      </w:tr>
      <w:tr>
        <w:trPr>
          <w:trHeight w:val="208"/>
        </w:trPr>
        <w:tc>
          <w:tcPr>
            <w:tcW w:w="6140" w:type="dxa"/>
            <w:vAlign w:val="bottom"/>
          </w:tcPr>
          <w:p>
            <w:pPr>
              <w:spacing w:after="0"/>
              <w:rPr>
                <w:sz w:val="20"/>
                <w:szCs w:val="20"/>
                <w:color w:val="auto"/>
              </w:rPr>
            </w:pPr>
            <w:r>
              <w:rPr>
                <w:rFonts w:ascii="Calibri" w:cs="Calibri" w:eastAsia="Calibri" w:hAnsi="Calibri"/>
                <w:sz w:val="17"/>
                <w:szCs w:val="17"/>
                <w:color w:val="auto"/>
              </w:rPr>
              <w:t>determine whether such persons have a direct or indirect material interest in such</w:t>
            </w:r>
          </w:p>
        </w:tc>
        <w:tc>
          <w:tcPr>
            <w:tcW w:w="620" w:type="dxa"/>
            <w:vAlign w:val="bottom"/>
            <w:shd w:val="clear" w:color="auto" w:fill="D8D8D8"/>
          </w:tcPr>
          <w:p>
            <w:pPr>
              <w:spacing w:after="0"/>
              <w:rPr>
                <w:sz w:val="18"/>
                <w:szCs w:val="18"/>
                <w:color w:val="auto"/>
              </w:rPr>
            </w:pPr>
          </w:p>
        </w:tc>
        <w:tc>
          <w:tcPr>
            <w:tcW w:w="3860" w:type="dxa"/>
            <w:vAlign w:val="bottom"/>
            <w:shd w:val="clear" w:color="auto" w:fill="D8D8D8"/>
          </w:tcPr>
          <w:p>
            <w:pPr>
              <w:ind w:left="140"/>
              <w:spacing w:after="0" w:line="191" w:lineRule="exact"/>
              <w:rPr>
                <w:sz w:val="20"/>
                <w:szCs w:val="20"/>
                <w:color w:val="auto"/>
              </w:rPr>
            </w:pPr>
            <w:r>
              <w:rPr>
                <w:rFonts w:ascii="Calibri" w:cs="Calibri" w:eastAsia="Calibri" w:hAnsi="Calibri"/>
                <w:sz w:val="16"/>
                <w:szCs w:val="16"/>
                <w:color w:val="auto"/>
              </w:rPr>
              <w:t>amount involved and type of transacton</w:t>
            </w:r>
          </w:p>
        </w:tc>
        <w:tc>
          <w:tcPr>
            <w:tcW w:w="0" w:type="dxa"/>
            <w:vAlign w:val="bottom"/>
          </w:tcPr>
          <w:p>
            <w:pPr>
              <w:spacing w:after="0"/>
              <w:rPr>
                <w:sz w:val="1"/>
                <w:szCs w:val="1"/>
                <w:color w:val="auto"/>
              </w:rPr>
            </w:pPr>
          </w:p>
        </w:tc>
      </w:tr>
      <w:tr>
        <w:trPr>
          <w:trHeight w:val="208"/>
        </w:trPr>
        <w:tc>
          <w:tcPr>
            <w:tcW w:w="6140" w:type="dxa"/>
            <w:vAlign w:val="bottom"/>
          </w:tcPr>
          <w:p>
            <w:pPr>
              <w:spacing w:after="0"/>
              <w:rPr>
                <w:sz w:val="20"/>
                <w:szCs w:val="20"/>
                <w:color w:val="auto"/>
              </w:rPr>
            </w:pPr>
            <w:r>
              <w:rPr>
                <w:rFonts w:ascii="Calibri" w:cs="Calibri" w:eastAsia="Calibri" w:hAnsi="Calibri"/>
                <w:sz w:val="17"/>
                <w:szCs w:val="17"/>
                <w:color w:val="auto"/>
              </w:rPr>
              <w:t>transactons. Our Code of Conduct and Ethics instructs our directors, ofcers and</w:t>
            </w:r>
          </w:p>
        </w:tc>
        <w:tc>
          <w:tcPr>
            <w:tcW w:w="620" w:type="dxa"/>
            <w:vAlign w:val="bottom"/>
            <w:vMerge w:val="restart"/>
            <w:shd w:val="clear" w:color="auto" w:fill="D8D8D8"/>
          </w:tcPr>
          <w:p>
            <w:pPr>
              <w:ind w:left="440"/>
              <w:spacing w:after="0"/>
              <w:rPr>
                <w:sz w:val="20"/>
                <w:szCs w:val="20"/>
                <w:color w:val="auto"/>
              </w:rPr>
            </w:pPr>
            <w:r>
              <w:rPr>
                <w:rFonts w:ascii="Calibri" w:cs="Calibri" w:eastAsia="Calibri" w:hAnsi="Calibri"/>
                <w:sz w:val="14"/>
                <w:szCs w:val="14"/>
                <w:color w:val="auto"/>
                <w:w w:val="76"/>
              </w:rPr>
              <w:t>• </w:t>
            </w:r>
          </w:p>
        </w:tc>
        <w:tc>
          <w:tcPr>
            <w:tcW w:w="3860" w:type="dxa"/>
            <w:vAlign w:val="bottom"/>
            <w:vMerge w:val="restart"/>
            <w:shd w:val="clear" w:color="auto" w:fill="D8D8D8"/>
          </w:tcPr>
          <w:p>
            <w:pPr>
              <w:ind w:left="60"/>
              <w:spacing w:after="0"/>
              <w:rPr>
                <w:sz w:val="20"/>
                <w:szCs w:val="20"/>
                <w:color w:val="auto"/>
              </w:rPr>
            </w:pPr>
            <w:r>
              <w:rPr>
                <w:rFonts w:ascii="Calibri" w:cs="Calibri" w:eastAsia="Calibri" w:hAnsi="Calibri"/>
                <w:sz w:val="16"/>
                <w:szCs w:val="16"/>
                <w:color w:val="auto"/>
                <w:w w:val="99"/>
              </w:rPr>
              <w:t>  The importance of the transacton to us and to the related</w:t>
            </w:r>
          </w:p>
        </w:tc>
        <w:tc>
          <w:tcPr>
            <w:tcW w:w="0" w:type="dxa"/>
            <w:vAlign w:val="bottom"/>
          </w:tcPr>
          <w:p>
            <w:pPr>
              <w:spacing w:after="0"/>
              <w:rPr>
                <w:sz w:val="1"/>
                <w:szCs w:val="1"/>
                <w:color w:val="auto"/>
              </w:rPr>
            </w:pPr>
          </w:p>
        </w:tc>
      </w:tr>
      <w:tr>
        <w:trPr>
          <w:trHeight w:val="48"/>
        </w:trPr>
        <w:tc>
          <w:tcPr>
            <w:tcW w:w="6140" w:type="dxa"/>
            <w:vAlign w:val="bottom"/>
            <w:vMerge w:val="restart"/>
          </w:tcPr>
          <w:p>
            <w:pPr>
              <w:spacing w:after="0"/>
              <w:rPr>
                <w:sz w:val="20"/>
                <w:szCs w:val="20"/>
                <w:color w:val="auto"/>
              </w:rPr>
            </w:pPr>
            <w:r>
              <w:rPr>
                <w:rFonts w:ascii="Calibri" w:cs="Calibri" w:eastAsia="Calibri" w:hAnsi="Calibri"/>
                <w:sz w:val="17"/>
                <w:szCs w:val="17"/>
                <w:color w:val="auto"/>
              </w:rPr>
              <w:t>employees to report the facts and circumstances of any such transacton or potental</w:t>
            </w:r>
          </w:p>
        </w:tc>
        <w:tc>
          <w:tcPr>
            <w:tcW w:w="620" w:type="dxa"/>
            <w:vAlign w:val="bottom"/>
            <w:vMerge w:val="continue"/>
            <w:shd w:val="clear" w:color="auto" w:fill="D8D8D8"/>
          </w:tcPr>
          <w:p>
            <w:pPr>
              <w:spacing w:after="0"/>
              <w:rPr>
                <w:sz w:val="4"/>
                <w:szCs w:val="4"/>
                <w:color w:val="auto"/>
              </w:rPr>
            </w:pPr>
          </w:p>
        </w:tc>
        <w:tc>
          <w:tcPr>
            <w:tcW w:w="3860" w:type="dxa"/>
            <w:vAlign w:val="bottom"/>
            <w:vMerge w:val="continue"/>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6140" w:type="dxa"/>
            <w:vAlign w:val="bottom"/>
            <w:vMerge w:val="continue"/>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3860" w:type="dxa"/>
            <w:vAlign w:val="bottom"/>
            <w:shd w:val="clear" w:color="auto" w:fill="D8D8D8"/>
          </w:tcPr>
          <w:p>
            <w:pPr>
              <w:ind w:left="140"/>
              <w:spacing w:after="0" w:line="162" w:lineRule="exact"/>
              <w:rPr>
                <w:sz w:val="20"/>
                <w:szCs w:val="20"/>
                <w:color w:val="auto"/>
              </w:rPr>
            </w:pPr>
            <w:r>
              <w:rPr>
                <w:rFonts w:ascii="Calibri" w:cs="Calibri" w:eastAsia="Calibri" w:hAnsi="Calibri"/>
                <w:sz w:val="16"/>
                <w:szCs w:val="16"/>
                <w:color w:val="auto"/>
              </w:rPr>
              <w:t>party</w:t>
            </w:r>
          </w:p>
        </w:tc>
        <w:tc>
          <w:tcPr>
            <w:tcW w:w="0" w:type="dxa"/>
            <w:vAlign w:val="bottom"/>
          </w:tcPr>
          <w:p>
            <w:pPr>
              <w:spacing w:after="0"/>
              <w:rPr>
                <w:sz w:val="1"/>
                <w:szCs w:val="1"/>
                <w:color w:val="auto"/>
              </w:rPr>
            </w:pPr>
          </w:p>
        </w:tc>
      </w:tr>
      <w:tr>
        <w:trPr>
          <w:trHeight w:val="206"/>
        </w:trPr>
        <w:tc>
          <w:tcPr>
            <w:tcW w:w="6140" w:type="dxa"/>
            <w:vAlign w:val="bottom"/>
          </w:tcPr>
          <w:p>
            <w:pPr>
              <w:spacing w:after="0" w:line="206" w:lineRule="exact"/>
              <w:rPr>
                <w:sz w:val="20"/>
                <w:szCs w:val="20"/>
                <w:color w:val="auto"/>
              </w:rPr>
            </w:pPr>
            <w:r>
              <w:rPr>
                <w:rFonts w:ascii="Calibri" w:cs="Calibri" w:eastAsia="Calibri" w:hAnsi="Calibri"/>
                <w:sz w:val="17"/>
                <w:szCs w:val="17"/>
                <w:color w:val="auto"/>
              </w:rPr>
              <w:t>transacton to our General Counsel or our Audit Commitee. Our board of directors has</w:t>
            </w:r>
          </w:p>
        </w:tc>
        <w:tc>
          <w:tcPr>
            <w:tcW w:w="620" w:type="dxa"/>
            <w:vAlign w:val="bottom"/>
            <w:vMerge w:val="restart"/>
            <w:shd w:val="clear" w:color="auto" w:fill="D8D8D8"/>
          </w:tcPr>
          <w:p>
            <w:pPr>
              <w:ind w:left="440"/>
              <w:spacing w:after="0"/>
              <w:rPr>
                <w:sz w:val="20"/>
                <w:szCs w:val="20"/>
                <w:color w:val="auto"/>
              </w:rPr>
            </w:pPr>
            <w:r>
              <w:rPr>
                <w:rFonts w:ascii="Calibri" w:cs="Calibri" w:eastAsia="Calibri" w:hAnsi="Calibri"/>
                <w:sz w:val="14"/>
                <w:szCs w:val="14"/>
                <w:color w:val="auto"/>
                <w:w w:val="76"/>
              </w:rPr>
              <w:t>• </w:t>
            </w:r>
          </w:p>
        </w:tc>
        <w:tc>
          <w:tcPr>
            <w:tcW w:w="3860" w:type="dxa"/>
            <w:vAlign w:val="bottom"/>
            <w:vMerge w:val="restart"/>
            <w:shd w:val="clear" w:color="auto" w:fill="D8D8D8"/>
          </w:tcPr>
          <w:p>
            <w:pPr>
              <w:ind w:left="60"/>
              <w:spacing w:after="0"/>
              <w:rPr>
                <w:sz w:val="20"/>
                <w:szCs w:val="20"/>
                <w:color w:val="auto"/>
              </w:rPr>
            </w:pPr>
            <w:r>
              <w:rPr>
                <w:rFonts w:ascii="Calibri" w:cs="Calibri" w:eastAsia="Calibri" w:hAnsi="Calibri"/>
                <w:sz w:val="16"/>
                <w:szCs w:val="16"/>
                <w:color w:val="auto"/>
              </w:rPr>
              <w:t>  Whether the transacton would impair the judgment of a</w:t>
            </w:r>
          </w:p>
        </w:tc>
        <w:tc>
          <w:tcPr>
            <w:tcW w:w="0" w:type="dxa"/>
            <w:vAlign w:val="bottom"/>
          </w:tcPr>
          <w:p>
            <w:pPr>
              <w:spacing w:after="0"/>
              <w:rPr>
                <w:sz w:val="1"/>
                <w:szCs w:val="1"/>
                <w:color w:val="auto"/>
              </w:rPr>
            </w:pPr>
          </w:p>
        </w:tc>
      </w:tr>
      <w:tr>
        <w:trPr>
          <w:trHeight w:val="100"/>
        </w:trPr>
        <w:tc>
          <w:tcPr>
            <w:tcW w:w="6140" w:type="dxa"/>
            <w:vAlign w:val="bottom"/>
            <w:vMerge w:val="restart"/>
          </w:tcPr>
          <w:p>
            <w:pPr>
              <w:spacing w:after="0"/>
              <w:rPr>
                <w:sz w:val="20"/>
                <w:szCs w:val="20"/>
                <w:color w:val="auto"/>
              </w:rPr>
            </w:pPr>
            <w:r>
              <w:rPr>
                <w:rFonts w:ascii="Calibri" w:cs="Calibri" w:eastAsia="Calibri" w:hAnsi="Calibri"/>
                <w:sz w:val="17"/>
                <w:szCs w:val="17"/>
                <w:color w:val="auto"/>
              </w:rPr>
              <w:t>adopted a policy regarding the review of potental related party transactons. Under this</w:t>
            </w:r>
          </w:p>
        </w:tc>
        <w:tc>
          <w:tcPr>
            <w:tcW w:w="620" w:type="dxa"/>
            <w:vAlign w:val="bottom"/>
            <w:vMerge w:val="continue"/>
            <w:shd w:val="clear" w:color="auto" w:fill="D8D8D8"/>
          </w:tcPr>
          <w:p>
            <w:pPr>
              <w:spacing w:after="0"/>
              <w:rPr>
                <w:sz w:val="8"/>
                <w:szCs w:val="8"/>
                <w:color w:val="auto"/>
              </w:rPr>
            </w:pPr>
          </w:p>
        </w:tc>
        <w:tc>
          <w:tcPr>
            <w:tcW w:w="3860" w:type="dxa"/>
            <w:vAlign w:val="bottom"/>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140" w:type="dxa"/>
            <w:vAlign w:val="bottom"/>
            <w:vMerge w:val="continue"/>
          </w:tcPr>
          <w:p>
            <w:pPr>
              <w:spacing w:after="0"/>
              <w:rPr>
                <w:sz w:val="9"/>
                <w:szCs w:val="9"/>
                <w:color w:val="auto"/>
              </w:rPr>
            </w:pPr>
          </w:p>
        </w:tc>
        <w:tc>
          <w:tcPr>
            <w:tcW w:w="620" w:type="dxa"/>
            <w:vAlign w:val="bottom"/>
            <w:shd w:val="clear" w:color="auto" w:fill="D8D8D8"/>
          </w:tcPr>
          <w:p>
            <w:pPr>
              <w:spacing w:after="0"/>
              <w:rPr>
                <w:sz w:val="9"/>
                <w:szCs w:val="9"/>
                <w:color w:val="auto"/>
              </w:rPr>
            </w:pPr>
          </w:p>
        </w:tc>
        <w:tc>
          <w:tcPr>
            <w:tcW w:w="3860" w:type="dxa"/>
            <w:vAlign w:val="bottom"/>
            <w:vMerge w:val="restart"/>
            <w:shd w:val="clear" w:color="auto" w:fill="D8D8D8"/>
          </w:tcPr>
          <w:p>
            <w:pPr>
              <w:ind w:left="140"/>
              <w:spacing w:after="0"/>
              <w:rPr>
                <w:sz w:val="20"/>
                <w:szCs w:val="20"/>
                <w:color w:val="auto"/>
              </w:rPr>
            </w:pPr>
            <w:r>
              <w:rPr>
                <w:rFonts w:ascii="Calibri" w:cs="Calibri" w:eastAsia="Calibri" w:hAnsi="Calibri"/>
                <w:sz w:val="16"/>
                <w:szCs w:val="16"/>
                <w:color w:val="auto"/>
              </w:rPr>
              <w:t>director or executve ofcer to act in our best interest</w:t>
            </w:r>
          </w:p>
        </w:tc>
        <w:tc>
          <w:tcPr>
            <w:tcW w:w="0" w:type="dxa"/>
            <w:vAlign w:val="bottom"/>
          </w:tcPr>
          <w:p>
            <w:pPr>
              <w:spacing w:after="0"/>
              <w:rPr>
                <w:sz w:val="1"/>
                <w:szCs w:val="1"/>
                <w:color w:val="auto"/>
              </w:rPr>
            </w:pPr>
          </w:p>
        </w:tc>
      </w:tr>
      <w:tr>
        <w:trPr>
          <w:trHeight w:val="87"/>
        </w:trPr>
        <w:tc>
          <w:tcPr>
            <w:tcW w:w="6140" w:type="dxa"/>
            <w:vAlign w:val="bottom"/>
            <w:vMerge w:val="restart"/>
          </w:tcPr>
          <w:p>
            <w:pPr>
              <w:spacing w:after="0"/>
              <w:rPr>
                <w:sz w:val="20"/>
                <w:szCs w:val="20"/>
                <w:color w:val="auto"/>
              </w:rPr>
            </w:pPr>
            <w:r>
              <w:rPr>
                <w:rFonts w:ascii="Calibri" w:cs="Calibri" w:eastAsia="Calibri" w:hAnsi="Calibri"/>
                <w:sz w:val="17"/>
                <w:szCs w:val="17"/>
                <w:color w:val="auto"/>
              </w:rPr>
              <w:t>policy, our General Counsel will</w:t>
            </w:r>
          </w:p>
        </w:tc>
        <w:tc>
          <w:tcPr>
            <w:tcW w:w="620" w:type="dxa"/>
            <w:vAlign w:val="bottom"/>
            <w:shd w:val="clear" w:color="auto" w:fill="D8D8D8"/>
          </w:tcPr>
          <w:p>
            <w:pPr>
              <w:spacing w:after="0"/>
              <w:rPr>
                <w:sz w:val="7"/>
                <w:szCs w:val="7"/>
                <w:color w:val="auto"/>
              </w:rPr>
            </w:pPr>
          </w:p>
        </w:tc>
        <w:tc>
          <w:tcPr>
            <w:tcW w:w="3860" w:type="dxa"/>
            <w:vAlign w:val="bottom"/>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140" w:type="dxa"/>
            <w:vAlign w:val="bottom"/>
            <w:vMerge w:val="continue"/>
          </w:tcPr>
          <w:p>
            <w:pPr>
              <w:spacing w:after="0"/>
              <w:rPr>
                <w:sz w:val="10"/>
                <w:szCs w:val="10"/>
                <w:color w:val="auto"/>
              </w:rPr>
            </w:pPr>
          </w:p>
        </w:tc>
        <w:tc>
          <w:tcPr>
            <w:tcW w:w="620" w:type="dxa"/>
            <w:vAlign w:val="bottom"/>
            <w:shd w:val="clear" w:color="auto" w:fill="D8D8D8"/>
          </w:tcPr>
          <w:p>
            <w:pPr>
              <w:spacing w:after="0"/>
              <w:rPr>
                <w:sz w:val="10"/>
                <w:szCs w:val="10"/>
                <w:color w:val="auto"/>
              </w:rPr>
            </w:pPr>
          </w:p>
        </w:tc>
        <w:tc>
          <w:tcPr>
            <w:tcW w:w="38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140" w:type="dxa"/>
            <w:vAlign w:val="bottom"/>
          </w:tcPr>
          <w:p>
            <w:pPr>
              <w:spacing w:after="0"/>
              <w:rPr>
                <w:sz w:val="3"/>
                <w:szCs w:val="3"/>
                <w:color w:val="auto"/>
              </w:rPr>
            </w:pPr>
          </w:p>
        </w:tc>
        <w:tc>
          <w:tcPr>
            <w:tcW w:w="620" w:type="dxa"/>
            <w:vAlign w:val="bottom"/>
            <w:shd w:val="clear" w:color="auto" w:fill="D8D8D8"/>
          </w:tcPr>
          <w:p>
            <w:pPr>
              <w:spacing w:after="0"/>
              <w:rPr>
                <w:sz w:val="3"/>
                <w:szCs w:val="3"/>
                <w:color w:val="auto"/>
              </w:rPr>
            </w:pPr>
          </w:p>
        </w:tc>
        <w:tc>
          <w:tcPr>
            <w:tcW w:w="3860" w:type="dxa"/>
            <w:vAlign w:val="bottom"/>
            <w:shd w:val="clear" w:color="auto" w:fill="D8D8D8"/>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320" w:right="60"/>
        <w:spacing w:after="0" w:line="235" w:lineRule="auto"/>
        <w:rPr>
          <w:sz w:val="20"/>
          <w:szCs w:val="20"/>
          <w:color w:val="auto"/>
        </w:rPr>
      </w:pPr>
      <w:r>
        <w:rPr>
          <w:rFonts w:ascii="Calibri" w:cs="Calibri" w:eastAsia="Calibri" w:hAnsi="Calibri"/>
          <w:sz w:val="17"/>
          <w:szCs w:val="17"/>
          <w:color w:val="auto"/>
        </w:rPr>
        <w:t>review the facts and circumstances of any covered transacton. If our General Counsel determines that the transacton involves a related party transacton and if the amount involved does not equal or exceed $120,000, our General Counsel will approve or disapprove the transacton. If our General Counsel determines that the transacton involves a related party transacton and if the amount involved equals or exceeds $120,000, our General Counsel will refer the transacton to our Audit Commitee for consideraton. In the course of reviewing, approving or ratfying a disclosable related party transacton, our General Counsel and Audit Commitee considers all factors it considers appropriate, including but not limited to the factors in the box to the right.</w:t>
      </w:r>
    </w:p>
    <w:p>
      <w:pPr>
        <w:spacing w:after="0" w:line="35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Related party transactons</w:t>
      </w:r>
    </w:p>
    <w:p>
      <w:pPr>
        <w:spacing w:after="0" w:line="114" w:lineRule="exact"/>
        <w:rPr>
          <w:sz w:val="20"/>
          <w:szCs w:val="20"/>
          <w:color w:val="auto"/>
        </w:rPr>
      </w:pPr>
    </w:p>
    <w:p>
      <w:pPr>
        <w:ind w:left="320" w:right="340"/>
        <w:spacing w:after="0" w:line="239" w:lineRule="auto"/>
        <w:rPr>
          <w:sz w:val="20"/>
          <w:szCs w:val="20"/>
          <w:color w:val="auto"/>
        </w:rPr>
      </w:pPr>
      <w:r>
        <w:rPr>
          <w:rFonts w:ascii="Calibri" w:cs="Calibri" w:eastAsia="Calibri" w:hAnsi="Calibri"/>
          <w:sz w:val="17"/>
          <w:szCs w:val="17"/>
          <w:color w:val="auto"/>
        </w:rPr>
        <w:t>As required under SEC rules, transactons that are determined to be directly or indirectly material to us or a related person and which involve amounts exceeding $120,000 in the previous fscal year are disclosed in our Proxy Statement.</w:t>
      </w:r>
    </w:p>
    <w:p>
      <w:pPr>
        <w:spacing w:after="0" w:line="3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On October 1, 2018, the Company entered into the Investment Agreement with the Purchaser, an afliate of The Orogen Group. One of the Company’s directors, Vikram Pandit, is the Chairman and Chief Executve Ofcer of The Orogen Group. Under the terms of the Investment Agreement, the Company issued to the Purchaser $150,000,000 in aggregate principal amount of 3.50% Convertble Senior Notes due October 1, 2024 (the “Notes”). In additon, we appointed Mr. Pandit, a nominee of the Purchaser, to our board of directors pursuant to the Investment Agreement. We subsequently entered into a Payof and Terminaton Agreement where we agreed with the Purchaser to (i) a negotated private exchange and prepayment of the Notes and (ii) except as set forth in the Payof and Terminaton Agreement, terminate the Investment Agreement, including the Purchaser’s board appointment rights related to the inital issuance of the Notes and other maters set forth therein.</w:t>
      </w:r>
    </w:p>
    <w:p>
      <w:pPr>
        <w:spacing w:after="0" w:line="213" w:lineRule="exact"/>
        <w:rPr>
          <w:sz w:val="20"/>
          <w:szCs w:val="20"/>
          <w:color w:val="auto"/>
        </w:rPr>
      </w:pPr>
    </w:p>
    <w:p>
      <w:pPr>
        <w:ind w:left="320" w:right="40"/>
        <w:spacing w:after="0" w:line="268" w:lineRule="auto"/>
        <w:rPr>
          <w:sz w:val="20"/>
          <w:szCs w:val="20"/>
          <w:color w:val="auto"/>
        </w:rPr>
      </w:pPr>
      <w:r>
        <w:rPr>
          <w:rFonts w:ascii="Calibri" w:cs="Calibri" w:eastAsia="Calibri" w:hAnsi="Calibri"/>
          <w:sz w:val="16"/>
          <w:szCs w:val="16"/>
          <w:color w:val="auto"/>
        </w:rPr>
        <w:t>Afer considering the facts and circumstances regarding the relatonship, our board of directors has determined that the Investment Agreement (and the Payof and Terminaton Agreement) did not and does not impair Mr. Pandit’s independence under applicable Nasdaq standards and federal securites laws.</w:t>
      </w:r>
    </w:p>
    <w:p>
      <w:pPr>
        <w:spacing w:after="0" w:line="105"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106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40"/>
          </w:cols>
          <w:pgMar w:left="320" w:top="445" w:right="6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Audit Commitee Report</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Audit Commitee Report</w:t>
      </w:r>
    </w:p>
    <w:p>
      <w:pPr>
        <w:spacing w:after="0" w:line="330" w:lineRule="exact"/>
        <w:rPr>
          <w:sz w:val="20"/>
          <w:szCs w:val="20"/>
          <w:color w:val="auto"/>
        </w:rPr>
      </w:pPr>
    </w:p>
    <w:p>
      <w:pPr>
        <w:ind w:left="320" w:right="520"/>
        <w:spacing w:after="0" w:line="239" w:lineRule="auto"/>
        <w:rPr>
          <w:sz w:val="20"/>
          <w:szCs w:val="20"/>
          <w:color w:val="auto"/>
        </w:rPr>
      </w:pPr>
      <w:r>
        <w:rPr>
          <w:rFonts w:ascii="Calibri" w:cs="Calibri" w:eastAsia="Calibri" w:hAnsi="Calibri"/>
          <w:sz w:val="17"/>
          <w:szCs w:val="17"/>
          <w:color w:val="auto"/>
        </w:rPr>
        <w:t>The Audit Commitee of the board of directors of ExlService Holdings, Inc. assists our board of directors in fulflling its oversight responsibilites with respect to the following:</w:t>
      </w:r>
    </w:p>
    <w:p>
      <w:pPr>
        <w:spacing w:after="0" w:line="354" w:lineRule="exact"/>
        <w:rPr>
          <w:sz w:val="20"/>
          <w:szCs w:val="20"/>
          <w:color w:val="auto"/>
        </w:rPr>
      </w:pPr>
    </w:p>
    <w:p>
      <w:pPr>
        <w:ind w:left="1140" w:right="180" w:hanging="407"/>
        <w:spacing w:after="0" w:line="239" w:lineRule="auto"/>
        <w:tabs>
          <w:tab w:leader="none" w:pos="114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our accountng and fnancial reportng processes, including the integrity of the fnancial statements and other fnancial informaton provided by us to our stockholders, the public, stock exchanges and others;</w:t>
      </w:r>
    </w:p>
    <w:p>
      <w:pPr>
        <w:spacing w:after="0" w:line="118" w:lineRule="exact"/>
        <w:rPr>
          <w:rFonts w:ascii="Calibri" w:cs="Calibri" w:eastAsia="Calibri" w:hAnsi="Calibri"/>
          <w:sz w:val="17"/>
          <w:szCs w:val="17"/>
          <w:color w:val="auto"/>
        </w:rPr>
      </w:pPr>
    </w:p>
    <w:p>
      <w:pPr>
        <w:ind w:left="1140" w:hanging="407"/>
        <w:spacing w:after="0"/>
        <w:tabs>
          <w:tab w:leader="none" w:pos="114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our compliance with legal and regulatory requirements;</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our registered independent public accountng frm’s qualifcatons and independence;</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the audit of our fnancial statements; and</w:t>
      </w:r>
    </w:p>
    <w:p>
      <w:pPr>
        <w:spacing w:after="0" w:line="117" w:lineRule="exact"/>
        <w:rPr>
          <w:rFonts w:ascii="Calibri" w:cs="Calibri" w:eastAsia="Calibri" w:hAnsi="Calibri"/>
          <w:sz w:val="17"/>
          <w:szCs w:val="17"/>
          <w:color w:val="auto"/>
        </w:rPr>
      </w:pPr>
    </w:p>
    <w:p>
      <w:pPr>
        <w:ind w:left="1140" w:hanging="407"/>
        <w:spacing w:after="0"/>
        <w:tabs>
          <w:tab w:leader="none" w:pos="1140" w:val="left"/>
        </w:tabs>
        <w:numPr>
          <w:ilvl w:val="0"/>
          <w:numId w:val="46"/>
        </w:numPr>
        <w:rPr>
          <w:rFonts w:ascii="Calibri" w:cs="Calibri" w:eastAsia="Calibri" w:hAnsi="Calibri"/>
          <w:sz w:val="17"/>
          <w:szCs w:val="17"/>
          <w:color w:val="auto"/>
        </w:rPr>
      </w:pPr>
      <w:r>
        <w:rPr>
          <w:rFonts w:ascii="Calibri" w:cs="Calibri" w:eastAsia="Calibri" w:hAnsi="Calibri"/>
          <w:sz w:val="17"/>
          <w:szCs w:val="17"/>
          <w:color w:val="auto"/>
        </w:rPr>
        <w:t>the performance of our internal audit functon and independent registered public accountng frm.</w:t>
      </w:r>
    </w:p>
    <w:p>
      <w:pPr>
        <w:spacing w:after="0" w:line="314" w:lineRule="exact"/>
        <w:rPr>
          <w:sz w:val="20"/>
          <w:szCs w:val="20"/>
          <w:color w:val="auto"/>
        </w:rPr>
      </w:pPr>
    </w:p>
    <w:p>
      <w:pPr>
        <w:jc w:val="both"/>
        <w:ind w:left="320" w:right="140"/>
        <w:spacing w:after="0"/>
        <w:rPr>
          <w:sz w:val="20"/>
          <w:szCs w:val="20"/>
          <w:color w:val="auto"/>
        </w:rPr>
      </w:pPr>
      <w:r>
        <w:rPr>
          <w:rFonts w:ascii="Calibri" w:cs="Calibri" w:eastAsia="Calibri" w:hAnsi="Calibri"/>
          <w:sz w:val="17"/>
          <w:szCs w:val="17"/>
          <w:color w:val="auto"/>
        </w:rPr>
        <w:t>In connecton with these responsibilites, the Audit Commitee met with management and Deloite &amp; Touche LLP to review and discuss the December 31, 2021 audited consolidated fnancial statements. The Audit Commitee also discussed with Deloite &amp; Touche LLP the maters required to be discussed by the applicable requirements of the Public Company Accountng Oversight Board and the SEC. The Audit Commitee also received writen disclosures and the leter from Deloite &amp; Touche LLP required by Rule 3526 of the Public Company Accountng Oversight Board (Communicatons with Audit Commitees Concerning Independence), and the Audit Commitee discussed with Deloite &amp; Touche LLP the frm’s independence.</w:t>
      </w:r>
    </w:p>
    <w:p>
      <w:pPr>
        <w:spacing w:after="0" w:line="315"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Based on the review and discussions referred to above, the Audit Commitee approved the inclusion of the audited fnancial statements in the Company’s Annual Report on Form 10-K for the fscal year ended December 31, 2021.</w:t>
      </w:r>
    </w:p>
    <w:p>
      <w:pPr>
        <w:spacing w:after="0" w:line="392"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Audit Commitee</w:t>
      </w:r>
    </w:p>
    <w:p>
      <w:pPr>
        <w:spacing w:after="0" w:line="105"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Kristy Pipes (Chair)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Vikram Pandit</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Clyde W. Ostler</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Mr. Nitn Sahney</w:t>
      </w:r>
    </w:p>
    <w:p>
      <w:pPr>
        <w:spacing w:after="0" w:line="1" w:lineRule="exact"/>
        <w:rPr>
          <w:sz w:val="20"/>
          <w:szCs w:val="20"/>
          <w:color w:val="auto"/>
        </w:rPr>
      </w:pPr>
    </w:p>
    <w:p>
      <w:pPr>
        <w:ind w:left="740"/>
        <w:spacing w:after="0"/>
        <w:rPr>
          <w:sz w:val="20"/>
          <w:szCs w:val="20"/>
          <w:color w:val="auto"/>
        </w:rPr>
      </w:pPr>
      <w:r>
        <w:rPr>
          <w:rFonts w:ascii="Calibri" w:cs="Calibri" w:eastAsia="Calibri" w:hAnsi="Calibri"/>
          <w:sz w:val="17"/>
          <w:szCs w:val="17"/>
          <w:color w:val="auto"/>
        </w:rPr>
        <w:t>Ms. Jaynie Studenmund</w:t>
      </w:r>
    </w:p>
    <w:p>
      <w:pPr>
        <w:spacing w:after="0" w:line="127"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107</w:t>
            </w:r>
          </w:p>
        </w:tc>
      </w:tr>
    </w:tbl>
    <w:p>
      <w:pPr>
        <w:sectPr>
          <w:pgSz w:w="11900" w:h="16838" w:orient="portrait"/>
          <w:cols w:equalWidth="0" w:num="1">
            <w:col w:w="10940"/>
          </w:cols>
          <w:pgMar w:left="320" w:top="445" w:right="6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Proposal 1 - Electon of directors</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Proposal 1 — Electon of directors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The nominees</w:t>
      </w:r>
    </w:p>
    <w:p>
      <w:pPr>
        <w:spacing w:after="0" w:line="114"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Our Nominatng and Governance Commitee has nominated, and our board of directors has designated, Mses. Minto, Pipes and Studenmund and Messrs. Kapoor, Mital, Ostler, Pandit, and Sahney to stand for electon as directors at the Annual Meetng. One of our current directors, Mr. Staglin, will not be standing for re-electon at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Term of ofce</w:t>
      </w:r>
    </w:p>
    <w:p>
      <w:pPr>
        <w:spacing w:after="0" w:line="114"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If elected, each of the director nominees will serve a term of one year on our board of directors, untl our 2023 Annual Meetng of Stockholders or untl their successors are duly elected and qualifed in accordance with our by-laws.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Votng instructons and substtutes</w:t>
      </w:r>
    </w:p>
    <w:p>
      <w:pPr>
        <w:spacing w:after="0" w:line="114"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The proxies given to the proxy holders will be voted or not voted as directed and, if no directon is given, will be voted FOR these six nominees. Our board of directors knows of no reason why any of these nominees should be unable or unwilling to serve. However, if for any reason any nominee should be unable or unwilling to stand for electon, the shares represented by proxies will be voted for the electon of any substtute nominee designated by our board of directors to fll the vacancy.</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General informaton about nominees</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The age, tenure on our board of directors and commitee membership, if any, of each nominee appears below. Informaton regarding the business experience during at least the last fve years and directorships of other publicly owned corporatons of each nominee can be found above under “Our board of directors.” Other informaton required with respect to any solicitaton of proxies in connecton with the electon of directors is found elsewhere in this Proxy Statement.</w:t>
      </w:r>
    </w:p>
    <w:p>
      <w:pPr>
        <w:spacing w:after="0" w:line="200" w:lineRule="exact"/>
        <w:rPr>
          <w:sz w:val="20"/>
          <w:szCs w:val="20"/>
          <w:color w:val="auto"/>
        </w:rPr>
      </w:pPr>
    </w:p>
    <w:p>
      <w:pPr>
        <w:spacing w:after="0" w:line="282"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1380" w:type="dxa"/>
            <w:vAlign w:val="bottom"/>
          </w:tcPr>
          <w:p>
            <w:pPr>
              <w:ind w:left="100"/>
              <w:spacing w:after="0"/>
              <w:rPr>
                <w:sz w:val="20"/>
                <w:szCs w:val="20"/>
                <w:color w:val="auto"/>
              </w:rPr>
            </w:pPr>
            <w:r>
              <w:rPr>
                <w:rFonts w:ascii="Calibri" w:cs="Calibri" w:eastAsia="Calibri" w:hAnsi="Calibri"/>
                <w:sz w:val="17"/>
                <w:szCs w:val="17"/>
                <w:b w:val="1"/>
                <w:bCs w:val="1"/>
                <w:color w:val="FB4E0B"/>
              </w:rPr>
              <w:t>Name</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center"/>
              <w:ind w:right="33"/>
              <w:spacing w:after="0"/>
              <w:rPr>
                <w:sz w:val="20"/>
                <w:szCs w:val="20"/>
                <w:color w:val="auto"/>
              </w:rPr>
            </w:pPr>
            <w:r>
              <w:rPr>
                <w:rFonts w:ascii="Calibri" w:cs="Calibri" w:eastAsia="Calibri" w:hAnsi="Calibri"/>
                <w:sz w:val="17"/>
                <w:szCs w:val="17"/>
                <w:b w:val="1"/>
                <w:bCs w:val="1"/>
                <w:color w:val="FB4E0B"/>
                <w:w w:val="96"/>
              </w:rPr>
              <w:t>Age</w:t>
            </w:r>
          </w:p>
        </w:tc>
        <w:tc>
          <w:tcPr>
            <w:tcW w:w="188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Director since</w:t>
            </w:r>
          </w:p>
        </w:tc>
        <w:tc>
          <w:tcPr>
            <w:tcW w:w="1760" w:type="dxa"/>
            <w:vAlign w:val="bottom"/>
          </w:tcPr>
          <w:p>
            <w:pPr>
              <w:jc w:val="center"/>
              <w:spacing w:after="0"/>
              <w:rPr>
                <w:sz w:val="20"/>
                <w:szCs w:val="20"/>
                <w:color w:val="auto"/>
              </w:rPr>
            </w:pPr>
            <w:r>
              <w:rPr>
                <w:rFonts w:ascii="Calibri" w:cs="Calibri" w:eastAsia="Calibri" w:hAnsi="Calibri"/>
                <w:sz w:val="17"/>
                <w:szCs w:val="17"/>
                <w:b w:val="1"/>
                <w:bCs w:val="1"/>
                <w:color w:val="FB4E0B"/>
              </w:rPr>
              <w:t>Independent</w:t>
            </w:r>
          </w:p>
        </w:tc>
        <w:tc>
          <w:tcPr>
            <w:tcW w:w="3220" w:type="dxa"/>
            <w:vAlign w:val="bottom"/>
          </w:tcPr>
          <w:p>
            <w:pPr>
              <w:ind w:left="140"/>
              <w:spacing w:after="0"/>
              <w:rPr>
                <w:sz w:val="20"/>
                <w:szCs w:val="20"/>
                <w:color w:val="auto"/>
              </w:rPr>
            </w:pPr>
            <w:r>
              <w:rPr>
                <w:rFonts w:ascii="Calibri" w:cs="Calibri" w:eastAsia="Calibri" w:hAnsi="Calibri"/>
                <w:sz w:val="17"/>
                <w:szCs w:val="17"/>
                <w:b w:val="1"/>
                <w:bCs w:val="1"/>
                <w:color w:val="FB4E0B"/>
              </w:rPr>
              <w:t>Commitee membership</w:t>
            </w:r>
          </w:p>
        </w:tc>
        <w:tc>
          <w:tcPr>
            <w:tcW w:w="0" w:type="dxa"/>
            <w:vAlign w:val="bottom"/>
          </w:tcPr>
          <w:p>
            <w:pPr>
              <w:spacing w:after="0"/>
              <w:rPr>
                <w:sz w:val="1"/>
                <w:szCs w:val="1"/>
                <w:color w:val="auto"/>
              </w:rPr>
            </w:pPr>
          </w:p>
        </w:tc>
      </w:tr>
      <w:tr>
        <w:trPr>
          <w:trHeight w:val="133"/>
        </w:trPr>
        <w:tc>
          <w:tcPr>
            <w:tcW w:w="1380" w:type="dxa"/>
            <w:vAlign w:val="bottom"/>
            <w:tcBorders>
              <w:bottom w:val="single" w:sz="8" w:color="FB4E0B"/>
            </w:tcBorders>
          </w:tcPr>
          <w:p>
            <w:pPr>
              <w:spacing w:after="0"/>
              <w:rPr>
                <w:sz w:val="11"/>
                <w:szCs w:val="11"/>
                <w:color w:val="auto"/>
              </w:rPr>
            </w:pPr>
          </w:p>
        </w:tc>
        <w:tc>
          <w:tcPr>
            <w:tcW w:w="1500" w:type="dxa"/>
            <w:vAlign w:val="bottom"/>
            <w:tcBorders>
              <w:bottom w:val="single" w:sz="8" w:color="FB4E0B"/>
            </w:tcBorders>
          </w:tcPr>
          <w:p>
            <w:pPr>
              <w:spacing w:after="0"/>
              <w:rPr>
                <w:sz w:val="11"/>
                <w:szCs w:val="11"/>
                <w:color w:val="auto"/>
              </w:rPr>
            </w:pPr>
          </w:p>
        </w:tc>
        <w:tc>
          <w:tcPr>
            <w:tcW w:w="180" w:type="dxa"/>
            <w:vAlign w:val="bottom"/>
            <w:tcBorders>
              <w:bottom w:val="single" w:sz="8" w:color="FB4E0B"/>
            </w:tcBorders>
          </w:tcPr>
          <w:p>
            <w:pPr>
              <w:spacing w:after="0"/>
              <w:rPr>
                <w:sz w:val="11"/>
                <w:szCs w:val="11"/>
                <w:color w:val="auto"/>
              </w:rPr>
            </w:pPr>
          </w:p>
        </w:tc>
        <w:tc>
          <w:tcPr>
            <w:tcW w:w="700" w:type="dxa"/>
            <w:vAlign w:val="bottom"/>
            <w:tcBorders>
              <w:bottom w:val="single" w:sz="8" w:color="FB4E0B"/>
            </w:tcBorders>
          </w:tcPr>
          <w:p>
            <w:pPr>
              <w:spacing w:after="0"/>
              <w:rPr>
                <w:sz w:val="11"/>
                <w:szCs w:val="11"/>
                <w:color w:val="auto"/>
              </w:rPr>
            </w:pPr>
          </w:p>
        </w:tc>
        <w:tc>
          <w:tcPr>
            <w:tcW w:w="1880" w:type="dxa"/>
            <w:vAlign w:val="bottom"/>
            <w:tcBorders>
              <w:bottom w:val="single" w:sz="8" w:color="FB4E0B"/>
            </w:tcBorders>
          </w:tcPr>
          <w:p>
            <w:pPr>
              <w:spacing w:after="0"/>
              <w:rPr>
                <w:sz w:val="11"/>
                <w:szCs w:val="11"/>
                <w:color w:val="auto"/>
              </w:rPr>
            </w:pPr>
          </w:p>
        </w:tc>
        <w:tc>
          <w:tcPr>
            <w:tcW w:w="1760" w:type="dxa"/>
            <w:vAlign w:val="bottom"/>
            <w:tcBorders>
              <w:bottom w:val="single" w:sz="8" w:color="FB4E0B"/>
            </w:tcBorders>
          </w:tcPr>
          <w:p>
            <w:pPr>
              <w:spacing w:after="0"/>
              <w:rPr>
                <w:sz w:val="11"/>
                <w:szCs w:val="11"/>
                <w:color w:val="auto"/>
              </w:rPr>
            </w:pPr>
          </w:p>
        </w:tc>
        <w:tc>
          <w:tcPr>
            <w:tcW w:w="322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1380" w:type="dxa"/>
            <w:vAlign w:val="bottom"/>
          </w:tcPr>
          <w:p>
            <w:pPr>
              <w:ind w:left="100"/>
              <w:spacing w:after="0"/>
              <w:rPr>
                <w:sz w:val="20"/>
                <w:szCs w:val="20"/>
                <w:color w:val="auto"/>
              </w:rPr>
            </w:pPr>
            <w:r>
              <w:rPr>
                <w:rFonts w:ascii="Calibri" w:cs="Calibri" w:eastAsia="Calibri" w:hAnsi="Calibri"/>
                <w:sz w:val="17"/>
                <w:szCs w:val="17"/>
                <w:b w:val="1"/>
                <w:bCs w:val="1"/>
                <w:color w:val="auto"/>
              </w:rPr>
              <w:t>Vikram Pandit</w:t>
            </w:r>
          </w:p>
        </w:tc>
        <w:tc>
          <w:tcPr>
            <w:tcW w:w="15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right w:val="single" w:sz="8" w:color="auto"/>
            </w:tcBorders>
            <w:vMerge w:val="restart"/>
          </w:tcPr>
          <w:p>
            <w:pPr>
              <w:jc w:val="center"/>
              <w:ind w:right="33"/>
              <w:spacing w:after="0"/>
              <w:rPr>
                <w:sz w:val="20"/>
                <w:szCs w:val="20"/>
                <w:color w:val="auto"/>
              </w:rPr>
            </w:pPr>
            <w:r>
              <w:rPr>
                <w:rFonts w:ascii="Calibri" w:cs="Calibri" w:eastAsia="Calibri" w:hAnsi="Calibri"/>
                <w:sz w:val="17"/>
                <w:szCs w:val="17"/>
                <w:color w:val="auto"/>
              </w:rPr>
              <w:t>65</w:t>
            </w:r>
          </w:p>
        </w:tc>
        <w:tc>
          <w:tcPr>
            <w:tcW w:w="1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October</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rPr>
              <w:t>Yes</w:t>
            </w:r>
          </w:p>
        </w:tc>
        <w:tc>
          <w:tcPr>
            <w:tcW w:w="3220" w:type="dxa"/>
            <w:vAlign w:val="bottom"/>
            <w:vMerge w:val="restart"/>
          </w:tcPr>
          <w:p>
            <w:pPr>
              <w:ind w:left="140"/>
              <w:spacing w:after="0"/>
              <w:rPr>
                <w:sz w:val="20"/>
                <w:szCs w:val="20"/>
                <w:color w:val="auto"/>
              </w:rPr>
            </w:pPr>
            <w:r>
              <w:rPr>
                <w:rFonts w:ascii="Calibri" w:cs="Calibri" w:eastAsia="Calibri" w:hAnsi="Calibri"/>
                <w:sz w:val="17"/>
                <w:szCs w:val="17"/>
                <w:color w:val="auto"/>
              </w:rPr>
              <w:t>Audit; Nominatng and Governance</w:t>
            </w:r>
          </w:p>
        </w:tc>
        <w:tc>
          <w:tcPr>
            <w:tcW w:w="0" w:type="dxa"/>
            <w:vAlign w:val="bottom"/>
          </w:tcPr>
          <w:p>
            <w:pPr>
              <w:spacing w:after="0"/>
              <w:rPr>
                <w:sz w:val="1"/>
                <w:szCs w:val="1"/>
                <w:color w:val="auto"/>
              </w:rPr>
            </w:pPr>
          </w:p>
        </w:tc>
      </w:tr>
      <w:tr>
        <w:trPr>
          <w:trHeight w:val="102"/>
        </w:trPr>
        <w:tc>
          <w:tcPr>
            <w:tcW w:w="1380" w:type="dxa"/>
            <w:vAlign w:val="bottom"/>
            <w:vMerge w:val="restart"/>
          </w:tcPr>
          <w:p>
            <w:pPr>
              <w:ind w:left="100"/>
              <w:spacing w:after="0"/>
              <w:rPr>
                <w:sz w:val="20"/>
                <w:szCs w:val="20"/>
                <w:color w:val="auto"/>
              </w:rPr>
            </w:pPr>
            <w:r>
              <w:rPr>
                <w:rFonts w:ascii="Calibri" w:cs="Calibri" w:eastAsia="Calibri" w:hAnsi="Calibri"/>
                <w:sz w:val="17"/>
                <w:szCs w:val="17"/>
                <w:b w:val="1"/>
                <w:bCs w:val="1"/>
                <w:i w:val="1"/>
                <w:iCs w:val="1"/>
                <w:color w:val="auto"/>
              </w:rPr>
              <w:t>Chairman</w:t>
            </w:r>
          </w:p>
        </w:tc>
        <w:tc>
          <w:tcPr>
            <w:tcW w:w="150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vMerge w:val="restart"/>
          </w:tcPr>
          <w:p>
            <w:pPr>
              <w:jc w:val="center"/>
              <w:spacing w:after="0" w:line="206" w:lineRule="exact"/>
              <w:rPr>
                <w:sz w:val="20"/>
                <w:szCs w:val="20"/>
                <w:color w:val="auto"/>
              </w:rPr>
            </w:pPr>
            <w:r>
              <w:rPr>
                <w:rFonts w:ascii="Calibri" w:cs="Calibri" w:eastAsia="Calibri" w:hAnsi="Calibri"/>
                <w:sz w:val="17"/>
                <w:szCs w:val="17"/>
                <w:color w:val="auto"/>
              </w:rPr>
              <w:t>2018</w:t>
            </w:r>
          </w:p>
        </w:tc>
        <w:tc>
          <w:tcPr>
            <w:tcW w:w="1760" w:type="dxa"/>
            <w:vAlign w:val="bottom"/>
            <w:tcBorders>
              <w:right w:val="single" w:sz="8" w:color="auto"/>
            </w:tcBorders>
            <w:vMerge w:val="continue"/>
          </w:tcPr>
          <w:p>
            <w:pPr>
              <w:spacing w:after="0"/>
              <w:rPr>
                <w:sz w:val="8"/>
                <w:szCs w:val="8"/>
                <w:color w:val="auto"/>
              </w:rPr>
            </w:pPr>
          </w:p>
        </w:tc>
        <w:tc>
          <w:tcPr>
            <w:tcW w:w="3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380" w:type="dxa"/>
            <w:vAlign w:val="bottom"/>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38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100"/>
              <w:spacing w:after="0"/>
              <w:rPr>
                <w:sz w:val="20"/>
                <w:szCs w:val="20"/>
                <w:color w:val="auto"/>
              </w:rPr>
            </w:pPr>
            <w:r>
              <w:rPr>
                <w:rFonts w:ascii="Calibri" w:cs="Calibri" w:eastAsia="Calibri" w:hAnsi="Calibri"/>
                <w:sz w:val="17"/>
                <w:szCs w:val="17"/>
                <w:b w:val="1"/>
                <w:bCs w:val="1"/>
                <w:color w:val="auto"/>
              </w:rPr>
              <w:t>Rohit Kapoor</w:t>
            </w:r>
          </w:p>
        </w:tc>
        <w:tc>
          <w:tcPr>
            <w:tcW w:w="15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right w:val="single" w:sz="8" w:color="auto"/>
            </w:tcBorders>
            <w:vMerge w:val="restart"/>
          </w:tcPr>
          <w:p>
            <w:pPr>
              <w:jc w:val="center"/>
              <w:ind w:right="33"/>
              <w:spacing w:after="0"/>
              <w:rPr>
                <w:sz w:val="20"/>
                <w:szCs w:val="20"/>
                <w:color w:val="auto"/>
              </w:rPr>
            </w:pPr>
            <w:r>
              <w:rPr>
                <w:rFonts w:ascii="Calibri" w:cs="Calibri" w:eastAsia="Calibri" w:hAnsi="Calibri"/>
                <w:sz w:val="17"/>
                <w:szCs w:val="17"/>
                <w:color w:val="auto"/>
              </w:rPr>
              <w:t>57</w:t>
            </w:r>
          </w:p>
        </w:tc>
        <w:tc>
          <w:tcPr>
            <w:tcW w:w="1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November</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rPr>
              <w:t>No</w:t>
            </w:r>
          </w:p>
        </w:tc>
        <w:tc>
          <w:tcPr>
            <w:tcW w:w="3220" w:type="dxa"/>
            <w:vAlign w:val="bottom"/>
            <w:vMerge w:val="restart"/>
          </w:tcPr>
          <w:p>
            <w:pPr>
              <w:ind w:left="140"/>
              <w:spacing w:after="0"/>
              <w:rPr>
                <w:sz w:val="20"/>
                <w:szCs w:val="20"/>
                <w:color w:val="auto"/>
              </w:rPr>
            </w:pPr>
            <w:r>
              <w:rPr>
                <w:rFonts w:ascii="Calibri" w:cs="Calibri" w:eastAsia="Calibri" w:hAnsi="Calibri"/>
                <w:sz w:val="17"/>
                <w:szCs w:val="17"/>
                <w:color w:val="auto"/>
              </w:rPr>
              <w:t>None</w:t>
            </w:r>
          </w:p>
        </w:tc>
        <w:tc>
          <w:tcPr>
            <w:tcW w:w="0" w:type="dxa"/>
            <w:vAlign w:val="bottom"/>
          </w:tcPr>
          <w:p>
            <w:pPr>
              <w:spacing w:after="0"/>
              <w:rPr>
                <w:sz w:val="1"/>
                <w:szCs w:val="1"/>
                <w:color w:val="auto"/>
              </w:rPr>
            </w:pPr>
          </w:p>
        </w:tc>
      </w:tr>
      <w:tr>
        <w:trPr>
          <w:trHeight w:val="104"/>
        </w:trPr>
        <w:tc>
          <w:tcPr>
            <w:tcW w:w="2880" w:type="dxa"/>
            <w:vAlign w:val="bottom"/>
            <w:tcBorders>
              <w:right w:val="single" w:sz="8" w:color="auto"/>
            </w:tcBorders>
            <w:gridSpan w:val="2"/>
            <w:vMerge w:val="restart"/>
          </w:tcPr>
          <w:p>
            <w:pPr>
              <w:ind w:left="100"/>
              <w:spacing w:after="0"/>
              <w:rPr>
                <w:sz w:val="20"/>
                <w:szCs w:val="20"/>
                <w:color w:val="auto"/>
              </w:rPr>
            </w:pPr>
            <w:r>
              <w:rPr>
                <w:rFonts w:ascii="Calibri" w:cs="Calibri" w:eastAsia="Calibri" w:hAnsi="Calibri"/>
                <w:sz w:val="17"/>
                <w:szCs w:val="17"/>
                <w:b w:val="1"/>
                <w:bCs w:val="1"/>
                <w:i w:val="1"/>
                <w:iCs w:val="1"/>
                <w:color w:val="auto"/>
              </w:rPr>
              <w:t>Vice Chairman and CEO</w:t>
            </w:r>
          </w:p>
        </w:tc>
        <w:tc>
          <w:tcPr>
            <w:tcW w:w="180" w:type="dxa"/>
            <w:vAlign w:val="bottom"/>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rPr>
              <w:t>2002</w:t>
            </w:r>
          </w:p>
        </w:tc>
        <w:tc>
          <w:tcPr>
            <w:tcW w:w="1760" w:type="dxa"/>
            <w:vAlign w:val="bottom"/>
            <w:tcBorders>
              <w:right w:val="single" w:sz="8" w:color="auto"/>
            </w:tcBorders>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880" w:type="dxa"/>
            <w:vAlign w:val="bottom"/>
            <w:tcBorders>
              <w:right w:val="single" w:sz="8" w:color="auto"/>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38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80" w:type="dxa"/>
            <w:vAlign w:val="bottom"/>
            <w:vMerge w:val="restart"/>
          </w:tcPr>
          <w:p>
            <w:pPr>
              <w:ind w:left="100"/>
              <w:spacing w:after="0"/>
              <w:rPr>
                <w:sz w:val="20"/>
                <w:szCs w:val="20"/>
                <w:color w:val="auto"/>
              </w:rPr>
            </w:pPr>
            <w:r>
              <w:rPr>
                <w:rFonts w:ascii="Calibri" w:cs="Calibri" w:eastAsia="Calibri" w:hAnsi="Calibri"/>
                <w:sz w:val="17"/>
                <w:szCs w:val="17"/>
                <w:b w:val="1"/>
                <w:bCs w:val="1"/>
                <w:color w:val="auto"/>
              </w:rPr>
              <w:t>Anne Minto</w:t>
            </w:r>
          </w:p>
        </w:tc>
        <w:tc>
          <w:tcPr>
            <w:tcW w:w="15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right w:val="single" w:sz="8" w:color="auto"/>
            </w:tcBorders>
            <w:vMerge w:val="restart"/>
          </w:tcPr>
          <w:p>
            <w:pPr>
              <w:jc w:val="center"/>
              <w:ind w:right="33"/>
              <w:spacing w:after="0"/>
              <w:rPr>
                <w:sz w:val="20"/>
                <w:szCs w:val="20"/>
                <w:color w:val="auto"/>
              </w:rPr>
            </w:pPr>
            <w:r>
              <w:rPr>
                <w:rFonts w:ascii="Calibri" w:cs="Calibri" w:eastAsia="Calibri" w:hAnsi="Calibri"/>
                <w:sz w:val="17"/>
                <w:szCs w:val="17"/>
                <w:color w:val="auto"/>
              </w:rPr>
              <w:t>68</w:t>
            </w:r>
          </w:p>
        </w:tc>
        <w:tc>
          <w:tcPr>
            <w:tcW w:w="1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8"/>
              </w:rPr>
              <w:t>March</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rPr>
              <w:t>Yes</w:t>
            </w:r>
          </w:p>
        </w:tc>
        <w:tc>
          <w:tcPr>
            <w:tcW w:w="3220" w:type="dxa"/>
            <w:vAlign w:val="bottom"/>
          </w:tcPr>
          <w:p>
            <w:pPr>
              <w:ind w:left="140"/>
              <w:spacing w:after="0"/>
              <w:rPr>
                <w:sz w:val="20"/>
                <w:szCs w:val="20"/>
                <w:color w:val="auto"/>
              </w:rPr>
            </w:pPr>
            <w:r>
              <w:rPr>
                <w:rFonts w:ascii="Calibri" w:cs="Calibri" w:eastAsia="Calibri" w:hAnsi="Calibri"/>
                <w:sz w:val="17"/>
                <w:szCs w:val="17"/>
                <w:color w:val="auto"/>
              </w:rPr>
              <w:t>Compensaton; Nominatng and</w:t>
            </w:r>
          </w:p>
        </w:tc>
        <w:tc>
          <w:tcPr>
            <w:tcW w:w="0" w:type="dxa"/>
            <w:vAlign w:val="bottom"/>
          </w:tcPr>
          <w:p>
            <w:pPr>
              <w:spacing w:after="0"/>
              <w:rPr>
                <w:sz w:val="1"/>
                <w:szCs w:val="1"/>
                <w:color w:val="auto"/>
              </w:rPr>
            </w:pPr>
          </w:p>
        </w:tc>
      </w:tr>
      <w:tr>
        <w:trPr>
          <w:trHeight w:val="104"/>
        </w:trPr>
        <w:tc>
          <w:tcPr>
            <w:tcW w:w="1380" w:type="dxa"/>
            <w:vAlign w:val="bottom"/>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rPr>
              <w:t>2013</w:t>
            </w:r>
          </w:p>
        </w:tc>
        <w:tc>
          <w:tcPr>
            <w:tcW w:w="1760" w:type="dxa"/>
            <w:vAlign w:val="bottom"/>
            <w:tcBorders>
              <w:right w:val="single" w:sz="8" w:color="auto"/>
            </w:tcBorders>
            <w:vMerge w:val="continue"/>
          </w:tcPr>
          <w:p>
            <w:pPr>
              <w:spacing w:after="0"/>
              <w:rPr>
                <w:sz w:val="9"/>
                <w:szCs w:val="9"/>
                <w:color w:val="auto"/>
              </w:rPr>
            </w:pPr>
          </w:p>
        </w:tc>
        <w:tc>
          <w:tcPr>
            <w:tcW w:w="3220" w:type="dxa"/>
            <w:vAlign w:val="bottom"/>
            <w:vMerge w:val="restart"/>
          </w:tcPr>
          <w:p>
            <w:pPr>
              <w:ind w:left="140"/>
              <w:spacing w:after="0"/>
              <w:rPr>
                <w:sz w:val="20"/>
                <w:szCs w:val="20"/>
                <w:color w:val="auto"/>
              </w:rPr>
            </w:pPr>
            <w:r>
              <w:rPr>
                <w:rFonts w:ascii="Calibri" w:cs="Calibri" w:eastAsia="Calibri" w:hAnsi="Calibri"/>
                <w:sz w:val="17"/>
                <w:szCs w:val="17"/>
                <w:color w:val="auto"/>
              </w:rPr>
              <w:t>Governance</w:t>
            </w:r>
          </w:p>
        </w:tc>
        <w:tc>
          <w:tcPr>
            <w:tcW w:w="0" w:type="dxa"/>
            <w:vAlign w:val="bottom"/>
          </w:tcPr>
          <w:p>
            <w:pPr>
              <w:spacing w:after="0"/>
              <w:rPr>
                <w:sz w:val="1"/>
                <w:szCs w:val="1"/>
                <w:color w:val="auto"/>
              </w:rPr>
            </w:pPr>
          </w:p>
        </w:tc>
      </w:tr>
      <w:tr>
        <w:trPr>
          <w:trHeight w:val="104"/>
        </w:trPr>
        <w:tc>
          <w:tcPr>
            <w:tcW w:w="1380" w:type="dxa"/>
            <w:vAlign w:val="bottom"/>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38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80" w:type="dxa"/>
            <w:vAlign w:val="bottom"/>
            <w:vMerge w:val="restart"/>
          </w:tcPr>
          <w:p>
            <w:pPr>
              <w:ind w:left="100"/>
              <w:spacing w:after="0"/>
              <w:rPr>
                <w:sz w:val="20"/>
                <w:szCs w:val="20"/>
                <w:color w:val="auto"/>
              </w:rPr>
            </w:pPr>
            <w:r>
              <w:rPr>
                <w:rFonts w:ascii="Calibri" w:cs="Calibri" w:eastAsia="Calibri" w:hAnsi="Calibri"/>
                <w:sz w:val="17"/>
                <w:szCs w:val="17"/>
                <w:b w:val="1"/>
                <w:bCs w:val="1"/>
                <w:color w:val="auto"/>
              </w:rPr>
              <w:t>Som Mital</w:t>
            </w:r>
          </w:p>
        </w:tc>
        <w:tc>
          <w:tcPr>
            <w:tcW w:w="15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right w:val="single" w:sz="8" w:color="auto"/>
            </w:tcBorders>
            <w:vMerge w:val="restart"/>
          </w:tcPr>
          <w:p>
            <w:pPr>
              <w:jc w:val="center"/>
              <w:ind w:right="33"/>
              <w:spacing w:after="0"/>
              <w:rPr>
                <w:sz w:val="20"/>
                <w:szCs w:val="20"/>
                <w:color w:val="auto"/>
              </w:rPr>
            </w:pPr>
            <w:r>
              <w:rPr>
                <w:rFonts w:ascii="Calibri" w:cs="Calibri" w:eastAsia="Calibri" w:hAnsi="Calibri"/>
                <w:sz w:val="17"/>
                <w:szCs w:val="17"/>
                <w:color w:val="auto"/>
              </w:rPr>
              <w:t>70</w:t>
            </w:r>
          </w:p>
        </w:tc>
        <w:tc>
          <w:tcPr>
            <w:tcW w:w="1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December</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rPr>
              <w:t>Yes</w:t>
            </w:r>
          </w:p>
        </w:tc>
        <w:tc>
          <w:tcPr>
            <w:tcW w:w="3220" w:type="dxa"/>
            <w:vAlign w:val="bottom"/>
            <w:vMerge w:val="restart"/>
          </w:tcPr>
          <w:p>
            <w:pPr>
              <w:ind w:left="140"/>
              <w:spacing w:after="0"/>
              <w:rPr>
                <w:sz w:val="20"/>
                <w:szCs w:val="20"/>
                <w:color w:val="auto"/>
              </w:rPr>
            </w:pPr>
            <w:r>
              <w:rPr>
                <w:rFonts w:ascii="Calibri" w:cs="Calibri" w:eastAsia="Calibri" w:hAnsi="Calibri"/>
                <w:sz w:val="17"/>
                <w:szCs w:val="17"/>
                <w:color w:val="auto"/>
              </w:rPr>
              <w:t>Compensaton; Nominatng and Governance</w:t>
            </w:r>
          </w:p>
        </w:tc>
        <w:tc>
          <w:tcPr>
            <w:tcW w:w="0" w:type="dxa"/>
            <w:vAlign w:val="bottom"/>
          </w:tcPr>
          <w:p>
            <w:pPr>
              <w:spacing w:after="0"/>
              <w:rPr>
                <w:sz w:val="1"/>
                <w:szCs w:val="1"/>
                <w:color w:val="auto"/>
              </w:rPr>
            </w:pPr>
          </w:p>
        </w:tc>
      </w:tr>
      <w:tr>
        <w:trPr>
          <w:trHeight w:val="104"/>
        </w:trPr>
        <w:tc>
          <w:tcPr>
            <w:tcW w:w="1380" w:type="dxa"/>
            <w:vAlign w:val="bottom"/>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rPr>
              <w:t>2013</w:t>
            </w:r>
          </w:p>
        </w:tc>
        <w:tc>
          <w:tcPr>
            <w:tcW w:w="1760" w:type="dxa"/>
            <w:vAlign w:val="bottom"/>
            <w:tcBorders>
              <w:right w:val="single" w:sz="8" w:color="auto"/>
            </w:tcBorders>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80" w:type="dxa"/>
            <w:vAlign w:val="bottom"/>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380" w:type="dxa"/>
            <w:vAlign w:val="bottom"/>
            <w:tcBorders>
              <w:bottom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80" w:type="dxa"/>
            <w:vAlign w:val="bottom"/>
            <w:vMerge w:val="restart"/>
          </w:tcPr>
          <w:p>
            <w:pPr>
              <w:ind w:left="100"/>
              <w:spacing w:after="0"/>
              <w:rPr>
                <w:sz w:val="20"/>
                <w:szCs w:val="20"/>
                <w:color w:val="auto"/>
              </w:rPr>
            </w:pPr>
            <w:r>
              <w:rPr>
                <w:rFonts w:ascii="Calibri" w:cs="Calibri" w:eastAsia="Calibri" w:hAnsi="Calibri"/>
                <w:sz w:val="17"/>
                <w:szCs w:val="17"/>
                <w:b w:val="1"/>
                <w:bCs w:val="1"/>
                <w:color w:val="auto"/>
              </w:rPr>
              <w:t>Clyde Ostler</w:t>
            </w:r>
          </w:p>
        </w:tc>
        <w:tc>
          <w:tcPr>
            <w:tcW w:w="15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Borders>
              <w:right w:val="single" w:sz="8" w:color="auto"/>
            </w:tcBorders>
            <w:vMerge w:val="restart"/>
          </w:tcPr>
          <w:p>
            <w:pPr>
              <w:jc w:val="center"/>
              <w:ind w:right="33"/>
              <w:spacing w:after="0"/>
              <w:rPr>
                <w:sz w:val="20"/>
                <w:szCs w:val="20"/>
                <w:color w:val="auto"/>
              </w:rPr>
            </w:pPr>
            <w:r>
              <w:rPr>
                <w:rFonts w:ascii="Calibri" w:cs="Calibri" w:eastAsia="Calibri" w:hAnsi="Calibri"/>
                <w:sz w:val="17"/>
                <w:szCs w:val="17"/>
                <w:color w:val="auto"/>
              </w:rPr>
              <w:t>75</w:t>
            </w:r>
          </w:p>
        </w:tc>
        <w:tc>
          <w:tcPr>
            <w:tcW w:w="188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December</w:t>
            </w:r>
          </w:p>
        </w:tc>
        <w:tc>
          <w:tcPr>
            <w:tcW w:w="17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3"/>
              </w:rPr>
              <w:t>Yes</w:t>
            </w:r>
          </w:p>
        </w:tc>
        <w:tc>
          <w:tcPr>
            <w:tcW w:w="3220" w:type="dxa"/>
            <w:vAlign w:val="bottom"/>
            <w:vMerge w:val="restart"/>
          </w:tcPr>
          <w:p>
            <w:pPr>
              <w:ind w:left="140"/>
              <w:spacing w:after="0"/>
              <w:rPr>
                <w:sz w:val="20"/>
                <w:szCs w:val="20"/>
                <w:color w:val="auto"/>
              </w:rPr>
            </w:pPr>
            <w:r>
              <w:rPr>
                <w:rFonts w:ascii="Calibri" w:cs="Calibri" w:eastAsia="Calibri" w:hAnsi="Calibri"/>
                <w:sz w:val="17"/>
                <w:szCs w:val="17"/>
                <w:color w:val="auto"/>
              </w:rPr>
              <w:t>Audit; Compensaton</w:t>
            </w:r>
          </w:p>
        </w:tc>
        <w:tc>
          <w:tcPr>
            <w:tcW w:w="0" w:type="dxa"/>
            <w:vAlign w:val="bottom"/>
          </w:tcPr>
          <w:p>
            <w:pPr>
              <w:spacing w:after="0"/>
              <w:rPr>
                <w:sz w:val="1"/>
                <w:szCs w:val="1"/>
                <w:color w:val="auto"/>
              </w:rPr>
            </w:pPr>
          </w:p>
        </w:tc>
      </w:tr>
      <w:tr>
        <w:trPr>
          <w:trHeight w:val="104"/>
        </w:trPr>
        <w:tc>
          <w:tcPr>
            <w:tcW w:w="1380" w:type="dxa"/>
            <w:vAlign w:val="bottom"/>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rPr>
              <w:t>2007</w:t>
            </w:r>
          </w:p>
        </w:tc>
        <w:tc>
          <w:tcPr>
            <w:tcW w:w="1760" w:type="dxa"/>
            <w:vAlign w:val="bottom"/>
            <w:tcBorders>
              <w:right w:val="single" w:sz="8" w:color="auto"/>
            </w:tcBorders>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80" w:type="dxa"/>
            <w:vAlign w:val="bottom"/>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380" w:type="dxa"/>
            <w:vAlign w:val="bottom"/>
            <w:tcBorders>
              <w:bottom w:val="single" w:sz="8" w:color="FB4E0B"/>
            </w:tcBorders>
          </w:tcPr>
          <w:p>
            <w:pPr>
              <w:spacing w:after="0"/>
              <w:rPr>
                <w:sz w:val="11"/>
                <w:szCs w:val="11"/>
                <w:color w:val="auto"/>
              </w:rPr>
            </w:pPr>
          </w:p>
        </w:tc>
        <w:tc>
          <w:tcPr>
            <w:tcW w:w="1500" w:type="dxa"/>
            <w:vAlign w:val="bottom"/>
            <w:tcBorders>
              <w:bottom w:val="single" w:sz="8" w:color="FB4E0B"/>
              <w:right w:val="single" w:sz="8" w:color="auto"/>
            </w:tcBorders>
          </w:tcPr>
          <w:p>
            <w:pPr>
              <w:spacing w:after="0"/>
              <w:rPr>
                <w:sz w:val="11"/>
                <w:szCs w:val="11"/>
                <w:color w:val="auto"/>
              </w:rPr>
            </w:pPr>
          </w:p>
        </w:tc>
        <w:tc>
          <w:tcPr>
            <w:tcW w:w="180" w:type="dxa"/>
            <w:vAlign w:val="bottom"/>
            <w:tcBorders>
              <w:bottom w:val="single" w:sz="8" w:color="FB4E0B"/>
            </w:tcBorders>
          </w:tcPr>
          <w:p>
            <w:pPr>
              <w:spacing w:after="0"/>
              <w:rPr>
                <w:sz w:val="11"/>
                <w:szCs w:val="11"/>
                <w:color w:val="auto"/>
              </w:rPr>
            </w:pPr>
          </w:p>
        </w:tc>
        <w:tc>
          <w:tcPr>
            <w:tcW w:w="700" w:type="dxa"/>
            <w:vAlign w:val="bottom"/>
            <w:tcBorders>
              <w:bottom w:val="single" w:sz="8" w:color="FB4E0B"/>
              <w:right w:val="single" w:sz="8" w:color="auto"/>
            </w:tcBorders>
          </w:tcPr>
          <w:p>
            <w:pPr>
              <w:spacing w:after="0"/>
              <w:rPr>
                <w:sz w:val="11"/>
                <w:szCs w:val="11"/>
                <w:color w:val="auto"/>
              </w:rPr>
            </w:pPr>
          </w:p>
        </w:tc>
        <w:tc>
          <w:tcPr>
            <w:tcW w:w="1880" w:type="dxa"/>
            <w:vAlign w:val="bottom"/>
            <w:tcBorders>
              <w:bottom w:val="single" w:sz="8" w:color="FB4E0B"/>
              <w:right w:val="single" w:sz="8" w:color="auto"/>
            </w:tcBorders>
          </w:tcPr>
          <w:p>
            <w:pPr>
              <w:spacing w:after="0"/>
              <w:rPr>
                <w:sz w:val="11"/>
                <w:szCs w:val="11"/>
                <w:color w:val="auto"/>
              </w:rPr>
            </w:pPr>
          </w:p>
        </w:tc>
        <w:tc>
          <w:tcPr>
            <w:tcW w:w="1760" w:type="dxa"/>
            <w:vAlign w:val="bottom"/>
            <w:tcBorders>
              <w:bottom w:val="single" w:sz="8" w:color="FB4E0B"/>
              <w:right w:val="single" w:sz="8" w:color="auto"/>
            </w:tcBorders>
          </w:tcPr>
          <w:p>
            <w:pPr>
              <w:spacing w:after="0"/>
              <w:rPr>
                <w:sz w:val="11"/>
                <w:szCs w:val="11"/>
                <w:color w:val="auto"/>
              </w:rPr>
            </w:pPr>
          </w:p>
        </w:tc>
        <w:tc>
          <w:tcPr>
            <w:tcW w:w="322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445"/>
        </w:trPr>
        <w:tc>
          <w:tcPr>
            <w:tcW w:w="1380" w:type="dxa"/>
            <w:vAlign w:val="bottom"/>
          </w:tcPr>
          <w:p>
            <w:pPr>
              <w:ind w:left="640"/>
              <w:spacing w:after="0"/>
              <w:rPr>
                <w:sz w:val="20"/>
                <w:szCs w:val="20"/>
                <w:color w:val="auto"/>
              </w:rPr>
            </w:pPr>
            <w:r>
              <w:rPr>
                <w:rFonts w:ascii="Calibri" w:cs="Calibri" w:eastAsia="Calibri" w:hAnsi="Calibri"/>
                <w:sz w:val="17"/>
                <w:szCs w:val="17"/>
                <w:b w:val="1"/>
                <w:bCs w:val="1"/>
                <w:color w:val="auto"/>
              </w:rPr>
              <w:t xml:space="preserve">108   </w:t>
            </w:r>
            <w:r>
              <w:rPr>
                <w:rFonts w:ascii="Calibri" w:cs="Calibri" w:eastAsia="Calibri" w:hAnsi="Calibri"/>
                <w:sz w:val="27"/>
                <w:szCs w:val="27"/>
                <w:b w:val="1"/>
                <w:bCs w:val="1"/>
                <w:color w:val="FB4E0B"/>
              </w:rPr>
              <w:t>/</w:t>
            </w:r>
          </w:p>
        </w:tc>
        <w:tc>
          <w:tcPr>
            <w:tcW w:w="1680" w:type="dxa"/>
            <w:vAlign w:val="bottom"/>
            <w:gridSpan w:val="2"/>
          </w:tcPr>
          <w:p>
            <w:pPr>
              <w:ind w:left="120"/>
              <w:spacing w:after="0"/>
              <w:rPr>
                <w:sz w:val="20"/>
                <w:szCs w:val="20"/>
                <w:color w:val="auto"/>
              </w:rPr>
            </w:pPr>
            <w:r>
              <w:rPr>
                <w:rFonts w:ascii="Calibri" w:cs="Calibri" w:eastAsia="Calibri" w:hAnsi="Calibri"/>
                <w:sz w:val="13"/>
                <w:szCs w:val="13"/>
                <w:color w:val="auto"/>
              </w:rPr>
              <w:t>EXL 2022 Proxy Statement</w:t>
            </w:r>
          </w:p>
        </w:tc>
        <w:tc>
          <w:tcPr>
            <w:tcW w:w="7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45" w:right="6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180" w:type="dxa"/>
            <w:vAlign w:val="bottom"/>
          </w:tcPr>
          <w:p>
            <w:pPr>
              <w:ind w:left="1320"/>
              <w:spacing w:after="0"/>
              <w:rPr>
                <w:sz w:val="20"/>
                <w:szCs w:val="20"/>
                <w:color w:val="auto"/>
              </w:rPr>
            </w:pPr>
            <w:r>
              <w:rPr>
                <w:rFonts w:ascii="Calibri" w:cs="Calibri" w:eastAsia="Calibri" w:hAnsi="Calibri"/>
                <w:sz w:val="14"/>
                <w:szCs w:val="14"/>
                <w:b w:val="1"/>
                <w:bCs w:val="1"/>
                <w:color w:val="D8D8D8"/>
                <w:w w:val="99"/>
              </w:rPr>
              <w:t>Proposal 1 - Electon of directors</w:t>
            </w:r>
          </w:p>
        </w:tc>
        <w:tc>
          <w:tcPr>
            <w:tcW w:w="0" w:type="dxa"/>
            <w:vAlign w:val="bottom"/>
          </w:tcPr>
          <w:p>
            <w:pPr>
              <w:spacing w:after="0"/>
              <w:rPr>
                <w:sz w:val="1"/>
                <w:szCs w:val="1"/>
                <w:color w:val="auto"/>
              </w:rPr>
            </w:pPr>
          </w:p>
        </w:tc>
      </w:tr>
      <w:tr>
        <w:trPr>
          <w:trHeight w:val="346"/>
        </w:trPr>
        <w:tc>
          <w:tcPr>
            <w:tcW w:w="2780" w:type="dxa"/>
            <w:vAlign w:val="bottom"/>
          </w:tcPr>
          <w:p>
            <w:pPr>
              <w:ind w:left="100"/>
              <w:spacing w:after="0"/>
              <w:rPr>
                <w:sz w:val="20"/>
                <w:szCs w:val="20"/>
                <w:color w:val="auto"/>
              </w:rPr>
            </w:pPr>
            <w:r>
              <w:rPr>
                <w:rFonts w:ascii="Calibri" w:cs="Calibri" w:eastAsia="Calibri" w:hAnsi="Calibri"/>
                <w:sz w:val="17"/>
                <w:szCs w:val="17"/>
                <w:b w:val="1"/>
                <w:bCs w:val="1"/>
                <w:color w:val="FB4E0B"/>
              </w:rPr>
              <w:t>Name</w:t>
            </w:r>
          </w:p>
        </w:tc>
        <w:tc>
          <w:tcPr>
            <w:tcW w:w="900" w:type="dxa"/>
            <w:vAlign w:val="bottom"/>
          </w:tcPr>
          <w:p>
            <w:pPr>
              <w:jc w:val="center"/>
              <w:spacing w:after="0"/>
              <w:rPr>
                <w:sz w:val="20"/>
                <w:szCs w:val="20"/>
                <w:color w:val="auto"/>
              </w:rPr>
            </w:pPr>
            <w:r>
              <w:rPr>
                <w:rFonts w:ascii="Calibri" w:cs="Calibri" w:eastAsia="Calibri" w:hAnsi="Calibri"/>
                <w:sz w:val="17"/>
                <w:szCs w:val="17"/>
                <w:b w:val="1"/>
                <w:bCs w:val="1"/>
                <w:color w:val="FB4E0B"/>
              </w:rPr>
              <w:t>Age</w:t>
            </w:r>
          </w:p>
        </w:tc>
        <w:tc>
          <w:tcPr>
            <w:tcW w:w="196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Director since</w:t>
            </w:r>
          </w:p>
        </w:tc>
        <w:tc>
          <w:tcPr>
            <w:tcW w:w="1800" w:type="dxa"/>
            <w:vAlign w:val="bottom"/>
          </w:tcPr>
          <w:p>
            <w:pPr>
              <w:jc w:val="center"/>
              <w:spacing w:after="0"/>
              <w:rPr>
                <w:sz w:val="20"/>
                <w:szCs w:val="20"/>
                <w:color w:val="auto"/>
              </w:rPr>
            </w:pPr>
            <w:r>
              <w:rPr>
                <w:rFonts w:ascii="Calibri" w:cs="Calibri" w:eastAsia="Calibri" w:hAnsi="Calibri"/>
                <w:sz w:val="17"/>
                <w:szCs w:val="17"/>
                <w:b w:val="1"/>
                <w:bCs w:val="1"/>
                <w:color w:val="FB4E0B"/>
                <w:w w:val="98"/>
              </w:rPr>
              <w:t>Independent</w:t>
            </w:r>
          </w:p>
        </w:tc>
        <w:tc>
          <w:tcPr>
            <w:tcW w:w="3180" w:type="dxa"/>
            <w:vAlign w:val="bottom"/>
          </w:tcPr>
          <w:p>
            <w:pPr>
              <w:ind w:left="100"/>
              <w:spacing w:after="0"/>
              <w:rPr>
                <w:sz w:val="20"/>
                <w:szCs w:val="20"/>
                <w:color w:val="auto"/>
              </w:rPr>
            </w:pPr>
            <w:r>
              <w:rPr>
                <w:rFonts w:ascii="Calibri" w:cs="Calibri" w:eastAsia="Calibri" w:hAnsi="Calibri"/>
                <w:sz w:val="17"/>
                <w:szCs w:val="17"/>
                <w:b w:val="1"/>
                <w:bCs w:val="1"/>
                <w:color w:val="FB4E0B"/>
              </w:rPr>
              <w:t>Commitee membership</w:t>
            </w:r>
          </w:p>
        </w:tc>
        <w:tc>
          <w:tcPr>
            <w:tcW w:w="0" w:type="dxa"/>
            <w:vAlign w:val="bottom"/>
          </w:tcPr>
          <w:p>
            <w:pPr>
              <w:spacing w:after="0"/>
              <w:rPr>
                <w:sz w:val="1"/>
                <w:szCs w:val="1"/>
                <w:color w:val="auto"/>
              </w:rPr>
            </w:pPr>
          </w:p>
        </w:tc>
      </w:tr>
      <w:tr>
        <w:trPr>
          <w:trHeight w:val="133"/>
        </w:trPr>
        <w:tc>
          <w:tcPr>
            <w:tcW w:w="2780" w:type="dxa"/>
            <w:vAlign w:val="bottom"/>
            <w:tcBorders>
              <w:bottom w:val="single" w:sz="8" w:color="FB4E0B"/>
            </w:tcBorders>
          </w:tcPr>
          <w:p>
            <w:pPr>
              <w:spacing w:after="0"/>
              <w:rPr>
                <w:sz w:val="11"/>
                <w:szCs w:val="11"/>
                <w:color w:val="auto"/>
              </w:rPr>
            </w:pPr>
          </w:p>
        </w:tc>
        <w:tc>
          <w:tcPr>
            <w:tcW w:w="900" w:type="dxa"/>
            <w:vAlign w:val="bottom"/>
            <w:tcBorders>
              <w:bottom w:val="single" w:sz="8" w:color="FB4E0B"/>
            </w:tcBorders>
          </w:tcPr>
          <w:p>
            <w:pPr>
              <w:spacing w:after="0"/>
              <w:rPr>
                <w:sz w:val="11"/>
                <w:szCs w:val="11"/>
                <w:color w:val="auto"/>
              </w:rPr>
            </w:pPr>
          </w:p>
        </w:tc>
        <w:tc>
          <w:tcPr>
            <w:tcW w:w="1960" w:type="dxa"/>
            <w:vAlign w:val="bottom"/>
            <w:tcBorders>
              <w:bottom w:val="single" w:sz="8" w:color="FB4E0B"/>
            </w:tcBorders>
          </w:tcPr>
          <w:p>
            <w:pPr>
              <w:spacing w:after="0"/>
              <w:rPr>
                <w:sz w:val="11"/>
                <w:szCs w:val="11"/>
                <w:color w:val="auto"/>
              </w:rPr>
            </w:pPr>
          </w:p>
        </w:tc>
        <w:tc>
          <w:tcPr>
            <w:tcW w:w="1800" w:type="dxa"/>
            <w:vAlign w:val="bottom"/>
            <w:tcBorders>
              <w:bottom w:val="single" w:sz="8" w:color="FB4E0B"/>
            </w:tcBorders>
          </w:tcPr>
          <w:p>
            <w:pPr>
              <w:spacing w:after="0"/>
              <w:rPr>
                <w:sz w:val="11"/>
                <w:szCs w:val="11"/>
                <w:color w:val="auto"/>
              </w:rPr>
            </w:pPr>
          </w:p>
        </w:tc>
        <w:tc>
          <w:tcPr>
            <w:tcW w:w="3180" w:type="dxa"/>
            <w:vAlign w:val="bottom"/>
            <w:tcBorders>
              <w:bottom w:val="single" w:sz="8" w:color="FB4E0B"/>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78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7"/>
                <w:szCs w:val="17"/>
                <w:b w:val="1"/>
                <w:bCs w:val="1"/>
                <w:color w:val="auto"/>
              </w:rPr>
              <w:t>Kristy Pipes</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2"/>
              </w:rPr>
              <w:t>62</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January</w:t>
            </w:r>
          </w:p>
        </w:tc>
        <w:tc>
          <w:tcPr>
            <w:tcW w:w="18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3"/>
              </w:rPr>
              <w:t>Yes</w:t>
            </w:r>
          </w:p>
        </w:tc>
        <w:tc>
          <w:tcPr>
            <w:tcW w:w="3180" w:type="dxa"/>
            <w:vAlign w:val="bottom"/>
            <w:vMerge w:val="restart"/>
          </w:tcPr>
          <w:p>
            <w:pPr>
              <w:ind w:left="100"/>
              <w:spacing w:after="0"/>
              <w:rPr>
                <w:sz w:val="20"/>
                <w:szCs w:val="20"/>
                <w:color w:val="auto"/>
              </w:rPr>
            </w:pPr>
            <w:r>
              <w:rPr>
                <w:rFonts w:ascii="Calibri" w:cs="Calibri" w:eastAsia="Calibri" w:hAnsi="Calibri"/>
                <w:sz w:val="17"/>
                <w:szCs w:val="17"/>
                <w:color w:val="auto"/>
              </w:rPr>
              <w:t>Audit (Chair); Compensaton</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8"/>
              </w:rPr>
              <w:t>2021</w:t>
            </w:r>
          </w:p>
        </w:tc>
        <w:tc>
          <w:tcPr>
            <w:tcW w:w="1800" w:type="dxa"/>
            <w:vAlign w:val="bottom"/>
            <w:tcBorders>
              <w:right w:val="single" w:sz="8" w:color="auto"/>
            </w:tcBorders>
            <w:vMerge w:val="continue"/>
          </w:tcPr>
          <w:p>
            <w:pPr>
              <w:spacing w:after="0"/>
              <w:rPr>
                <w:sz w:val="9"/>
                <w:szCs w:val="9"/>
                <w:color w:val="auto"/>
              </w:rPr>
            </w:pP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7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78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7"/>
                <w:szCs w:val="17"/>
                <w:b w:val="1"/>
                <w:bCs w:val="1"/>
                <w:color w:val="auto"/>
              </w:rPr>
              <w:t>Nitn Sahney</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2"/>
              </w:rPr>
              <w:t>59</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rPr>
              <w:t>January</w:t>
            </w:r>
          </w:p>
        </w:tc>
        <w:tc>
          <w:tcPr>
            <w:tcW w:w="18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3"/>
              </w:rPr>
              <w:t>Yes</w:t>
            </w:r>
          </w:p>
        </w:tc>
        <w:tc>
          <w:tcPr>
            <w:tcW w:w="3180" w:type="dxa"/>
            <w:vAlign w:val="bottom"/>
            <w:vMerge w:val="restart"/>
          </w:tcPr>
          <w:p>
            <w:pPr>
              <w:ind w:left="100"/>
              <w:spacing w:after="0"/>
              <w:rPr>
                <w:sz w:val="20"/>
                <w:szCs w:val="20"/>
                <w:color w:val="auto"/>
              </w:rPr>
            </w:pPr>
            <w:r>
              <w:rPr>
                <w:rFonts w:ascii="Calibri" w:cs="Calibri" w:eastAsia="Calibri" w:hAnsi="Calibri"/>
                <w:sz w:val="17"/>
                <w:szCs w:val="17"/>
                <w:color w:val="auto"/>
              </w:rPr>
              <w:t>Nominatng and Governance (Chair); Audit</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8"/>
              </w:rPr>
              <w:t>2016</w:t>
            </w:r>
          </w:p>
        </w:tc>
        <w:tc>
          <w:tcPr>
            <w:tcW w:w="1800" w:type="dxa"/>
            <w:vAlign w:val="bottom"/>
            <w:tcBorders>
              <w:right w:val="single" w:sz="8" w:color="auto"/>
            </w:tcBorders>
            <w:vMerge w:val="continue"/>
          </w:tcPr>
          <w:p>
            <w:pPr>
              <w:spacing w:after="0"/>
              <w:rPr>
                <w:sz w:val="9"/>
                <w:szCs w:val="9"/>
                <w:color w:val="auto"/>
              </w:rPr>
            </w:pP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7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right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780" w:type="dxa"/>
            <w:vAlign w:val="bottom"/>
            <w:tcBorders>
              <w:right w:val="single" w:sz="8" w:color="auto"/>
            </w:tcBorders>
            <w:vMerge w:val="restart"/>
          </w:tcPr>
          <w:p>
            <w:pPr>
              <w:ind w:left="100"/>
              <w:spacing w:after="0"/>
              <w:rPr>
                <w:sz w:val="20"/>
                <w:szCs w:val="20"/>
                <w:color w:val="auto"/>
              </w:rPr>
            </w:pPr>
            <w:r>
              <w:rPr>
                <w:rFonts w:ascii="Calibri" w:cs="Calibri" w:eastAsia="Calibri" w:hAnsi="Calibri"/>
                <w:sz w:val="17"/>
                <w:szCs w:val="17"/>
                <w:b w:val="1"/>
                <w:bCs w:val="1"/>
                <w:color w:val="auto"/>
              </w:rPr>
              <w:t>Jaynie Studenmund</w:t>
            </w:r>
          </w:p>
        </w:tc>
        <w:tc>
          <w:tcPr>
            <w:tcW w:w="9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2"/>
              </w:rPr>
              <w:t>67</w:t>
            </w:r>
          </w:p>
        </w:tc>
        <w:tc>
          <w:tcPr>
            <w:tcW w:w="1960" w:type="dxa"/>
            <w:vAlign w:val="bottom"/>
            <w:tcBorders>
              <w:right w:val="single" w:sz="8" w:color="auto"/>
            </w:tcBorders>
          </w:tcPr>
          <w:p>
            <w:pPr>
              <w:jc w:val="center"/>
              <w:spacing w:after="0"/>
              <w:rPr>
                <w:sz w:val="20"/>
                <w:szCs w:val="20"/>
                <w:color w:val="auto"/>
              </w:rPr>
            </w:pPr>
            <w:r>
              <w:rPr>
                <w:rFonts w:ascii="Calibri" w:cs="Calibri" w:eastAsia="Calibri" w:hAnsi="Calibri"/>
                <w:sz w:val="17"/>
                <w:szCs w:val="17"/>
                <w:color w:val="auto"/>
                <w:w w:val="99"/>
              </w:rPr>
              <w:t>September</w:t>
            </w:r>
          </w:p>
        </w:tc>
        <w:tc>
          <w:tcPr>
            <w:tcW w:w="180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3"/>
              </w:rPr>
              <w:t>Yes</w:t>
            </w:r>
          </w:p>
        </w:tc>
        <w:tc>
          <w:tcPr>
            <w:tcW w:w="3180" w:type="dxa"/>
            <w:vAlign w:val="bottom"/>
            <w:vMerge w:val="restart"/>
          </w:tcPr>
          <w:p>
            <w:pPr>
              <w:ind w:left="100"/>
              <w:spacing w:after="0"/>
              <w:rPr>
                <w:sz w:val="20"/>
                <w:szCs w:val="20"/>
                <w:color w:val="auto"/>
              </w:rPr>
            </w:pPr>
            <w:r>
              <w:rPr>
                <w:rFonts w:ascii="Calibri" w:cs="Calibri" w:eastAsia="Calibri" w:hAnsi="Calibri"/>
                <w:sz w:val="17"/>
                <w:szCs w:val="17"/>
                <w:color w:val="auto"/>
              </w:rPr>
              <w:t>Compensaton (Chair); Audit</w:t>
            </w: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7"/>
                <w:szCs w:val="17"/>
                <w:color w:val="auto"/>
                <w:w w:val="98"/>
              </w:rPr>
              <w:t>2018</w:t>
            </w:r>
          </w:p>
        </w:tc>
        <w:tc>
          <w:tcPr>
            <w:tcW w:w="1800" w:type="dxa"/>
            <w:vAlign w:val="bottom"/>
            <w:tcBorders>
              <w:right w:val="single" w:sz="8" w:color="auto"/>
            </w:tcBorders>
            <w:vMerge w:val="continue"/>
          </w:tcPr>
          <w:p>
            <w:pPr>
              <w:spacing w:after="0"/>
              <w:rPr>
                <w:sz w:val="9"/>
                <w:szCs w:val="9"/>
                <w:color w:val="auto"/>
              </w:rPr>
            </w:pP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780" w:type="dxa"/>
            <w:vAlign w:val="bottom"/>
            <w:tcBorders>
              <w:bottom w:val="single" w:sz="8" w:color="FB4E0B"/>
              <w:right w:val="single" w:sz="8" w:color="auto"/>
            </w:tcBorders>
          </w:tcPr>
          <w:p>
            <w:pPr>
              <w:spacing w:after="0"/>
              <w:rPr>
                <w:sz w:val="12"/>
                <w:szCs w:val="12"/>
                <w:color w:val="auto"/>
              </w:rPr>
            </w:pPr>
          </w:p>
        </w:tc>
        <w:tc>
          <w:tcPr>
            <w:tcW w:w="900" w:type="dxa"/>
            <w:vAlign w:val="bottom"/>
            <w:tcBorders>
              <w:bottom w:val="single" w:sz="8" w:color="FB4E0B"/>
              <w:right w:val="single" w:sz="8" w:color="auto"/>
            </w:tcBorders>
          </w:tcPr>
          <w:p>
            <w:pPr>
              <w:spacing w:after="0"/>
              <w:rPr>
                <w:sz w:val="12"/>
                <w:szCs w:val="12"/>
                <w:color w:val="auto"/>
              </w:rPr>
            </w:pPr>
          </w:p>
        </w:tc>
        <w:tc>
          <w:tcPr>
            <w:tcW w:w="1960" w:type="dxa"/>
            <w:vAlign w:val="bottom"/>
            <w:tcBorders>
              <w:bottom w:val="single" w:sz="8" w:color="FB4E0B"/>
              <w:right w:val="single" w:sz="8" w:color="auto"/>
            </w:tcBorders>
          </w:tcPr>
          <w:p>
            <w:pPr>
              <w:spacing w:after="0"/>
              <w:rPr>
                <w:sz w:val="12"/>
                <w:szCs w:val="12"/>
                <w:color w:val="auto"/>
              </w:rPr>
            </w:pPr>
          </w:p>
        </w:tc>
        <w:tc>
          <w:tcPr>
            <w:tcW w:w="1800" w:type="dxa"/>
            <w:vAlign w:val="bottom"/>
            <w:tcBorders>
              <w:bottom w:val="single" w:sz="8" w:color="FB4E0B"/>
              <w:right w:val="single" w:sz="8" w:color="auto"/>
            </w:tcBorders>
          </w:tcPr>
          <w:p>
            <w:pPr>
              <w:spacing w:after="0"/>
              <w:rPr>
                <w:sz w:val="12"/>
                <w:szCs w:val="12"/>
                <w:color w:val="auto"/>
              </w:rPr>
            </w:pPr>
          </w:p>
        </w:tc>
        <w:tc>
          <w:tcPr>
            <w:tcW w:w="3180" w:type="dxa"/>
            <w:vAlign w:val="bottom"/>
            <w:tcBorders>
              <w:bottom w:val="single" w:sz="8" w:color="FB4E0B"/>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Required vote</w:t>
      </w:r>
    </w:p>
    <w:p>
      <w:pPr>
        <w:spacing w:after="0" w:line="218"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The afrmatve vote of a majority of votes cast (meaning the number of shares voted “for” a nominee must exceed the number of shares voted “against” such nominee) at the Annual Meetng will elect the eight nominees as directors for a term of one year. If any nominee for director receives a greater number of votes “against” his or her electon than votes “for” such electon, our by-laws provide that such person will tender to the board of directors his or her resignaton as a director. Unless marked to the contrary, proxies received will be voted “FOR”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163830</wp:posOffset>
            </wp:positionV>
            <wp:extent cx="6484620" cy="3797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484620" cy="379730"/>
                    </a:xfrm>
                    <a:prstGeom prst="rect">
                      <a:avLst/>
                    </a:prstGeom>
                    <a:noFill/>
                  </pic:spPr>
                </pic:pic>
              </a:graphicData>
            </a:graphic>
          </wp:anchor>
        </w:drawing>
      </w:r>
    </w:p>
    <w:p>
      <w:pPr>
        <w:spacing w:after="0" w:line="359" w:lineRule="exact"/>
        <w:rPr>
          <w:sz w:val="20"/>
          <w:szCs w:val="20"/>
          <w:color w:val="auto"/>
        </w:rPr>
      </w:pPr>
    </w:p>
    <w:p>
      <w:pPr>
        <w:ind w:left="78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240" w:lineRule="exact"/>
        <w:rPr>
          <w:sz w:val="20"/>
          <w:szCs w:val="20"/>
          <w:color w:val="auto"/>
        </w:rPr>
      </w:pPr>
    </w:p>
    <w:tbl>
      <w:tblPr>
        <w:tblLayout w:type="fixed"/>
        <w:tblInd w:w="520" w:type="dxa"/>
        <w:tblCellMar>
          <w:top w:w="0" w:type="dxa"/>
          <w:left w:w="0" w:type="dxa"/>
          <w:bottom w:w="0" w:type="dxa"/>
          <w:right w:w="0" w:type="dxa"/>
        </w:tblCellMar>
      </w:tblPr>
      <w:tr>
        <w:trPr>
          <w:trHeight w:val="208"/>
        </w:trPr>
        <w:tc>
          <w:tcPr>
            <w:tcW w:w="40" w:type="dxa"/>
            <w:vAlign w:val="bottom"/>
            <w:shd w:val="clear" w:color="auto" w:fill="7F7F7F"/>
          </w:tcPr>
          <w:p>
            <w:pPr>
              <w:spacing w:after="0"/>
              <w:rPr>
                <w:sz w:val="18"/>
                <w:szCs w:val="18"/>
                <w:color w:val="auto"/>
              </w:rPr>
            </w:pPr>
          </w:p>
        </w:tc>
        <w:tc>
          <w:tcPr>
            <w:tcW w:w="1640" w:type="dxa"/>
            <w:vAlign w:val="bottom"/>
            <w:vMerge w:val="restart"/>
            <w:shd w:val="clear" w:color="auto" w:fill="7F7F7F"/>
          </w:tcPr>
          <w:p>
            <w:pPr>
              <w:ind w:left="600"/>
              <w:spacing w:after="0"/>
              <w:rPr>
                <w:sz w:val="20"/>
                <w:szCs w:val="20"/>
                <w:color w:val="auto"/>
              </w:rPr>
            </w:pPr>
            <w:r>
              <w:rPr>
                <w:rFonts w:ascii="Calibri" w:cs="Calibri" w:eastAsia="Calibri" w:hAnsi="Calibri"/>
                <w:sz w:val="31"/>
                <w:szCs w:val="31"/>
                <w:b w:val="1"/>
                <w:bCs w:val="1"/>
                <w:color w:val="FFFFFF"/>
              </w:rPr>
              <w:t>FOR</w:t>
            </w:r>
          </w:p>
        </w:tc>
        <w:tc>
          <w:tcPr>
            <w:tcW w:w="8540" w:type="dxa"/>
            <w:vAlign w:val="bottom"/>
            <w:tcBorders>
              <w:right w:val="single" w:sz="8" w:color="7F7F7F"/>
            </w:tcBorders>
          </w:tcPr>
          <w:p>
            <w:pPr>
              <w:ind w:left="80"/>
              <w:spacing w:after="0"/>
              <w:rPr>
                <w:sz w:val="20"/>
                <w:szCs w:val="20"/>
                <w:color w:val="auto"/>
              </w:rPr>
            </w:pPr>
            <w:r>
              <w:rPr>
                <w:rFonts w:ascii="Calibri" w:cs="Calibri" w:eastAsia="Calibri" w:hAnsi="Calibri"/>
                <w:sz w:val="17"/>
                <w:szCs w:val="17"/>
                <w:b w:val="1"/>
                <w:bCs w:val="1"/>
                <w:color w:val="auto"/>
              </w:rPr>
              <w:t>the electon of Mses. Minto, Pipes and Studenmund and Messrs.</w:t>
            </w:r>
          </w:p>
        </w:tc>
        <w:tc>
          <w:tcPr>
            <w:tcW w:w="0" w:type="dxa"/>
            <w:vAlign w:val="bottom"/>
          </w:tcPr>
          <w:p>
            <w:pPr>
              <w:spacing w:after="0"/>
              <w:rPr>
                <w:sz w:val="1"/>
                <w:szCs w:val="1"/>
                <w:color w:val="auto"/>
              </w:rPr>
            </w:pPr>
          </w:p>
        </w:tc>
      </w:tr>
      <w:tr>
        <w:trPr>
          <w:trHeight w:val="242"/>
        </w:trPr>
        <w:tc>
          <w:tcPr>
            <w:tcW w:w="40" w:type="dxa"/>
            <w:vAlign w:val="bottom"/>
            <w:shd w:val="clear" w:color="auto" w:fill="7F7F7F"/>
          </w:tcPr>
          <w:p>
            <w:pPr>
              <w:spacing w:after="0"/>
              <w:rPr>
                <w:sz w:val="21"/>
                <w:szCs w:val="21"/>
                <w:color w:val="auto"/>
              </w:rPr>
            </w:pPr>
          </w:p>
        </w:tc>
        <w:tc>
          <w:tcPr>
            <w:tcW w:w="1640" w:type="dxa"/>
            <w:vAlign w:val="bottom"/>
            <w:vMerge w:val="continue"/>
            <w:shd w:val="clear" w:color="auto" w:fill="7F7F7F"/>
          </w:tcPr>
          <w:p>
            <w:pPr>
              <w:spacing w:after="0"/>
              <w:rPr>
                <w:sz w:val="21"/>
                <w:szCs w:val="21"/>
                <w:color w:val="auto"/>
              </w:rPr>
            </w:pPr>
          </w:p>
        </w:tc>
        <w:tc>
          <w:tcPr>
            <w:tcW w:w="8540" w:type="dxa"/>
            <w:vAlign w:val="bottom"/>
            <w:tcBorders>
              <w:right w:val="single" w:sz="8" w:color="7F7F7F"/>
            </w:tcBorders>
          </w:tcPr>
          <w:p>
            <w:pPr>
              <w:ind w:left="80"/>
              <w:spacing w:after="0" w:line="206" w:lineRule="exact"/>
              <w:rPr>
                <w:sz w:val="20"/>
                <w:szCs w:val="20"/>
                <w:color w:val="auto"/>
              </w:rPr>
            </w:pPr>
            <w:r>
              <w:rPr>
                <w:rFonts w:ascii="Calibri" w:cs="Calibri" w:eastAsia="Calibri" w:hAnsi="Calibri"/>
                <w:sz w:val="17"/>
                <w:szCs w:val="17"/>
                <w:b w:val="1"/>
                <w:bCs w:val="1"/>
                <w:color w:val="auto"/>
              </w:rPr>
              <w:t>Pandit, Kapoor, Mital, Ostler, and Sahney as directors of the Company</w:t>
            </w:r>
          </w:p>
        </w:tc>
        <w:tc>
          <w:tcPr>
            <w:tcW w:w="0" w:type="dxa"/>
            <w:vAlign w:val="bottom"/>
          </w:tcPr>
          <w:p>
            <w:pPr>
              <w:spacing w:after="0"/>
              <w:rPr>
                <w:sz w:val="1"/>
                <w:szCs w:val="1"/>
                <w:color w:val="auto"/>
              </w:rPr>
            </w:pPr>
          </w:p>
        </w:tc>
      </w:tr>
      <w:tr>
        <w:trPr>
          <w:trHeight w:val="162"/>
        </w:trPr>
        <w:tc>
          <w:tcPr>
            <w:tcW w:w="40" w:type="dxa"/>
            <w:vAlign w:val="bottom"/>
            <w:tcBorders>
              <w:bottom w:val="single" w:sz="8" w:color="7F7F7F"/>
            </w:tcBorders>
            <w:shd w:val="clear" w:color="auto" w:fill="7F7F7F"/>
          </w:tcPr>
          <w:p>
            <w:pPr>
              <w:spacing w:after="0"/>
              <w:rPr>
                <w:sz w:val="14"/>
                <w:szCs w:val="14"/>
                <w:color w:val="auto"/>
              </w:rPr>
            </w:pPr>
          </w:p>
        </w:tc>
        <w:tc>
          <w:tcPr>
            <w:tcW w:w="1640" w:type="dxa"/>
            <w:vAlign w:val="bottom"/>
            <w:tcBorders>
              <w:bottom w:val="single" w:sz="8" w:color="7F7F7F"/>
            </w:tcBorders>
            <w:shd w:val="clear" w:color="auto" w:fill="7F7F7F"/>
          </w:tcPr>
          <w:p>
            <w:pPr>
              <w:spacing w:after="0"/>
              <w:rPr>
                <w:sz w:val="14"/>
                <w:szCs w:val="14"/>
                <w:color w:val="auto"/>
              </w:rPr>
            </w:pPr>
          </w:p>
        </w:tc>
        <w:tc>
          <w:tcPr>
            <w:tcW w:w="8540" w:type="dxa"/>
            <w:vAlign w:val="bottom"/>
            <w:tcBorders>
              <w:bottom w:val="single" w:sz="8" w:color="7F7F7F"/>
              <w:right w:val="single" w:sz="8" w:color="7F7F7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109</w:t>
            </w:r>
          </w:p>
        </w:tc>
      </w:tr>
    </w:tbl>
    <w:p>
      <w:pPr>
        <w:sectPr>
          <w:pgSz w:w="11900" w:h="16838" w:orient="portrait"/>
          <w:cols w:equalWidth="0" w:num="1">
            <w:col w:w="10940"/>
          </w:cols>
          <w:pgMar w:left="320" w:top="445" w:right="6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Proposal 2 — Approval of the ExlService Holdings, Inc. 2022 Employee Stock Purchase Plan</w:t>
      </w:r>
    </w:p>
    <w:p>
      <w:pPr>
        <w:spacing w:after="0" w:line="125" w:lineRule="exact"/>
        <w:rPr>
          <w:sz w:val="20"/>
          <w:szCs w:val="20"/>
          <w:color w:val="auto"/>
        </w:rPr>
      </w:pPr>
    </w:p>
    <w:p>
      <w:pPr>
        <w:ind w:left="320" w:right="1000"/>
        <w:spacing w:after="0" w:line="238" w:lineRule="auto"/>
        <w:rPr>
          <w:sz w:val="20"/>
          <w:szCs w:val="20"/>
          <w:color w:val="auto"/>
        </w:rPr>
      </w:pPr>
      <w:r>
        <w:rPr>
          <w:rFonts w:ascii="Calibri" w:cs="Calibri" w:eastAsia="Calibri" w:hAnsi="Calibri"/>
          <w:sz w:val="31"/>
          <w:szCs w:val="31"/>
          <w:color w:val="FB4E0B"/>
        </w:rPr>
        <w:t>Proposal 2 — Approval of the ExlService Holdings, Inc. 2022 Employee Stock Purchase Plan</w:t>
      </w:r>
    </w:p>
    <w:p>
      <w:pPr>
        <w:spacing w:after="0" w:line="32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Background</w:t>
      </w:r>
    </w:p>
    <w:p>
      <w:pPr>
        <w:spacing w:after="0" w:line="114"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We are asking our stockholders to approve the ExlService Holdings, Inc. 2022 Employee Stock Purchase Plan (referred to hereafer as the “ESPP”), at the Annual Meetng. The ESPP was adopted by the Compensaton Commitee and our board of directors in April 2022, subject to approval by our stockholders.</w:t>
      </w:r>
    </w:p>
    <w:p>
      <w:pPr>
        <w:spacing w:after="0" w:line="315" w:lineRule="exact"/>
        <w:rPr>
          <w:sz w:val="20"/>
          <w:szCs w:val="20"/>
          <w:color w:val="auto"/>
        </w:rPr>
      </w:pPr>
    </w:p>
    <w:p>
      <w:pPr>
        <w:ind w:left="320" w:right="200"/>
        <w:spacing w:after="0" w:line="239" w:lineRule="auto"/>
        <w:rPr>
          <w:sz w:val="20"/>
          <w:szCs w:val="20"/>
          <w:color w:val="auto"/>
        </w:rPr>
      </w:pPr>
      <w:r>
        <w:rPr>
          <w:rFonts w:ascii="Calibri" w:cs="Calibri" w:eastAsia="Calibri" w:hAnsi="Calibri"/>
          <w:sz w:val="17"/>
          <w:szCs w:val="17"/>
          <w:color w:val="auto"/>
        </w:rPr>
        <w:t>Approval of the ESPP will allow us to provide our Company employees and employees of certain of our subsidiaries the opportunity to acquire an ownership interest in the Company through their partcipaton in the ESPP, thereby encouraging them to remain in our service and more closely aligning their interests with those of our stockholders.</w:t>
      </w:r>
    </w:p>
    <w:p>
      <w:pPr>
        <w:spacing w:after="0" w:line="317"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If this Proposal 2 is approved by our stockholders, the maximum number of shares of our common stock that may be issued under the ESPP will be 800,000 shares. We do not maintain any other employee stock purchase plans. As of the close of business on March 31, 2022, a total of 33,328,744 shares of our common stock were outstanding and the closing price of our common stock on the Nasdaq Global Select Market was $143.27 per share. The ESPP share reserve represents approximately 2.3% of the total number of shares of our common stock outstanding as of March 31, 2022.</w:t>
      </w:r>
    </w:p>
    <w:p>
      <w:pPr>
        <w:spacing w:after="0" w:line="315"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If this Proposal 2 is approved by our stockholders, the ESPP will become efectve as of the date of the Annual Meetng. In the event that our stockholders do not approve this Proposal 2, the ESPP will not become efectve.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Summary of the ESPP</w:t>
      </w:r>
    </w:p>
    <w:p>
      <w:pPr>
        <w:spacing w:after="0" w:line="114"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The material features of the ESPP are described below. The following descripton of the ESPP is a summary only and is qualifed in its entrety by reference to the complete text of the ESPP. Stockholders are urged to read the actual text of the ESPP in its entrety, which is atached hereto as Annex A.</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Purpose</w:t>
      </w:r>
    </w:p>
    <w:p>
      <w:pPr>
        <w:spacing w:after="0" w:line="114"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purpose of the ESPP is to provide our employees an opportunity to purchase shares of our common stock. This will assist us in retaining the services of our employees, secure and retain the services of new employees and provide incentves for employees to exert maximum eforts for our success and increased stockholder value.</w:t>
      </w:r>
    </w:p>
    <w:p>
      <w:pPr>
        <w:spacing w:after="0" w:line="317" w:lineRule="exact"/>
        <w:rPr>
          <w:sz w:val="20"/>
          <w:szCs w:val="20"/>
          <w:color w:val="auto"/>
        </w:rPr>
      </w:pPr>
    </w:p>
    <w:p>
      <w:pPr>
        <w:ind w:left="320" w:right="240"/>
        <w:spacing w:after="0"/>
        <w:rPr>
          <w:sz w:val="20"/>
          <w:szCs w:val="20"/>
          <w:color w:val="auto"/>
        </w:rPr>
      </w:pPr>
      <w:r>
        <w:rPr>
          <w:rFonts w:ascii="Calibri" w:cs="Calibri" w:eastAsia="Calibri" w:hAnsi="Calibri"/>
          <w:sz w:val="17"/>
          <w:szCs w:val="17"/>
          <w:color w:val="auto"/>
        </w:rPr>
        <w:t>The ESPP is designed to allow eligible U.S. employees to purchase our common stock in a manner that is intended to qualify for favorable tax treatment under Secton 423 of the Code. In additon, at the discreton of the Plan Administrator (as defned below), the ESPP will permit eligible employees to partcipate who are foreign natonals or employed outside of the U.S. However, such employees will not qualify for favorable tax treatment under U.S. laws.</w:t>
      </w:r>
    </w:p>
    <w:p>
      <w:pPr>
        <w:spacing w:after="0" w:line="127"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110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20"/>
          </w:cols>
          <w:pgMar w:left="320" w:top="445" w:right="6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Proposal 2 — Approval of the ExlService Holdings, Inc. 2022 Employee Stock Purchase Plan</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Administraton</w:t>
      </w:r>
    </w:p>
    <w:p>
      <w:pPr>
        <w:spacing w:after="0" w:line="1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The Compensaton Commitee (hereafer referred to as the “Plan Administrator”) will administer the ESPP. The Plan Administrator has the fnal power to construe and interpret both the provisions of the ESPP and the rights granted under it. In additon, the Plan Administrator has the power, subject to the provisions of the ESPP, to determine when and how rights to purchase our common stock will be granted, the provisions of each ofering of such rights (which need not be identcal), and whether employees of our subsidiary companies will be eligible to partcipate in the ESPP. Finally, the Plan Administrator has the authority to adopt procedures and sub-plans as necessary to permit partcipaton by non-U.S. individuals.</w:t>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Stock subject to the ESPP</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Subject to adjustment for certain changes in our capitalizaton, the maximum number of shares of our common stock that may be issued under the ESPP is 800,000 shares. If any rights granted under the ESPP terminate without being exercised in full, the shares of common stock not purchased under such rights shall again become available for issuance under the ESPP. The shares of common stock issuable under the ESPP will be shares of authorized but unissued or reacquired common stock, including shares repurchased by us on the open market.</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Oferings</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The Plan Administer will implement and operate the ESPP through periodic oferings to all eligible employees the opportunity to purchase our common stock. The Plan Administrator will determine the duraton of each ofering period, provided that in no event may an ofering period exceed 12 months. The Plan Administrator may establish separate oferings which vary in terms (although such terms may not be inconsistent with the provisions of the ESPP or the requirements of applicable laws). Each ofering period may have one or more purchase dates (see discussion of purchase prices below), as determined by the Plan Administrator and communicated to the eligible employees prior to the commencement of the ofering period. The Plan Administrator has the authority to alter the terms of an ofering prior to the commencement of the ofering period, including the duraton of subsequent ofering periods. When an eligible employee elects to join an ofering period, he or she is granted a right to purchase shares of our common stock on each purchase date within the ofering period. On the purchase date, all contributons collected from the partcipant are automatcally applied to the purchase of our common stock, subject to certain limitatons (which are described further below under “Eligibility”).</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Eligibility – broad-based partcipaton</w:t>
      </w:r>
    </w:p>
    <w:p>
      <w:pPr>
        <w:spacing w:after="0" w:line="114" w:lineRule="exact"/>
        <w:rPr>
          <w:sz w:val="20"/>
          <w:szCs w:val="20"/>
          <w:color w:val="auto"/>
        </w:rPr>
      </w:pPr>
    </w:p>
    <w:p>
      <w:pPr>
        <w:ind w:left="320" w:right="100"/>
        <w:spacing w:after="0" w:line="259" w:lineRule="auto"/>
        <w:rPr>
          <w:sz w:val="20"/>
          <w:szCs w:val="20"/>
          <w:color w:val="auto"/>
        </w:rPr>
      </w:pPr>
      <w:r>
        <w:rPr>
          <w:rFonts w:ascii="Calibri" w:cs="Calibri" w:eastAsia="Calibri" w:hAnsi="Calibri"/>
          <w:sz w:val="16"/>
          <w:szCs w:val="16"/>
          <w:color w:val="auto"/>
        </w:rPr>
        <w:t>The Plan Administrator shall determine who is eligible to partcipate in the Plan. The Plan Administrator may, for example, require that employees must work more than 20 hours per week and/or more than fve months per calendar year in order to be eligible to partcipate in the Plan. The Plan Administrator may also limit or restrict the ofering to other employment criteria that it deems appropriate, provided such limits or restrictons comply with applicable law. For foreign subsidiaries and those employees and foreign natonals working in the U.S., the Plan Administrator, at its discreton will develop and implement eligibility requirements for those subsidiaries and employees in accordance applicable laws (including foreign laws, as necessary).</w:t>
      </w:r>
    </w:p>
    <w:p>
      <w:pPr>
        <w:spacing w:after="0" w:line="111"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111</w:t>
            </w:r>
          </w:p>
        </w:tc>
      </w:tr>
    </w:tbl>
    <w:p>
      <w:pPr>
        <w:sectPr>
          <w:pgSz w:w="11900" w:h="16838" w:orient="portrait"/>
          <w:cols w:equalWidth="0" w:num="1">
            <w:col w:w="10940"/>
          </w:cols>
          <w:pgMar w:left="320" w:top="445" w:right="6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Proposal 2 — Approval of the ExlService Holdings, Inc. 2022 Employee Stock Purchase Plan</w:t>
      </w:r>
    </w:p>
    <w:p>
      <w:pPr>
        <w:spacing w:after="0" w:line="140" w:lineRule="exact"/>
        <w:rPr>
          <w:sz w:val="20"/>
          <w:szCs w:val="20"/>
          <w:color w:val="auto"/>
        </w:rPr>
      </w:pPr>
    </w:p>
    <w:p>
      <w:pPr>
        <w:jc w:val="both"/>
        <w:ind w:left="320" w:right="220"/>
        <w:spacing w:after="0" w:line="239" w:lineRule="auto"/>
        <w:rPr>
          <w:sz w:val="20"/>
          <w:szCs w:val="20"/>
          <w:color w:val="auto"/>
        </w:rPr>
      </w:pPr>
      <w:r>
        <w:rPr>
          <w:rFonts w:ascii="Calibri" w:cs="Calibri" w:eastAsia="Calibri" w:hAnsi="Calibri"/>
          <w:sz w:val="17"/>
          <w:szCs w:val="17"/>
          <w:color w:val="auto"/>
        </w:rPr>
        <w:t>No employee will be eligible to partcipate in the ESPP if, immediately afer the grant of purchase rights, the employee would own, directly or indirectly, stock possessing 5% or more of the total combined votng power or value of all classes of our stock or of any of our subsidiary companies, including any stock which such employee may purchase under all outstanding purchase rights and optons</w:t>
      </w:r>
    </w:p>
    <w:p>
      <w:pPr>
        <w:spacing w:after="0" w:line="317" w:lineRule="exact"/>
        <w:rPr>
          <w:sz w:val="20"/>
          <w:szCs w:val="20"/>
          <w:color w:val="auto"/>
        </w:rPr>
      </w:pPr>
    </w:p>
    <w:p>
      <w:pPr>
        <w:ind w:left="320"/>
        <w:spacing w:after="0" w:line="268" w:lineRule="auto"/>
        <w:rPr>
          <w:sz w:val="20"/>
          <w:szCs w:val="20"/>
          <w:color w:val="auto"/>
        </w:rPr>
      </w:pPr>
      <w:r>
        <w:rPr>
          <w:rFonts w:ascii="Calibri" w:cs="Calibri" w:eastAsia="Calibri" w:hAnsi="Calibri"/>
          <w:sz w:val="16"/>
          <w:szCs w:val="16"/>
          <w:color w:val="auto"/>
        </w:rPr>
        <w:t>As of March 31, 2022, approximately 2,400 U.S. employees would have been eligible to partcipate in the ESPP. We expect that, subject to establishment of sub-plans and any required flings, as appropriate under applicable law, most of our employees across the world will be eligible to partcipate in the ESPP.</w:t>
      </w:r>
    </w:p>
    <w:p>
      <w:pPr>
        <w:spacing w:after="0" w:line="393"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Partcipaton in the ESPP; limits on employee contributons</w:t>
      </w:r>
    </w:p>
    <w:p>
      <w:pPr>
        <w:spacing w:after="0" w:line="114"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An eligible employee may enroll in the ESPP by delivering to the Plan Administrator or its delegate, prior to the date selected by the Plan Administrator as the beginning of an ofering period, an agreement authorizing contributons which may not exceed the maximum amount specifed by the Plan Administrator, but in any case, with respect to purchase rights intended to receive favorable tax treatment under Secton 423 of the Code, which may not exceed 15% of such employee’s compensaton during the ofering period. Each partcipant will be granted a separate purchase right for each ofering in which he or she partcipates. Unless an employee’s partcipaton is discontnued, his or her purchase right will be exercised automatcally at the end of each purchase period at the applicable purchase price.</w:t>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Purchase price and limits; payroll deductons</w:t>
      </w:r>
    </w:p>
    <w:p>
      <w:pPr>
        <w:spacing w:after="0" w:line="114"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The Commitee will establish one or more dates during the purchase period where it will purchase common stock (the “purchase dates”). The purchase price per share of our common stock on each purchase date during an ofering period will not be less than 85% of the lesser of:</w:t>
      </w:r>
    </w:p>
    <w:p>
      <w:pPr>
        <w:spacing w:after="0" w:line="119" w:lineRule="exact"/>
        <w:rPr>
          <w:sz w:val="20"/>
          <w:szCs w:val="20"/>
          <w:color w:val="auto"/>
        </w:rPr>
      </w:pPr>
    </w:p>
    <w:p>
      <w:pPr>
        <w:ind w:left="740" w:hanging="424"/>
        <w:spacing w:after="0"/>
        <w:tabs>
          <w:tab w:leader="none" w:pos="740" w:val="left"/>
        </w:tabs>
        <w:numPr>
          <w:ilvl w:val="0"/>
          <w:numId w:val="47"/>
        </w:numPr>
        <w:rPr>
          <w:rFonts w:ascii="Calibri" w:cs="Calibri" w:eastAsia="Calibri" w:hAnsi="Calibri"/>
          <w:sz w:val="17"/>
          <w:szCs w:val="17"/>
          <w:color w:val="auto"/>
        </w:rPr>
      </w:pPr>
      <w:r>
        <w:rPr>
          <w:rFonts w:ascii="Calibri" w:cs="Calibri" w:eastAsia="Calibri" w:hAnsi="Calibri"/>
          <w:sz w:val="17"/>
          <w:szCs w:val="17"/>
          <w:color w:val="auto"/>
        </w:rPr>
        <w:t>the fair market value of a share of our common stock on the frst day of the ofering period, or</w:t>
      </w:r>
    </w:p>
    <w:p>
      <w:pPr>
        <w:spacing w:after="0" w:line="119" w:lineRule="exact"/>
        <w:rPr>
          <w:rFonts w:ascii="Calibri" w:cs="Calibri" w:eastAsia="Calibri" w:hAnsi="Calibri"/>
          <w:sz w:val="17"/>
          <w:szCs w:val="17"/>
          <w:color w:val="auto"/>
        </w:rPr>
      </w:pPr>
    </w:p>
    <w:p>
      <w:pPr>
        <w:ind w:left="740" w:right="660" w:hanging="424"/>
        <w:spacing w:after="0" w:line="239" w:lineRule="auto"/>
        <w:tabs>
          <w:tab w:leader="none" w:pos="740" w:val="left"/>
        </w:tabs>
        <w:numPr>
          <w:ilvl w:val="0"/>
          <w:numId w:val="47"/>
        </w:numPr>
        <w:rPr>
          <w:rFonts w:ascii="Calibri" w:cs="Calibri" w:eastAsia="Calibri" w:hAnsi="Calibri"/>
          <w:sz w:val="17"/>
          <w:szCs w:val="17"/>
          <w:color w:val="auto"/>
        </w:rPr>
      </w:pPr>
      <w:r>
        <w:rPr>
          <w:rFonts w:ascii="Calibri" w:cs="Calibri" w:eastAsia="Calibri" w:hAnsi="Calibri"/>
          <w:sz w:val="17"/>
          <w:szCs w:val="17"/>
          <w:color w:val="auto"/>
        </w:rPr>
        <w:t>the fair market value of a share of our common stock on the date selected by the Plan Administrator for purchasing the common stock (the “purchase date”).</w:t>
      </w:r>
    </w:p>
    <w:p>
      <w:pPr>
        <w:spacing w:after="0" w:line="315"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As of March 31, 2022, the closing price of our common stock as reported on the Nasdaq Global Select Market was $143.27 per share. The ESPP does not provide for matching contributons from the Company.</w:t>
      </w:r>
    </w:p>
    <w:p>
      <w:pPr>
        <w:spacing w:after="0" w:line="315" w:lineRule="exact"/>
        <w:rPr>
          <w:sz w:val="20"/>
          <w:szCs w:val="20"/>
          <w:color w:val="auto"/>
        </w:rPr>
      </w:pPr>
    </w:p>
    <w:p>
      <w:pPr>
        <w:jc w:val="both"/>
        <w:ind w:left="320" w:right="100"/>
        <w:spacing w:after="0" w:line="239" w:lineRule="auto"/>
        <w:rPr>
          <w:sz w:val="20"/>
          <w:szCs w:val="20"/>
          <w:color w:val="auto"/>
        </w:rPr>
      </w:pPr>
      <w:r>
        <w:rPr>
          <w:rFonts w:ascii="Calibri" w:cs="Calibri" w:eastAsia="Calibri" w:hAnsi="Calibri"/>
          <w:sz w:val="17"/>
          <w:szCs w:val="17"/>
          <w:color w:val="auto"/>
        </w:rPr>
        <w:t>The purchase of shares during an ofering period generally will be funded by a partcipant’s payroll deductons accumulated during the ofering period. A partcipant may change his or her rate of contributons, as determined by the Plan Administrator and set forth in the ofering document. All contributons made for a partcipant are credited to his or her account under the ESPP and deposited with our general funds.</w:t>
      </w:r>
    </w:p>
    <w:p>
      <w:pPr>
        <w:spacing w:after="0" w:line="317"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In connecton with each ofering made under the ESPP, the Plan Administrator may specify (i) a maximum number of shares of our common stock that may be purchased by any partcipant on any purchase date pursuant to such ofering, or as determined by the</w:t>
      </w:r>
    </w:p>
    <w:p>
      <w:pPr>
        <w:spacing w:after="0" w:line="127"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112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00"/>
          </w:cols>
          <w:pgMar w:left="320" w:top="445" w:right="6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Proposal 2 — Approval of the ExlService Holdings, Inc. 2022 Employee Stock Purchase Plan</w:t>
      </w:r>
    </w:p>
    <w:p>
      <w:pPr>
        <w:spacing w:after="0" w:line="140"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Plan Administrator, a maximum dollar amount which may not exceed 15% of such employee’s eligible earnings during the ofering period, (ii) a maximum aggregate number of shares of our common stock that may be purchased by all partcipants pursuant to such ofering, and/or (iii) a maximum aggregate number of shares of our common stock that may be purchased by all partcipants on any purchase date pursuant to such ofering. If the aggregate purchase of shares of our common stock issuable upon exercise of purchase rights granted under such ofering would exceed any such maximum aggregate number, then the Plan Administrator will make a pro rata allocaton of available shares in a uniform and equitable manner. In additon, no employee may purchase more than $25,000 worth of our common stock (determined based on the fair market value of the shares at the tme such rights are purchased) in each calendar year. The Plan Administrator may lower the dollar value purchase limit at its discreton.</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Holding period</w:t>
      </w:r>
    </w:p>
    <w:p>
      <w:pPr>
        <w:spacing w:after="0" w:line="114"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Unless otherwise provided by the Plan Administrator, no shares of common stock purchased in any ofering under the Plan may be transferred out of the partcipant’s Plan investment account to any other brokerage account designated by the partcipant for twelve (12) months afer the purchase date on which such shares were purchased.</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Withdrawal; terminaton of employment; restrictons on transfer</w:t>
      </w:r>
    </w:p>
    <w:p>
      <w:pPr>
        <w:spacing w:after="0" w:line="114"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Partcipants may withdraw from a given ofering by delivering a withdrawal form to us and terminatng their contributons. Such withdrawal may be elected at any tme prior to the end of an ofering, except as otherwise provided by the Plan Administrator and set forth in the ofering document. Upon such withdrawal, we will distribute to the employee his or her accumulated but unused contributons without interest, and such employee’s right to partcipate in that ofering will terminate. However, an employee’s withdrawal from an ofering does not afect such employee’s eligibility to partcipate in subsequent oferings under the ESPP.</w:t>
      </w:r>
    </w:p>
    <w:p>
      <w:pPr>
        <w:spacing w:after="0" w:line="315" w:lineRule="exact"/>
        <w:rPr>
          <w:sz w:val="20"/>
          <w:szCs w:val="20"/>
          <w:color w:val="auto"/>
        </w:rPr>
      </w:pPr>
    </w:p>
    <w:p>
      <w:pPr>
        <w:jc w:val="both"/>
        <w:ind w:left="320" w:right="240"/>
        <w:spacing w:after="0" w:line="239" w:lineRule="auto"/>
        <w:rPr>
          <w:sz w:val="20"/>
          <w:szCs w:val="20"/>
          <w:color w:val="auto"/>
        </w:rPr>
      </w:pPr>
      <w:r>
        <w:rPr>
          <w:rFonts w:ascii="Calibri" w:cs="Calibri" w:eastAsia="Calibri" w:hAnsi="Calibri"/>
          <w:sz w:val="17"/>
          <w:szCs w:val="17"/>
          <w:color w:val="auto"/>
        </w:rPr>
        <w:t>A partcipant’s rights under any ofering under the ESPP will terminate immediately if the partcipant either (i) is no longer employed by us or any of our subsidiary companies (subject to any post-employment partcipaton period required by law) or (ii) is otherwise no longer eligible to partcipate. In such event, we will distribute to the partcipant his or her accumulated but unused contributons without interest.</w:t>
      </w:r>
    </w:p>
    <w:p>
      <w:pPr>
        <w:spacing w:after="0" w:line="317" w:lineRule="exact"/>
        <w:rPr>
          <w:sz w:val="20"/>
          <w:szCs w:val="20"/>
          <w:color w:val="auto"/>
        </w:rPr>
      </w:pPr>
    </w:p>
    <w:p>
      <w:pPr>
        <w:ind w:left="320" w:right="800"/>
        <w:spacing w:after="0" w:line="239" w:lineRule="auto"/>
        <w:rPr>
          <w:sz w:val="20"/>
          <w:szCs w:val="20"/>
          <w:color w:val="auto"/>
        </w:rPr>
      </w:pPr>
      <w:r>
        <w:rPr>
          <w:rFonts w:ascii="Calibri" w:cs="Calibri" w:eastAsia="Calibri" w:hAnsi="Calibri"/>
          <w:sz w:val="17"/>
          <w:szCs w:val="17"/>
          <w:color w:val="auto"/>
        </w:rPr>
        <w:t>Rights granted under the ESPP are not transferable except by will, by the laws of descent and distributon, or if permited by us, by a benefciary designaton. During a partcipant’s lifetme, such rights may only be exercised by the partcipant.</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Changes in capitalizaton and efect of certain corporate transactons</w:t>
      </w:r>
    </w:p>
    <w:p>
      <w:pPr>
        <w:spacing w:after="0" w:line="114" w:lineRule="exact"/>
        <w:rPr>
          <w:sz w:val="20"/>
          <w:szCs w:val="20"/>
          <w:color w:val="auto"/>
        </w:rPr>
      </w:pPr>
    </w:p>
    <w:p>
      <w:pPr>
        <w:ind w:left="320" w:right="220"/>
        <w:spacing w:after="0" w:line="239" w:lineRule="auto"/>
        <w:rPr>
          <w:sz w:val="20"/>
          <w:szCs w:val="20"/>
          <w:color w:val="auto"/>
        </w:rPr>
      </w:pPr>
      <w:r>
        <w:rPr>
          <w:rFonts w:ascii="Calibri" w:cs="Calibri" w:eastAsia="Calibri" w:hAnsi="Calibri"/>
          <w:sz w:val="17"/>
          <w:szCs w:val="17"/>
          <w:color w:val="auto"/>
        </w:rPr>
        <w:t>In the event of certain changes in our capitalizaton, the Plan Administrator will appropriately adjust: (i) the class(es) and maximum number of securites subject to the ESPP; (ii) the class(es) and number of securites subject to, and the purchase price applicable to outstanding purchase rights; and (iii) the class(es) and number of securites that are the subject of any purchase limits under each ongoing ofering.</w:t>
      </w:r>
    </w:p>
    <w:p>
      <w:pPr>
        <w:spacing w:after="0" w:line="317"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In the event of a corporate transacton (as defned in the ESPP and described below), (i) any surviving or acquiring corporaton (or its parent company) may assume or contnue outstanding purchase rights granted under the ESPP or may substtute similar rights</w:t>
      </w:r>
    </w:p>
    <w:p>
      <w:pPr>
        <w:spacing w:after="0" w:line="127"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113</w:t>
            </w:r>
          </w:p>
        </w:tc>
      </w:tr>
    </w:tbl>
    <w:p>
      <w:pPr>
        <w:sectPr>
          <w:pgSz w:w="11900" w:h="16838" w:orient="portrait"/>
          <w:cols w:equalWidth="0" w:num="1">
            <w:col w:w="10940"/>
          </w:cols>
          <w:pgMar w:left="320" w:top="445" w:right="6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Proposal 2 — Approval of the ExlService Holdings, Inc. 2022 Employee Stock Purchase Plan</w:t>
      </w:r>
    </w:p>
    <w:p>
      <w:pPr>
        <w:spacing w:after="0" w:line="14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(including a right to acquire the same consideraton paid to the stockholder in the corporate transacton) for such outstanding purchase rights, or (ii) if any surviving or acquiring corporaton (or its parent company) does not assume or contnue such outstanding purchase rights or does not substtute similar rights for such outstanding purchase rights, then the partcipants’ accumulated contributons will be used to purchase shares of our common stock within ten business days prior to the corporate transacton under such purchase rights, and such purchase rights and the Plan will terminate immediately afer such purchase.</w:t>
      </w:r>
    </w:p>
    <w:p>
      <w:pPr>
        <w:spacing w:after="0" w:line="315"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For purposes of the ESPP, a corporate transacton generally will be deemed to occur in the event of the consummaton of: (i) a sale or other dispositon of all or substantally all of our consolidated assets; (ii) a sale or other dispositon of at least 50% of our outstanding securites; (iii) a merger, consolidaton or similar transacton following which we are not the surviving corporaton; or (iv) a merger, consolidaton or similar transacton following which we are the surviving corporaton but the shares of our common stock outstanding immediately prior to such transacton are converted or exchanged into other property by virtue of such transacton.</w:t>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Duraton, amendment and terminaton</w:t>
      </w:r>
    </w:p>
    <w:p>
      <w:pPr>
        <w:spacing w:after="0" w:line="114" w:lineRule="exact"/>
        <w:rPr>
          <w:sz w:val="20"/>
          <w:szCs w:val="20"/>
          <w:color w:val="auto"/>
        </w:rPr>
      </w:pPr>
    </w:p>
    <w:p>
      <w:pPr>
        <w:ind w:left="320" w:right="300"/>
        <w:spacing w:after="0" w:line="239" w:lineRule="auto"/>
        <w:rPr>
          <w:sz w:val="20"/>
          <w:szCs w:val="20"/>
          <w:color w:val="auto"/>
        </w:rPr>
      </w:pPr>
      <w:r>
        <w:rPr>
          <w:rFonts w:ascii="Calibri" w:cs="Calibri" w:eastAsia="Calibri" w:hAnsi="Calibri"/>
          <w:sz w:val="17"/>
          <w:szCs w:val="17"/>
          <w:color w:val="auto"/>
        </w:rPr>
        <w:t>The Plan Administrator may amend, suspend or terminate the ESPP at any tme. However, for certain capitalizaton adjustments, any such amendment must be approved by our stockholders if such approval is required by applicable law, including any listng requirements.</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Any outstanding purchase rights granted before an amendment or terminaton of the ESPP will not be materially impaired by any such amendment or terminaton, except (i) with the consent of the employee to whom such purchase rights were granted, (ii) as necessary to comply with applicable laws, including any listng requirements or governmental regulatons (including Secton 423 of the Code), or (iii) as necessary to obtain or maintain favorable tax, listng or regulatory treatment.</w:t>
      </w:r>
    </w:p>
    <w:p>
      <w:pPr>
        <w:spacing w:after="0" w:line="315" w:lineRule="exact"/>
        <w:rPr>
          <w:sz w:val="20"/>
          <w:szCs w:val="20"/>
          <w:color w:val="auto"/>
        </w:rPr>
      </w:pPr>
    </w:p>
    <w:p>
      <w:pPr>
        <w:ind w:left="320" w:right="120"/>
        <w:spacing w:after="0" w:line="239" w:lineRule="auto"/>
        <w:rPr>
          <w:sz w:val="20"/>
          <w:szCs w:val="20"/>
          <w:color w:val="auto"/>
        </w:rPr>
      </w:pPr>
      <w:r>
        <w:rPr>
          <w:rFonts w:ascii="Calibri" w:cs="Calibri" w:eastAsia="Calibri" w:hAnsi="Calibri"/>
          <w:sz w:val="17"/>
          <w:szCs w:val="17"/>
          <w:color w:val="auto"/>
        </w:rPr>
        <w:t>Notwithstanding anything in the ESPP or any ofering to the contrary, the Plan Administrator will be enttled to: (i) establish the exchange rato applicable to amounts withheld in a currency other than U.S. dollars, if applicable; (ii) permit contributons in excess of the amount designated by a partcipant and/or via cash, check or wire transfer in lieu of payroll deductons to adjust for mistakes in processing of properly completed contributon electons;</w:t>
      </w:r>
    </w:p>
    <w:p>
      <w:pPr>
        <w:spacing w:after="0" w:line="4" w:lineRule="exact"/>
        <w:rPr>
          <w:sz w:val="20"/>
          <w:szCs w:val="20"/>
          <w:color w:val="auto"/>
        </w:rPr>
      </w:pPr>
    </w:p>
    <w:p>
      <w:pPr>
        <w:ind w:left="320" w:right="40" w:hanging="4"/>
        <w:spacing w:after="0"/>
        <w:tabs>
          <w:tab w:leader="none" w:pos="577" w:val="left"/>
        </w:tabs>
        <w:numPr>
          <w:ilvl w:val="0"/>
          <w:numId w:val="48"/>
        </w:numPr>
        <w:rPr>
          <w:rFonts w:ascii="Calibri" w:cs="Calibri" w:eastAsia="Calibri" w:hAnsi="Calibri"/>
          <w:sz w:val="17"/>
          <w:szCs w:val="17"/>
          <w:color w:val="auto"/>
        </w:rPr>
      </w:pPr>
      <w:r>
        <w:rPr>
          <w:rFonts w:ascii="Calibri" w:cs="Calibri" w:eastAsia="Calibri" w:hAnsi="Calibri"/>
          <w:sz w:val="17"/>
          <w:szCs w:val="17"/>
          <w:color w:val="auto"/>
        </w:rPr>
        <w:t>establish reasonable waitng and adjustment periods and/ or accountng and creditng procedures to ensure that amounts applied toward the purchase of common stock for each partcipant properly correspond with that partcipant’s contributons; (iv) amend any outstanding purchase rights or clarify any ambiguites regarding the terms of any ofering or purchase period to enable the purchase rights to qualify under and/or comply with Secton 423 of the Code; and (v) establish other limitatons or procedures as the Plan Administrator determines in its sole discreton advisable that are consistent with the ESPP and to correct for mistakes in the Company’s processing of properly completed contributon electons; provided in each case that such actons qualify under and/or comply with Secton 423 of the Code. Any such actons by the Plan Administrator will not be considered to alter or impair any purchase rights granted under an ofering as they are part of the inital terms of each ofering and the purchase rights granted under each ofering.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Federal income tax informaton</w:t>
      </w:r>
    </w:p>
    <w:p>
      <w:pPr>
        <w:spacing w:after="0" w:line="114"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The following is a summary of the principal United States federal income tax consequences to partcipants and us with respect to partcipaton in the ESPP. This summary is not intended to be exhaustve and does not discuss the income tax laws of any local,</w:t>
      </w:r>
    </w:p>
    <w:p>
      <w:pPr>
        <w:spacing w:after="0" w:line="127"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114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00"/>
          </w:cols>
          <w:pgMar w:left="320" w:top="445" w:right="6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Proposal 2 — Approval of the ExlService Holdings, Inc. 2022 Employee Stock Purchase Plan</w:t>
      </w:r>
    </w:p>
    <w:p>
      <w:pPr>
        <w:spacing w:after="0" w:line="140" w:lineRule="exact"/>
        <w:rPr>
          <w:sz w:val="20"/>
          <w:szCs w:val="20"/>
          <w:color w:val="auto"/>
        </w:rPr>
      </w:pPr>
    </w:p>
    <w:p>
      <w:pPr>
        <w:ind w:left="320" w:right="140"/>
        <w:spacing w:after="0"/>
        <w:rPr>
          <w:sz w:val="20"/>
          <w:szCs w:val="20"/>
          <w:color w:val="auto"/>
        </w:rPr>
      </w:pPr>
      <w:r>
        <w:rPr>
          <w:rFonts w:ascii="Calibri" w:cs="Calibri" w:eastAsia="Calibri" w:hAnsi="Calibri"/>
          <w:sz w:val="17"/>
          <w:szCs w:val="17"/>
          <w:color w:val="auto"/>
        </w:rPr>
        <w:t>state or foreign jurisdicton in which a partcipant may reside. The informaton is based upon current federal income tax rules and therefore is subject to change when those rules change. Because the tax consequences to any partcipant may depend on his or her partcular situaton, each partcipant should consult the partcipant’s tax adviser regarding the federal, state, local, and other tax consequences of the grant or exercise of a purchase right or the sale or other dispositon of common stock acquired under the ESPP. The ESPP is not qualifed under the provisions of Secton 401(a) of the Code and is not subject to any of the provisions of the Employee Retrement Income Security Act of 1974, as amended.</w:t>
      </w:r>
    </w:p>
    <w:p>
      <w:pPr>
        <w:spacing w:after="0" w:line="315"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The ESPP, and the rights of partcipant employees to make purchases thereunder, qualify for treatment under the provisions of Sectons 421 and 423 of the Code. Under these provisions, no income will be taxable to a partcipant untl the shares purchased under the ESPP are sold or otherwise disposed of.</w:t>
      </w:r>
    </w:p>
    <w:p>
      <w:pPr>
        <w:spacing w:after="0" w:line="315" w:lineRule="exact"/>
        <w:rPr>
          <w:sz w:val="20"/>
          <w:szCs w:val="20"/>
          <w:color w:val="auto"/>
        </w:rPr>
      </w:pPr>
    </w:p>
    <w:p>
      <w:pPr>
        <w:ind w:left="320" w:right="340"/>
        <w:spacing w:after="0" w:line="239" w:lineRule="auto"/>
        <w:rPr>
          <w:sz w:val="20"/>
          <w:szCs w:val="20"/>
          <w:color w:val="auto"/>
        </w:rPr>
      </w:pPr>
      <w:r>
        <w:rPr>
          <w:rFonts w:ascii="Calibri" w:cs="Calibri" w:eastAsia="Calibri" w:hAnsi="Calibri"/>
          <w:sz w:val="17"/>
          <w:szCs w:val="17"/>
          <w:color w:val="auto"/>
        </w:rPr>
        <w:t>Employees will generally be subject to tax in an amount that depends on the employee’s holding period with respect to the commons stock purchased under the ESPP.</w:t>
      </w:r>
    </w:p>
    <w:p>
      <w:pPr>
        <w:spacing w:after="0" w:line="120" w:lineRule="exact"/>
        <w:rPr>
          <w:sz w:val="20"/>
          <w:szCs w:val="20"/>
          <w:color w:val="auto"/>
        </w:rPr>
      </w:pPr>
    </w:p>
    <w:p>
      <w:pPr>
        <w:ind w:left="740" w:right="20" w:hanging="424"/>
        <w:spacing w:after="0" w:line="239" w:lineRule="auto"/>
        <w:tabs>
          <w:tab w:leader="none" w:pos="740" w:val="left"/>
        </w:tabs>
        <w:numPr>
          <w:ilvl w:val="0"/>
          <w:numId w:val="49"/>
        </w:numPr>
        <w:rPr>
          <w:rFonts w:ascii="Calibri" w:cs="Calibri" w:eastAsia="Calibri" w:hAnsi="Calibri"/>
          <w:sz w:val="17"/>
          <w:szCs w:val="17"/>
          <w:color w:val="auto"/>
        </w:rPr>
      </w:pPr>
      <w:r>
        <w:rPr>
          <w:rFonts w:ascii="Calibri" w:cs="Calibri" w:eastAsia="Calibri" w:hAnsi="Calibri"/>
          <w:sz w:val="17"/>
          <w:szCs w:val="17"/>
          <w:color w:val="auto"/>
        </w:rPr>
        <w:t>If the common stock is sold or disposed of more than one year from the date of purchase and more than two years afer the frst day of the ofering period in which it was purchased, or upon the employee’s death while owning the common stock, the employee will recognize ordinary income in an amount generally equal to the lesser of:</w:t>
      </w:r>
    </w:p>
    <w:p>
      <w:pPr>
        <w:spacing w:after="0" w:line="120" w:lineRule="exact"/>
        <w:rPr>
          <w:rFonts w:ascii="Calibri" w:cs="Calibri" w:eastAsia="Calibri" w:hAnsi="Calibri"/>
          <w:sz w:val="17"/>
          <w:szCs w:val="17"/>
          <w:color w:val="auto"/>
        </w:rPr>
      </w:pPr>
    </w:p>
    <w:p>
      <w:pPr>
        <w:ind w:left="1260" w:hanging="527"/>
        <w:spacing w:after="0"/>
        <w:tabs>
          <w:tab w:leader="none" w:pos="1260" w:val="left"/>
        </w:tabs>
        <w:numPr>
          <w:ilvl w:val="1"/>
          <w:numId w:val="49"/>
        </w:numPr>
        <w:rPr>
          <w:rFonts w:ascii="Calibri" w:cs="Calibri" w:eastAsia="Calibri" w:hAnsi="Calibri"/>
          <w:sz w:val="17"/>
          <w:szCs w:val="17"/>
          <w:color w:val="auto"/>
        </w:rPr>
      </w:pPr>
      <w:r>
        <w:rPr>
          <w:rFonts w:ascii="Calibri" w:cs="Calibri" w:eastAsia="Calibri" w:hAnsi="Calibri"/>
          <w:sz w:val="17"/>
          <w:szCs w:val="17"/>
          <w:color w:val="auto"/>
        </w:rPr>
        <w:t>an amount equal to 15% of the fair market value of the common stock on the frst day of the ofering period, and</w:t>
      </w:r>
    </w:p>
    <w:p>
      <w:pPr>
        <w:spacing w:after="0" w:line="117" w:lineRule="exact"/>
        <w:rPr>
          <w:rFonts w:ascii="Calibri" w:cs="Calibri" w:eastAsia="Calibri" w:hAnsi="Calibri"/>
          <w:sz w:val="17"/>
          <w:szCs w:val="17"/>
          <w:color w:val="auto"/>
        </w:rPr>
      </w:pPr>
    </w:p>
    <w:p>
      <w:pPr>
        <w:ind w:left="1260" w:hanging="527"/>
        <w:spacing w:after="0"/>
        <w:tabs>
          <w:tab w:leader="none" w:pos="1260" w:val="left"/>
        </w:tabs>
        <w:numPr>
          <w:ilvl w:val="1"/>
          <w:numId w:val="49"/>
        </w:numPr>
        <w:rPr>
          <w:rFonts w:ascii="Calibri" w:cs="Calibri" w:eastAsia="Calibri" w:hAnsi="Calibri"/>
          <w:sz w:val="17"/>
          <w:szCs w:val="17"/>
          <w:color w:val="auto"/>
        </w:rPr>
      </w:pPr>
      <w:r>
        <w:rPr>
          <w:rFonts w:ascii="Calibri" w:cs="Calibri" w:eastAsia="Calibri" w:hAnsi="Calibri"/>
          <w:sz w:val="17"/>
          <w:szCs w:val="17"/>
          <w:color w:val="auto"/>
        </w:rPr>
        <w:t>the excess of the sale price of the common stock over the purchase price.</w:t>
      </w:r>
    </w:p>
    <w:p>
      <w:pPr>
        <w:spacing w:after="0" w:line="106" w:lineRule="exact"/>
        <w:rPr>
          <w:sz w:val="20"/>
          <w:szCs w:val="20"/>
          <w:color w:val="auto"/>
        </w:rPr>
      </w:pPr>
    </w:p>
    <w:p>
      <w:pPr>
        <w:jc w:val="both"/>
        <w:ind w:left="740" w:right="120"/>
        <w:spacing w:after="0" w:line="239" w:lineRule="auto"/>
        <w:rPr>
          <w:sz w:val="20"/>
          <w:szCs w:val="20"/>
          <w:color w:val="auto"/>
        </w:rPr>
      </w:pPr>
      <w:r>
        <w:rPr>
          <w:rFonts w:ascii="Calibri" w:cs="Calibri" w:eastAsia="Calibri" w:hAnsi="Calibri"/>
          <w:sz w:val="17"/>
          <w:szCs w:val="17"/>
          <w:color w:val="auto"/>
        </w:rPr>
        <w:t>Any additonal gain will be treated as long-term capital gain. If the common stock held for the periods described above are sold and the sale price is less than the purchase price, then the employee will recognize a long-term capital loss in an amount equal to the excess of the purchase price over the sale price of the common stock.</w:t>
      </w:r>
    </w:p>
    <w:p>
      <w:pPr>
        <w:spacing w:after="0" w:line="122" w:lineRule="exact"/>
        <w:rPr>
          <w:sz w:val="20"/>
          <w:szCs w:val="20"/>
          <w:color w:val="auto"/>
        </w:rPr>
      </w:pPr>
    </w:p>
    <w:p>
      <w:pPr>
        <w:ind w:left="740" w:right="140" w:hanging="424"/>
        <w:spacing w:after="0"/>
        <w:tabs>
          <w:tab w:leader="none" w:pos="740" w:val="left"/>
        </w:tabs>
        <w:numPr>
          <w:ilvl w:val="0"/>
          <w:numId w:val="50"/>
        </w:numPr>
        <w:rPr>
          <w:rFonts w:ascii="Calibri" w:cs="Calibri" w:eastAsia="Calibri" w:hAnsi="Calibri"/>
          <w:sz w:val="17"/>
          <w:szCs w:val="17"/>
          <w:color w:val="auto"/>
        </w:rPr>
      </w:pPr>
      <w:r>
        <w:rPr>
          <w:rFonts w:ascii="Calibri" w:cs="Calibri" w:eastAsia="Calibri" w:hAnsi="Calibri"/>
          <w:sz w:val="17"/>
          <w:szCs w:val="17"/>
          <w:color w:val="auto"/>
        </w:rPr>
        <w:t>If the common stock is sold or otherwise disposed of before the expiraton of the holding periods described above, other than following the employee’s death while owning the common stock, the employee generally will recognize as ordinary income an amount equal to the excess of the fair market value of the common stock on the date the common stock were purchased over the purchase price. Any additonal gain or loss on such sale or dispositon will be long-term or short-term capital gain or loss, depending on the employee’s holding period with respect to the common stock.</w:t>
      </w:r>
    </w:p>
    <w:p>
      <w:pPr>
        <w:spacing w:after="0" w:line="315" w:lineRule="exact"/>
        <w:rPr>
          <w:sz w:val="20"/>
          <w:szCs w:val="20"/>
          <w:color w:val="auto"/>
        </w:rPr>
      </w:pPr>
    </w:p>
    <w:p>
      <w:pPr>
        <w:ind w:left="320" w:right="760"/>
        <w:spacing w:after="0" w:line="239" w:lineRule="auto"/>
        <w:rPr>
          <w:sz w:val="20"/>
          <w:szCs w:val="20"/>
          <w:color w:val="auto"/>
        </w:rPr>
      </w:pPr>
      <w:r>
        <w:rPr>
          <w:rFonts w:ascii="Calibri" w:cs="Calibri" w:eastAsia="Calibri" w:hAnsi="Calibri"/>
          <w:sz w:val="17"/>
          <w:szCs w:val="17"/>
          <w:color w:val="auto"/>
        </w:rPr>
        <w:t>We are not enttled to a deducton for amounts taxed as ordinary income or capital gain to an employee except to the extent of ordinary income recognized upon a sale or dispositon of common stock prior to the expiraton of the holding periods described above.</w:t>
      </w:r>
    </w:p>
    <w:p>
      <w:pPr>
        <w:spacing w:after="0" w:line="3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Employees who are foreign natonals or employed by a foreign subsidiary are not enttled to the tax treatment above. Foreign natonals who partcipate in the ESPP while employed by the Company in the U.S. will recognize ordinary income at the tme the common stock is purchased measured as the excess of the fair market value of the common stock purchased over the purchase price. The Company will be enttled to a corresponding deducton. Any additonal gain or loss on the subsequent sale or dispositon will be long-term or short-term capital gain or loss, depending on the capital gain holding period. The foreign natonal maybe subject to additonal taxes in his or her country of domicile. Any employees employed by a foreign subsidiary and partcipatng in the ESPP will be subject to the tax laws of his or her respectve tax jurisdicton.</w:t>
      </w:r>
    </w:p>
    <w:p>
      <w:pPr>
        <w:spacing w:after="0" w:line="128"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115</w:t>
            </w:r>
          </w:p>
        </w:tc>
      </w:tr>
    </w:tbl>
    <w:p>
      <w:pPr>
        <w:sectPr>
          <w:pgSz w:w="11900" w:h="16838" w:orient="portrait"/>
          <w:cols w:equalWidth="0" w:num="1">
            <w:col w:w="10940"/>
          </w:cols>
          <w:pgMar w:left="320" w:top="445" w:right="6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Proposal 2 — Approval of the ExlService Holdings, Inc. 2022 Employee Stock Purchase Plan</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New plan benefts</w:t>
      </w:r>
    </w:p>
    <w:p>
      <w:pPr>
        <w:spacing w:after="0" w:line="114"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Partcipaton in the ESPP is voluntary and each eligible employee will make his or her own decision regarding whether and to what extent to partcipate in the ESPP. In additon, our board of directors and the Compensaton Commitee have not granted any purchase rights under the ESPP that are subject to stockholder approval of this Proposal 2. Accordingly, the benefts or amounts that will be received by or allocated to our executve ofcers and other employees under the ESPP, as well as the benefts or amounts which would have been received by or allocated to our executve ofcers and other employees for fscal year 2021 if the ESPP had been in efect, are not determinable. Our non-employee directors will not be eligible to partcipate in the ESPP.</w:t>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Equity compensaton plan informaton</w:t>
      </w:r>
    </w:p>
    <w:p>
      <w:pPr>
        <w:spacing w:after="0" w:line="114"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The following table provides informaton as of December 31, 2021 with respect to the shares of our common stock that may be issued under our existng equity compensaton plans. For a descripton of our equity compensaton plans, see Note 22 - Stock Based Compensaton to our consolidated fnancial statements in the 2021 Form 10-K.</w:t>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3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20" w:type="dxa"/>
            <w:vAlign w:val="bottom"/>
          </w:tcPr>
          <w:p>
            <w:pPr>
              <w:jc w:val="center"/>
              <w:ind w:left="293"/>
              <w:spacing w:after="0"/>
              <w:rPr>
                <w:sz w:val="20"/>
                <w:szCs w:val="20"/>
                <w:color w:val="auto"/>
              </w:rPr>
            </w:pPr>
            <w:r>
              <w:rPr>
                <w:rFonts w:ascii="Calibri" w:cs="Calibri" w:eastAsia="Calibri" w:hAnsi="Calibri"/>
                <w:sz w:val="17"/>
                <w:szCs w:val="17"/>
                <w:b w:val="1"/>
                <w:bCs w:val="1"/>
                <w:color w:val="auto"/>
              </w:rPr>
              <w:t>Number of securites</w:t>
            </w:r>
          </w:p>
        </w:tc>
        <w:tc>
          <w:tcPr>
            <w:tcW w:w="0" w:type="dxa"/>
            <w:vAlign w:val="bottom"/>
          </w:tcPr>
          <w:p>
            <w:pPr>
              <w:spacing w:after="0"/>
              <w:rPr>
                <w:sz w:val="1"/>
                <w:szCs w:val="1"/>
                <w:color w:val="auto"/>
              </w:rPr>
            </w:pPr>
          </w:p>
        </w:tc>
      </w:tr>
      <w:tr>
        <w:trPr>
          <w:trHeight w:val="208"/>
        </w:trPr>
        <w:tc>
          <w:tcPr>
            <w:tcW w:w="3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300" w:type="dxa"/>
            <w:vAlign w:val="bottom"/>
            <w:vMerge w:val="restart"/>
          </w:tcPr>
          <w:p>
            <w:pPr>
              <w:jc w:val="center"/>
              <w:spacing w:after="0"/>
              <w:rPr>
                <w:sz w:val="20"/>
                <w:szCs w:val="20"/>
                <w:color w:val="auto"/>
              </w:rPr>
            </w:pPr>
            <w:r>
              <w:rPr>
                <w:rFonts w:ascii="Calibri" w:cs="Calibri" w:eastAsia="Calibri" w:hAnsi="Calibri"/>
                <w:sz w:val="17"/>
                <w:szCs w:val="17"/>
                <w:b w:val="1"/>
                <w:bCs w:val="1"/>
                <w:color w:val="auto"/>
                <w:w w:val="98"/>
              </w:rPr>
              <w:t>Weighted</w:t>
            </w:r>
          </w:p>
        </w:tc>
        <w:tc>
          <w:tcPr>
            <w:tcW w:w="2020" w:type="dxa"/>
            <w:vAlign w:val="bottom"/>
          </w:tcPr>
          <w:p>
            <w:pPr>
              <w:jc w:val="center"/>
              <w:ind w:left="293"/>
              <w:spacing w:after="0"/>
              <w:rPr>
                <w:sz w:val="20"/>
                <w:szCs w:val="20"/>
                <w:color w:val="auto"/>
              </w:rPr>
            </w:pPr>
            <w:r>
              <w:rPr>
                <w:rFonts w:ascii="Calibri" w:cs="Calibri" w:eastAsia="Calibri" w:hAnsi="Calibri"/>
                <w:sz w:val="17"/>
                <w:szCs w:val="17"/>
                <w:b w:val="1"/>
                <w:bCs w:val="1"/>
                <w:color w:val="auto"/>
                <w:w w:val="98"/>
              </w:rPr>
              <w:t>remaining available for</w:t>
            </w:r>
          </w:p>
        </w:tc>
        <w:tc>
          <w:tcPr>
            <w:tcW w:w="0" w:type="dxa"/>
            <w:vAlign w:val="bottom"/>
          </w:tcPr>
          <w:p>
            <w:pPr>
              <w:spacing w:after="0"/>
              <w:rPr>
                <w:sz w:val="1"/>
                <w:szCs w:val="1"/>
                <w:color w:val="auto"/>
              </w:rPr>
            </w:pPr>
          </w:p>
        </w:tc>
      </w:tr>
      <w:tr>
        <w:trPr>
          <w:trHeight w:val="197"/>
        </w:trPr>
        <w:tc>
          <w:tcPr>
            <w:tcW w:w="3680" w:type="dxa"/>
            <w:vAlign w:val="bottom"/>
          </w:tcPr>
          <w:p>
            <w:pPr>
              <w:spacing w:after="0"/>
              <w:rPr>
                <w:sz w:val="17"/>
                <w:szCs w:val="17"/>
                <w:color w:val="auto"/>
              </w:rPr>
            </w:pPr>
          </w:p>
        </w:tc>
        <w:tc>
          <w:tcPr>
            <w:tcW w:w="2620" w:type="dxa"/>
            <w:vAlign w:val="bottom"/>
          </w:tcPr>
          <w:p>
            <w:pPr>
              <w:jc w:val="center"/>
              <w:spacing w:after="0" w:line="198" w:lineRule="exact"/>
              <w:rPr>
                <w:sz w:val="20"/>
                <w:szCs w:val="20"/>
                <w:color w:val="auto"/>
              </w:rPr>
            </w:pPr>
            <w:r>
              <w:rPr>
                <w:rFonts w:ascii="Calibri" w:cs="Calibri" w:eastAsia="Calibri" w:hAnsi="Calibri"/>
                <w:sz w:val="17"/>
                <w:szCs w:val="17"/>
                <w:b w:val="1"/>
                <w:bCs w:val="1"/>
                <w:color w:val="auto"/>
              </w:rPr>
              <w:t>Number of securites to be</w:t>
            </w:r>
          </w:p>
        </w:tc>
        <w:tc>
          <w:tcPr>
            <w:tcW w:w="2300" w:type="dxa"/>
            <w:vAlign w:val="bottom"/>
            <w:vMerge w:val="continue"/>
          </w:tcPr>
          <w:p>
            <w:pPr>
              <w:spacing w:after="0"/>
              <w:rPr>
                <w:sz w:val="17"/>
                <w:szCs w:val="17"/>
                <w:color w:val="auto"/>
              </w:rPr>
            </w:pPr>
          </w:p>
        </w:tc>
        <w:tc>
          <w:tcPr>
            <w:tcW w:w="2020" w:type="dxa"/>
            <w:vAlign w:val="bottom"/>
          </w:tcPr>
          <w:p>
            <w:pPr>
              <w:jc w:val="center"/>
              <w:ind w:left="293"/>
              <w:spacing w:after="0" w:line="198" w:lineRule="exact"/>
              <w:rPr>
                <w:sz w:val="20"/>
                <w:szCs w:val="20"/>
                <w:color w:val="auto"/>
              </w:rPr>
            </w:pPr>
            <w:r>
              <w:rPr>
                <w:rFonts w:ascii="Calibri" w:cs="Calibri" w:eastAsia="Calibri" w:hAnsi="Calibri"/>
                <w:sz w:val="17"/>
                <w:szCs w:val="17"/>
                <w:b w:val="1"/>
                <w:bCs w:val="1"/>
                <w:color w:val="auto"/>
                <w:w w:val="98"/>
              </w:rPr>
              <w:t>future issuance under</w:t>
            </w:r>
          </w:p>
        </w:tc>
        <w:tc>
          <w:tcPr>
            <w:tcW w:w="0" w:type="dxa"/>
            <w:vAlign w:val="bottom"/>
          </w:tcPr>
          <w:p>
            <w:pPr>
              <w:spacing w:after="0"/>
              <w:rPr>
                <w:sz w:val="1"/>
                <w:szCs w:val="1"/>
                <w:color w:val="auto"/>
              </w:rPr>
            </w:pPr>
          </w:p>
        </w:tc>
      </w:tr>
      <w:tr>
        <w:trPr>
          <w:trHeight w:val="208"/>
        </w:trPr>
        <w:tc>
          <w:tcPr>
            <w:tcW w:w="368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Calibri" w:cs="Calibri" w:eastAsia="Calibri" w:hAnsi="Calibri"/>
                <w:sz w:val="17"/>
                <w:szCs w:val="17"/>
                <w:b w:val="1"/>
                <w:bCs w:val="1"/>
                <w:color w:val="auto"/>
              </w:rPr>
              <w:t>issued upon</w:t>
            </w:r>
          </w:p>
        </w:tc>
        <w:tc>
          <w:tcPr>
            <w:tcW w:w="230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auto"/>
                <w:w w:val="98"/>
              </w:rPr>
              <w:t>average exercise price</w:t>
            </w:r>
          </w:p>
        </w:tc>
        <w:tc>
          <w:tcPr>
            <w:tcW w:w="2020" w:type="dxa"/>
            <w:vAlign w:val="bottom"/>
          </w:tcPr>
          <w:p>
            <w:pPr>
              <w:jc w:val="center"/>
              <w:ind w:left="293"/>
              <w:spacing w:after="0"/>
              <w:rPr>
                <w:sz w:val="20"/>
                <w:szCs w:val="20"/>
                <w:color w:val="auto"/>
              </w:rPr>
            </w:pPr>
            <w:r>
              <w:rPr>
                <w:rFonts w:ascii="Calibri" w:cs="Calibri" w:eastAsia="Calibri" w:hAnsi="Calibri"/>
                <w:sz w:val="17"/>
                <w:szCs w:val="17"/>
                <w:b w:val="1"/>
                <w:bCs w:val="1"/>
                <w:color w:val="auto"/>
              </w:rPr>
              <w:t>equity compensaton</w:t>
            </w:r>
          </w:p>
        </w:tc>
        <w:tc>
          <w:tcPr>
            <w:tcW w:w="0" w:type="dxa"/>
            <w:vAlign w:val="bottom"/>
          </w:tcPr>
          <w:p>
            <w:pPr>
              <w:spacing w:after="0"/>
              <w:rPr>
                <w:sz w:val="1"/>
                <w:szCs w:val="1"/>
                <w:color w:val="auto"/>
              </w:rPr>
            </w:pPr>
          </w:p>
        </w:tc>
      </w:tr>
      <w:tr>
        <w:trPr>
          <w:trHeight w:val="208"/>
        </w:trPr>
        <w:tc>
          <w:tcPr>
            <w:tcW w:w="368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Calibri" w:cs="Calibri" w:eastAsia="Calibri" w:hAnsi="Calibri"/>
                <w:sz w:val="17"/>
                <w:szCs w:val="17"/>
                <w:b w:val="1"/>
                <w:bCs w:val="1"/>
                <w:color w:val="auto"/>
              </w:rPr>
              <w:t>exercise/vestng of</w:t>
            </w:r>
          </w:p>
        </w:tc>
        <w:tc>
          <w:tcPr>
            <w:tcW w:w="230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auto"/>
              </w:rPr>
              <w:t>of outstanding</w:t>
            </w:r>
          </w:p>
        </w:tc>
        <w:tc>
          <w:tcPr>
            <w:tcW w:w="2020" w:type="dxa"/>
            <w:vAlign w:val="bottom"/>
          </w:tcPr>
          <w:p>
            <w:pPr>
              <w:jc w:val="center"/>
              <w:ind w:left="293"/>
              <w:spacing w:after="0"/>
              <w:rPr>
                <w:sz w:val="20"/>
                <w:szCs w:val="20"/>
                <w:color w:val="auto"/>
              </w:rPr>
            </w:pPr>
            <w:r>
              <w:rPr>
                <w:rFonts w:ascii="Calibri" w:cs="Calibri" w:eastAsia="Calibri" w:hAnsi="Calibri"/>
                <w:sz w:val="17"/>
                <w:szCs w:val="17"/>
                <w:b w:val="1"/>
                <w:bCs w:val="1"/>
                <w:color w:val="auto"/>
                <w:w w:val="98"/>
              </w:rPr>
              <w:t>plans (excluding</w:t>
            </w:r>
          </w:p>
        </w:tc>
        <w:tc>
          <w:tcPr>
            <w:tcW w:w="0" w:type="dxa"/>
            <w:vAlign w:val="bottom"/>
          </w:tcPr>
          <w:p>
            <w:pPr>
              <w:spacing w:after="0"/>
              <w:rPr>
                <w:sz w:val="1"/>
                <w:szCs w:val="1"/>
                <w:color w:val="auto"/>
              </w:rPr>
            </w:pPr>
          </w:p>
        </w:tc>
      </w:tr>
      <w:tr>
        <w:trPr>
          <w:trHeight w:val="208"/>
        </w:trPr>
        <w:tc>
          <w:tcPr>
            <w:tcW w:w="368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Calibri" w:cs="Calibri" w:eastAsia="Calibri" w:hAnsi="Calibri"/>
                <w:sz w:val="17"/>
                <w:szCs w:val="17"/>
                <w:b w:val="1"/>
                <w:bCs w:val="1"/>
                <w:color w:val="auto"/>
              </w:rPr>
              <w:t>outstanding optons,</w:t>
            </w:r>
          </w:p>
        </w:tc>
        <w:tc>
          <w:tcPr>
            <w:tcW w:w="230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auto"/>
              </w:rPr>
              <w:t>optons, warrants</w:t>
            </w:r>
          </w:p>
        </w:tc>
        <w:tc>
          <w:tcPr>
            <w:tcW w:w="2020" w:type="dxa"/>
            <w:vAlign w:val="bottom"/>
          </w:tcPr>
          <w:p>
            <w:pPr>
              <w:jc w:val="center"/>
              <w:ind w:left="293"/>
              <w:spacing w:after="0"/>
              <w:rPr>
                <w:sz w:val="20"/>
                <w:szCs w:val="20"/>
                <w:color w:val="auto"/>
              </w:rPr>
            </w:pPr>
            <w:r>
              <w:rPr>
                <w:rFonts w:ascii="Calibri" w:cs="Calibri" w:eastAsia="Calibri" w:hAnsi="Calibri"/>
                <w:sz w:val="17"/>
                <w:szCs w:val="17"/>
                <w:b w:val="1"/>
                <w:bCs w:val="1"/>
                <w:color w:val="auto"/>
              </w:rPr>
              <w:t>securites refected in</w:t>
            </w:r>
          </w:p>
        </w:tc>
        <w:tc>
          <w:tcPr>
            <w:tcW w:w="0" w:type="dxa"/>
            <w:vAlign w:val="bottom"/>
          </w:tcPr>
          <w:p>
            <w:pPr>
              <w:spacing w:after="0"/>
              <w:rPr>
                <w:sz w:val="1"/>
                <w:szCs w:val="1"/>
                <w:color w:val="auto"/>
              </w:rPr>
            </w:pPr>
          </w:p>
        </w:tc>
      </w:tr>
      <w:tr>
        <w:trPr>
          <w:trHeight w:val="219"/>
        </w:trPr>
        <w:tc>
          <w:tcPr>
            <w:tcW w:w="3680" w:type="dxa"/>
            <w:vAlign w:val="bottom"/>
          </w:tcPr>
          <w:p>
            <w:pPr>
              <w:spacing w:after="0"/>
              <w:rPr>
                <w:sz w:val="20"/>
                <w:szCs w:val="20"/>
                <w:color w:val="auto"/>
              </w:rPr>
            </w:pPr>
            <w:r>
              <w:rPr>
                <w:rFonts w:ascii="Calibri" w:cs="Calibri" w:eastAsia="Calibri" w:hAnsi="Calibri"/>
                <w:sz w:val="17"/>
                <w:szCs w:val="17"/>
                <w:b w:val="1"/>
                <w:bCs w:val="1"/>
                <w:color w:val="auto"/>
              </w:rPr>
              <w:t>Plan category</w:t>
            </w:r>
          </w:p>
        </w:tc>
        <w:tc>
          <w:tcPr>
            <w:tcW w:w="2620" w:type="dxa"/>
            <w:vAlign w:val="bottom"/>
          </w:tcPr>
          <w:p>
            <w:pPr>
              <w:jc w:val="center"/>
              <w:spacing w:after="0"/>
              <w:rPr>
                <w:sz w:val="20"/>
                <w:szCs w:val="20"/>
                <w:color w:val="auto"/>
              </w:rPr>
            </w:pPr>
            <w:r>
              <w:rPr>
                <w:rFonts w:ascii="Calibri" w:cs="Calibri" w:eastAsia="Calibri" w:hAnsi="Calibri"/>
                <w:sz w:val="17"/>
                <w:szCs w:val="17"/>
                <w:b w:val="1"/>
                <w:bCs w:val="1"/>
                <w:color w:val="auto"/>
                <w:w w:val="99"/>
              </w:rPr>
              <w:t>warrants and rights*</w:t>
            </w:r>
          </w:p>
        </w:tc>
        <w:tc>
          <w:tcPr>
            <w:tcW w:w="2300" w:type="dxa"/>
            <w:vAlign w:val="bottom"/>
          </w:tcPr>
          <w:p>
            <w:pPr>
              <w:jc w:val="center"/>
              <w:spacing w:after="0" w:line="206" w:lineRule="exact"/>
              <w:rPr>
                <w:sz w:val="20"/>
                <w:szCs w:val="20"/>
                <w:color w:val="auto"/>
              </w:rPr>
            </w:pPr>
            <w:r>
              <w:rPr>
                <w:rFonts w:ascii="Calibri" w:cs="Calibri" w:eastAsia="Calibri" w:hAnsi="Calibri"/>
                <w:sz w:val="17"/>
                <w:szCs w:val="17"/>
                <w:b w:val="1"/>
                <w:bCs w:val="1"/>
                <w:color w:val="auto"/>
                <w:w w:val="99"/>
              </w:rPr>
              <w:t>and rights</w:t>
            </w:r>
          </w:p>
        </w:tc>
        <w:tc>
          <w:tcPr>
            <w:tcW w:w="2020" w:type="dxa"/>
            <w:vAlign w:val="bottom"/>
          </w:tcPr>
          <w:p>
            <w:pPr>
              <w:jc w:val="center"/>
              <w:ind w:left="293"/>
              <w:spacing w:after="0"/>
              <w:rPr>
                <w:sz w:val="20"/>
                <w:szCs w:val="20"/>
                <w:color w:val="auto"/>
              </w:rPr>
            </w:pPr>
            <w:r>
              <w:rPr>
                <w:rFonts w:ascii="Calibri" w:cs="Calibri" w:eastAsia="Calibri" w:hAnsi="Calibri"/>
                <w:sz w:val="17"/>
                <w:szCs w:val="17"/>
                <w:b w:val="1"/>
                <w:bCs w:val="1"/>
                <w:color w:val="auto"/>
                <w:w w:val="99"/>
              </w:rPr>
              <w:t>column (a))</w:t>
            </w:r>
          </w:p>
        </w:tc>
        <w:tc>
          <w:tcPr>
            <w:tcW w:w="0" w:type="dxa"/>
            <w:vAlign w:val="bottom"/>
          </w:tcPr>
          <w:p>
            <w:pPr>
              <w:spacing w:after="0"/>
              <w:rPr>
                <w:sz w:val="1"/>
                <w:szCs w:val="1"/>
                <w:color w:val="auto"/>
              </w:rPr>
            </w:pPr>
          </w:p>
        </w:tc>
      </w:tr>
      <w:tr>
        <w:trPr>
          <w:trHeight w:val="107"/>
        </w:trPr>
        <w:tc>
          <w:tcPr>
            <w:tcW w:w="3680" w:type="dxa"/>
            <w:vAlign w:val="bottom"/>
            <w:tcBorders>
              <w:bottom w:val="single" w:sz="8" w:color="FB4E0B"/>
            </w:tcBorders>
          </w:tcPr>
          <w:p>
            <w:pPr>
              <w:spacing w:after="0"/>
              <w:rPr>
                <w:sz w:val="9"/>
                <w:szCs w:val="9"/>
                <w:color w:val="auto"/>
              </w:rPr>
            </w:pPr>
          </w:p>
        </w:tc>
        <w:tc>
          <w:tcPr>
            <w:tcW w:w="2620" w:type="dxa"/>
            <w:vAlign w:val="bottom"/>
            <w:tcBorders>
              <w:bottom w:val="single" w:sz="8" w:color="FB4E0B"/>
            </w:tcBorders>
          </w:tcPr>
          <w:p>
            <w:pPr>
              <w:spacing w:after="0"/>
              <w:rPr>
                <w:sz w:val="9"/>
                <w:szCs w:val="9"/>
                <w:color w:val="auto"/>
              </w:rPr>
            </w:pPr>
          </w:p>
        </w:tc>
        <w:tc>
          <w:tcPr>
            <w:tcW w:w="2300" w:type="dxa"/>
            <w:vAlign w:val="bottom"/>
            <w:tcBorders>
              <w:bottom w:val="single" w:sz="8" w:color="FB4E0B"/>
            </w:tcBorders>
          </w:tcPr>
          <w:p>
            <w:pPr>
              <w:spacing w:after="0"/>
              <w:rPr>
                <w:sz w:val="9"/>
                <w:szCs w:val="9"/>
                <w:color w:val="auto"/>
              </w:rPr>
            </w:pPr>
          </w:p>
        </w:tc>
        <w:tc>
          <w:tcPr>
            <w:tcW w:w="2020" w:type="dxa"/>
            <w:vAlign w:val="bottom"/>
            <w:tcBorders>
              <w:bottom w:val="single" w:sz="8" w:color="FB4E0B"/>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3680" w:type="dxa"/>
            <w:vAlign w:val="bottom"/>
          </w:tcPr>
          <w:p>
            <w:pPr>
              <w:spacing w:after="0" w:line="187" w:lineRule="exact"/>
              <w:rPr>
                <w:sz w:val="20"/>
                <w:szCs w:val="20"/>
                <w:color w:val="auto"/>
              </w:rPr>
            </w:pPr>
            <w:r>
              <w:rPr>
                <w:rFonts w:ascii="Calibri" w:cs="Calibri" w:eastAsia="Calibri" w:hAnsi="Calibri"/>
                <w:sz w:val="17"/>
                <w:szCs w:val="17"/>
                <w:color w:val="auto"/>
              </w:rPr>
              <w:t>Equity compensaton plans approved by security</w:t>
            </w:r>
          </w:p>
        </w:tc>
        <w:tc>
          <w:tcPr>
            <w:tcW w:w="2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line="206" w:lineRule="exact"/>
              <w:rPr>
                <w:sz w:val="20"/>
                <w:szCs w:val="20"/>
                <w:color w:val="auto"/>
              </w:rPr>
            </w:pPr>
            <w:r>
              <w:rPr>
                <w:rFonts w:ascii="Calibri" w:cs="Calibri" w:eastAsia="Calibri" w:hAnsi="Calibri"/>
                <w:sz w:val="17"/>
                <w:szCs w:val="17"/>
                <w:color w:val="auto"/>
              </w:rPr>
              <w:t>holders</w:t>
            </w:r>
          </w:p>
        </w:tc>
        <w:tc>
          <w:tcPr>
            <w:tcW w:w="2620" w:type="dxa"/>
            <w:vAlign w:val="bottom"/>
          </w:tcPr>
          <w:p>
            <w:pPr>
              <w:jc w:val="right"/>
              <w:ind w:right="573"/>
              <w:spacing w:after="0" w:line="206" w:lineRule="exact"/>
              <w:rPr>
                <w:sz w:val="20"/>
                <w:szCs w:val="20"/>
                <w:color w:val="auto"/>
              </w:rPr>
            </w:pPr>
            <w:r>
              <w:rPr>
                <w:rFonts w:ascii="Calibri" w:cs="Calibri" w:eastAsia="Calibri" w:hAnsi="Calibri"/>
                <w:sz w:val="17"/>
                <w:szCs w:val="17"/>
                <w:color w:val="auto"/>
              </w:rPr>
              <w:t>1,378,667</w:t>
            </w:r>
          </w:p>
        </w:tc>
        <w:tc>
          <w:tcPr>
            <w:tcW w:w="2300" w:type="dxa"/>
            <w:vAlign w:val="bottom"/>
          </w:tcPr>
          <w:p>
            <w:pPr>
              <w:jc w:val="right"/>
              <w:ind w:right="633"/>
              <w:spacing w:after="0" w:line="206" w:lineRule="exact"/>
              <w:rPr>
                <w:sz w:val="20"/>
                <w:szCs w:val="20"/>
                <w:color w:val="auto"/>
              </w:rPr>
            </w:pPr>
            <w:r>
              <w:rPr>
                <w:rFonts w:ascii="Calibri" w:cs="Calibri" w:eastAsia="Calibri" w:hAnsi="Calibri"/>
                <w:sz w:val="17"/>
                <w:szCs w:val="17"/>
                <w:color w:val="auto"/>
              </w:rPr>
              <w:t>$27.62</w:t>
            </w:r>
          </w:p>
        </w:tc>
        <w:tc>
          <w:tcPr>
            <w:tcW w:w="2020" w:type="dxa"/>
            <w:vAlign w:val="bottom"/>
          </w:tcPr>
          <w:p>
            <w:pPr>
              <w:jc w:val="right"/>
              <w:ind w:right="53"/>
              <w:spacing w:after="0" w:line="206" w:lineRule="exact"/>
              <w:rPr>
                <w:sz w:val="20"/>
                <w:szCs w:val="20"/>
                <w:color w:val="auto"/>
              </w:rPr>
            </w:pPr>
            <w:r>
              <w:rPr>
                <w:rFonts w:ascii="Calibri" w:cs="Calibri" w:eastAsia="Calibri" w:hAnsi="Calibri"/>
                <w:sz w:val="17"/>
                <w:szCs w:val="17"/>
                <w:color w:val="auto"/>
              </w:rPr>
              <w:t>1,777,687</w:t>
            </w:r>
          </w:p>
        </w:tc>
        <w:tc>
          <w:tcPr>
            <w:tcW w:w="0" w:type="dxa"/>
            <w:vAlign w:val="bottom"/>
          </w:tcPr>
          <w:p>
            <w:pPr>
              <w:spacing w:after="0"/>
              <w:rPr>
                <w:sz w:val="1"/>
                <w:szCs w:val="1"/>
                <w:color w:val="auto"/>
              </w:rPr>
            </w:pPr>
          </w:p>
        </w:tc>
      </w:tr>
      <w:tr>
        <w:trPr>
          <w:trHeight w:val="260"/>
        </w:trPr>
        <w:tc>
          <w:tcPr>
            <w:tcW w:w="3680" w:type="dxa"/>
            <w:vAlign w:val="bottom"/>
          </w:tcPr>
          <w:p>
            <w:pPr>
              <w:spacing w:after="0"/>
              <w:rPr>
                <w:sz w:val="20"/>
                <w:szCs w:val="20"/>
                <w:color w:val="auto"/>
              </w:rPr>
            </w:pPr>
            <w:r>
              <w:rPr>
                <w:rFonts w:ascii="Calibri" w:cs="Calibri" w:eastAsia="Calibri" w:hAnsi="Calibri"/>
                <w:sz w:val="17"/>
                <w:szCs w:val="17"/>
                <w:color w:val="auto"/>
              </w:rPr>
              <w:t>Equity compensaton plans not approved by</w:t>
            </w:r>
          </w:p>
        </w:tc>
        <w:tc>
          <w:tcPr>
            <w:tcW w:w="26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680" w:type="dxa"/>
            <w:vAlign w:val="bottom"/>
          </w:tcPr>
          <w:p>
            <w:pPr>
              <w:spacing w:after="0"/>
              <w:rPr>
                <w:sz w:val="20"/>
                <w:szCs w:val="20"/>
                <w:color w:val="auto"/>
              </w:rPr>
            </w:pPr>
            <w:r>
              <w:rPr>
                <w:rFonts w:ascii="Calibri" w:cs="Calibri" w:eastAsia="Calibri" w:hAnsi="Calibri"/>
                <w:sz w:val="17"/>
                <w:szCs w:val="17"/>
                <w:color w:val="auto"/>
              </w:rPr>
              <w:t>security holders</w:t>
            </w:r>
          </w:p>
        </w:tc>
        <w:tc>
          <w:tcPr>
            <w:tcW w:w="2620" w:type="dxa"/>
            <w:vAlign w:val="bottom"/>
          </w:tcPr>
          <w:p>
            <w:pPr>
              <w:jc w:val="right"/>
              <w:ind w:right="873"/>
              <w:spacing w:after="0"/>
              <w:rPr>
                <w:sz w:val="20"/>
                <w:szCs w:val="20"/>
                <w:color w:val="auto"/>
              </w:rPr>
            </w:pPr>
            <w:r>
              <w:rPr>
                <w:rFonts w:ascii="Calibri" w:cs="Calibri" w:eastAsia="Calibri" w:hAnsi="Calibri"/>
                <w:sz w:val="17"/>
                <w:szCs w:val="17"/>
                <w:color w:val="auto"/>
              </w:rPr>
              <w:t>—</w:t>
            </w:r>
          </w:p>
        </w:tc>
        <w:tc>
          <w:tcPr>
            <w:tcW w:w="2300" w:type="dxa"/>
            <w:vAlign w:val="bottom"/>
          </w:tcPr>
          <w:p>
            <w:pPr>
              <w:jc w:val="right"/>
              <w:ind w:right="753"/>
              <w:spacing w:after="0"/>
              <w:rPr>
                <w:sz w:val="20"/>
                <w:szCs w:val="20"/>
                <w:color w:val="auto"/>
              </w:rPr>
            </w:pPr>
            <w:r>
              <w:rPr>
                <w:rFonts w:ascii="Calibri" w:cs="Calibri" w:eastAsia="Calibri" w:hAnsi="Calibri"/>
                <w:sz w:val="17"/>
                <w:szCs w:val="17"/>
                <w:color w:val="auto"/>
              </w:rPr>
              <w:t>—</w:t>
            </w:r>
          </w:p>
        </w:tc>
        <w:tc>
          <w:tcPr>
            <w:tcW w:w="2020" w:type="dxa"/>
            <w:vAlign w:val="bottom"/>
          </w:tcPr>
          <w:p>
            <w:pPr>
              <w:jc w:val="right"/>
              <w:ind w:right="173"/>
              <w:spacing w:after="0"/>
              <w:rPr>
                <w:sz w:val="20"/>
                <w:szCs w:val="20"/>
                <w:color w:val="auto"/>
              </w:rPr>
            </w:pPr>
            <w:r>
              <w:rPr>
                <w:rFonts w:ascii="Calibri" w:cs="Calibri" w:eastAsia="Calibri" w:hAnsi="Calibri"/>
                <w:sz w:val="17"/>
                <w:szCs w:val="17"/>
                <w:color w:val="auto"/>
              </w:rPr>
              <w:t>—</w:t>
            </w:r>
          </w:p>
        </w:tc>
        <w:tc>
          <w:tcPr>
            <w:tcW w:w="0" w:type="dxa"/>
            <w:vAlign w:val="bottom"/>
          </w:tcPr>
          <w:p>
            <w:pPr>
              <w:spacing w:after="0"/>
              <w:rPr>
                <w:sz w:val="1"/>
                <w:szCs w:val="1"/>
                <w:color w:val="auto"/>
              </w:rPr>
            </w:pPr>
          </w:p>
        </w:tc>
      </w:tr>
      <w:tr>
        <w:trPr>
          <w:trHeight w:val="273"/>
        </w:trPr>
        <w:tc>
          <w:tcPr>
            <w:tcW w:w="3680" w:type="dxa"/>
            <w:vAlign w:val="bottom"/>
          </w:tcPr>
          <w:p>
            <w:pPr>
              <w:spacing w:after="0"/>
              <w:rPr>
                <w:sz w:val="20"/>
                <w:szCs w:val="20"/>
                <w:color w:val="auto"/>
              </w:rPr>
            </w:pPr>
            <w:r>
              <w:rPr>
                <w:rFonts w:ascii="Calibri" w:cs="Calibri" w:eastAsia="Calibri" w:hAnsi="Calibri"/>
                <w:sz w:val="17"/>
                <w:szCs w:val="17"/>
                <w:color w:val="auto"/>
              </w:rPr>
              <w:t>Total</w:t>
            </w:r>
          </w:p>
        </w:tc>
        <w:tc>
          <w:tcPr>
            <w:tcW w:w="2620" w:type="dxa"/>
            <w:vAlign w:val="bottom"/>
          </w:tcPr>
          <w:p>
            <w:pPr>
              <w:jc w:val="right"/>
              <w:ind w:right="573"/>
              <w:spacing w:after="0"/>
              <w:rPr>
                <w:sz w:val="20"/>
                <w:szCs w:val="20"/>
                <w:color w:val="auto"/>
              </w:rPr>
            </w:pPr>
            <w:r>
              <w:rPr>
                <w:rFonts w:ascii="Calibri" w:cs="Calibri" w:eastAsia="Calibri" w:hAnsi="Calibri"/>
                <w:sz w:val="17"/>
                <w:szCs w:val="17"/>
                <w:color w:val="auto"/>
              </w:rPr>
              <w:t>1,378,667</w:t>
            </w:r>
          </w:p>
        </w:tc>
        <w:tc>
          <w:tcPr>
            <w:tcW w:w="2300" w:type="dxa"/>
            <w:vAlign w:val="bottom"/>
          </w:tcPr>
          <w:p>
            <w:pPr>
              <w:jc w:val="right"/>
              <w:ind w:right="633"/>
              <w:spacing w:after="0"/>
              <w:rPr>
                <w:sz w:val="20"/>
                <w:szCs w:val="20"/>
                <w:color w:val="auto"/>
              </w:rPr>
            </w:pPr>
            <w:r>
              <w:rPr>
                <w:rFonts w:ascii="Calibri" w:cs="Calibri" w:eastAsia="Calibri" w:hAnsi="Calibri"/>
                <w:sz w:val="17"/>
                <w:szCs w:val="17"/>
                <w:color w:val="auto"/>
              </w:rPr>
              <w:t>27.62</w:t>
            </w:r>
          </w:p>
        </w:tc>
        <w:tc>
          <w:tcPr>
            <w:tcW w:w="2020" w:type="dxa"/>
            <w:vAlign w:val="bottom"/>
          </w:tcPr>
          <w:p>
            <w:pPr>
              <w:jc w:val="right"/>
              <w:ind w:right="53"/>
              <w:spacing w:after="0"/>
              <w:rPr>
                <w:sz w:val="20"/>
                <w:szCs w:val="20"/>
                <w:color w:val="auto"/>
              </w:rPr>
            </w:pPr>
            <w:r>
              <w:rPr>
                <w:rFonts w:ascii="Calibri" w:cs="Calibri" w:eastAsia="Calibri" w:hAnsi="Calibri"/>
                <w:sz w:val="17"/>
                <w:szCs w:val="17"/>
                <w:color w:val="auto"/>
              </w:rPr>
              <w:t>1,777,687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55880</wp:posOffset>
            </wp:positionV>
            <wp:extent cx="6740525" cy="165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740525" cy="16510"/>
                    </a:xfrm>
                    <a:prstGeom prst="rect">
                      <a:avLst/>
                    </a:prstGeom>
                    <a:noFill/>
                  </pic:spPr>
                </pic:pic>
              </a:graphicData>
            </a:graphic>
          </wp:anchor>
        </w:drawing>
      </w:r>
    </w:p>
    <w:p>
      <w:pPr>
        <w:spacing w:after="0" w:line="140" w:lineRule="exact"/>
        <w:rPr>
          <w:sz w:val="20"/>
          <w:szCs w:val="20"/>
          <w:color w:val="auto"/>
        </w:rPr>
      </w:pPr>
    </w:p>
    <w:p>
      <w:pPr>
        <w:ind w:left="320" w:right="340"/>
        <w:spacing w:after="0" w:line="251" w:lineRule="auto"/>
        <w:rPr>
          <w:sz w:val="20"/>
          <w:szCs w:val="20"/>
          <w:color w:val="auto"/>
        </w:rPr>
      </w:pPr>
      <w:r>
        <w:rPr>
          <w:rFonts w:ascii="Calibri" w:cs="Calibri" w:eastAsia="Calibri" w:hAnsi="Calibri"/>
          <w:sz w:val="13"/>
          <w:szCs w:val="13"/>
          <w:color w:val="auto"/>
        </w:rPr>
        <w:t>*This includes outstanding optons and unvested Restricted Stock Units, which include Time-Based Restricted Stock Units and Performance-Based Restricted Stock Units. See Note 22 - Stock Based Compensaton to our consolidated fnancial statements in the 2021 Form 10-K for further details.</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Required vote</w:t>
      </w:r>
    </w:p>
    <w:p>
      <w:pPr>
        <w:spacing w:after="0" w:line="114"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The approval of the ESPP as set forth herein requires the afrmatve vote of a majority of shares present in person or represented by proxy and enttled to vote at the Annual Meetng. Unless marked to the contrary, proxies received will be voted “FOR” ratfcaton of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163830</wp:posOffset>
            </wp:positionV>
            <wp:extent cx="6484620" cy="3549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484620" cy="354965"/>
                    </a:xfrm>
                    <a:prstGeom prst="rect">
                      <a:avLst/>
                    </a:prstGeom>
                    <a:noFill/>
                  </pic:spPr>
                </pic:pic>
              </a:graphicData>
            </a:graphic>
          </wp:anchor>
        </w:drawing>
      </w:r>
    </w:p>
    <w:p>
      <w:pPr>
        <w:spacing w:after="0" w:line="359" w:lineRule="exact"/>
        <w:rPr>
          <w:sz w:val="20"/>
          <w:szCs w:val="20"/>
          <w:color w:val="auto"/>
        </w:rPr>
      </w:pPr>
    </w:p>
    <w:p>
      <w:pPr>
        <w:ind w:left="78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396"/>
        </w:trPr>
        <w:tc>
          <w:tcPr>
            <w:tcW w:w="1240" w:type="dxa"/>
            <w:vAlign w:val="bottom"/>
            <w:tcBorders>
              <w:bottom w:val="single" w:sz="8" w:color="7F7F7F"/>
            </w:tcBorders>
            <w:gridSpan w:val="2"/>
            <w:shd w:val="clear" w:color="auto" w:fill="7F7F7F"/>
          </w:tcPr>
          <w:p>
            <w:pPr>
              <w:jc w:val="right"/>
              <w:spacing w:after="0"/>
              <w:rPr>
                <w:sz w:val="20"/>
                <w:szCs w:val="20"/>
                <w:color w:val="auto"/>
              </w:rPr>
            </w:pPr>
            <w:r>
              <w:rPr>
                <w:rFonts w:ascii="Calibri" w:cs="Calibri" w:eastAsia="Calibri" w:hAnsi="Calibri"/>
                <w:sz w:val="31"/>
                <w:szCs w:val="31"/>
                <w:b w:val="1"/>
                <w:bCs w:val="1"/>
                <w:color w:val="FFFFFF"/>
              </w:rPr>
              <w:t>FOR</w:t>
            </w:r>
          </w:p>
        </w:tc>
        <w:tc>
          <w:tcPr>
            <w:tcW w:w="440" w:type="dxa"/>
            <w:vAlign w:val="bottom"/>
            <w:tcBorders>
              <w:bottom w:val="single" w:sz="8" w:color="7F7F7F"/>
            </w:tcBorders>
            <w:shd w:val="clear" w:color="auto" w:fill="7F7F7F"/>
          </w:tcPr>
          <w:p>
            <w:pPr>
              <w:spacing w:after="0"/>
              <w:rPr>
                <w:sz w:val="24"/>
                <w:szCs w:val="24"/>
                <w:color w:val="auto"/>
              </w:rPr>
            </w:pPr>
          </w:p>
        </w:tc>
        <w:tc>
          <w:tcPr>
            <w:tcW w:w="8540" w:type="dxa"/>
            <w:vAlign w:val="bottom"/>
            <w:tcBorders>
              <w:bottom w:val="single" w:sz="8" w:color="7F7F7F"/>
              <w:right w:val="single" w:sz="8" w:color="7F7F7F"/>
            </w:tcBorders>
          </w:tcPr>
          <w:p>
            <w:pPr>
              <w:ind w:left="80"/>
              <w:spacing w:after="0"/>
              <w:rPr>
                <w:sz w:val="20"/>
                <w:szCs w:val="20"/>
                <w:color w:val="auto"/>
              </w:rPr>
            </w:pPr>
            <w:r>
              <w:rPr>
                <w:rFonts w:ascii="Calibri" w:cs="Calibri" w:eastAsia="Calibri" w:hAnsi="Calibri"/>
                <w:sz w:val="17"/>
                <w:szCs w:val="17"/>
                <w:b w:val="1"/>
                <w:bCs w:val="1"/>
                <w:color w:val="auto"/>
              </w:rPr>
              <w:t>The approval of the ExlService Holdings, Inc. 2022 Employee Stock Purchase Plan</w:t>
            </w:r>
          </w:p>
        </w:tc>
      </w:tr>
      <w:tr>
        <w:trPr>
          <w:trHeight w:val="445"/>
        </w:trPr>
        <w:tc>
          <w:tcPr>
            <w:tcW w:w="820" w:type="dxa"/>
            <w:vAlign w:val="bottom"/>
          </w:tcPr>
          <w:p>
            <w:pPr>
              <w:jc w:val="right"/>
              <w:spacing w:after="0"/>
              <w:rPr>
                <w:sz w:val="20"/>
                <w:szCs w:val="20"/>
                <w:color w:val="auto"/>
              </w:rPr>
            </w:pPr>
            <w:r>
              <w:rPr>
                <w:rFonts w:ascii="Calibri" w:cs="Calibri" w:eastAsia="Calibri" w:hAnsi="Calibri"/>
                <w:sz w:val="17"/>
                <w:szCs w:val="17"/>
                <w:b w:val="1"/>
                <w:bCs w:val="1"/>
                <w:color w:val="auto"/>
              </w:rPr>
              <w:t>116</w:t>
            </w:r>
          </w:p>
        </w:tc>
        <w:tc>
          <w:tcPr>
            <w:tcW w:w="420" w:type="dxa"/>
            <w:vAlign w:val="bottom"/>
          </w:tcPr>
          <w:p>
            <w:pPr>
              <w:jc w:val="right"/>
              <w:ind w:right="21"/>
              <w:spacing w:after="0"/>
              <w:rPr>
                <w:sz w:val="20"/>
                <w:szCs w:val="20"/>
                <w:color w:val="auto"/>
              </w:rPr>
            </w:pPr>
            <w:r>
              <w:rPr>
                <w:rFonts w:ascii="Calibri" w:cs="Calibri" w:eastAsia="Calibri" w:hAnsi="Calibri"/>
                <w:sz w:val="28"/>
                <w:szCs w:val="28"/>
                <w:b w:val="1"/>
                <w:bCs w:val="1"/>
                <w:color w:val="FB4E0B"/>
              </w:rPr>
              <w:t>/</w:t>
            </w:r>
          </w:p>
        </w:tc>
        <w:tc>
          <w:tcPr>
            <w:tcW w:w="8980" w:type="dxa"/>
            <w:vAlign w:val="bottom"/>
            <w:gridSpan w:val="2"/>
          </w:tcPr>
          <w:p>
            <w:pPr>
              <w:ind w:left="60"/>
              <w:spacing w:after="0"/>
              <w:rPr>
                <w:sz w:val="20"/>
                <w:szCs w:val="20"/>
                <w:color w:val="auto"/>
              </w:rPr>
            </w:pPr>
            <w:r>
              <w:rPr>
                <w:rFonts w:ascii="Calibri" w:cs="Calibri" w:eastAsia="Calibri" w:hAnsi="Calibri"/>
                <w:sz w:val="13"/>
                <w:szCs w:val="13"/>
                <w:color w:val="auto"/>
              </w:rPr>
              <w:t>EXL 2022 Proxy Statement</w:t>
            </w:r>
          </w:p>
        </w:tc>
      </w:tr>
    </w:tbl>
    <w:p>
      <w:pPr>
        <w:sectPr>
          <w:pgSz w:w="11900" w:h="16838" w:orient="portrait"/>
          <w:cols w:equalWidth="0" w:num="1">
            <w:col w:w="10940"/>
          </w:cols>
          <w:pgMar w:left="320" w:top="445" w:right="6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Proposal 3 — Ratfcaton of the appointment of independent registered public accountng frm</w:t>
      </w:r>
    </w:p>
    <w:p>
      <w:pPr>
        <w:spacing w:after="0" w:line="125" w:lineRule="exact"/>
        <w:rPr>
          <w:sz w:val="20"/>
          <w:szCs w:val="20"/>
          <w:color w:val="auto"/>
        </w:rPr>
      </w:pPr>
    </w:p>
    <w:p>
      <w:pPr>
        <w:ind w:left="320" w:right="680"/>
        <w:spacing w:after="0" w:line="238" w:lineRule="auto"/>
        <w:rPr>
          <w:sz w:val="20"/>
          <w:szCs w:val="20"/>
          <w:color w:val="auto"/>
        </w:rPr>
      </w:pPr>
      <w:r>
        <w:rPr>
          <w:rFonts w:ascii="Calibri" w:cs="Calibri" w:eastAsia="Calibri" w:hAnsi="Calibri"/>
          <w:sz w:val="31"/>
          <w:szCs w:val="31"/>
          <w:color w:val="FB4E0B"/>
        </w:rPr>
        <w:t>Proposal 3 — Ratfcaton of the appointment of independent registered public accountng frm</w:t>
      </w:r>
    </w:p>
    <w:p>
      <w:pPr>
        <w:spacing w:after="0" w:line="331"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Audit Commitee has appointed Deloite &amp; Touche LLP (“Deloite”) as the independent registered public accountng frm to audit the Company’s and its subsidiaries’ books, records and accounts for the fscal year 2022. Our board of directors has endorsed this appointment. Ratfcaton of the appointment of Deloite by our stockholders is not required by law. However, as a mater of good corporate practce, such appointment is being submited to our stockholders for ratfcaton at the Annual Meetng. If our stockholders do not ratfy the appointment, our board of directors and our Audit Commitee will reconsider whether or not to retain Deloite, but may nonetheless retain Deloite. Even if the appointment is ratfed, the Audit Commitee in its discreton may change such appointment at any tme during the year if it determines that such change would be in the best interests of the Company and our stockholders.</w:t>
      </w:r>
    </w:p>
    <w:p>
      <w:pPr>
        <w:spacing w:after="0" w:line="317"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In retaining Deloite as the Company’s independent registered public accountng frm, the Audit Commitee considered whether the provision of non-audit services by Deloite was compatble with maintaining Deloite’s independence and concluded that it was. Representatves of Deloite are expected to be present at the Annual Meetng. They will have an opportunity to make a statement, if they desire to do so, and will be available to respond to appropriate questons. Deloite has served as our independent registered public accountng frm since February 28, 2018.</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Audit and non-audit fees</w:t>
      </w:r>
    </w:p>
    <w:p>
      <w:pPr>
        <w:spacing w:after="0" w:line="114" w:lineRule="exact"/>
        <w:rPr>
          <w:sz w:val="20"/>
          <w:szCs w:val="20"/>
          <w:color w:val="auto"/>
        </w:rPr>
      </w:pPr>
    </w:p>
    <w:p>
      <w:pPr>
        <w:ind w:left="320" w:right="820"/>
        <w:spacing w:after="0" w:line="239" w:lineRule="auto"/>
        <w:rPr>
          <w:sz w:val="20"/>
          <w:szCs w:val="20"/>
          <w:color w:val="auto"/>
        </w:rPr>
      </w:pPr>
      <w:r>
        <w:rPr>
          <w:rFonts w:ascii="Calibri" w:cs="Calibri" w:eastAsia="Calibri" w:hAnsi="Calibri"/>
          <w:sz w:val="17"/>
          <w:szCs w:val="17"/>
          <w:color w:val="auto"/>
        </w:rPr>
        <w:t>The following is a summary of the fees billed or expected to be billed to us by the Company’s independent registered public accountng frm for professional services rendered in each of the last two fscal years:</w:t>
      </w:r>
    </w:p>
    <w:p>
      <w:pPr>
        <w:spacing w:after="0" w:line="200" w:lineRule="exact"/>
        <w:rPr>
          <w:sz w:val="20"/>
          <w:szCs w:val="20"/>
          <w:color w:val="auto"/>
        </w:rPr>
      </w:pPr>
    </w:p>
    <w:p>
      <w:pPr>
        <w:spacing w:after="0" w:line="283" w:lineRule="exact"/>
        <w:rPr>
          <w:sz w:val="20"/>
          <w:szCs w:val="20"/>
          <w:color w:val="auto"/>
        </w:rPr>
      </w:pPr>
    </w:p>
    <w:tbl>
      <w:tblPr>
        <w:tblLayout w:type="fixed"/>
        <w:tblInd w:w="2220" w:type="dxa"/>
        <w:tblCellMar>
          <w:top w:w="0" w:type="dxa"/>
          <w:left w:w="0" w:type="dxa"/>
          <w:bottom w:w="0" w:type="dxa"/>
          <w:right w:w="0" w:type="dxa"/>
        </w:tblCellMar>
      </w:tblPr>
      <w:tr>
        <w:trPr>
          <w:trHeight w:val="208"/>
        </w:trPr>
        <w:tc>
          <w:tcPr>
            <w:tcW w:w="2740" w:type="dxa"/>
            <w:vAlign w:val="bottom"/>
          </w:tcPr>
          <w:p>
            <w:pPr>
              <w:spacing w:after="0"/>
              <w:rPr>
                <w:sz w:val="18"/>
                <w:szCs w:val="18"/>
                <w:color w:val="auto"/>
              </w:rPr>
            </w:pPr>
          </w:p>
        </w:tc>
        <w:tc>
          <w:tcPr>
            <w:tcW w:w="1960" w:type="dxa"/>
            <w:vAlign w:val="bottom"/>
          </w:tcPr>
          <w:p>
            <w:pPr>
              <w:jc w:val="right"/>
              <w:ind w:right="153"/>
              <w:spacing w:after="0"/>
              <w:rPr>
                <w:sz w:val="20"/>
                <w:szCs w:val="20"/>
                <w:color w:val="auto"/>
              </w:rPr>
            </w:pPr>
            <w:r>
              <w:rPr>
                <w:rFonts w:ascii="Calibri" w:cs="Calibri" w:eastAsia="Calibri" w:hAnsi="Calibri"/>
                <w:sz w:val="17"/>
                <w:szCs w:val="17"/>
                <w:b w:val="1"/>
                <w:bCs w:val="1"/>
                <w:color w:val="FB4E0B"/>
              </w:rPr>
              <w:t>Fiscal</w:t>
            </w:r>
          </w:p>
        </w:tc>
        <w:tc>
          <w:tcPr>
            <w:tcW w:w="2960" w:type="dxa"/>
            <w:vAlign w:val="bottom"/>
            <w:gridSpan w:val="2"/>
          </w:tcPr>
          <w:p>
            <w:pPr>
              <w:ind w:left="1480"/>
              <w:spacing w:after="0"/>
              <w:rPr>
                <w:sz w:val="20"/>
                <w:szCs w:val="20"/>
                <w:color w:val="auto"/>
              </w:rPr>
            </w:pPr>
            <w:r>
              <w:rPr>
                <w:rFonts w:ascii="Calibri" w:cs="Calibri" w:eastAsia="Calibri" w:hAnsi="Calibri"/>
                <w:sz w:val="17"/>
                <w:szCs w:val="17"/>
                <w:b w:val="1"/>
                <w:bCs w:val="1"/>
                <w:color w:val="FB4E0B"/>
              </w:rPr>
              <w:t>Fiscal</w:t>
            </w:r>
          </w:p>
        </w:tc>
        <w:tc>
          <w:tcPr>
            <w:tcW w:w="400" w:type="dxa"/>
            <w:vAlign w:val="bottom"/>
          </w:tcPr>
          <w:p>
            <w:pPr>
              <w:spacing w:after="0"/>
              <w:rPr>
                <w:sz w:val="18"/>
                <w:szCs w:val="18"/>
                <w:color w:val="auto"/>
              </w:rPr>
            </w:pPr>
          </w:p>
        </w:tc>
      </w:tr>
      <w:tr>
        <w:trPr>
          <w:trHeight w:val="221"/>
        </w:trPr>
        <w:tc>
          <w:tcPr>
            <w:tcW w:w="2740" w:type="dxa"/>
            <w:vAlign w:val="bottom"/>
          </w:tcPr>
          <w:p>
            <w:pPr>
              <w:ind w:left="220"/>
              <w:spacing w:after="0"/>
              <w:rPr>
                <w:sz w:val="20"/>
                <w:szCs w:val="20"/>
                <w:color w:val="auto"/>
              </w:rPr>
            </w:pPr>
            <w:r>
              <w:rPr>
                <w:rFonts w:ascii="Calibri" w:cs="Calibri" w:eastAsia="Calibri" w:hAnsi="Calibri"/>
                <w:sz w:val="17"/>
                <w:szCs w:val="17"/>
                <w:b w:val="1"/>
                <w:bCs w:val="1"/>
                <w:color w:val="FB4E0B"/>
              </w:rPr>
              <w:t>Fee category</w:t>
            </w:r>
          </w:p>
        </w:tc>
        <w:tc>
          <w:tcPr>
            <w:tcW w:w="1960" w:type="dxa"/>
            <w:vAlign w:val="bottom"/>
          </w:tcPr>
          <w:p>
            <w:pPr>
              <w:jc w:val="right"/>
              <w:ind w:right="173"/>
              <w:spacing w:after="0"/>
              <w:rPr>
                <w:sz w:val="20"/>
                <w:szCs w:val="20"/>
                <w:color w:val="auto"/>
              </w:rPr>
            </w:pPr>
            <w:r>
              <w:rPr>
                <w:rFonts w:ascii="Calibri" w:cs="Calibri" w:eastAsia="Calibri" w:hAnsi="Calibri"/>
                <w:sz w:val="17"/>
                <w:szCs w:val="17"/>
                <w:b w:val="1"/>
                <w:bCs w:val="1"/>
                <w:color w:val="FB4E0B"/>
              </w:rPr>
              <w:t>2021</w:t>
            </w:r>
          </w:p>
        </w:tc>
        <w:tc>
          <w:tcPr>
            <w:tcW w:w="2100" w:type="dxa"/>
            <w:vAlign w:val="bottom"/>
          </w:tcPr>
          <w:p>
            <w:pPr>
              <w:jc w:val="right"/>
              <w:ind w:right="180"/>
              <w:spacing w:after="0"/>
              <w:rPr>
                <w:sz w:val="20"/>
                <w:szCs w:val="20"/>
                <w:color w:val="auto"/>
              </w:rPr>
            </w:pPr>
            <w:r>
              <w:rPr>
                <w:rFonts w:ascii="Calibri" w:cs="Calibri" w:eastAsia="Calibri" w:hAnsi="Calibri"/>
                <w:sz w:val="17"/>
                <w:szCs w:val="17"/>
                <w:b w:val="1"/>
                <w:bCs w:val="1"/>
                <w:color w:val="FB4E0B"/>
              </w:rPr>
              <w:t>2020</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04"/>
        </w:trPr>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960" w:type="dxa"/>
            <w:vAlign w:val="bottom"/>
            <w:gridSpan w:val="2"/>
          </w:tcPr>
          <w:p>
            <w:pPr>
              <w:ind w:left="200"/>
              <w:spacing w:after="0"/>
              <w:rPr>
                <w:sz w:val="20"/>
                <w:szCs w:val="20"/>
                <w:color w:val="auto"/>
              </w:rPr>
            </w:pPr>
            <w:r>
              <w:rPr>
                <w:rFonts w:ascii="Calibri" w:cs="Calibri" w:eastAsia="Calibri" w:hAnsi="Calibri"/>
                <w:sz w:val="14"/>
                <w:szCs w:val="14"/>
                <w:b w:val="1"/>
                <w:bCs w:val="1"/>
                <w:color w:val="FB4E0B"/>
              </w:rPr>
              <w:t>(in thousands)</w:t>
            </w:r>
          </w:p>
        </w:tc>
        <w:tc>
          <w:tcPr>
            <w:tcW w:w="400" w:type="dxa"/>
            <w:vAlign w:val="bottom"/>
          </w:tcPr>
          <w:p>
            <w:pPr>
              <w:spacing w:after="0"/>
              <w:rPr>
                <w:sz w:val="24"/>
                <w:szCs w:val="24"/>
                <w:color w:val="auto"/>
              </w:rPr>
            </w:pPr>
          </w:p>
        </w:tc>
      </w:tr>
      <w:tr>
        <w:trPr>
          <w:trHeight w:val="167"/>
        </w:trPr>
        <w:tc>
          <w:tcPr>
            <w:tcW w:w="2740" w:type="dxa"/>
            <w:vAlign w:val="bottom"/>
            <w:tcBorders>
              <w:bottom w:val="single" w:sz="8" w:color="FB4E0B"/>
            </w:tcBorders>
          </w:tcPr>
          <w:p>
            <w:pPr>
              <w:spacing w:after="0"/>
              <w:rPr>
                <w:sz w:val="14"/>
                <w:szCs w:val="14"/>
                <w:color w:val="auto"/>
              </w:rPr>
            </w:pPr>
          </w:p>
        </w:tc>
        <w:tc>
          <w:tcPr>
            <w:tcW w:w="1960" w:type="dxa"/>
            <w:vAlign w:val="bottom"/>
            <w:tcBorders>
              <w:bottom w:val="single" w:sz="8" w:color="FB4E0B"/>
            </w:tcBorders>
          </w:tcPr>
          <w:p>
            <w:pPr>
              <w:spacing w:after="0"/>
              <w:rPr>
                <w:sz w:val="14"/>
                <w:szCs w:val="14"/>
                <w:color w:val="auto"/>
              </w:rPr>
            </w:pPr>
          </w:p>
        </w:tc>
        <w:tc>
          <w:tcPr>
            <w:tcW w:w="2100" w:type="dxa"/>
            <w:vAlign w:val="bottom"/>
            <w:tcBorders>
              <w:bottom w:val="single" w:sz="8" w:color="FB4E0B"/>
            </w:tcBorders>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02"/>
        </w:trPr>
        <w:tc>
          <w:tcPr>
            <w:tcW w:w="2740" w:type="dxa"/>
            <w:vAlign w:val="bottom"/>
          </w:tcPr>
          <w:p>
            <w:pPr>
              <w:ind w:left="220"/>
              <w:spacing w:after="0"/>
              <w:rPr>
                <w:sz w:val="20"/>
                <w:szCs w:val="20"/>
                <w:color w:val="auto"/>
              </w:rPr>
            </w:pPr>
            <w:r>
              <w:rPr>
                <w:rFonts w:ascii="Calibri" w:cs="Calibri" w:eastAsia="Calibri" w:hAnsi="Calibri"/>
                <w:sz w:val="17"/>
                <w:szCs w:val="17"/>
                <w:color w:val="auto"/>
              </w:rPr>
              <w:t>Audit fees</w:t>
            </w:r>
          </w:p>
        </w:tc>
        <w:tc>
          <w:tcPr>
            <w:tcW w:w="1960" w:type="dxa"/>
            <w:vAlign w:val="bottom"/>
          </w:tcPr>
          <w:p>
            <w:pPr>
              <w:jc w:val="right"/>
              <w:ind w:right="93"/>
              <w:spacing w:after="0"/>
              <w:rPr>
                <w:sz w:val="20"/>
                <w:szCs w:val="20"/>
                <w:color w:val="auto"/>
              </w:rPr>
            </w:pPr>
            <w:r>
              <w:rPr>
                <w:rFonts w:ascii="Calibri" w:cs="Calibri" w:eastAsia="Calibri" w:hAnsi="Calibri"/>
                <w:sz w:val="17"/>
                <w:szCs w:val="17"/>
                <w:color w:val="auto"/>
              </w:rPr>
              <w:t>$1,601</w:t>
            </w:r>
          </w:p>
        </w:tc>
        <w:tc>
          <w:tcPr>
            <w:tcW w:w="2100" w:type="dxa"/>
            <w:vAlign w:val="bottom"/>
          </w:tcPr>
          <w:p>
            <w:pPr>
              <w:jc w:val="right"/>
              <w:ind w:right="120"/>
              <w:spacing w:after="0"/>
              <w:rPr>
                <w:sz w:val="20"/>
                <w:szCs w:val="20"/>
                <w:color w:val="auto"/>
              </w:rPr>
            </w:pPr>
            <w:r>
              <w:rPr>
                <w:rFonts w:ascii="Calibri" w:cs="Calibri" w:eastAsia="Calibri" w:hAnsi="Calibri"/>
                <w:sz w:val="17"/>
                <w:szCs w:val="17"/>
                <w:color w:val="auto"/>
              </w:rPr>
              <w:t>$1,451</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2"/>
        </w:trPr>
        <w:tc>
          <w:tcPr>
            <w:tcW w:w="2740" w:type="dxa"/>
            <w:vAlign w:val="bottom"/>
          </w:tcPr>
          <w:p>
            <w:pPr>
              <w:ind w:left="220"/>
              <w:spacing w:after="0"/>
              <w:rPr>
                <w:sz w:val="20"/>
                <w:szCs w:val="20"/>
                <w:color w:val="auto"/>
              </w:rPr>
            </w:pPr>
            <w:r>
              <w:rPr>
                <w:rFonts w:ascii="Calibri" w:cs="Calibri" w:eastAsia="Calibri" w:hAnsi="Calibri"/>
                <w:sz w:val="17"/>
                <w:szCs w:val="17"/>
                <w:color w:val="auto"/>
              </w:rPr>
              <w:t>Audit-related fees</w:t>
            </w:r>
          </w:p>
        </w:tc>
        <w:tc>
          <w:tcPr>
            <w:tcW w:w="1960" w:type="dxa"/>
            <w:vAlign w:val="bottom"/>
          </w:tcPr>
          <w:p>
            <w:pPr>
              <w:jc w:val="right"/>
              <w:ind w:right="93"/>
              <w:spacing w:after="0"/>
              <w:rPr>
                <w:sz w:val="20"/>
                <w:szCs w:val="20"/>
                <w:color w:val="auto"/>
              </w:rPr>
            </w:pPr>
            <w:r>
              <w:rPr>
                <w:rFonts w:ascii="Calibri" w:cs="Calibri" w:eastAsia="Calibri" w:hAnsi="Calibri"/>
                <w:sz w:val="17"/>
                <w:szCs w:val="17"/>
                <w:color w:val="auto"/>
              </w:rPr>
              <w:t>—</w:t>
            </w:r>
          </w:p>
        </w:tc>
        <w:tc>
          <w:tcPr>
            <w:tcW w:w="2960" w:type="dxa"/>
            <w:vAlign w:val="bottom"/>
            <w:gridSpan w:val="2"/>
          </w:tcPr>
          <w:p>
            <w:pPr>
              <w:jc w:val="right"/>
              <w:ind w:right="1060"/>
              <w:spacing w:after="0"/>
              <w:rPr>
                <w:sz w:val="20"/>
                <w:szCs w:val="20"/>
                <w:color w:val="auto"/>
              </w:rPr>
            </w:pPr>
            <w:r>
              <w:rPr>
                <w:rFonts w:ascii="Calibri" w:cs="Calibri" w:eastAsia="Calibri" w:hAnsi="Calibri"/>
                <w:sz w:val="17"/>
                <w:szCs w:val="17"/>
                <w:color w:val="auto"/>
              </w:rPr>
              <w:t>—</w:t>
            </w:r>
          </w:p>
        </w:tc>
        <w:tc>
          <w:tcPr>
            <w:tcW w:w="400" w:type="dxa"/>
            <w:vAlign w:val="bottom"/>
          </w:tcPr>
          <w:p>
            <w:pPr>
              <w:spacing w:after="0"/>
              <w:rPr>
                <w:sz w:val="24"/>
                <w:szCs w:val="24"/>
                <w:color w:val="auto"/>
              </w:rPr>
            </w:pPr>
          </w:p>
        </w:tc>
      </w:tr>
      <w:tr>
        <w:trPr>
          <w:trHeight w:val="442"/>
        </w:trPr>
        <w:tc>
          <w:tcPr>
            <w:tcW w:w="2740" w:type="dxa"/>
            <w:vAlign w:val="bottom"/>
          </w:tcPr>
          <w:p>
            <w:pPr>
              <w:ind w:left="220"/>
              <w:spacing w:after="0"/>
              <w:rPr>
                <w:sz w:val="20"/>
                <w:szCs w:val="20"/>
                <w:color w:val="auto"/>
              </w:rPr>
            </w:pPr>
            <w:r>
              <w:rPr>
                <w:rFonts w:ascii="Calibri" w:cs="Calibri" w:eastAsia="Calibri" w:hAnsi="Calibri"/>
                <w:sz w:val="17"/>
                <w:szCs w:val="17"/>
                <w:color w:val="auto"/>
              </w:rPr>
              <w:t>Tax fees</w:t>
            </w:r>
          </w:p>
        </w:tc>
        <w:tc>
          <w:tcPr>
            <w:tcW w:w="1960" w:type="dxa"/>
            <w:vAlign w:val="bottom"/>
          </w:tcPr>
          <w:p>
            <w:pPr>
              <w:jc w:val="right"/>
              <w:ind w:right="93"/>
              <w:spacing w:after="0"/>
              <w:rPr>
                <w:sz w:val="20"/>
                <w:szCs w:val="20"/>
                <w:color w:val="auto"/>
              </w:rPr>
            </w:pPr>
            <w:r>
              <w:rPr>
                <w:rFonts w:ascii="Calibri" w:cs="Calibri" w:eastAsia="Calibri" w:hAnsi="Calibri"/>
                <w:sz w:val="17"/>
                <w:szCs w:val="17"/>
                <w:color w:val="auto"/>
              </w:rPr>
              <w:t>80</w:t>
            </w:r>
          </w:p>
        </w:tc>
        <w:tc>
          <w:tcPr>
            <w:tcW w:w="2100" w:type="dxa"/>
            <w:vAlign w:val="bottom"/>
          </w:tcPr>
          <w:p>
            <w:pPr>
              <w:jc w:val="right"/>
              <w:ind w:right="120"/>
              <w:spacing w:after="0"/>
              <w:rPr>
                <w:sz w:val="20"/>
                <w:szCs w:val="20"/>
                <w:color w:val="auto"/>
              </w:rPr>
            </w:pPr>
            <w:r>
              <w:rPr>
                <w:rFonts w:ascii="Calibri" w:cs="Calibri" w:eastAsia="Calibri" w:hAnsi="Calibri"/>
                <w:sz w:val="17"/>
                <w:szCs w:val="17"/>
                <w:color w:val="auto"/>
              </w:rPr>
              <w:t>758</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2"/>
        </w:trPr>
        <w:tc>
          <w:tcPr>
            <w:tcW w:w="2740" w:type="dxa"/>
            <w:vAlign w:val="bottom"/>
          </w:tcPr>
          <w:p>
            <w:pPr>
              <w:ind w:left="220"/>
              <w:spacing w:after="0"/>
              <w:rPr>
                <w:sz w:val="20"/>
                <w:szCs w:val="20"/>
                <w:color w:val="auto"/>
              </w:rPr>
            </w:pPr>
            <w:r>
              <w:rPr>
                <w:rFonts w:ascii="Calibri" w:cs="Calibri" w:eastAsia="Calibri" w:hAnsi="Calibri"/>
                <w:sz w:val="17"/>
                <w:szCs w:val="17"/>
                <w:color w:val="auto"/>
              </w:rPr>
              <w:t>All other fees</w:t>
            </w:r>
          </w:p>
        </w:tc>
        <w:tc>
          <w:tcPr>
            <w:tcW w:w="1960" w:type="dxa"/>
            <w:vAlign w:val="bottom"/>
          </w:tcPr>
          <w:p>
            <w:pPr>
              <w:jc w:val="right"/>
              <w:ind w:right="93"/>
              <w:spacing w:after="0"/>
              <w:rPr>
                <w:sz w:val="20"/>
                <w:szCs w:val="20"/>
                <w:color w:val="auto"/>
              </w:rPr>
            </w:pPr>
            <w:r>
              <w:rPr>
                <w:rFonts w:ascii="Calibri" w:cs="Calibri" w:eastAsia="Calibri" w:hAnsi="Calibri"/>
                <w:sz w:val="17"/>
                <w:szCs w:val="17"/>
                <w:color w:val="auto"/>
              </w:rPr>
              <w:t>34</w:t>
            </w:r>
          </w:p>
        </w:tc>
        <w:tc>
          <w:tcPr>
            <w:tcW w:w="2960" w:type="dxa"/>
            <w:vAlign w:val="bottom"/>
            <w:gridSpan w:val="2"/>
          </w:tcPr>
          <w:p>
            <w:pPr>
              <w:jc w:val="right"/>
              <w:ind w:right="1060"/>
              <w:spacing w:after="0"/>
              <w:rPr>
                <w:sz w:val="20"/>
                <w:szCs w:val="20"/>
                <w:color w:val="auto"/>
              </w:rPr>
            </w:pPr>
            <w:r>
              <w:rPr>
                <w:rFonts w:ascii="Calibri" w:cs="Calibri" w:eastAsia="Calibri" w:hAnsi="Calibri"/>
                <w:sz w:val="17"/>
                <w:szCs w:val="17"/>
                <w:color w:val="auto"/>
              </w:rPr>
              <w:t>—</w:t>
            </w:r>
          </w:p>
        </w:tc>
        <w:tc>
          <w:tcPr>
            <w:tcW w:w="400" w:type="dxa"/>
            <w:vAlign w:val="bottom"/>
          </w:tcPr>
          <w:p>
            <w:pPr>
              <w:spacing w:after="0"/>
              <w:rPr>
                <w:sz w:val="24"/>
                <w:szCs w:val="24"/>
                <w:color w:val="auto"/>
              </w:rPr>
            </w:pPr>
          </w:p>
        </w:tc>
      </w:tr>
      <w:tr>
        <w:trPr>
          <w:trHeight w:val="159"/>
        </w:trPr>
        <w:tc>
          <w:tcPr>
            <w:tcW w:w="2740" w:type="dxa"/>
            <w:vAlign w:val="bottom"/>
            <w:tcBorders>
              <w:bottom w:val="single" w:sz="8" w:color="FB4E0B"/>
            </w:tcBorders>
          </w:tcPr>
          <w:p>
            <w:pPr>
              <w:spacing w:after="0"/>
              <w:rPr>
                <w:sz w:val="13"/>
                <w:szCs w:val="13"/>
                <w:color w:val="auto"/>
              </w:rPr>
            </w:pPr>
          </w:p>
        </w:tc>
        <w:tc>
          <w:tcPr>
            <w:tcW w:w="1960" w:type="dxa"/>
            <w:vAlign w:val="bottom"/>
            <w:tcBorders>
              <w:bottom w:val="single" w:sz="8" w:color="FB4E0B"/>
            </w:tcBorders>
          </w:tcPr>
          <w:p>
            <w:pPr>
              <w:spacing w:after="0"/>
              <w:rPr>
                <w:sz w:val="13"/>
                <w:szCs w:val="13"/>
                <w:color w:val="auto"/>
              </w:rPr>
            </w:pPr>
          </w:p>
        </w:tc>
        <w:tc>
          <w:tcPr>
            <w:tcW w:w="2100" w:type="dxa"/>
            <w:vAlign w:val="bottom"/>
            <w:tcBorders>
              <w:bottom w:val="single" w:sz="8" w:color="FB4E0B"/>
            </w:tcBorders>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302"/>
        </w:trPr>
        <w:tc>
          <w:tcPr>
            <w:tcW w:w="2740" w:type="dxa"/>
            <w:vAlign w:val="bottom"/>
          </w:tcPr>
          <w:p>
            <w:pPr>
              <w:ind w:left="220"/>
              <w:spacing w:after="0"/>
              <w:rPr>
                <w:sz w:val="20"/>
                <w:szCs w:val="20"/>
                <w:color w:val="auto"/>
              </w:rPr>
            </w:pPr>
            <w:r>
              <w:rPr>
                <w:rFonts w:ascii="Calibri" w:cs="Calibri" w:eastAsia="Calibri" w:hAnsi="Calibri"/>
                <w:sz w:val="17"/>
                <w:szCs w:val="17"/>
                <w:b w:val="1"/>
                <w:bCs w:val="1"/>
                <w:color w:val="auto"/>
              </w:rPr>
              <w:t>Total fees</w:t>
            </w:r>
          </w:p>
        </w:tc>
        <w:tc>
          <w:tcPr>
            <w:tcW w:w="1960" w:type="dxa"/>
            <w:vAlign w:val="bottom"/>
          </w:tcPr>
          <w:p>
            <w:pPr>
              <w:jc w:val="right"/>
              <w:ind w:right="93"/>
              <w:spacing w:after="0"/>
              <w:rPr>
                <w:sz w:val="20"/>
                <w:szCs w:val="20"/>
                <w:color w:val="auto"/>
              </w:rPr>
            </w:pPr>
            <w:r>
              <w:rPr>
                <w:rFonts w:ascii="Calibri" w:cs="Calibri" w:eastAsia="Calibri" w:hAnsi="Calibri"/>
                <w:sz w:val="17"/>
                <w:szCs w:val="17"/>
                <w:b w:val="1"/>
                <w:bCs w:val="1"/>
                <w:color w:val="auto"/>
              </w:rPr>
              <w:t>$1,715</w:t>
            </w:r>
          </w:p>
        </w:tc>
        <w:tc>
          <w:tcPr>
            <w:tcW w:w="2100" w:type="dxa"/>
            <w:vAlign w:val="bottom"/>
          </w:tcPr>
          <w:p>
            <w:pPr>
              <w:jc w:val="right"/>
              <w:ind w:right="120"/>
              <w:spacing w:after="0"/>
              <w:rPr>
                <w:sz w:val="20"/>
                <w:szCs w:val="20"/>
                <w:color w:val="auto"/>
              </w:rPr>
            </w:pPr>
            <w:r>
              <w:rPr>
                <w:rFonts w:ascii="Calibri" w:cs="Calibri" w:eastAsia="Calibri" w:hAnsi="Calibri"/>
                <w:sz w:val="17"/>
                <w:szCs w:val="17"/>
                <w:b w:val="1"/>
                <w:bCs w:val="1"/>
                <w:color w:val="auto"/>
              </w:rPr>
              <w:t>$2,209</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72"/>
        </w:trPr>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960" w:type="dxa"/>
            <w:vAlign w:val="bottom"/>
            <w:gridSpan w:val="2"/>
          </w:tcPr>
          <w:p>
            <w:pPr>
              <w:ind w:left="1100"/>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117</w:t>
            </w:r>
          </w:p>
        </w:tc>
      </w:tr>
    </w:tbl>
    <w:p>
      <w:pPr>
        <w:sectPr>
          <w:pgSz w:w="11900" w:h="16838" w:orient="portrait"/>
          <w:cols w:equalWidth="0" w:num="1">
            <w:col w:w="10940"/>
          </w:cols>
          <w:pgMar w:left="320" w:top="445" w:right="6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Proposal 3 — Ratfcaton of the appointment of independent registered public accountng frm</w:t>
      </w:r>
    </w:p>
    <w:p>
      <w:pPr>
        <w:spacing w:after="0" w:line="131"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 fees:</w:t>
      </w:r>
    </w:p>
    <w:p>
      <w:pPr>
        <w:spacing w:after="0" w:line="115"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Consist of fees billed or expected to be billed for professional services rendered for the audit of our consolidated fnancial statements, including (i) the audit of efectveness of internal control over fnancial reportng, (ii) review of our consolidated fnancial statements included in our quarterly reports, and</w:t>
      </w:r>
    </w:p>
    <w:p>
      <w:pPr>
        <w:spacing w:after="0" w:line="3" w:lineRule="exact"/>
        <w:rPr>
          <w:sz w:val="20"/>
          <w:szCs w:val="20"/>
          <w:color w:val="auto"/>
        </w:rPr>
      </w:pPr>
    </w:p>
    <w:p>
      <w:pPr>
        <w:ind w:left="320" w:right="280" w:hanging="4"/>
        <w:spacing w:after="0" w:line="239" w:lineRule="auto"/>
        <w:tabs>
          <w:tab w:leader="none" w:pos="577" w:val="left"/>
        </w:tabs>
        <w:numPr>
          <w:ilvl w:val="0"/>
          <w:numId w:val="51"/>
        </w:numPr>
        <w:rPr>
          <w:rFonts w:ascii="Calibri" w:cs="Calibri" w:eastAsia="Calibri" w:hAnsi="Calibri"/>
          <w:sz w:val="17"/>
          <w:szCs w:val="17"/>
          <w:color w:val="auto"/>
        </w:rPr>
      </w:pPr>
      <w:r>
        <w:rPr>
          <w:rFonts w:ascii="Calibri" w:cs="Calibri" w:eastAsia="Calibri" w:hAnsi="Calibri"/>
          <w:sz w:val="17"/>
          <w:szCs w:val="17"/>
          <w:color w:val="auto"/>
        </w:rPr>
        <w:t>services that are normally provided by our registered independent public accountants including services in connecton with statutory or regulatory flings or engagements for those fscal years.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Audit-related fees:</w:t>
      </w:r>
    </w:p>
    <w:p>
      <w:pPr>
        <w:spacing w:after="0" w:line="115"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Consist of fees billed for assurance and related services that are reasonably related to the performance of the audit or review of our consolidated fnancial statements and are not reported under “Audit Fees.”</w:t>
      </w:r>
    </w:p>
    <w:p>
      <w:pPr>
        <w:spacing w:after="0" w:line="306"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Tax fees: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Consist primarily of fees billed or expected to be billed for other tax fling and advisory projects.</w:t>
      </w:r>
    </w:p>
    <w:p>
      <w:pPr>
        <w:spacing w:after="0" w:line="305" w:lineRule="exact"/>
        <w:rPr>
          <w:sz w:val="20"/>
          <w:szCs w:val="20"/>
          <w:color w:val="auto"/>
        </w:rPr>
      </w:pPr>
    </w:p>
    <w:p>
      <w:pPr>
        <w:ind w:left="320"/>
        <w:spacing w:after="0"/>
        <w:rPr>
          <w:sz w:val="20"/>
          <w:szCs w:val="20"/>
          <w:color w:val="auto"/>
        </w:rPr>
      </w:pPr>
      <w:r>
        <w:rPr>
          <w:rFonts w:ascii="Calibri" w:cs="Calibri" w:eastAsia="Calibri" w:hAnsi="Calibri"/>
          <w:sz w:val="19"/>
          <w:szCs w:val="19"/>
          <w:b w:val="1"/>
          <w:bCs w:val="1"/>
          <w:color w:val="FB4E0B"/>
        </w:rPr>
        <w:t>All other fees:</w:t>
      </w:r>
    </w:p>
    <w:p>
      <w:pPr>
        <w:spacing w:after="0" w:line="115" w:lineRule="exact"/>
        <w:rPr>
          <w:sz w:val="20"/>
          <w:szCs w:val="20"/>
          <w:color w:val="auto"/>
        </w:rPr>
      </w:pPr>
    </w:p>
    <w:p>
      <w:pPr>
        <w:ind w:left="320" w:right="60"/>
        <w:spacing w:after="0" w:line="239" w:lineRule="auto"/>
        <w:rPr>
          <w:sz w:val="20"/>
          <w:szCs w:val="20"/>
          <w:color w:val="auto"/>
        </w:rPr>
      </w:pPr>
      <w:r>
        <w:rPr>
          <w:rFonts w:ascii="Calibri" w:cs="Calibri" w:eastAsia="Calibri" w:hAnsi="Calibri"/>
          <w:sz w:val="17"/>
          <w:szCs w:val="17"/>
          <w:color w:val="auto"/>
        </w:rPr>
        <w:t>Consist of fees billed or expected to be billed for other permissible work performed by the Company’s independent public registered accountng frm that does not meet the above category descriptons.</w:t>
      </w:r>
    </w:p>
    <w:p>
      <w:pPr>
        <w:spacing w:after="0" w:line="3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Our Audit Commitee pre-approves and is responsible for the engagement of all auditng services provided by our independent registered public accountants and all non-auditng services to be provided by such accountants to the extent permited under Secton 10A of the Exchange Act, including all fees and other terms of engagement. Our Audit Commitee may delegate the authority to pre-approve audit and permited non-audit services between meetngs of our Audit Commitee to a designated member of our Audit Commitee, provided that the decisions made by such member are presented to our full Audit Commitee for ratfcaton at its next scheduled meetng.</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All of the fees paid to Deloite in fscal year 2021 were pre-approved by the Audit Commitee.</w:t>
      </w:r>
    </w:p>
    <w:p>
      <w:pPr>
        <w:spacing w:after="0" w:line="310"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Required vote</w:t>
      </w:r>
    </w:p>
    <w:p>
      <w:pPr>
        <w:spacing w:after="0" w:line="114"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The ratfcaton of the appointment of Deloite as our independent registered public accountng frm requires the afrmatve vote of a majority of shares present in person or represented by proxy and enttled to vote at the Annual Meetng. Unless marked to the contrary, proxies received will be voted “FOR” ratfcaton of the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239395</wp:posOffset>
            </wp:positionV>
            <wp:extent cx="6484620" cy="3797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484620" cy="3797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80"/>
        <w:spacing w:after="0"/>
        <w:rPr>
          <w:sz w:val="20"/>
          <w:szCs w:val="20"/>
          <w:color w:val="auto"/>
        </w:rPr>
      </w:pPr>
      <w:r>
        <w:rPr>
          <w:rFonts w:ascii="Calibri" w:cs="Calibri" w:eastAsia="Calibri" w:hAnsi="Calibri"/>
          <w:sz w:val="21"/>
          <w:szCs w:val="21"/>
          <w:b w:val="1"/>
          <w:bCs w:val="1"/>
          <w:color w:val="FFFFFF"/>
        </w:rPr>
        <w:t>Our board recommends that you vote:</w:t>
      </w:r>
    </w:p>
    <w:p>
      <w:pPr>
        <w:sectPr>
          <w:pgSz w:w="11900" w:h="16838" w:orient="portrait"/>
          <w:cols w:equalWidth="0" w:num="1">
            <w:col w:w="10880"/>
          </w:cols>
          <w:pgMar w:left="320" w:top="445" w:right="699" w:bottom="1440" w:gutter="0" w:footer="0" w:header="0"/>
        </w:sectPr>
      </w:pPr>
    </w:p>
    <w:p>
      <w:pPr>
        <w:spacing w:after="0" w:line="224" w:lineRule="exact"/>
        <w:rPr>
          <w:sz w:val="20"/>
          <w:szCs w:val="20"/>
          <w:color w:val="auto"/>
        </w:rPr>
      </w:pPr>
    </w:p>
    <w:p>
      <w:pPr>
        <w:ind w:left="1220"/>
        <w:spacing w:after="0"/>
        <w:rPr>
          <w:sz w:val="20"/>
          <w:szCs w:val="20"/>
          <w:color w:val="auto"/>
        </w:rPr>
      </w:pPr>
      <w:r>
        <w:rPr>
          <w:rFonts w:ascii="Calibri" w:cs="Calibri" w:eastAsia="Calibri" w:hAnsi="Calibri"/>
          <w:sz w:val="30"/>
          <w:szCs w:val="30"/>
          <w:b w:val="1"/>
          <w:bCs w:val="1"/>
          <w:color w:val="FFFFFF"/>
        </w:rPr>
        <w:t>FOR</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the ratfcaton of the appointment of Deloite as our independent registered public accountng frm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-125095</wp:posOffset>
            </wp:positionV>
            <wp:extent cx="6484620" cy="2641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484620" cy="264160"/>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2">
            <w:col w:w="1740" w:space="640"/>
            <w:col w:w="8500"/>
          </w:cols>
          <w:pgMar w:left="320" w:top="445" w:right="699" w:bottom="1440" w:gutter="0" w:footer="0" w:header="0"/>
          <w:type w:val="continuous"/>
        </w:sect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118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880"/>
          </w:cols>
          <w:pgMar w:left="320" w:top="445" w:right="6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Proposal 4 — Advisory (non-binding) vote on executve compensaton</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Proposal 4 — Advisory (non-binding) vote on executve compensaton</w:t>
      </w:r>
    </w:p>
    <w:p>
      <w:pPr>
        <w:spacing w:after="0" w:line="330"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Proposal 4 is a vote, on a non-binding advisory basis, to approve the compensaton of our executve ofcers as described in this Proxy Statement. Although the vote is advisory and is not binding on the board of directors, our Compensaton Commitee will take into account the outcome of the vote when considering future executve compensaton decisions. We refer to this vote as the “say-on-pay” vote.</w:t>
      </w:r>
    </w:p>
    <w:p>
      <w:pPr>
        <w:spacing w:after="0" w:line="317"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At the 2018 Annual Meetng of Stockholders, our stockholders voted on a proposal relatng to the frequency of the “say-on-pay” vote. We recommended, and our stockholders approved on a non-binding advisory basis, an annual say-on-pay vote. Accordingly, we include the say-on-pay vote each year as a regular part of each Annual Meetng of Stockholders, and the next such say-on-pay vote will occur at next year’s Annual Meetng of Stockholders. The next vote on the frequency of the “say-on-pay” vote will be held at the Annual Meetng to be held in 2023.</w:t>
      </w:r>
    </w:p>
    <w:p>
      <w:pPr>
        <w:spacing w:after="0" w:line="354" w:lineRule="exact"/>
        <w:rPr>
          <w:sz w:val="20"/>
          <w:szCs w:val="20"/>
          <w:color w:val="auto"/>
        </w:rPr>
      </w:pPr>
    </w:p>
    <w:p>
      <w:pPr>
        <w:ind w:left="1140" w:right="60" w:hanging="407"/>
        <w:spacing w:after="0" w:line="239" w:lineRule="auto"/>
        <w:tabs>
          <w:tab w:leader="none" w:pos="1140" w:val="left"/>
        </w:tabs>
        <w:numPr>
          <w:ilvl w:val="0"/>
          <w:numId w:val="52"/>
        </w:numPr>
        <w:rPr>
          <w:rFonts w:ascii="Calibri" w:cs="Calibri" w:eastAsia="Calibri" w:hAnsi="Calibri"/>
          <w:sz w:val="17"/>
          <w:szCs w:val="17"/>
          <w:color w:val="auto"/>
        </w:rPr>
      </w:pPr>
      <w:r>
        <w:rPr>
          <w:rFonts w:ascii="Calibri" w:cs="Calibri" w:eastAsia="Calibri" w:hAnsi="Calibri"/>
          <w:sz w:val="17"/>
          <w:szCs w:val="17"/>
          <w:color w:val="auto"/>
        </w:rPr>
        <w:t>Our board of directors is commited to corporate governance best practces and recognizes the signifcant interest of stockholders in executve compensaton maters.</w:t>
      </w:r>
    </w:p>
    <w:p>
      <w:pPr>
        <w:spacing w:after="0" w:line="120" w:lineRule="exact"/>
        <w:rPr>
          <w:rFonts w:ascii="Calibri" w:cs="Calibri" w:eastAsia="Calibri" w:hAnsi="Calibri"/>
          <w:sz w:val="17"/>
          <w:szCs w:val="17"/>
          <w:color w:val="auto"/>
        </w:rPr>
      </w:pPr>
    </w:p>
    <w:p>
      <w:pPr>
        <w:ind w:left="1140" w:right="220" w:hanging="407"/>
        <w:spacing w:after="0"/>
        <w:tabs>
          <w:tab w:leader="none" w:pos="1140" w:val="left"/>
        </w:tabs>
        <w:numPr>
          <w:ilvl w:val="0"/>
          <w:numId w:val="52"/>
        </w:numPr>
        <w:rPr>
          <w:rFonts w:ascii="Calibri" w:cs="Calibri" w:eastAsia="Calibri" w:hAnsi="Calibri"/>
          <w:sz w:val="17"/>
          <w:szCs w:val="17"/>
          <w:color w:val="auto"/>
        </w:rPr>
      </w:pPr>
      <w:r>
        <w:rPr>
          <w:rFonts w:ascii="Calibri" w:cs="Calibri" w:eastAsia="Calibri" w:hAnsi="Calibri"/>
          <w:sz w:val="17"/>
          <w:szCs w:val="17"/>
          <w:color w:val="auto"/>
        </w:rPr>
        <w:t>Our board of directors believes that our current executve compensaton program directly links executve compensaton to our performance and aligns the interests of our executve ofcers with those of our stockholders. For example, the bulk of our annual incentve bonuses are earned based on achievement of three core fnancial metrics: Adjusted EPS, revenues and AOPM. As we discuss in greater detail in our Compensaton Discussion and Analysis, these fnancial metrics focus our named executve ofcers on top-line revenues and botom-line earnings that are likely to make meaningful contributons to our future fnancial performance. We believe rewarding our executves with incentve pay based on achievement of these three fnancial metrics closely aligns management with the interests of our stockholders.</w:t>
      </w:r>
    </w:p>
    <w:p>
      <w:pPr>
        <w:spacing w:after="0" w:line="108" w:lineRule="exact"/>
        <w:rPr>
          <w:sz w:val="20"/>
          <w:szCs w:val="20"/>
          <w:color w:val="auto"/>
        </w:rPr>
      </w:pPr>
    </w:p>
    <w:p>
      <w:pPr>
        <w:ind w:left="320" w:right="40"/>
        <w:spacing w:after="0" w:line="239" w:lineRule="auto"/>
        <w:rPr>
          <w:sz w:val="20"/>
          <w:szCs w:val="20"/>
          <w:color w:val="auto"/>
        </w:rPr>
      </w:pPr>
      <w:r>
        <w:rPr>
          <w:rFonts w:ascii="Calibri" w:cs="Calibri" w:eastAsia="Calibri" w:hAnsi="Calibri"/>
          <w:sz w:val="17"/>
          <w:szCs w:val="17"/>
          <w:color w:val="auto"/>
        </w:rPr>
        <w:t>In additon, our philosophy places more emphasis on variable elements of compensaton (such as incentve bonuses and equity-based compensaton) than fxed remuneraton.</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Our stockholders have the opportunity to vote for, against or abstain from votng on the following resoluton:</w:t>
      </w:r>
    </w:p>
    <w:p>
      <w:pPr>
        <w:spacing w:after="0" w:line="314" w:lineRule="exact"/>
        <w:rPr>
          <w:sz w:val="20"/>
          <w:szCs w:val="20"/>
          <w:color w:val="auto"/>
        </w:rPr>
      </w:pPr>
    </w:p>
    <w:p>
      <w:pPr>
        <w:ind w:left="740" w:right="40"/>
        <w:spacing w:after="0" w:line="239" w:lineRule="auto"/>
        <w:rPr>
          <w:sz w:val="20"/>
          <w:szCs w:val="20"/>
          <w:color w:val="auto"/>
        </w:rPr>
      </w:pPr>
      <w:r>
        <w:rPr>
          <w:rFonts w:ascii="Calibri" w:cs="Calibri" w:eastAsia="Calibri" w:hAnsi="Calibri"/>
          <w:sz w:val="17"/>
          <w:szCs w:val="17"/>
          <w:b w:val="1"/>
          <w:bCs w:val="1"/>
          <w:color w:val="auto"/>
        </w:rPr>
        <w:t>“Resolved, that the stockholders approve on an advisory basis the compensaton of our named executve ofcers, as disclosed pursuant to the compensaton disclosure rules of the SEC (which disclosure shall include the Compensaton Discussion and Analysis, the compensaton tables and any related material disclosed in this Proxy Statement).”</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 above-referenced disclosures related to the compensaton of our named executve ofcers appear beginning at page 60 of this Proxy Statement.</w:t>
      </w:r>
    </w:p>
    <w:p>
      <w:pPr>
        <w:spacing w:after="0" w:line="127"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119</w:t>
            </w:r>
          </w:p>
        </w:tc>
      </w:tr>
    </w:tbl>
    <w:p>
      <w:pPr>
        <w:sectPr>
          <w:pgSz w:w="11900" w:h="16838" w:orient="portrait"/>
          <w:cols w:equalWidth="0" w:num="1">
            <w:col w:w="10940"/>
          </w:cols>
          <w:pgMar w:left="320" w:top="445" w:right="6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Proposal 4 — Advisory (non-binding) vote on executve compensaton</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Required vote</w:t>
      </w:r>
    </w:p>
    <w:p>
      <w:pPr>
        <w:spacing w:after="0" w:line="114" w:lineRule="exact"/>
        <w:rPr>
          <w:sz w:val="20"/>
          <w:szCs w:val="20"/>
          <w:color w:val="auto"/>
        </w:rPr>
      </w:pPr>
    </w:p>
    <w:p>
      <w:pPr>
        <w:jc w:val="both"/>
        <w:ind w:left="320"/>
        <w:spacing w:after="0" w:line="239" w:lineRule="auto"/>
        <w:rPr>
          <w:sz w:val="20"/>
          <w:szCs w:val="20"/>
          <w:color w:val="auto"/>
        </w:rPr>
      </w:pPr>
      <w:r>
        <w:rPr>
          <w:rFonts w:ascii="Calibri" w:cs="Calibri" w:eastAsia="Calibri" w:hAnsi="Calibri"/>
          <w:sz w:val="17"/>
          <w:szCs w:val="17"/>
          <w:color w:val="auto"/>
        </w:rPr>
        <w:t>The approval, on an advisory (non-binding) basis, of the compensaton of our named executve ofcers requires the afrmatve vote of a majority of shares present in person or represented by proxy and enttled to vote at the Annual Meetng. Unless marked to the contrary, proxies received will be voted “FOR” the approval of the compensaton of our named executve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165100</wp:posOffset>
            </wp:positionV>
            <wp:extent cx="6484620" cy="37973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484620" cy="379730"/>
                    </a:xfrm>
                    <a:prstGeom prst="rect">
                      <a:avLst/>
                    </a:prstGeom>
                    <a:noFill/>
                  </pic:spPr>
                </pic:pic>
              </a:graphicData>
            </a:graphic>
          </wp:anchor>
        </w:drawing>
      </w:r>
    </w:p>
    <w:p>
      <w:pPr>
        <w:spacing w:after="0" w:line="360" w:lineRule="exact"/>
        <w:rPr>
          <w:sz w:val="20"/>
          <w:szCs w:val="20"/>
          <w:color w:val="auto"/>
        </w:rPr>
      </w:pPr>
    </w:p>
    <w:p>
      <w:pPr>
        <w:ind w:left="780"/>
        <w:spacing w:after="0"/>
        <w:rPr>
          <w:sz w:val="20"/>
          <w:szCs w:val="20"/>
          <w:color w:val="auto"/>
        </w:rPr>
      </w:pPr>
      <w:r>
        <w:rPr>
          <w:rFonts w:ascii="Calibri" w:cs="Calibri" w:eastAsia="Calibri" w:hAnsi="Calibri"/>
          <w:sz w:val="21"/>
          <w:szCs w:val="21"/>
          <w:b w:val="1"/>
          <w:bCs w:val="1"/>
          <w:color w:val="FFFFFF"/>
        </w:rPr>
        <w:t>Our board recommends that you vote:</w:t>
      </w:r>
    </w:p>
    <w:p>
      <w:pPr>
        <w:spacing w:after="0" w:line="240" w:lineRule="exact"/>
        <w:rPr>
          <w:sz w:val="20"/>
          <w:szCs w:val="20"/>
          <w:color w:val="auto"/>
        </w:rPr>
      </w:pPr>
    </w:p>
    <w:tbl>
      <w:tblPr>
        <w:tblLayout w:type="fixed"/>
        <w:tblInd w:w="520" w:type="dxa"/>
        <w:tblCellMar>
          <w:top w:w="0" w:type="dxa"/>
          <w:left w:w="0" w:type="dxa"/>
          <w:bottom w:w="0" w:type="dxa"/>
          <w:right w:w="0" w:type="dxa"/>
        </w:tblCellMar>
      </w:tblPr>
      <w:tr>
        <w:trPr>
          <w:trHeight w:val="208"/>
        </w:trPr>
        <w:tc>
          <w:tcPr>
            <w:tcW w:w="40" w:type="dxa"/>
            <w:vAlign w:val="bottom"/>
            <w:shd w:val="clear" w:color="auto" w:fill="7F7F7F"/>
          </w:tcPr>
          <w:p>
            <w:pPr>
              <w:spacing w:after="0"/>
              <w:rPr>
                <w:sz w:val="18"/>
                <w:szCs w:val="18"/>
                <w:color w:val="auto"/>
              </w:rPr>
            </w:pPr>
          </w:p>
        </w:tc>
        <w:tc>
          <w:tcPr>
            <w:tcW w:w="1640" w:type="dxa"/>
            <w:vAlign w:val="bottom"/>
            <w:shd w:val="clear" w:color="auto" w:fill="7F7F7F"/>
          </w:tcPr>
          <w:p>
            <w:pPr>
              <w:spacing w:after="0"/>
              <w:rPr>
                <w:sz w:val="18"/>
                <w:szCs w:val="18"/>
                <w:color w:val="auto"/>
              </w:rPr>
            </w:pPr>
          </w:p>
        </w:tc>
        <w:tc>
          <w:tcPr>
            <w:tcW w:w="8540" w:type="dxa"/>
            <w:vAlign w:val="bottom"/>
            <w:tcBorders>
              <w:right w:val="single" w:sz="8" w:color="7F7F7F"/>
            </w:tcBorders>
          </w:tcPr>
          <w:p>
            <w:pPr>
              <w:ind w:left="80"/>
              <w:spacing w:after="0"/>
              <w:rPr>
                <w:sz w:val="20"/>
                <w:szCs w:val="20"/>
                <w:color w:val="auto"/>
              </w:rPr>
            </w:pPr>
            <w:r>
              <w:rPr>
                <w:rFonts w:ascii="Calibri" w:cs="Calibri" w:eastAsia="Calibri" w:hAnsi="Calibri"/>
                <w:sz w:val="17"/>
                <w:szCs w:val="17"/>
                <w:b w:val="1"/>
                <w:bCs w:val="1"/>
                <w:color w:val="auto"/>
              </w:rPr>
              <w:t>the approval, on an advisory (non-binding) basis, of the compensaton of our named executve ofcers as disclosed</w:t>
            </w:r>
          </w:p>
        </w:tc>
        <w:tc>
          <w:tcPr>
            <w:tcW w:w="0" w:type="dxa"/>
            <w:vAlign w:val="bottom"/>
          </w:tcPr>
          <w:p>
            <w:pPr>
              <w:spacing w:after="0"/>
              <w:rPr>
                <w:sz w:val="1"/>
                <w:szCs w:val="1"/>
                <w:color w:val="auto"/>
              </w:rPr>
            </w:pPr>
          </w:p>
        </w:tc>
      </w:tr>
      <w:tr>
        <w:trPr>
          <w:trHeight w:val="206"/>
        </w:trPr>
        <w:tc>
          <w:tcPr>
            <w:tcW w:w="40" w:type="dxa"/>
            <w:vAlign w:val="bottom"/>
            <w:shd w:val="clear" w:color="auto" w:fill="7F7F7F"/>
          </w:tcPr>
          <w:p>
            <w:pPr>
              <w:spacing w:after="0"/>
              <w:rPr>
                <w:sz w:val="17"/>
                <w:szCs w:val="17"/>
                <w:color w:val="auto"/>
              </w:rPr>
            </w:pPr>
          </w:p>
        </w:tc>
        <w:tc>
          <w:tcPr>
            <w:tcW w:w="1640" w:type="dxa"/>
            <w:vAlign w:val="bottom"/>
            <w:vMerge w:val="restart"/>
            <w:shd w:val="clear" w:color="auto" w:fill="7F7F7F"/>
          </w:tcPr>
          <w:p>
            <w:pPr>
              <w:ind w:left="600"/>
              <w:spacing w:after="0" w:line="373" w:lineRule="exact"/>
              <w:rPr>
                <w:sz w:val="20"/>
                <w:szCs w:val="20"/>
                <w:color w:val="auto"/>
              </w:rPr>
            </w:pPr>
            <w:r>
              <w:rPr>
                <w:rFonts w:ascii="Calibri" w:cs="Calibri" w:eastAsia="Calibri" w:hAnsi="Calibri"/>
                <w:sz w:val="31"/>
                <w:szCs w:val="31"/>
                <w:b w:val="1"/>
                <w:bCs w:val="1"/>
                <w:color w:val="FFFFFF"/>
              </w:rPr>
              <w:t>FOR</w:t>
            </w:r>
          </w:p>
        </w:tc>
        <w:tc>
          <w:tcPr>
            <w:tcW w:w="8540" w:type="dxa"/>
            <w:vAlign w:val="bottom"/>
            <w:tcBorders>
              <w:right w:val="single" w:sz="8" w:color="7F7F7F"/>
            </w:tcBorders>
          </w:tcPr>
          <w:p>
            <w:pPr>
              <w:ind w:left="80"/>
              <w:spacing w:after="0" w:line="206" w:lineRule="exact"/>
              <w:rPr>
                <w:sz w:val="20"/>
                <w:szCs w:val="20"/>
                <w:color w:val="auto"/>
              </w:rPr>
            </w:pPr>
            <w:r>
              <w:rPr>
                <w:rFonts w:ascii="Calibri" w:cs="Calibri" w:eastAsia="Calibri" w:hAnsi="Calibri"/>
                <w:sz w:val="17"/>
                <w:szCs w:val="17"/>
                <w:b w:val="1"/>
                <w:bCs w:val="1"/>
                <w:color w:val="auto"/>
              </w:rPr>
              <w:t>pursuant to the compensaton disclosure rules of the SEC (including the Compensaton Discussion and Analysis, the</w:t>
            </w:r>
          </w:p>
        </w:tc>
        <w:tc>
          <w:tcPr>
            <w:tcW w:w="0" w:type="dxa"/>
            <w:vAlign w:val="bottom"/>
          </w:tcPr>
          <w:p>
            <w:pPr>
              <w:spacing w:after="0"/>
              <w:rPr>
                <w:sz w:val="1"/>
                <w:szCs w:val="1"/>
                <w:color w:val="auto"/>
              </w:rPr>
            </w:pPr>
          </w:p>
        </w:tc>
      </w:tr>
      <w:tr>
        <w:trPr>
          <w:trHeight w:val="166"/>
        </w:trPr>
        <w:tc>
          <w:tcPr>
            <w:tcW w:w="40" w:type="dxa"/>
            <w:vAlign w:val="bottom"/>
            <w:shd w:val="clear" w:color="auto" w:fill="7F7F7F"/>
          </w:tcPr>
          <w:p>
            <w:pPr>
              <w:spacing w:after="0"/>
              <w:rPr>
                <w:sz w:val="14"/>
                <w:szCs w:val="14"/>
                <w:color w:val="auto"/>
              </w:rPr>
            </w:pPr>
          </w:p>
        </w:tc>
        <w:tc>
          <w:tcPr>
            <w:tcW w:w="1640" w:type="dxa"/>
            <w:vAlign w:val="bottom"/>
            <w:vMerge w:val="continue"/>
            <w:shd w:val="clear" w:color="auto" w:fill="7F7F7F"/>
          </w:tcPr>
          <w:p>
            <w:pPr>
              <w:spacing w:after="0"/>
              <w:rPr>
                <w:sz w:val="14"/>
                <w:szCs w:val="14"/>
                <w:color w:val="auto"/>
              </w:rPr>
            </w:pPr>
          </w:p>
        </w:tc>
        <w:tc>
          <w:tcPr>
            <w:tcW w:w="8540" w:type="dxa"/>
            <w:vAlign w:val="bottom"/>
            <w:tcBorders>
              <w:right w:val="single" w:sz="8" w:color="7F7F7F"/>
            </w:tcBorders>
            <w:vMerge w:val="restart"/>
          </w:tcPr>
          <w:p>
            <w:pPr>
              <w:ind w:left="80"/>
              <w:spacing w:after="0"/>
              <w:rPr>
                <w:sz w:val="20"/>
                <w:szCs w:val="20"/>
                <w:color w:val="auto"/>
              </w:rPr>
            </w:pPr>
            <w:r>
              <w:rPr>
                <w:rFonts w:ascii="Calibri" w:cs="Calibri" w:eastAsia="Calibri" w:hAnsi="Calibri"/>
                <w:sz w:val="17"/>
                <w:szCs w:val="17"/>
                <w:b w:val="1"/>
                <w:bCs w:val="1"/>
                <w:color w:val="auto"/>
              </w:rPr>
              <w:t>compensaton tables and any related material disclosed in this Proxy Statement)</w:t>
            </w:r>
          </w:p>
        </w:tc>
        <w:tc>
          <w:tcPr>
            <w:tcW w:w="0" w:type="dxa"/>
            <w:vAlign w:val="bottom"/>
          </w:tcPr>
          <w:p>
            <w:pPr>
              <w:spacing w:after="0"/>
              <w:rPr>
                <w:sz w:val="1"/>
                <w:szCs w:val="1"/>
                <w:color w:val="auto"/>
              </w:rPr>
            </w:pPr>
          </w:p>
        </w:tc>
      </w:tr>
      <w:tr>
        <w:trPr>
          <w:trHeight w:val="42"/>
        </w:trPr>
        <w:tc>
          <w:tcPr>
            <w:tcW w:w="40" w:type="dxa"/>
            <w:vAlign w:val="bottom"/>
            <w:shd w:val="clear" w:color="auto" w:fill="7F7F7F"/>
          </w:tcPr>
          <w:p>
            <w:pPr>
              <w:spacing w:after="0"/>
              <w:rPr>
                <w:sz w:val="3"/>
                <w:szCs w:val="3"/>
                <w:color w:val="auto"/>
              </w:rPr>
            </w:pPr>
          </w:p>
        </w:tc>
        <w:tc>
          <w:tcPr>
            <w:tcW w:w="1640" w:type="dxa"/>
            <w:vAlign w:val="bottom"/>
            <w:shd w:val="clear" w:color="auto" w:fill="7F7F7F"/>
          </w:tcPr>
          <w:p>
            <w:pPr>
              <w:spacing w:after="0"/>
              <w:rPr>
                <w:sz w:val="3"/>
                <w:szCs w:val="3"/>
                <w:color w:val="auto"/>
              </w:rPr>
            </w:pPr>
          </w:p>
        </w:tc>
        <w:tc>
          <w:tcPr>
            <w:tcW w:w="8540" w:type="dxa"/>
            <w:vAlign w:val="bottom"/>
            <w:tcBorders>
              <w:right w:val="single" w:sz="8" w:color="7F7F7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0" w:type="dxa"/>
            <w:vAlign w:val="bottom"/>
            <w:tcBorders>
              <w:bottom w:val="single" w:sz="8" w:color="7F7F7F"/>
            </w:tcBorders>
            <w:shd w:val="clear" w:color="auto" w:fill="7F7F7F"/>
          </w:tcPr>
          <w:p>
            <w:pPr>
              <w:spacing w:after="0"/>
              <w:rPr>
                <w:sz w:val="17"/>
                <w:szCs w:val="17"/>
                <w:color w:val="auto"/>
              </w:rPr>
            </w:pPr>
          </w:p>
        </w:tc>
        <w:tc>
          <w:tcPr>
            <w:tcW w:w="1640" w:type="dxa"/>
            <w:vAlign w:val="bottom"/>
            <w:tcBorders>
              <w:bottom w:val="single" w:sz="8" w:color="7F7F7F"/>
            </w:tcBorders>
            <w:shd w:val="clear" w:color="auto" w:fill="7F7F7F"/>
          </w:tcPr>
          <w:p>
            <w:pPr>
              <w:spacing w:after="0"/>
              <w:rPr>
                <w:sz w:val="17"/>
                <w:szCs w:val="17"/>
                <w:color w:val="auto"/>
              </w:rPr>
            </w:pPr>
          </w:p>
        </w:tc>
        <w:tc>
          <w:tcPr>
            <w:tcW w:w="8540" w:type="dxa"/>
            <w:vAlign w:val="bottom"/>
            <w:tcBorders>
              <w:bottom w:val="single" w:sz="8" w:color="7F7F7F"/>
              <w:right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10180" w:type="dxa"/>
            <w:vAlign w:val="bottom"/>
            <w:gridSpan w:val="2"/>
          </w:tcPr>
          <w:p>
            <w:pPr>
              <w:ind w:left="400"/>
              <w:spacing w:after="0"/>
              <w:rPr>
                <w:sz w:val="20"/>
                <w:szCs w:val="20"/>
                <w:color w:val="auto"/>
              </w:rPr>
            </w:pPr>
            <w:r>
              <w:rPr>
                <w:rFonts w:ascii="Calibri" w:cs="Calibri" w:eastAsia="Calibri" w:hAnsi="Calibri"/>
                <w:sz w:val="17"/>
                <w:szCs w:val="17"/>
                <w:b w:val="1"/>
                <w:bCs w:val="1"/>
                <w:color w:val="auto"/>
              </w:rPr>
              <w:t xml:space="preserve">120   </w:t>
            </w:r>
            <w:r>
              <w:rPr>
                <w:rFonts w:ascii="Calibri" w:cs="Calibri" w:eastAsia="Calibri" w:hAnsi="Calibri"/>
                <w:sz w:val="27"/>
                <w:szCs w:val="27"/>
                <w:b w:val="1"/>
                <w:bCs w:val="1"/>
                <w:color w:val="FB4E0B"/>
              </w:rPr>
              <w:t>/</w:t>
            </w:r>
            <w:r>
              <w:rPr>
                <w:rFonts w:ascii="Calibri" w:cs="Calibri" w:eastAsia="Calibri" w:hAnsi="Calibri"/>
                <w:sz w:val="17"/>
                <w:szCs w:val="17"/>
                <w:b w:val="1"/>
                <w:bCs w:val="1"/>
                <w:color w:val="auto"/>
              </w:rPr>
              <w:t xml:space="preserve">  </w:t>
            </w:r>
            <w:r>
              <w:rPr>
                <w:rFonts w:ascii="Calibri" w:cs="Calibri" w:eastAsia="Calibri" w:hAnsi="Calibri"/>
                <w:sz w:val="13"/>
                <w:szCs w:val="13"/>
                <w:color w:val="auto"/>
              </w:rPr>
              <w:t>EXL 2022 Proxy Statement</w:t>
            </w:r>
          </w:p>
        </w:tc>
        <w:tc>
          <w:tcPr>
            <w:tcW w:w="0" w:type="dxa"/>
            <w:vAlign w:val="bottom"/>
          </w:tcPr>
          <w:p>
            <w:pPr>
              <w:spacing w:after="0"/>
              <w:rPr>
                <w:sz w:val="1"/>
                <w:szCs w:val="1"/>
                <w:color w:val="auto"/>
              </w:rPr>
            </w:pPr>
          </w:p>
        </w:tc>
      </w:tr>
    </w:tbl>
    <w:p>
      <w:pPr>
        <w:sectPr>
          <w:pgSz w:w="11900" w:h="16838" w:orient="portrait"/>
          <w:cols w:equalWidth="0" w:num="1">
            <w:col w:w="10900"/>
          </w:cols>
          <w:pgMar w:left="320" w:top="445" w:right="6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Miscellaneous</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Miscellaneous</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Stockholder proposals and director nominatons for the 2023 Annual Meetng</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Stockholder proposals intended to be included in our proxy materials for the 2023 Annual Meetng of Stockholders (“2023 Annual Meetng”) must be received by the deadline calculated in accordance with SEC Rule 14a-8, which is 120 days before the anniversary of the date of this year’s Proxy Statement. This year’s deadline is December 29, 2022. Such proposals must include the informaton required by SEC rules, and should be sent in writng by courier or certfed mail to the Corporate Secretary of the Company at 320 Park Avenue, 29th Floor, New York, New York 10022. Stockholder proposals that are sent to any other person or locaton or by any other means may not be received in a tmely manner and thus may be ineligible for inclusion.</w:t>
      </w:r>
    </w:p>
    <w:p>
      <w:pPr>
        <w:spacing w:after="0" w:line="315" w:lineRule="exact"/>
        <w:rPr>
          <w:sz w:val="20"/>
          <w:szCs w:val="20"/>
          <w:color w:val="auto"/>
        </w:rPr>
      </w:pPr>
    </w:p>
    <w:p>
      <w:pPr>
        <w:ind w:left="320" w:right="260"/>
        <w:spacing w:after="0"/>
        <w:rPr>
          <w:sz w:val="20"/>
          <w:szCs w:val="20"/>
          <w:color w:val="auto"/>
        </w:rPr>
      </w:pPr>
      <w:r>
        <w:rPr>
          <w:rFonts w:ascii="Calibri" w:cs="Calibri" w:eastAsia="Calibri" w:hAnsi="Calibri"/>
          <w:sz w:val="17"/>
          <w:szCs w:val="17"/>
          <w:color w:val="auto"/>
        </w:rPr>
        <w:t>Stockholders who intend to submit proposals at the 2023 Annual Meetng but whose proposals are not included in the proxy materials for the meetng, and stockholders who intend to submit nominatons for directors at the 2023 Annual Meetng, are required to notfy the Corporate Secretary of the Company (at the address above) of their proposal or nominatons not less than 90 days, nor more than 120 days, before the anniversary of this year’s Annual Meetng of Stockholders, in accordance with our by-laws. Such notces of proposals for the 2023 Annual Meetng must be delivered between February 21, 2023 and March 23, 2023. Special notce provisions apply under the by-laws if the date of the 2023 Annual Meetng is more than 30 days before or 70 days afer the anniversary date of this year’s Annual Meetng of Stockholders.</w:t>
      </w:r>
    </w:p>
    <w:p>
      <w:pPr>
        <w:spacing w:after="0" w:line="316" w:lineRule="exact"/>
        <w:rPr>
          <w:sz w:val="20"/>
          <w:szCs w:val="20"/>
          <w:color w:val="auto"/>
        </w:rPr>
      </w:pPr>
    </w:p>
    <w:p>
      <w:pPr>
        <w:ind w:left="320" w:right="480"/>
        <w:spacing w:after="0" w:line="239" w:lineRule="auto"/>
        <w:rPr>
          <w:sz w:val="20"/>
          <w:szCs w:val="20"/>
          <w:color w:val="auto"/>
        </w:rPr>
      </w:pPr>
      <w:r>
        <w:rPr>
          <w:rFonts w:ascii="Calibri" w:cs="Calibri" w:eastAsia="Calibri" w:hAnsi="Calibri"/>
          <w:sz w:val="17"/>
          <w:szCs w:val="17"/>
          <w:color w:val="auto"/>
        </w:rPr>
        <w:t>Any notce of proposed business or nominaton, whether or not included in our Proxy Statement, must include the informaton required under our by-laws, including Secton 2.11.4, in order for the mater to be eligible for consideraton at the 2023 Annual Meetng. In additon, to comply with the universal proxy rules (once efectve), stockholders who intend to solicit proxies in</w:t>
      </w:r>
    </w:p>
    <w:p>
      <w:pPr>
        <w:spacing w:after="0" w:line="4" w:lineRule="exact"/>
        <w:rPr>
          <w:sz w:val="20"/>
          <w:szCs w:val="20"/>
          <w:color w:val="auto"/>
        </w:rPr>
      </w:pPr>
    </w:p>
    <w:p>
      <w:pPr>
        <w:ind w:left="320" w:right="1720"/>
        <w:spacing w:after="0" w:line="239" w:lineRule="auto"/>
        <w:rPr>
          <w:sz w:val="20"/>
          <w:szCs w:val="20"/>
          <w:color w:val="auto"/>
        </w:rPr>
      </w:pPr>
      <w:r>
        <w:rPr>
          <w:rFonts w:ascii="Calibri" w:cs="Calibri" w:eastAsia="Calibri" w:hAnsi="Calibri"/>
          <w:sz w:val="17"/>
          <w:szCs w:val="17"/>
          <w:color w:val="auto"/>
        </w:rPr>
        <w:t>support of director nominees other than the company’s nominees must provide notce that sets forth the informaton required by Rule 14a-19 under the Exchange Act no later than April 22, 2023.</w:t>
      </w:r>
    </w:p>
    <w:p>
      <w:pPr>
        <w:spacing w:after="0" w:line="315" w:lineRule="exact"/>
        <w:rPr>
          <w:sz w:val="20"/>
          <w:szCs w:val="20"/>
          <w:color w:val="auto"/>
        </w:rPr>
      </w:pPr>
    </w:p>
    <w:p>
      <w:pPr>
        <w:jc w:val="both"/>
        <w:ind w:left="320" w:right="260"/>
        <w:spacing w:after="0" w:line="239" w:lineRule="auto"/>
        <w:rPr>
          <w:sz w:val="20"/>
          <w:szCs w:val="20"/>
          <w:color w:val="auto"/>
        </w:rPr>
      </w:pPr>
      <w:r>
        <w:rPr>
          <w:rFonts w:ascii="Calibri" w:cs="Calibri" w:eastAsia="Calibri" w:hAnsi="Calibri"/>
          <w:sz w:val="17"/>
          <w:szCs w:val="17"/>
          <w:color w:val="auto"/>
        </w:rPr>
        <w:t>The presiding ofcer of the 2023 Annual Meetng may refuse to acknowledge any mater or nominaton not made in compliance with the procedures in our by-laws. Our by-laws can be found on our website and the current SEC rules for submitng stockholder proposals can be obtained from the SEC at: Division of Corporaton Finance, 100 F. Street, N.E., Washington, DC 20549, or through the SEC’s Internet website at www.sec.gov.</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Delivery of documents to stockholders sharing an address</w:t>
      </w:r>
    </w:p>
    <w:p>
      <w:pPr>
        <w:spacing w:after="0" w:line="114"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If you are the benefcial owner, but not the record holder, of shares of our common stock, your broker, bank, trust or other nominee may only deliver one copy of this Proxy Statement and the 2021 Form 10-K, which serves as our Annual Report to Stockholders under Regulaton 14A (the “2021 Annual Report”), to multple stockholders who share an address unless that nominee has received contrary instructons from one or more of the stockholders. We will deliver promptly, upon writen or oral request, a separate copy of this Proxy Statement and the 2021 Annual Report to a stockholder at a shared address to which a single copy of the documents was delivered. A stockholder who wishes to receive a separate copy of the Proxy Statement and annual</w:t>
      </w:r>
    </w:p>
    <w:p>
      <w:pPr>
        <w:spacing w:after="0" w:line="128"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121</w:t>
            </w:r>
          </w:p>
        </w:tc>
      </w:tr>
    </w:tbl>
    <w:p>
      <w:pPr>
        <w:sectPr>
          <w:pgSz w:w="11900" w:h="16838" w:orient="portrait"/>
          <w:cols w:equalWidth="0" w:num="1">
            <w:col w:w="10940"/>
          </w:cols>
          <w:pgMar w:left="320" w:top="445" w:right="6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Miscellaneous</w:t>
      </w:r>
    </w:p>
    <w:p>
      <w:pPr>
        <w:spacing w:after="0" w:line="140" w:lineRule="exact"/>
        <w:rPr>
          <w:sz w:val="20"/>
          <w:szCs w:val="20"/>
          <w:color w:val="auto"/>
        </w:rPr>
      </w:pPr>
    </w:p>
    <w:p>
      <w:pPr>
        <w:ind w:left="320" w:right="100"/>
        <w:spacing w:after="0"/>
        <w:rPr>
          <w:sz w:val="20"/>
          <w:szCs w:val="20"/>
          <w:color w:val="auto"/>
        </w:rPr>
      </w:pPr>
      <w:r>
        <w:rPr>
          <w:rFonts w:ascii="Calibri" w:cs="Calibri" w:eastAsia="Calibri" w:hAnsi="Calibri"/>
          <w:sz w:val="17"/>
          <w:szCs w:val="17"/>
          <w:color w:val="auto"/>
        </w:rPr>
        <w:t>report, now or in the future, should submit this request to our investor relatons department through the Investor Relatons page of our website at htps://ir.exlservice.com/. Benefcial owners sharing an address who are receiving multple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Electronic access to Proxy Statement and Annual Report</w:t>
      </w:r>
    </w:p>
    <w:p>
      <w:pPr>
        <w:spacing w:after="0" w:line="114" w:lineRule="exact"/>
        <w:rPr>
          <w:sz w:val="20"/>
          <w:szCs w:val="20"/>
          <w:color w:val="auto"/>
        </w:rPr>
      </w:pPr>
    </w:p>
    <w:p>
      <w:pPr>
        <w:ind w:left="320" w:right="180"/>
        <w:spacing w:after="0"/>
        <w:rPr>
          <w:sz w:val="20"/>
          <w:szCs w:val="20"/>
          <w:color w:val="auto"/>
        </w:rPr>
      </w:pPr>
      <w:r>
        <w:rPr>
          <w:rFonts w:ascii="Calibri" w:cs="Calibri" w:eastAsia="Calibri" w:hAnsi="Calibri"/>
          <w:sz w:val="17"/>
          <w:szCs w:val="17"/>
          <w:color w:val="auto"/>
        </w:rPr>
        <w:t>This proxy statement and our 2021 Annual Report may be viewed on our website at www.exlservice.com and at www.proxyvote.com by following the instructons provided in the Internet Notce. If you are a stockholder of record, you can elect to access future annual reports and proxy statements electronically by marking the appropriate box on your proxy form. If you choose this opton, you will receive a proxy form in mid-May listng the website locatons and your choice will remain in efect untl you notfy us by mail that you wish to resume mail delivery of these documents. If you hold your common stock through a bank, broker or another holder of record, refer to the informaton provided by that entty for instructons on how to elect this opton.</w:t>
      </w:r>
    </w:p>
    <w:p>
      <w:pPr>
        <w:spacing w:after="0" w:line="312"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Delinquent Secton 16(a) reports</w:t>
      </w:r>
    </w:p>
    <w:p>
      <w:pPr>
        <w:spacing w:after="0" w:line="114"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Secton 16(a) of the Exchange Act requires our directors, executve ofcers and holders of more than 10% of the Company’s common stock to fle reports with the SEC regarding their ownership and changes in ownership of our securites. Based upon our examinaton of the copies of Forms 3, 4, and 5, and amendments thereto fled electronically with the SEC and the writen representatons of our reportng persons, we believe that all reports were fled on a tmely basis during fscal 2021, except that two Form 4 flings for Mr. Pandit (covering a total of two transactons) and one Form 3 fling for Mr. Kini (reportng his inital equity holdings), were each fled late due to administratve error.</w:t>
      </w:r>
    </w:p>
    <w:p>
      <w:pPr>
        <w:spacing w:after="0" w:line="31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Forward-looking statements</w:t>
      </w:r>
    </w:p>
    <w:p>
      <w:pPr>
        <w:spacing w:after="0" w:line="1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This Proxy Statement contains forward-looking statements within the meaning of the United States Private Securites Litgaton Reform Act of 1995. You should not place undue reliance on these statements because they are subject to numerous uncertaintes and factors relatng to our operatons and business environment, all of which are difcult to predict and many of which are beyond our control. These statements ofen include words such as “may,” “will,” “should,” “believe,” “expect,” “antcipate,” “intend,” “plan,” “estmate” or similar expressions. These statements are based on assumptons that we have made in light of our experience in the industry as well as our perceptons of historical trends, current conditons, expected future developments and other factors we believe are appropriate under the circumstances. As you read and consider this Proxy Statement, you should understand that these statements are not guarantees of performance or results. They involve known and unknown risks, uncertaintes and assumptons. Although we believe that these forward-looking statements are based on reasonable assumptons, you should be aware that many factors could afect our actual fnancial results or results of operatons and could cause actual results to difer materially from those in the forward-looking statements. For a more detailed discussion of these factors, see the informaton under “Risk Factors” and “Management’s Discussion and Analysis of Financial Conditon and Results of Operatons” in the 2021 Form 10-K .</w:t>
      </w:r>
    </w:p>
    <w:p>
      <w:pPr>
        <w:spacing w:after="0" w:line="131"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122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880"/>
          </w:cols>
          <w:pgMar w:left="320" w:top="445" w:right="6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Annual meetng Q&amp;A</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Annual Meetng Q&amp;A</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Who is providing this Proxy Statement?</w:t>
      </w:r>
    </w:p>
    <w:p>
      <w:pPr>
        <w:spacing w:after="0" w:line="192" w:lineRule="exact"/>
        <w:rPr>
          <w:sz w:val="20"/>
          <w:szCs w:val="20"/>
          <w:color w:val="auto"/>
        </w:rPr>
      </w:pPr>
    </w:p>
    <w:p>
      <w:pPr>
        <w:ind w:left="320" w:right="120"/>
        <w:spacing w:after="0"/>
        <w:rPr>
          <w:sz w:val="20"/>
          <w:szCs w:val="20"/>
          <w:color w:val="auto"/>
        </w:rPr>
      </w:pPr>
      <w:r>
        <w:rPr>
          <w:rFonts w:ascii="Calibri" w:cs="Calibri" w:eastAsia="Calibri" w:hAnsi="Calibri"/>
          <w:sz w:val="17"/>
          <w:szCs w:val="17"/>
          <w:color w:val="auto"/>
        </w:rPr>
        <w:t>This Proxy Statement is being furnished to you in connecton with the solicitaton by the board of directors of ExlService Holdings, Inc., a Delaware corporaton (“us,” “we,” “our” or the “Company”), of proxies to be used at our 2022 Annual Meetng of Stockholders (the “Annual Meetng”) to be held in virtual format only via live audio webcast at the website www.virtualshareholdermeetng.com/EXLS2022 on June 21, 2022 at 8:30 AM, Eastern Time, and any adjournments or postponements thereof.</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How are the proxy materials being made available?</w:t>
      </w:r>
    </w:p>
    <w:p>
      <w:pPr>
        <w:spacing w:after="0" w:line="179" w:lineRule="exact"/>
        <w:rPr>
          <w:sz w:val="20"/>
          <w:szCs w:val="20"/>
          <w:color w:val="auto"/>
        </w:rPr>
      </w:pPr>
    </w:p>
    <w:p>
      <w:pPr>
        <w:jc w:val="both"/>
        <w:ind w:left="320" w:right="200"/>
        <w:spacing w:after="0"/>
        <w:rPr>
          <w:sz w:val="20"/>
          <w:szCs w:val="20"/>
          <w:color w:val="auto"/>
        </w:rPr>
      </w:pPr>
      <w:r>
        <w:rPr>
          <w:rFonts w:ascii="Calibri" w:cs="Calibri" w:eastAsia="Calibri" w:hAnsi="Calibri"/>
          <w:sz w:val="17"/>
          <w:szCs w:val="17"/>
          <w:color w:val="auto"/>
        </w:rPr>
        <w:t>In accordance with rules and regulatons adopted by the Securites and Exchange Commission (the “SEC”), instead of mailing a printed copy of our proxy materials to each stockholder of record, the Company furnishes proxy materials via the Internet. If you received a Notce of Internet Availability of Proxy Materials (the “Internet Notce”) by mail, you will not receive a printed copy of our proxy materials other than as described herein. Instead, the Internet Notce will instruct you as to how you may access and review all of the important informaton contained in the proxy materials. The Internet Notce also instructs you as to how you may submit your proxy over the Internet or by phone. If you received an Internet Notce by mail and would like to receive a printed copy of our proxy materials, you should follow the instructons for requestng proxy materials included in the Internet Notce.</w:t>
      </w:r>
    </w:p>
    <w:p>
      <w:pPr>
        <w:spacing w:after="0" w:line="316" w:lineRule="exact"/>
        <w:rPr>
          <w:sz w:val="20"/>
          <w:szCs w:val="20"/>
          <w:color w:val="auto"/>
        </w:rPr>
      </w:pPr>
    </w:p>
    <w:p>
      <w:pPr>
        <w:ind w:left="320" w:right="320"/>
        <w:spacing w:after="0" w:line="239" w:lineRule="auto"/>
        <w:rPr>
          <w:sz w:val="20"/>
          <w:szCs w:val="20"/>
          <w:color w:val="auto"/>
        </w:rPr>
      </w:pPr>
      <w:r>
        <w:rPr>
          <w:rFonts w:ascii="Calibri" w:cs="Calibri" w:eastAsia="Calibri" w:hAnsi="Calibri"/>
          <w:sz w:val="17"/>
          <w:szCs w:val="17"/>
          <w:color w:val="auto"/>
        </w:rPr>
        <w:t>Our Notce of Annual Meetng, Proxy Statement and form of proxy card are each available at www.proxyvote.com. You may access these materials and provide your proxy by following the instructons provided in the Internet Notce.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When will the internet notce be sent?</w:t>
      </w:r>
    </w:p>
    <w:p>
      <w:pPr>
        <w:spacing w:after="0" w:line="179" w:lineRule="exact"/>
        <w:rPr>
          <w:sz w:val="20"/>
          <w:szCs w:val="20"/>
          <w:color w:val="auto"/>
        </w:rPr>
      </w:pPr>
    </w:p>
    <w:p>
      <w:pPr>
        <w:ind w:left="320" w:right="500"/>
        <w:spacing w:after="0" w:line="239" w:lineRule="auto"/>
        <w:rPr>
          <w:sz w:val="20"/>
          <w:szCs w:val="20"/>
          <w:color w:val="auto"/>
        </w:rPr>
      </w:pPr>
      <w:r>
        <w:rPr>
          <w:rFonts w:ascii="Calibri" w:cs="Calibri" w:eastAsia="Calibri" w:hAnsi="Calibri"/>
          <w:sz w:val="17"/>
          <w:szCs w:val="17"/>
          <w:color w:val="auto"/>
        </w:rPr>
        <w:t>We antcipate the Internet Notce will be sent to stockholders on or about April 28, 2022. This Proxy Statement and the form of proxy relatng to the Annual Meetng will be made available via the Internet to stockholders on or prior to the date that the Internet Notce is frst sent.</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Who can vote?</w:t>
      </w:r>
    </w:p>
    <w:p>
      <w:pPr>
        <w:spacing w:after="0" w:line="192" w:lineRule="exact"/>
        <w:rPr>
          <w:sz w:val="20"/>
          <w:szCs w:val="20"/>
          <w:color w:val="auto"/>
        </w:rPr>
      </w:pPr>
    </w:p>
    <w:p>
      <w:pPr>
        <w:ind w:left="320" w:right="20"/>
        <w:spacing w:after="0" w:line="239" w:lineRule="auto"/>
        <w:rPr>
          <w:sz w:val="20"/>
          <w:szCs w:val="20"/>
          <w:color w:val="auto"/>
        </w:rPr>
      </w:pPr>
      <w:r>
        <w:rPr>
          <w:rFonts w:ascii="Calibri" w:cs="Calibri" w:eastAsia="Calibri" w:hAnsi="Calibri"/>
          <w:sz w:val="17"/>
          <w:szCs w:val="17"/>
          <w:color w:val="auto"/>
        </w:rPr>
        <w:t>Only stockholders who own shares of our common stock at the close of business on April 22, 2022, the record date for the Annual Meetng, can vote at the Annual Meetng. As of the close of business on April 22, 2022, the record date, we had 33,290,291 shares of common stock outstanding and enttled to vote. Each holder of common stock is enttled to one vote for each share held as of the record date for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Is cumulatve votng applicable in the electon of directors?</w:t>
      </w:r>
    </w:p>
    <w:p>
      <w:pPr>
        <w:spacing w:after="0" w:line="17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There is no cumulatve votng in the electon of directors.</w:t>
      </w:r>
    </w:p>
    <w:p>
      <w:pPr>
        <w:spacing w:after="0" w:line="127"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123</w:t>
            </w:r>
          </w:p>
        </w:tc>
      </w:tr>
    </w:tbl>
    <w:p>
      <w:pPr>
        <w:sectPr>
          <w:pgSz w:w="11900" w:h="16838" w:orient="portrait"/>
          <w:cols w:equalWidth="0" w:num="1">
            <w:col w:w="10940"/>
          </w:cols>
          <w:pgMar w:left="320" w:top="445" w:right="6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Annual meetng Q&amp;A</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How do I vote my shares?</w:t>
      </w:r>
    </w:p>
    <w:p>
      <w:pPr>
        <w:spacing w:after="0" w:line="192"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If your shares are registered directly in your name with Computershare Trust Company, N.A., our transfer agent (which means you are a “stockholder of record”), you can vote your proxy by (i) Internet, (ii) by phone or (iii) by requestng that proxy materials be sent to you by mail that will include a proxy card that you can use to vote by completng, signing, datng and returning the proxy card in the prepaid postage envelope provided. Please refer to the specifc instructons set forth in the Internet Notce.</w:t>
      </w:r>
    </w:p>
    <w:p>
      <w:pPr>
        <w:spacing w:after="0" w:line="315"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If you are the benefcial owner of shares held in the name of a brokerage, bank, trust or other nominee as a custodian (also referred to as shares held in “street name”), your broker, bank, trustee or nominee will provide you with materials and instructons for votng your shares. In additon to votng by mail, a number of banks and brokerage frms partcipate in a program provided through Broadridge Financial Solutons, Inc. (“Broadridge”) that ofers telephone and Internet votng optons. Votes submited by telephone or by using the Internet through Broadridge’s program must be received by 11:59 p.m. Eastern Time, on June 20, 2022.</w:t>
      </w:r>
    </w:p>
    <w:p>
      <w:pPr>
        <w:spacing w:after="0" w:line="315"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You also have the right to vote electronically at the Annual Meetng if you decide to atend. Our board of directors recommends that you vote by Internet, phone or mail even if you choose to atend the Annual Meetng. If you are a “stockholder of record,” you may vote your shares electronically at the Annual Meetng. If you hold your shares in “street name,” you must obtain a proxy from your broker, bank, trustee or nominee giving you the right to vote the shares electronically at the Annual Meetng or your vote at the Annual Meetng will not be counted.</w:t>
      </w:r>
    </w:p>
    <w:p>
      <w:pPr>
        <w:spacing w:after="0" w:line="315" w:lineRule="exact"/>
        <w:rPr>
          <w:sz w:val="20"/>
          <w:szCs w:val="20"/>
          <w:color w:val="auto"/>
        </w:rPr>
      </w:pPr>
    </w:p>
    <w:p>
      <w:pPr>
        <w:ind w:left="320" w:right="160"/>
        <w:spacing w:after="0" w:line="239" w:lineRule="auto"/>
        <w:rPr>
          <w:sz w:val="20"/>
          <w:szCs w:val="20"/>
          <w:color w:val="auto"/>
        </w:rPr>
      </w:pPr>
      <w:r>
        <w:rPr>
          <w:rFonts w:ascii="Calibri" w:cs="Calibri" w:eastAsia="Calibri" w:hAnsi="Calibri"/>
          <w:sz w:val="17"/>
          <w:szCs w:val="17"/>
          <w:color w:val="auto"/>
        </w:rPr>
        <w:t>You will not be able to vote your shares unless you use one of the methods described above to designate a proxy or you vote electronically at the Annual Meetng.</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Can I revoke my proxy?</w:t>
      </w:r>
    </w:p>
    <w:p>
      <w:pPr>
        <w:spacing w:after="0" w:line="178"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You can revoke your proxy at any tme before it is exercised in any of the following ways:</w:t>
      </w:r>
    </w:p>
    <w:p>
      <w:pPr>
        <w:spacing w:after="0" w:line="352" w:lineRule="exact"/>
        <w:rPr>
          <w:sz w:val="20"/>
          <w:szCs w:val="20"/>
          <w:color w:val="auto"/>
        </w:rPr>
      </w:pPr>
    </w:p>
    <w:p>
      <w:pPr>
        <w:ind w:left="1140" w:hanging="407"/>
        <w:spacing w:after="0"/>
        <w:tabs>
          <w:tab w:leader="none" w:pos="114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by votng at the Annual Meetng;</w:t>
      </w:r>
    </w:p>
    <w:p>
      <w:pPr>
        <w:ind w:left="1140" w:hanging="407"/>
        <w:spacing w:after="0"/>
        <w:tabs>
          <w:tab w:leader="none" w:pos="114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by submitng writen notce of revocaton to the inspector of electons prior to the Annual Meetng; or</w:t>
      </w:r>
    </w:p>
    <w:p>
      <w:pPr>
        <w:ind w:left="1140" w:hanging="407"/>
        <w:spacing w:after="0"/>
        <w:tabs>
          <w:tab w:leader="none" w:pos="1140" w:val="left"/>
        </w:tabs>
        <w:numPr>
          <w:ilvl w:val="0"/>
          <w:numId w:val="53"/>
        </w:numPr>
        <w:rPr>
          <w:rFonts w:ascii="Calibri" w:cs="Calibri" w:eastAsia="Calibri" w:hAnsi="Calibri"/>
          <w:sz w:val="17"/>
          <w:szCs w:val="17"/>
          <w:color w:val="auto"/>
        </w:rPr>
      </w:pPr>
      <w:r>
        <w:rPr>
          <w:rFonts w:ascii="Calibri" w:cs="Calibri" w:eastAsia="Calibri" w:hAnsi="Calibri"/>
          <w:sz w:val="17"/>
          <w:szCs w:val="17"/>
          <w:color w:val="auto"/>
        </w:rPr>
        <w:t>by submitng another properly executed proxy of a later date to the inspector of electons prior to the Annual Meetng.</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How is a quorum established at the Annual Meetng?</w:t>
      </w:r>
    </w:p>
    <w:p>
      <w:pPr>
        <w:spacing w:after="0" w:line="179"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A quorum, which is a majority of the issued and outstanding shares of our common stock as of the record date of April 22, 2022, must be present, in person or by proxy, to conduct business at the Annual Meetng. A quorum is calculated based on the number of shares represented by the stockholders atending the Annual Meetng in person and by their proxy holders. If you indicate an abstenton as your votng preference for all maters to be acted upon at the Annual Meetng, your shares will be counted toward a quorum but they will not be voted on any mater. Virtual atendance at our Annual Meetng consttutes presence in person for purposes of quorum at the Annual Meetng.</w:t>
      </w:r>
    </w:p>
    <w:p>
      <w:pPr>
        <w:spacing w:after="0" w:line="128"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124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20"/>
          </w:cols>
          <w:pgMar w:left="320" w:top="445" w:right="6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Annual meetng Q&amp;A</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What is a “broker non-vote”?</w:t>
      </w:r>
    </w:p>
    <w:p>
      <w:pPr>
        <w:spacing w:after="0" w:line="192"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If you are the benefcial owner of shares held in “street name” by a broker, then your broker, as the record holder of the shares, must vote those shares in accordance with your instructons. If you fail to provide instructons to your broker, under the New York Stock Exchange rules (which apply to brokers even though our shares are listed on the NASDAQ Stock Market), your broker will not be authorized to vote your shares on “non-routne” proposals, which include, at the Annual Meetng, the electon of directors and approval on an advisory (non-binding) basis of the compensaton of our named executve ofcers. As a result, a “broker non-vote” occurs. However, without your instructons, your broker has discretonary authority to vote your shares with respect to “routne” proposals only, which include, at the Annual Meetng, the ratfcaton of the appointment of our independent registered public accountng frm.</w:t>
      </w:r>
    </w:p>
    <w:p>
      <w:pPr>
        <w:spacing w:after="0" w:line="200" w:lineRule="exact"/>
        <w:rPr>
          <w:sz w:val="20"/>
          <w:szCs w:val="20"/>
          <w:color w:val="auto"/>
        </w:rPr>
      </w:pPr>
    </w:p>
    <w:p>
      <w:pPr>
        <w:spacing w:after="0" w:line="220" w:lineRule="exact"/>
        <w:rPr>
          <w:sz w:val="20"/>
          <w:szCs w:val="20"/>
          <w:color w:val="auto"/>
        </w:rPr>
      </w:pPr>
    </w:p>
    <w:p>
      <w:pPr>
        <w:ind w:left="320" w:right="720"/>
        <w:spacing w:after="0" w:line="242" w:lineRule="auto"/>
        <w:rPr>
          <w:sz w:val="20"/>
          <w:szCs w:val="20"/>
          <w:color w:val="auto"/>
        </w:rPr>
      </w:pPr>
      <w:r>
        <w:rPr>
          <w:rFonts w:ascii="Calibri" w:cs="Calibri" w:eastAsia="Calibri" w:hAnsi="Calibri"/>
          <w:sz w:val="24"/>
          <w:szCs w:val="24"/>
          <w:color w:val="auto"/>
        </w:rPr>
        <w:t>How many votes are needed to approve each proposal and what is the efect of abstentons and/or broker non-votes?</w:t>
      </w: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Proposal 1: Electon of directors</w:t>
      </w:r>
    </w:p>
    <w:p>
      <w:pPr>
        <w:spacing w:after="0" w:line="106"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Under our Fifh Amended and Restated By-Laws (our “by-laws”), directors who are standing for electon at the Annual Meetng will be elected by the afrmatve vote of a majority of votes cast (meaning the number of shares voted “for” a nominee must exceed the number of shares voted “against” such nominee) by stockholders in person or represented by proxy and enttled to vote at the Annual Meetng. If any incumbent nominee for director receives a greater number of votes “against” his or her electon than votes “for” such electon, our by-laws provide that such person will tender to the board of directors his or her resignaton as a director. You may cast your vote in favor of electng all of the nominees as directors, against one or more nominees, or abstain from votng your shares. For purposes of the vote on Proposal 1, abstentons and broker non-votes will have no efect on the results of the vote. Virtual atendance at our Annual Meetng will consttute presence in person for purposes of votng at the Annual Meetng.</w:t>
      </w:r>
    </w:p>
    <w:p>
      <w:pPr>
        <w:spacing w:after="0" w:line="315"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Other proposals</w:t>
      </w:r>
    </w:p>
    <w:p>
      <w:pPr>
        <w:spacing w:after="0" w:line="106" w:lineRule="exact"/>
        <w:rPr>
          <w:sz w:val="20"/>
          <w:szCs w:val="20"/>
          <w:color w:val="auto"/>
        </w:rPr>
      </w:pPr>
    </w:p>
    <w:p>
      <w:pPr>
        <w:ind w:left="320" w:right="80"/>
        <w:spacing w:after="0"/>
        <w:rPr>
          <w:sz w:val="20"/>
          <w:szCs w:val="20"/>
          <w:color w:val="auto"/>
        </w:rPr>
      </w:pPr>
      <w:r>
        <w:rPr>
          <w:rFonts w:ascii="Calibri" w:cs="Calibri" w:eastAsia="Calibri" w:hAnsi="Calibri"/>
          <w:sz w:val="17"/>
          <w:szCs w:val="17"/>
          <w:color w:val="auto"/>
        </w:rPr>
        <w:t>The approval of the EXL 2022 ESPP, the ratfcaton of the appointment of our independent registered public accountng frm, the advisory (non-binding) approval of the compensaton of our named executve ofcers and each other item to be acted upon at the Annual Meetng will require the afrmatve vote of a majority of shares present in person or represented by proxy and enttled to vote at the Annual Meetng. You may cast your vote in favor of or against these proposals or you may abstain from votng your shares. For purposes of the vote on Proposal 2 (approval of the ExlService Holdings, Inc. 2022 Employee Stock Purchase Plan), Proposal 3 (ratfcaton of the appointment of our independent registered public accountng frm), Proposal 4 (advisory (non-binding) vote on executve compensaton), and such other items properly presented and to be acted upon at the Annual Meetng, abstentons will have the efect of a vote against these proposals. Broker non-votes will have the efect of a vote against Proposals 2 and 4, but because Proposal 3 is a “routne” proposal where brokers have discretonary authority to vote in the absence of instructon, there will be no broker non-votes.</w:t>
      </w:r>
    </w:p>
    <w:p>
      <w:pPr>
        <w:spacing w:after="0" w:line="213" w:lineRule="exact"/>
        <w:rPr>
          <w:sz w:val="20"/>
          <w:szCs w:val="20"/>
          <w:color w:val="auto"/>
        </w:rPr>
      </w:pPr>
    </w:p>
    <w:p>
      <w:pPr>
        <w:ind w:left="320" w:right="280"/>
        <w:spacing w:after="0"/>
        <w:rPr>
          <w:sz w:val="20"/>
          <w:szCs w:val="20"/>
          <w:color w:val="auto"/>
        </w:rPr>
      </w:pPr>
      <w:r>
        <w:rPr>
          <w:rFonts w:ascii="Calibri" w:cs="Calibri" w:eastAsia="Calibri" w:hAnsi="Calibri"/>
          <w:sz w:val="17"/>
          <w:szCs w:val="17"/>
          <w:color w:val="auto"/>
        </w:rPr>
        <w:t>If you submit your proxy, but do not mark your votng preference, the proxy holders will vote your shares (i) FOR the electon of all six nominees for director, (ii) FOR the ratfcaton of the appointment of our independent registered public accountng frm, (iii) FOR the approval on an advisory (non-binding) basis of the compensaton of our named executve ofcers, and (iv) as described below, in the judgment of the proxy holder on any other maters properly presented at the Annual Meetng.</w:t>
      </w:r>
    </w:p>
    <w:p>
      <w:pPr>
        <w:spacing w:after="0" w:line="127"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125</w:t>
            </w:r>
          </w:p>
        </w:tc>
      </w:tr>
    </w:tbl>
    <w:p>
      <w:pPr>
        <w:sectPr>
          <w:pgSz w:w="11900" w:h="16838" w:orient="portrait"/>
          <w:cols w:equalWidth="0" w:num="1">
            <w:col w:w="10940"/>
          </w:cols>
          <w:pgMar w:left="320" w:top="445" w:right="6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Annual meetng Q&amp;A</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Are there other maters to be acted upon at the meetng?</w:t>
      </w:r>
    </w:p>
    <w:p>
      <w:pPr>
        <w:spacing w:after="0" w:line="192" w:lineRule="exact"/>
        <w:rPr>
          <w:sz w:val="20"/>
          <w:szCs w:val="20"/>
          <w:color w:val="auto"/>
        </w:rPr>
      </w:pPr>
    </w:p>
    <w:p>
      <w:pPr>
        <w:ind w:left="320" w:right="40"/>
        <w:spacing w:after="0"/>
        <w:rPr>
          <w:sz w:val="20"/>
          <w:szCs w:val="20"/>
          <w:color w:val="auto"/>
        </w:rPr>
      </w:pPr>
      <w:r>
        <w:rPr>
          <w:rFonts w:ascii="Calibri" w:cs="Calibri" w:eastAsia="Calibri" w:hAnsi="Calibri"/>
          <w:sz w:val="17"/>
          <w:szCs w:val="17"/>
          <w:color w:val="auto"/>
        </w:rPr>
        <w:t>Our board of directors presently is not aware of any maters, other than those specifcally stated in the Notce of Annual Meetng, which are to be presented for acton at the Annual Meetng. If any mater other than those described in this Proxy Statement is presented at the Annual Meetng on which a vote may properly be taken, the shares represented by proxies will be voted in accordance with the judgment of the person or persons votng those shares.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What about adjournments and postponements?</w:t>
      </w:r>
    </w:p>
    <w:p>
      <w:pPr>
        <w:spacing w:after="0" w:line="179" w:lineRule="exact"/>
        <w:rPr>
          <w:sz w:val="20"/>
          <w:szCs w:val="20"/>
          <w:color w:val="auto"/>
        </w:rPr>
      </w:pPr>
    </w:p>
    <w:p>
      <w:pPr>
        <w:jc w:val="both"/>
        <w:ind w:left="320" w:right="80"/>
        <w:spacing w:after="0" w:line="239" w:lineRule="auto"/>
        <w:rPr>
          <w:sz w:val="20"/>
          <w:szCs w:val="20"/>
          <w:color w:val="auto"/>
        </w:rPr>
      </w:pPr>
      <w:r>
        <w:rPr>
          <w:rFonts w:ascii="Calibri" w:cs="Calibri" w:eastAsia="Calibri" w:hAnsi="Calibri"/>
          <w:sz w:val="17"/>
          <w:szCs w:val="17"/>
          <w:color w:val="auto"/>
        </w:rPr>
        <w:t>Any acton on the items of business described above may be considered at the Annual Meetng at the tme and on the date specifed above or at any tme and date to which the Annual Meetng is properly adjourned or postponed.</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Who pays for solicitaton of proxies?</w:t>
      </w:r>
    </w:p>
    <w:p>
      <w:pPr>
        <w:spacing w:after="0" w:line="179" w:lineRule="exact"/>
        <w:rPr>
          <w:sz w:val="20"/>
          <w:szCs w:val="20"/>
          <w:color w:val="auto"/>
        </w:rPr>
      </w:pPr>
    </w:p>
    <w:p>
      <w:pPr>
        <w:ind w:left="320"/>
        <w:spacing w:after="0" w:line="268" w:lineRule="auto"/>
        <w:rPr>
          <w:sz w:val="20"/>
          <w:szCs w:val="20"/>
          <w:color w:val="auto"/>
        </w:rPr>
      </w:pPr>
      <w:r>
        <w:rPr>
          <w:rFonts w:ascii="Calibri" w:cs="Calibri" w:eastAsia="Calibri" w:hAnsi="Calibri"/>
          <w:sz w:val="16"/>
          <w:szCs w:val="16"/>
          <w:color w:val="auto"/>
        </w:rPr>
        <w:t>We will pay the cost of printng and mailing proxy materials and postng them on the Internet. Upon request, we will reimburse brokers, dealers, banks and trustees, or their nominees, for reasonable expenses incurred by them in forwarding proxy materials to benefcial owners of shares of our common stock.</w:t>
      </w:r>
    </w:p>
    <w:p>
      <w:pPr>
        <w:spacing w:after="0" w:line="395" w:lineRule="exact"/>
        <w:rPr>
          <w:sz w:val="20"/>
          <w:szCs w:val="20"/>
          <w:color w:val="auto"/>
        </w:rPr>
      </w:pPr>
    </w:p>
    <w:p>
      <w:pPr>
        <w:ind w:left="320" w:right="420"/>
        <w:spacing w:after="0" w:line="242" w:lineRule="auto"/>
        <w:rPr>
          <w:sz w:val="20"/>
          <w:szCs w:val="20"/>
          <w:color w:val="auto"/>
        </w:rPr>
      </w:pPr>
      <w:r>
        <w:rPr>
          <w:rFonts w:ascii="Calibri" w:cs="Calibri" w:eastAsia="Calibri" w:hAnsi="Calibri"/>
          <w:sz w:val="24"/>
          <w:szCs w:val="24"/>
          <w:color w:val="auto"/>
        </w:rPr>
        <w:t>How can I atend the annual meetng and why is the Company holding the Annual Meetng in a virtual only format?</w:t>
      </w:r>
    </w:p>
    <w:p>
      <w:pPr>
        <w:spacing w:after="0" w:line="191" w:lineRule="exact"/>
        <w:rPr>
          <w:sz w:val="20"/>
          <w:szCs w:val="20"/>
          <w:color w:val="auto"/>
        </w:rPr>
      </w:pPr>
    </w:p>
    <w:p>
      <w:pPr>
        <w:jc w:val="both"/>
        <w:ind w:left="320" w:right="80"/>
        <w:spacing w:after="0" w:line="239" w:lineRule="auto"/>
        <w:rPr>
          <w:sz w:val="20"/>
          <w:szCs w:val="20"/>
          <w:color w:val="auto"/>
        </w:rPr>
      </w:pPr>
      <w:r>
        <w:rPr>
          <w:rFonts w:ascii="Calibri" w:cs="Calibri" w:eastAsia="Calibri" w:hAnsi="Calibri"/>
          <w:sz w:val="17"/>
          <w:szCs w:val="17"/>
          <w:color w:val="auto"/>
        </w:rPr>
        <w:t>We have monitored the pandemic closely and have determined that holding an in-person annual meetng could pose a risk to the health and safety of our stockholders, employees, and directors, and therefore we will instead hold a virtual Annual Meetng rather than a meetng in New York or at any physical locaton.</w:t>
      </w:r>
    </w:p>
    <w:p>
      <w:pPr>
        <w:spacing w:after="0" w:line="317" w:lineRule="exact"/>
        <w:rPr>
          <w:sz w:val="20"/>
          <w:szCs w:val="20"/>
          <w:color w:val="auto"/>
        </w:rPr>
      </w:pPr>
    </w:p>
    <w:p>
      <w:pPr>
        <w:ind w:left="320" w:right="60"/>
        <w:spacing w:after="0"/>
        <w:rPr>
          <w:sz w:val="20"/>
          <w:szCs w:val="20"/>
          <w:color w:val="auto"/>
        </w:rPr>
      </w:pPr>
      <w:r>
        <w:rPr>
          <w:rFonts w:ascii="Calibri" w:cs="Calibri" w:eastAsia="Calibri" w:hAnsi="Calibri"/>
          <w:sz w:val="17"/>
          <w:szCs w:val="17"/>
          <w:color w:val="auto"/>
        </w:rPr>
        <w:t>To atend and partcipate in the Virtual Annual Meetng, stockholders will need to access the live audio webcast of the meetng. To do so, stockholders of record will need to visit www.virtualshareholdermeetng.com/EXLS2022 and use their 16-digit Control Number provided in the Internet Notce to log in to this website, and benefcial owners of shares held in street name will need to follow the instructons provided by the broker, bank or other nominee that holds their shares. We encourage stockholders to log in to this website and access the webcast before the Annual Meetng’s start tme. Further instructons on how to atend, partcipate in and vote at the Annual Meetng, including how to demonstrate your ownership of our stock as of the record date, are available at www.virtualshareholdermeetng.com/EXLS2022. Please note you will only be able to atend, partcipate and vote in the meetng using this website. All references to atending the Annual Meetng “in person” in this Proxy Statement shall mean atending the live webcast at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How do I submit questons at the Annual Meetng?</w:t>
      </w:r>
    </w:p>
    <w:p>
      <w:pPr>
        <w:spacing w:after="0" w:line="179" w:lineRule="exact"/>
        <w:rPr>
          <w:sz w:val="20"/>
          <w:szCs w:val="20"/>
          <w:color w:val="auto"/>
        </w:rPr>
      </w:pPr>
    </w:p>
    <w:p>
      <w:pPr>
        <w:ind w:left="320" w:right="140"/>
        <w:spacing w:after="0" w:line="239" w:lineRule="auto"/>
        <w:rPr>
          <w:sz w:val="20"/>
          <w:szCs w:val="20"/>
          <w:color w:val="auto"/>
        </w:rPr>
      </w:pPr>
      <w:r>
        <w:rPr>
          <w:rFonts w:ascii="Calibri" w:cs="Calibri" w:eastAsia="Calibri" w:hAnsi="Calibri"/>
          <w:sz w:val="17"/>
          <w:szCs w:val="17"/>
          <w:color w:val="auto"/>
        </w:rPr>
        <w:t>We are commited to ensuring that our stockholders will be aforded the same rights and opportunites to partcipate in a virtual Annual Meetng as they would at a meetng held at a physical locaton. You will be able to submit questons during our Annual Meetng by visitng www.virtualshareholdermeetng.com/EXLS2022. We will try to answer as many stockholder-submited</w:t>
      </w:r>
    </w:p>
    <w:p>
      <w:pPr>
        <w:spacing w:after="0" w:line="129"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126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20"/>
          </w:cols>
          <w:pgMar w:left="320" w:top="445" w:right="6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Annual meetng Q&amp;A</w:t>
      </w:r>
    </w:p>
    <w:p>
      <w:pPr>
        <w:spacing w:after="0" w:line="140" w:lineRule="exact"/>
        <w:rPr>
          <w:sz w:val="20"/>
          <w:szCs w:val="20"/>
          <w:color w:val="auto"/>
        </w:rPr>
      </w:pPr>
    </w:p>
    <w:p>
      <w:pPr>
        <w:ind w:left="320" w:right="80"/>
        <w:spacing w:after="0" w:line="239" w:lineRule="auto"/>
        <w:rPr>
          <w:sz w:val="20"/>
          <w:szCs w:val="20"/>
          <w:color w:val="auto"/>
        </w:rPr>
      </w:pPr>
      <w:r>
        <w:rPr>
          <w:rFonts w:ascii="Calibri" w:cs="Calibri" w:eastAsia="Calibri" w:hAnsi="Calibri"/>
          <w:sz w:val="17"/>
          <w:szCs w:val="17"/>
          <w:color w:val="auto"/>
        </w:rPr>
        <w:t>questons as tme permits that comply with the meetng rules of conduct as determined by the chair of the meetng. However, we reserve the right to edit profanity or other inappropriate language, or to exclude questons that are not pertnent to meetng maters or that are otherwise inappropriate. If we receive substantally similar questons, we will group such questons together and provide a single response to avoid repetton.</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Will the Annual Meetng be recorded?</w:t>
      </w:r>
    </w:p>
    <w:p>
      <w:pPr>
        <w:spacing w:after="0" w:line="19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 recording of the Annual Meetng will be available online at htp://ir.exlservice.com for approximately 12 months following the meetng date.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What if I have technical difcultes or trouble accessing the virtual Annual Meetng?</w:t>
      </w:r>
    </w:p>
    <w:p>
      <w:pPr>
        <w:spacing w:after="0" w:line="179" w:lineRule="exact"/>
        <w:rPr>
          <w:sz w:val="20"/>
          <w:szCs w:val="20"/>
          <w:color w:val="auto"/>
        </w:rPr>
      </w:pPr>
    </w:p>
    <w:p>
      <w:pPr>
        <w:ind w:left="320" w:right="180"/>
        <w:spacing w:after="0" w:line="239" w:lineRule="auto"/>
        <w:rPr>
          <w:sz w:val="20"/>
          <w:szCs w:val="20"/>
          <w:color w:val="auto"/>
        </w:rPr>
      </w:pPr>
      <w:r>
        <w:rPr>
          <w:rFonts w:ascii="Calibri" w:cs="Calibri" w:eastAsia="Calibri" w:hAnsi="Calibri"/>
          <w:sz w:val="17"/>
          <w:szCs w:val="17"/>
          <w:color w:val="auto"/>
        </w:rPr>
        <w:t>We will have technicians ready to assist you with any technical difcultes you may have accessing the live webcast of the Annual Meetng. A technical support phone number will be posted on www.virtualshareholdermeetng.com/EXLS2022 that you may call if you experience technical difcultes during the check-in process or during the Annual Meetng.</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What if I have further questons?</w:t>
      </w:r>
    </w:p>
    <w:p>
      <w:pPr>
        <w:spacing w:after="0" w:line="179" w:lineRule="exact"/>
        <w:rPr>
          <w:sz w:val="20"/>
          <w:szCs w:val="20"/>
          <w:color w:val="auto"/>
        </w:rPr>
      </w:pPr>
    </w:p>
    <w:p>
      <w:pPr>
        <w:ind w:left="320" w:right="560"/>
        <w:spacing w:after="0" w:line="239" w:lineRule="auto"/>
        <w:rPr>
          <w:sz w:val="20"/>
          <w:szCs w:val="20"/>
          <w:color w:val="auto"/>
        </w:rPr>
      </w:pPr>
      <w:r>
        <w:rPr>
          <w:rFonts w:ascii="Calibri" w:cs="Calibri" w:eastAsia="Calibri" w:hAnsi="Calibri"/>
          <w:sz w:val="17"/>
          <w:szCs w:val="17"/>
          <w:color w:val="auto"/>
        </w:rPr>
        <w:t>If you have any further questons about votng your shares or atending the Annual Meetng, please call our Investor Relatons Department at (212) 624-5913 or email at ir@exlservice.com.</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Important</w:t>
      </w:r>
    </w:p>
    <w:p>
      <w:pPr>
        <w:spacing w:after="0" w:line="106"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Please promptly vote and submit your proxy before the Annual Meetng by (i) Internet (by following the instructons provided in the Internet Notce), (ii) by phone (by following the instructons provided in the Internet Notce) or (iii) by requestng that proxy materials be sent to you by mail that will include a proxy card that you can use to vote by completng, signing, datng and returning the proxy card in the prepaid postage envelope provided. This will not limit your right to atend or vote at the Annual Meetng.</w:t>
      </w:r>
    </w:p>
    <w:p>
      <w:pPr>
        <w:spacing w:after="0" w:line="127"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127</w:t>
            </w:r>
          </w:p>
        </w:tc>
      </w:tr>
    </w:tbl>
    <w:p>
      <w:pPr>
        <w:sectPr>
          <w:pgSz w:w="11900" w:h="16838" w:orient="portrait"/>
          <w:cols w:equalWidth="0" w:num="1">
            <w:col w:w="10940"/>
          </w:cols>
          <w:pgMar w:left="320" w:top="445" w:right="6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Other maters</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Other maters</w:t>
      </w:r>
    </w:p>
    <w:p>
      <w:pPr>
        <w:spacing w:after="0" w:line="330"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Our board of directors does not know of any other business that will be presented at the Annual Meetng. If any other business is properly brought before the Annual Meetng, your proxy holders will vote on it as they think best unless you direct them otherwise in your proxy instructons.</w:t>
      </w:r>
    </w:p>
    <w:p>
      <w:pPr>
        <w:spacing w:after="0" w:line="314"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Whether or not you intend to be present at the Annual Meetng, we urge you to submit your signed proxy promptly.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237490</wp:posOffset>
            </wp:positionV>
            <wp:extent cx="2032000" cy="6858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0320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alibri" w:cs="Calibri" w:eastAsia="Calibri" w:hAnsi="Calibri"/>
          <w:sz w:val="17"/>
          <w:szCs w:val="17"/>
          <w:b w:val="1"/>
          <w:bCs w:val="1"/>
          <w:color w:val="auto"/>
        </w:rPr>
        <w:t>Ajay Ayyappan</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i w:val="1"/>
          <w:iCs w:val="1"/>
          <w:color w:val="auto"/>
        </w:rPr>
        <w:t>Senior Vice President, General Counsel and Corporate Secretary</w:t>
      </w:r>
    </w:p>
    <w:p>
      <w:pPr>
        <w:spacing w:after="0" w:line="3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New York, New York</w:t>
      </w:r>
    </w:p>
    <w:p>
      <w:pPr>
        <w:spacing w:after="0" w:line="1"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April 28, 2022</w:t>
      </w:r>
    </w:p>
    <w:p>
      <w:pPr>
        <w:spacing w:after="0" w:line="314" w:lineRule="exact"/>
        <w:rPr>
          <w:sz w:val="20"/>
          <w:szCs w:val="20"/>
          <w:color w:val="auto"/>
        </w:rPr>
      </w:pPr>
    </w:p>
    <w:p>
      <w:pPr>
        <w:ind w:left="320" w:right="120"/>
        <w:spacing w:after="0"/>
        <w:rPr>
          <w:sz w:val="20"/>
          <w:szCs w:val="20"/>
          <w:color w:val="auto"/>
        </w:rPr>
      </w:pPr>
      <w:r>
        <w:rPr>
          <w:rFonts w:ascii="Calibri" w:cs="Calibri" w:eastAsia="Calibri" w:hAnsi="Calibri"/>
          <w:sz w:val="17"/>
          <w:szCs w:val="17"/>
          <w:b w:val="1"/>
          <w:bCs w:val="1"/>
          <w:color w:val="auto"/>
        </w:rPr>
        <w:t>We will furnish without charge to each person whose proxy is being solicited, upon the writen request of any such person, a copy of the 2021 Form 10-K, as fled with the SEC, as well as copies of exhibits to the 2021 Form 10-K, but for copies of exhibits will charge a reasonable fee per page to any requestng stockholder. Stockholders may make such request in writng to ExlService Holdings, Inc., 320 Park Avenue, 29th Floor, New York, New York 10022, Atenton: Investor Relatons. The request must include a representaton by the stockholder that as of April 22, 2022, the stockholder was enttled to vote at the Annual Meetng.</w:t>
      </w:r>
    </w:p>
    <w:p>
      <w:pPr>
        <w:spacing w:after="0" w:line="128"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128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860"/>
          </w:cols>
          <w:pgMar w:left="320" w:top="445" w:right="7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Annex A</w:t>
      </w:r>
    </w:p>
    <w:p>
      <w:pPr>
        <w:spacing w:after="0" w:line="121" w:lineRule="exact"/>
        <w:rPr>
          <w:sz w:val="20"/>
          <w:szCs w:val="20"/>
          <w:color w:val="auto"/>
        </w:rPr>
      </w:pPr>
    </w:p>
    <w:p>
      <w:pPr>
        <w:ind w:left="320"/>
        <w:spacing w:after="0"/>
        <w:rPr>
          <w:sz w:val="20"/>
          <w:szCs w:val="20"/>
          <w:color w:val="auto"/>
        </w:rPr>
      </w:pPr>
      <w:r>
        <w:rPr>
          <w:rFonts w:ascii="Calibri" w:cs="Calibri" w:eastAsia="Calibri" w:hAnsi="Calibri"/>
          <w:sz w:val="31"/>
          <w:szCs w:val="31"/>
          <w:color w:val="FB4E0B"/>
        </w:rPr>
        <w:t>Annex A</w:t>
      </w:r>
    </w:p>
    <w:p>
      <w:pPr>
        <w:spacing w:after="0" w:line="200" w:lineRule="exact"/>
        <w:rPr>
          <w:sz w:val="20"/>
          <w:szCs w:val="20"/>
          <w:color w:val="auto"/>
        </w:rPr>
      </w:pPr>
    </w:p>
    <w:p>
      <w:pPr>
        <w:spacing w:after="0" w:line="233" w:lineRule="exact"/>
        <w:rPr>
          <w:sz w:val="20"/>
          <w:szCs w:val="20"/>
          <w:color w:val="auto"/>
        </w:rPr>
      </w:pPr>
    </w:p>
    <w:p>
      <w:pPr>
        <w:ind w:left="320" w:right="3680"/>
        <w:spacing w:after="0" w:line="327" w:lineRule="auto"/>
        <w:rPr>
          <w:sz w:val="20"/>
          <w:szCs w:val="20"/>
          <w:color w:val="auto"/>
        </w:rPr>
      </w:pPr>
      <w:r>
        <w:rPr>
          <w:rFonts w:ascii="Calibri" w:cs="Calibri" w:eastAsia="Calibri" w:hAnsi="Calibri"/>
          <w:sz w:val="24"/>
          <w:szCs w:val="24"/>
          <w:color w:val="auto"/>
        </w:rPr>
        <w:t>EXLSERVICE HOLDINGS, INC. 2022 EMPLOYEE STOCK PURCHASE PLAN 1. GENERAL; PURPOSE.</w:t>
      </w:r>
    </w:p>
    <w:p>
      <w:pPr>
        <w:spacing w:after="0" w:line="9" w:lineRule="exact"/>
        <w:rPr>
          <w:sz w:val="20"/>
          <w:szCs w:val="20"/>
          <w:color w:val="auto"/>
        </w:rPr>
      </w:pPr>
    </w:p>
    <w:p>
      <w:pPr>
        <w:ind w:left="320" w:right="120" w:hanging="4"/>
        <w:spacing w:after="0"/>
        <w:tabs>
          <w:tab w:leader="none" w:pos="542"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The Plan provides a means by which Eligible Employees of the Company and certain designated Related Corporatons may be given an opportunity to purchase Common Stock. The Plan permits the Company to grant a series of Purchase Rights to Eligible Employees under an Employee Stock Purchase Plan. The Company intends (but makes no undertaking or representaton to maintain) the Plan to qualify as an Employee Stock Purchase Plan. The provisions of the Plan, accordingly, will be construed in a manner that is consistent with the requirements of Secton 423 of the Code where applicable. In additon, the Company may make separate Oferings which vary in terms (provided that such terms are not inconsistent with the provisions of the Plan or the requirements of an Employee Stock Purchase Plan where applicable), and the Company will designate which Related Corporatons are partcipatng in each separate Ofering.</w:t>
      </w:r>
    </w:p>
    <w:p>
      <w:pPr>
        <w:spacing w:after="0" w:line="316" w:lineRule="exact"/>
        <w:rPr>
          <w:rFonts w:ascii="Calibri" w:cs="Calibri" w:eastAsia="Calibri" w:hAnsi="Calibri"/>
          <w:sz w:val="17"/>
          <w:szCs w:val="17"/>
          <w:color w:val="auto"/>
        </w:rPr>
      </w:pPr>
    </w:p>
    <w:p>
      <w:pPr>
        <w:ind w:left="320" w:right="40" w:hanging="4"/>
        <w:spacing w:after="0" w:line="239" w:lineRule="auto"/>
        <w:tabs>
          <w:tab w:leader="none" w:pos="550"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The Company, by means of the Plan, seeks to retain the services of such Eligible Employees, to secure and retain the services of new Eligible Employees and to provide incentves for such persons to exert maximum eforts for the success of the Company and its Related Corporatons.</w:t>
      </w:r>
    </w:p>
    <w:p>
      <w:pPr>
        <w:spacing w:after="0" w:line="313" w:lineRule="exact"/>
        <w:rPr>
          <w:rFonts w:ascii="Calibri" w:cs="Calibri" w:eastAsia="Calibri" w:hAnsi="Calibri"/>
          <w:sz w:val="17"/>
          <w:szCs w:val="17"/>
          <w:color w:val="auto"/>
        </w:rPr>
      </w:pPr>
    </w:p>
    <w:p>
      <w:pPr>
        <w:ind w:left="520" w:hanging="204"/>
        <w:spacing w:after="0"/>
        <w:tabs>
          <w:tab w:leader="none" w:pos="520" w:val="left"/>
        </w:tabs>
        <w:numPr>
          <w:ilvl w:val="0"/>
          <w:numId w:val="54"/>
        </w:numPr>
        <w:rPr>
          <w:rFonts w:ascii="Calibri" w:cs="Calibri" w:eastAsia="Calibri" w:hAnsi="Calibri"/>
          <w:sz w:val="17"/>
          <w:szCs w:val="17"/>
          <w:color w:val="auto"/>
        </w:rPr>
      </w:pPr>
      <w:r>
        <w:rPr>
          <w:rFonts w:ascii="Calibri" w:cs="Calibri" w:eastAsia="Calibri" w:hAnsi="Calibri"/>
          <w:sz w:val="17"/>
          <w:szCs w:val="17"/>
          <w:color w:val="auto"/>
        </w:rPr>
        <w:t>Certain capitalized terms are defned in Secton 17 herein.</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2. ADMINISTRATION.</w:t>
      </w:r>
    </w:p>
    <w:p>
      <w:pPr>
        <w:spacing w:after="0" w:line="114" w:lineRule="exact"/>
        <w:rPr>
          <w:sz w:val="20"/>
          <w:szCs w:val="20"/>
          <w:color w:val="auto"/>
        </w:rPr>
      </w:pPr>
    </w:p>
    <w:p>
      <w:pPr>
        <w:ind w:left="320" w:right="160" w:hanging="4"/>
        <w:spacing w:after="0" w:line="239" w:lineRule="auto"/>
        <w:tabs>
          <w:tab w:leader="none" w:pos="542" w:val="left"/>
        </w:tabs>
        <w:numPr>
          <w:ilvl w:val="0"/>
          <w:numId w:val="55"/>
        </w:numPr>
        <w:rPr>
          <w:rFonts w:ascii="Calibri" w:cs="Calibri" w:eastAsia="Calibri" w:hAnsi="Calibri"/>
          <w:sz w:val="17"/>
          <w:szCs w:val="17"/>
          <w:color w:val="auto"/>
        </w:rPr>
      </w:pPr>
      <w:r>
        <w:rPr>
          <w:rFonts w:ascii="Calibri" w:cs="Calibri" w:eastAsia="Calibri" w:hAnsi="Calibri"/>
          <w:sz w:val="17"/>
          <w:szCs w:val="17"/>
          <w:color w:val="auto"/>
        </w:rPr>
        <w:t>The Commitee will administer the Plan, unless otherwise required by Applicable Law or determined by the Board. The Board retains concurrent authority to administer the Plan. To the extent the Board administers the Plan, references herein to the Commitee shall be deemed to refer to the Board except where context dictates otherwise.</w:t>
      </w:r>
    </w:p>
    <w:p>
      <w:pPr>
        <w:spacing w:after="0" w:line="315" w:lineRule="exact"/>
        <w:rPr>
          <w:rFonts w:ascii="Calibri" w:cs="Calibri" w:eastAsia="Calibri" w:hAnsi="Calibri"/>
          <w:sz w:val="17"/>
          <w:szCs w:val="17"/>
          <w:color w:val="auto"/>
        </w:rPr>
      </w:pPr>
    </w:p>
    <w:p>
      <w:pPr>
        <w:ind w:left="540" w:hanging="224"/>
        <w:spacing w:after="0"/>
        <w:tabs>
          <w:tab w:leader="none" w:pos="540" w:val="left"/>
        </w:tabs>
        <w:numPr>
          <w:ilvl w:val="0"/>
          <w:numId w:val="55"/>
        </w:numPr>
        <w:rPr>
          <w:rFonts w:ascii="Calibri" w:cs="Calibri" w:eastAsia="Calibri" w:hAnsi="Calibri"/>
          <w:sz w:val="17"/>
          <w:szCs w:val="17"/>
          <w:color w:val="auto"/>
        </w:rPr>
      </w:pPr>
      <w:r>
        <w:rPr>
          <w:rFonts w:ascii="Calibri" w:cs="Calibri" w:eastAsia="Calibri" w:hAnsi="Calibri"/>
          <w:sz w:val="17"/>
          <w:szCs w:val="17"/>
          <w:color w:val="auto"/>
        </w:rPr>
        <w:t>The Commitee will have the power, subject to, and within the limitatons of, the express provisions of the Plan:</w:t>
      </w:r>
    </w:p>
    <w:p>
      <w:pPr>
        <w:spacing w:after="0" w:line="119" w:lineRule="exact"/>
        <w:rPr>
          <w:sz w:val="20"/>
          <w:szCs w:val="20"/>
          <w:color w:val="auto"/>
        </w:rPr>
      </w:pPr>
    </w:p>
    <w:p>
      <w:pPr>
        <w:ind w:left="740" w:right="260" w:hanging="424"/>
        <w:spacing w:after="0" w:line="239" w:lineRule="auto"/>
        <w:tabs>
          <w:tab w:leader="none" w:pos="740" w:val="left"/>
        </w:tabs>
        <w:numPr>
          <w:ilvl w:val="0"/>
          <w:numId w:val="56"/>
        </w:numPr>
        <w:rPr>
          <w:rFonts w:ascii="Calibri" w:cs="Calibri" w:eastAsia="Calibri" w:hAnsi="Calibri"/>
          <w:sz w:val="17"/>
          <w:szCs w:val="17"/>
          <w:color w:val="auto"/>
        </w:rPr>
      </w:pPr>
      <w:r>
        <w:rPr>
          <w:rFonts w:ascii="Calibri" w:cs="Calibri" w:eastAsia="Calibri" w:hAnsi="Calibri"/>
          <w:sz w:val="17"/>
          <w:szCs w:val="17"/>
          <w:color w:val="auto"/>
        </w:rPr>
        <w:t>To determine how and when Purchase Rights will be granted and the provisions of each Ofering (which need not be identcal), including, without limitaton, the determinaton of Ofering Dates, Purchase Dates and Purchase Periods.</w:t>
      </w:r>
    </w:p>
    <w:p>
      <w:pPr>
        <w:spacing w:after="0" w:line="120" w:lineRule="exact"/>
        <w:rPr>
          <w:rFonts w:ascii="Calibri" w:cs="Calibri" w:eastAsia="Calibri" w:hAnsi="Calibri"/>
          <w:sz w:val="17"/>
          <w:szCs w:val="17"/>
          <w:color w:val="auto"/>
        </w:rPr>
      </w:pPr>
    </w:p>
    <w:p>
      <w:pPr>
        <w:ind w:left="740" w:right="40" w:hanging="424"/>
        <w:spacing w:after="0" w:line="239" w:lineRule="auto"/>
        <w:tabs>
          <w:tab w:leader="none" w:pos="740" w:val="left"/>
        </w:tabs>
        <w:numPr>
          <w:ilvl w:val="0"/>
          <w:numId w:val="56"/>
        </w:numPr>
        <w:rPr>
          <w:rFonts w:ascii="Calibri" w:cs="Calibri" w:eastAsia="Calibri" w:hAnsi="Calibri"/>
          <w:sz w:val="17"/>
          <w:szCs w:val="17"/>
          <w:color w:val="auto"/>
        </w:rPr>
      </w:pPr>
      <w:r>
        <w:rPr>
          <w:rFonts w:ascii="Calibri" w:cs="Calibri" w:eastAsia="Calibri" w:hAnsi="Calibri"/>
          <w:sz w:val="17"/>
          <w:szCs w:val="17"/>
          <w:color w:val="auto"/>
        </w:rPr>
        <w:t>To designate from tme to tme (A) which Related Corporatons of the Company will be eligible to partcipate in the Plan and (B) in which Ofering the Related Corporatons will partcipate.</w:t>
      </w:r>
    </w:p>
    <w:p>
      <w:pPr>
        <w:spacing w:after="0" w:line="120" w:lineRule="exact"/>
        <w:rPr>
          <w:rFonts w:ascii="Calibri" w:cs="Calibri" w:eastAsia="Calibri" w:hAnsi="Calibri"/>
          <w:sz w:val="17"/>
          <w:szCs w:val="17"/>
          <w:color w:val="auto"/>
        </w:rPr>
      </w:pPr>
    </w:p>
    <w:p>
      <w:pPr>
        <w:ind w:left="740" w:right="440" w:hanging="424"/>
        <w:spacing w:after="0" w:line="239" w:lineRule="auto"/>
        <w:tabs>
          <w:tab w:leader="none" w:pos="740" w:val="left"/>
        </w:tabs>
        <w:numPr>
          <w:ilvl w:val="0"/>
          <w:numId w:val="56"/>
        </w:numPr>
        <w:rPr>
          <w:rFonts w:ascii="Calibri" w:cs="Calibri" w:eastAsia="Calibri" w:hAnsi="Calibri"/>
          <w:sz w:val="17"/>
          <w:szCs w:val="17"/>
          <w:color w:val="auto"/>
        </w:rPr>
      </w:pPr>
      <w:r>
        <w:rPr>
          <w:rFonts w:ascii="Calibri" w:cs="Calibri" w:eastAsia="Calibri" w:hAnsi="Calibri"/>
          <w:sz w:val="17"/>
          <w:szCs w:val="17"/>
          <w:color w:val="auto"/>
        </w:rPr>
        <w:t>To construe and interpret the Plan and Purchase Rights, and to establish, amend and revoke rules and regulatons for its administraton. The Commitee, in the exercise of this power, may correct any defect, omission or inconsistency in the Plan, in a manner and to the extent it deems necessary or expedient to make the Plan fully efectve.</w:t>
      </w:r>
    </w:p>
    <w:p>
      <w:pPr>
        <w:spacing w:after="0" w:line="120" w:lineRule="exact"/>
        <w:rPr>
          <w:rFonts w:ascii="Calibri" w:cs="Calibri" w:eastAsia="Calibri" w:hAnsi="Calibri"/>
          <w:sz w:val="17"/>
          <w:szCs w:val="17"/>
          <w:color w:val="auto"/>
        </w:rPr>
      </w:pPr>
    </w:p>
    <w:p>
      <w:pPr>
        <w:ind w:left="740" w:hanging="424"/>
        <w:spacing w:after="0"/>
        <w:tabs>
          <w:tab w:leader="none" w:pos="740" w:val="left"/>
        </w:tabs>
        <w:numPr>
          <w:ilvl w:val="0"/>
          <w:numId w:val="56"/>
        </w:numPr>
        <w:rPr>
          <w:rFonts w:ascii="Calibri" w:cs="Calibri" w:eastAsia="Calibri" w:hAnsi="Calibri"/>
          <w:sz w:val="17"/>
          <w:szCs w:val="17"/>
          <w:color w:val="auto"/>
        </w:rPr>
      </w:pPr>
      <w:r>
        <w:rPr>
          <w:rFonts w:ascii="Calibri" w:cs="Calibri" w:eastAsia="Calibri" w:hAnsi="Calibri"/>
          <w:sz w:val="17"/>
          <w:szCs w:val="17"/>
          <w:color w:val="auto"/>
        </w:rPr>
        <w:t>To setle all controversies regarding the Plan and Purchase Rights granted under the Plan.</w:t>
      </w:r>
    </w:p>
    <w:p>
      <w:pPr>
        <w:spacing w:after="0" w:line="117" w:lineRule="exact"/>
        <w:rPr>
          <w:rFonts w:ascii="Calibri" w:cs="Calibri" w:eastAsia="Calibri" w:hAnsi="Calibri"/>
          <w:sz w:val="17"/>
          <w:szCs w:val="17"/>
          <w:color w:val="auto"/>
        </w:rPr>
      </w:pPr>
    </w:p>
    <w:p>
      <w:pPr>
        <w:ind w:left="740" w:hanging="424"/>
        <w:spacing w:after="0"/>
        <w:tabs>
          <w:tab w:leader="none" w:pos="740" w:val="left"/>
        </w:tabs>
        <w:numPr>
          <w:ilvl w:val="0"/>
          <w:numId w:val="56"/>
        </w:numPr>
        <w:rPr>
          <w:rFonts w:ascii="Calibri" w:cs="Calibri" w:eastAsia="Calibri" w:hAnsi="Calibri"/>
          <w:sz w:val="17"/>
          <w:szCs w:val="17"/>
          <w:color w:val="auto"/>
        </w:rPr>
      </w:pPr>
      <w:r>
        <w:rPr>
          <w:rFonts w:ascii="Calibri" w:cs="Calibri" w:eastAsia="Calibri" w:hAnsi="Calibri"/>
          <w:sz w:val="17"/>
          <w:szCs w:val="17"/>
          <w:color w:val="auto"/>
        </w:rPr>
        <w:t>To suspend or terminate the Plan at any tme as provided in Secton 13.</w:t>
      </w:r>
    </w:p>
    <w:p>
      <w:pPr>
        <w:spacing w:after="0" w:line="117" w:lineRule="exact"/>
        <w:rPr>
          <w:rFonts w:ascii="Calibri" w:cs="Calibri" w:eastAsia="Calibri" w:hAnsi="Calibri"/>
          <w:sz w:val="17"/>
          <w:szCs w:val="17"/>
          <w:color w:val="auto"/>
        </w:rPr>
      </w:pPr>
    </w:p>
    <w:p>
      <w:pPr>
        <w:ind w:left="740" w:hanging="424"/>
        <w:spacing w:after="0"/>
        <w:tabs>
          <w:tab w:leader="none" w:pos="740" w:val="left"/>
        </w:tabs>
        <w:numPr>
          <w:ilvl w:val="0"/>
          <w:numId w:val="56"/>
        </w:numPr>
        <w:rPr>
          <w:rFonts w:ascii="Calibri" w:cs="Calibri" w:eastAsia="Calibri" w:hAnsi="Calibri"/>
          <w:sz w:val="17"/>
          <w:szCs w:val="17"/>
          <w:color w:val="auto"/>
        </w:rPr>
      </w:pPr>
      <w:r>
        <w:rPr>
          <w:rFonts w:ascii="Calibri" w:cs="Calibri" w:eastAsia="Calibri" w:hAnsi="Calibri"/>
          <w:sz w:val="17"/>
          <w:szCs w:val="17"/>
          <w:color w:val="auto"/>
        </w:rPr>
        <w:t>To amend the Plan at any tme as provided in Secton 13.</w:t>
      </w:r>
    </w:p>
    <w:p>
      <w:pPr>
        <w:spacing w:after="0" w:line="127"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129</w:t>
            </w:r>
          </w:p>
        </w:tc>
      </w:tr>
    </w:tbl>
    <w:p>
      <w:pPr>
        <w:sectPr>
          <w:pgSz w:w="11900" w:h="16838" w:orient="portrait"/>
          <w:cols w:equalWidth="0" w:num="1">
            <w:col w:w="10940"/>
          </w:cols>
          <w:pgMar w:left="320" w:top="445" w:right="6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Annex A</w:t>
      </w:r>
    </w:p>
    <w:p>
      <w:pPr>
        <w:spacing w:after="0" w:line="140" w:lineRule="exact"/>
        <w:rPr>
          <w:sz w:val="20"/>
          <w:szCs w:val="20"/>
          <w:color w:val="auto"/>
        </w:rPr>
      </w:pPr>
    </w:p>
    <w:p>
      <w:pPr>
        <w:ind w:left="740" w:right="160" w:hanging="424"/>
        <w:spacing w:after="0" w:line="239" w:lineRule="auto"/>
        <w:tabs>
          <w:tab w:leader="none" w:pos="740" w:val="left"/>
        </w:tabs>
        <w:numPr>
          <w:ilvl w:val="0"/>
          <w:numId w:val="57"/>
        </w:numPr>
        <w:rPr>
          <w:rFonts w:ascii="Calibri" w:cs="Calibri" w:eastAsia="Calibri" w:hAnsi="Calibri"/>
          <w:sz w:val="17"/>
          <w:szCs w:val="17"/>
          <w:color w:val="auto"/>
        </w:rPr>
      </w:pPr>
      <w:r>
        <w:rPr>
          <w:rFonts w:ascii="Calibri" w:cs="Calibri" w:eastAsia="Calibri" w:hAnsi="Calibri"/>
          <w:sz w:val="17"/>
          <w:szCs w:val="17"/>
          <w:color w:val="auto"/>
        </w:rPr>
        <w:t>Generally, to exercise such powers and to perform such acts as it deems necessary or expedient to promote the best interests of the Company and its Related Corporatons and to carry out the intent that the Plan be treated as an Employee Stock Purchase Plan where applicable.</w:t>
      </w:r>
    </w:p>
    <w:p>
      <w:pPr>
        <w:spacing w:after="0" w:line="120" w:lineRule="exact"/>
        <w:rPr>
          <w:rFonts w:ascii="Calibri" w:cs="Calibri" w:eastAsia="Calibri" w:hAnsi="Calibri"/>
          <w:sz w:val="17"/>
          <w:szCs w:val="17"/>
          <w:color w:val="auto"/>
        </w:rPr>
      </w:pPr>
    </w:p>
    <w:p>
      <w:pPr>
        <w:ind w:left="740" w:right="100" w:hanging="424"/>
        <w:spacing w:after="0"/>
        <w:tabs>
          <w:tab w:leader="none" w:pos="740" w:val="left"/>
        </w:tabs>
        <w:numPr>
          <w:ilvl w:val="0"/>
          <w:numId w:val="57"/>
        </w:numPr>
        <w:rPr>
          <w:rFonts w:ascii="Calibri" w:cs="Calibri" w:eastAsia="Calibri" w:hAnsi="Calibri"/>
          <w:sz w:val="17"/>
          <w:szCs w:val="17"/>
          <w:color w:val="auto"/>
        </w:rPr>
      </w:pPr>
      <w:r>
        <w:rPr>
          <w:rFonts w:ascii="Calibri" w:cs="Calibri" w:eastAsia="Calibri" w:hAnsi="Calibri"/>
          <w:sz w:val="17"/>
          <w:szCs w:val="17"/>
          <w:color w:val="auto"/>
        </w:rPr>
        <w:t>To adopt such procedures and sub-plans as are necessary or appropriate to permit partcipaton in the Plan by Employees who are foreign natonals or employed outside the United States. Without limitng the generality of, and consistent with, the foregoing, the Commitee specifcally is authorized to adopt rules, procedures, and sub-plans regarding, without limitaton, eligibility to partcipate in the Plan, the defniton of eligible “compensaton,” handling and making of Contributons, establishment of bank or trust accounts to hold Contributons, payment of interest, conversion of local currency, obligatons to pay payroll tax, determinaton of benefciary designaton requirements, withholding procedures and handling of share issuances, any of which may vary according to applicable requirements.</w:t>
      </w:r>
    </w:p>
    <w:p>
      <w:pPr>
        <w:spacing w:after="0" w:line="316" w:lineRule="exact"/>
        <w:rPr>
          <w:sz w:val="20"/>
          <w:szCs w:val="20"/>
          <w:color w:val="auto"/>
        </w:rPr>
      </w:pPr>
    </w:p>
    <w:p>
      <w:pPr>
        <w:ind w:left="320" w:right="60" w:hanging="4"/>
        <w:spacing w:after="0"/>
        <w:tabs>
          <w:tab w:leader="none" w:pos="532" w:val="left"/>
        </w:tabs>
        <w:numPr>
          <w:ilvl w:val="0"/>
          <w:numId w:val="58"/>
        </w:numPr>
        <w:rPr>
          <w:rFonts w:ascii="Calibri" w:cs="Calibri" w:eastAsia="Calibri" w:hAnsi="Calibri"/>
          <w:sz w:val="17"/>
          <w:szCs w:val="17"/>
          <w:color w:val="auto"/>
        </w:rPr>
      </w:pPr>
      <w:r>
        <w:rPr>
          <w:rFonts w:ascii="Calibri" w:cs="Calibri" w:eastAsia="Calibri" w:hAnsi="Calibri"/>
          <w:sz w:val="17"/>
          <w:szCs w:val="17"/>
          <w:color w:val="auto"/>
        </w:rPr>
        <w:t>The Commitee will have the power to delegate to a subcommitee or the Chairperson of the Commitee any of the administratve powers the Commitee is authorized to exercise (and references to the Commitee in this Plan and in any applicable Ofering Document will thereafer be to such subcommitee, as applicable, except where context dictates otherwise), subject, however, to such resolutons, not inconsistent with the provisions of the Plan, as may be adopted from tme to tme. The Commitee will have the fnal power to determine all questons of policy and expediency that may arise in the administraton of the Plan.</w:t>
      </w:r>
    </w:p>
    <w:p>
      <w:pPr>
        <w:spacing w:after="0" w:line="315" w:lineRule="exact"/>
        <w:rPr>
          <w:rFonts w:ascii="Calibri" w:cs="Calibri" w:eastAsia="Calibri" w:hAnsi="Calibri"/>
          <w:sz w:val="17"/>
          <w:szCs w:val="17"/>
          <w:color w:val="auto"/>
        </w:rPr>
      </w:pPr>
    </w:p>
    <w:p>
      <w:pPr>
        <w:ind w:left="320" w:hanging="4"/>
        <w:spacing w:after="0" w:line="239" w:lineRule="auto"/>
        <w:tabs>
          <w:tab w:leader="none" w:pos="550" w:val="left"/>
        </w:tabs>
        <w:numPr>
          <w:ilvl w:val="0"/>
          <w:numId w:val="58"/>
        </w:numPr>
        <w:rPr>
          <w:rFonts w:ascii="Calibri" w:cs="Calibri" w:eastAsia="Calibri" w:hAnsi="Calibri"/>
          <w:sz w:val="17"/>
          <w:szCs w:val="17"/>
          <w:color w:val="auto"/>
        </w:rPr>
      </w:pPr>
      <w:r>
        <w:rPr>
          <w:rFonts w:ascii="Calibri" w:cs="Calibri" w:eastAsia="Calibri" w:hAnsi="Calibri"/>
          <w:sz w:val="17"/>
          <w:szCs w:val="17"/>
          <w:color w:val="auto"/>
        </w:rPr>
        <w:t>All determinatons, interpretatons and constructons made by the Commitee in good faith will not be subject to review by any person and will be fnal, binding and conclusive on all persons.</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3. COMMON STOCK SUBJECT TO THE PLAN.</w:t>
      </w:r>
    </w:p>
    <w:p>
      <w:pPr>
        <w:spacing w:after="0" w:line="114" w:lineRule="exact"/>
        <w:rPr>
          <w:sz w:val="20"/>
          <w:szCs w:val="20"/>
          <w:color w:val="auto"/>
        </w:rPr>
      </w:pPr>
    </w:p>
    <w:p>
      <w:pPr>
        <w:ind w:left="320" w:right="100" w:hanging="4"/>
        <w:spacing w:after="0" w:line="239" w:lineRule="auto"/>
        <w:tabs>
          <w:tab w:leader="none" w:pos="542" w:val="left"/>
        </w:tabs>
        <w:numPr>
          <w:ilvl w:val="0"/>
          <w:numId w:val="59"/>
        </w:numPr>
        <w:rPr>
          <w:rFonts w:ascii="Calibri" w:cs="Calibri" w:eastAsia="Calibri" w:hAnsi="Calibri"/>
          <w:sz w:val="17"/>
          <w:szCs w:val="17"/>
          <w:color w:val="auto"/>
        </w:rPr>
      </w:pPr>
      <w:r>
        <w:rPr>
          <w:rFonts w:ascii="Calibri" w:cs="Calibri" w:eastAsia="Calibri" w:hAnsi="Calibri"/>
          <w:sz w:val="17"/>
          <w:szCs w:val="17"/>
          <w:color w:val="auto"/>
        </w:rPr>
        <w:t>Subject to the provisions of Secton 11(a) relatng to Capitalizaton Adjustments, the maximum number of shares of Common Stock that may be issued under the Plan will not exceed 800,000 shares of Common Stock.</w:t>
      </w:r>
    </w:p>
    <w:p>
      <w:pPr>
        <w:spacing w:after="0" w:line="315" w:lineRule="exact"/>
        <w:rPr>
          <w:rFonts w:ascii="Calibri" w:cs="Calibri" w:eastAsia="Calibri" w:hAnsi="Calibri"/>
          <w:sz w:val="17"/>
          <w:szCs w:val="17"/>
          <w:color w:val="auto"/>
        </w:rPr>
      </w:pPr>
    </w:p>
    <w:p>
      <w:pPr>
        <w:ind w:left="320" w:right="120" w:hanging="4"/>
        <w:spacing w:after="0" w:line="239" w:lineRule="auto"/>
        <w:tabs>
          <w:tab w:leader="none" w:pos="550" w:val="left"/>
        </w:tabs>
        <w:numPr>
          <w:ilvl w:val="0"/>
          <w:numId w:val="59"/>
        </w:numPr>
        <w:rPr>
          <w:rFonts w:ascii="Calibri" w:cs="Calibri" w:eastAsia="Calibri" w:hAnsi="Calibri"/>
          <w:sz w:val="17"/>
          <w:szCs w:val="17"/>
          <w:color w:val="auto"/>
        </w:rPr>
      </w:pPr>
      <w:r>
        <w:rPr>
          <w:rFonts w:ascii="Calibri" w:cs="Calibri" w:eastAsia="Calibri" w:hAnsi="Calibri"/>
          <w:sz w:val="17"/>
          <w:szCs w:val="17"/>
          <w:color w:val="auto"/>
        </w:rPr>
        <w:t>If any Purchase Right granted under the Plan terminates without having been exercised in full, the Common Stock not purchased under such Purchase Right will again become available for issuance under the Plan.</w:t>
      </w:r>
    </w:p>
    <w:p>
      <w:pPr>
        <w:spacing w:after="0" w:line="315" w:lineRule="exact"/>
        <w:rPr>
          <w:rFonts w:ascii="Calibri" w:cs="Calibri" w:eastAsia="Calibri" w:hAnsi="Calibri"/>
          <w:sz w:val="17"/>
          <w:szCs w:val="17"/>
          <w:color w:val="auto"/>
        </w:rPr>
      </w:pPr>
    </w:p>
    <w:p>
      <w:pPr>
        <w:ind w:left="320" w:right="360" w:hanging="4"/>
        <w:spacing w:after="0" w:line="239" w:lineRule="auto"/>
        <w:tabs>
          <w:tab w:leader="none" w:pos="532" w:val="left"/>
        </w:tabs>
        <w:numPr>
          <w:ilvl w:val="0"/>
          <w:numId w:val="59"/>
        </w:numPr>
        <w:rPr>
          <w:rFonts w:ascii="Calibri" w:cs="Calibri" w:eastAsia="Calibri" w:hAnsi="Calibri"/>
          <w:sz w:val="17"/>
          <w:szCs w:val="17"/>
          <w:color w:val="auto"/>
        </w:rPr>
      </w:pPr>
      <w:r>
        <w:rPr>
          <w:rFonts w:ascii="Calibri" w:cs="Calibri" w:eastAsia="Calibri" w:hAnsi="Calibri"/>
          <w:sz w:val="17"/>
          <w:szCs w:val="17"/>
          <w:color w:val="auto"/>
        </w:rPr>
        <w:t>The shares purchasable under the Plan will be authorized but unissued or reacquired Common Stock, including Common Stock repurchased by the Company on the open market or otherwise, in accordance with Applicable Law.</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4. GRANT OF PURCHASE RIGHTS; OFFERING.</w:t>
      </w:r>
    </w:p>
    <w:p>
      <w:pPr>
        <w:spacing w:after="0" w:line="114"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The Commitee may from tme to tme grant or provide for the grant of Purchase Rights to Eligible Employees under an Ofering (consistng of one or more Purchase Periods) on an Ofering Date or Ofering Dates selected by the Commitee. Each Ofering will be in such form and will contain such terms and conditons as the Commitee will deem appropriate, and will comply with Applicable Law and ensure that all Eligible Employees granted Purchase Rights will have the same rights and privileges. The terms and conditons of an Ofering shall be incorporated by reference into the Plan and treated as part of the Plan. The provisions of separate Oferings need not be identcal, but each Ofering will include (through incorporaton of the provisions of this Plan by</w:t>
      </w:r>
    </w:p>
    <w:p>
      <w:pPr>
        <w:spacing w:after="0" w:line="128"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130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20"/>
          </w:cols>
          <w:pgMar w:left="320" w:top="445" w:right="6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Annex A</w:t>
      </w:r>
    </w:p>
    <w:p>
      <w:pPr>
        <w:spacing w:after="0" w:line="140" w:lineRule="exact"/>
        <w:rPr>
          <w:sz w:val="20"/>
          <w:szCs w:val="20"/>
          <w:color w:val="auto"/>
        </w:rPr>
      </w:pPr>
    </w:p>
    <w:p>
      <w:pPr>
        <w:ind w:left="320" w:right="260"/>
        <w:spacing w:after="0" w:line="239" w:lineRule="auto"/>
        <w:rPr>
          <w:sz w:val="20"/>
          <w:szCs w:val="20"/>
          <w:color w:val="auto"/>
        </w:rPr>
      </w:pPr>
      <w:r>
        <w:rPr>
          <w:rFonts w:ascii="Calibri" w:cs="Calibri" w:eastAsia="Calibri" w:hAnsi="Calibri"/>
          <w:sz w:val="17"/>
          <w:szCs w:val="17"/>
          <w:color w:val="auto"/>
        </w:rPr>
        <w:t>reference in the document comprising the Ofering or otherwise) the period during which the Ofering will be efectve, which period will not exceed 12 months beginning with the Ofering Date, and the substance of the provisions contained in Sectons 5 through 8, inclusive.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5. ELIGIBILITY.</w:t>
      </w:r>
    </w:p>
    <w:p>
      <w:pPr>
        <w:spacing w:after="0" w:line="114" w:lineRule="exact"/>
        <w:rPr>
          <w:sz w:val="20"/>
          <w:szCs w:val="20"/>
          <w:color w:val="auto"/>
        </w:rPr>
      </w:pPr>
    </w:p>
    <w:p>
      <w:pPr>
        <w:ind w:left="320" w:right="60" w:hanging="4"/>
        <w:spacing w:after="0"/>
        <w:tabs>
          <w:tab w:leader="none" w:pos="542" w:val="left"/>
        </w:tabs>
        <w:numPr>
          <w:ilvl w:val="0"/>
          <w:numId w:val="60"/>
        </w:numPr>
        <w:rPr>
          <w:rFonts w:ascii="Calibri" w:cs="Calibri" w:eastAsia="Calibri" w:hAnsi="Calibri"/>
          <w:sz w:val="17"/>
          <w:szCs w:val="17"/>
          <w:color w:val="auto"/>
        </w:rPr>
      </w:pPr>
      <w:r>
        <w:rPr>
          <w:rFonts w:ascii="Calibri" w:cs="Calibri" w:eastAsia="Calibri" w:hAnsi="Calibri"/>
          <w:sz w:val="17"/>
          <w:szCs w:val="17"/>
          <w:color w:val="auto"/>
        </w:rPr>
        <w:t>Purchase Rights may be granted only to Employees of the Company or, as the Commitee may designate in accordance with Secton 2(b), to Employees of a Related Corporaton. Except as provided in Secton 5(b) or as required by Applicable Law, an Employee will not be eligible to be granted Purchase Rights unless, on the Ofering Date, the Employee has been in the employ of the Company or the Related Corporaton, as the case may be, for such contnuous period preceding such Ofering Date as the Commitee may require, but in no event will the required period of contnuous employment be equal to or greater than two years. In additon, the Commitee may provide that no Employee will be eligible to be granted Purchase Rights under the Plan unless, on the Ofering Date, such Employee’s customary employment with the Company or the Related Corporaton is more than 20 hours per week and more than fve months per calendar year or such other criteria as the Commitee may determine consistent with Secton 423 of the Code. Unless otherwise specifed in the Ofering, an Employee must be employed with the Company or, as the Commitee may designate in accordance with</w:t>
      </w:r>
    </w:p>
    <w:p>
      <w:pPr>
        <w:spacing w:after="0" w:line="3" w:lineRule="exact"/>
        <w:rPr>
          <w:rFonts w:ascii="Calibri" w:cs="Calibri" w:eastAsia="Calibri" w:hAnsi="Calibri"/>
          <w:sz w:val="17"/>
          <w:szCs w:val="17"/>
          <w:color w:val="auto"/>
        </w:rPr>
      </w:pPr>
    </w:p>
    <w:p>
      <w:pPr>
        <w:ind w:left="320"/>
        <w:spacing w:after="0"/>
        <w:rPr>
          <w:rFonts w:ascii="Calibri" w:cs="Calibri" w:eastAsia="Calibri" w:hAnsi="Calibri"/>
          <w:sz w:val="17"/>
          <w:szCs w:val="17"/>
          <w:color w:val="auto"/>
        </w:rPr>
      </w:pPr>
      <w:r>
        <w:rPr>
          <w:rFonts w:ascii="Calibri" w:cs="Calibri" w:eastAsia="Calibri" w:hAnsi="Calibri"/>
          <w:sz w:val="17"/>
          <w:szCs w:val="17"/>
          <w:color w:val="auto"/>
        </w:rPr>
        <w:t>Secton 2(b), a Related Corporaton in good standing to be eligible to be granted Purchase Rights.</w:t>
      </w:r>
    </w:p>
    <w:p>
      <w:pPr>
        <w:spacing w:after="0" w:line="314" w:lineRule="exact"/>
        <w:rPr>
          <w:rFonts w:ascii="Calibri" w:cs="Calibri" w:eastAsia="Calibri" w:hAnsi="Calibri"/>
          <w:sz w:val="17"/>
          <w:szCs w:val="17"/>
          <w:color w:val="auto"/>
        </w:rPr>
      </w:pPr>
    </w:p>
    <w:p>
      <w:pPr>
        <w:ind w:left="320" w:right="100" w:hanging="4"/>
        <w:spacing w:after="0"/>
        <w:tabs>
          <w:tab w:leader="none" w:pos="550" w:val="left"/>
        </w:tabs>
        <w:numPr>
          <w:ilvl w:val="0"/>
          <w:numId w:val="60"/>
        </w:numPr>
        <w:rPr>
          <w:rFonts w:ascii="Calibri" w:cs="Calibri" w:eastAsia="Calibri" w:hAnsi="Calibri"/>
          <w:sz w:val="17"/>
          <w:szCs w:val="17"/>
          <w:color w:val="auto"/>
        </w:rPr>
      </w:pPr>
      <w:r>
        <w:rPr>
          <w:rFonts w:ascii="Calibri" w:cs="Calibri" w:eastAsia="Calibri" w:hAnsi="Calibri"/>
          <w:sz w:val="17"/>
          <w:szCs w:val="17"/>
          <w:color w:val="auto"/>
        </w:rPr>
        <w:t>The Commitee may provide that each person who, during the course of an Ofering, frst becomes an Eligible Employee will, on a date or dates specifed in the Ofering which coincides with the day on which such person becomes an Eligible Employee, or which occurs thereafer, receive a Purchase Right under that Ofering, which Purchase Right will thereafer be deemed to be a part of that Ofering. Such Purchase Right will have the same characteristcs as any Purchase Rights originally granted under that Ofering, as described herein, except that:</w:t>
      </w:r>
    </w:p>
    <w:p>
      <w:pPr>
        <w:spacing w:after="0" w:line="120" w:lineRule="exact"/>
        <w:rPr>
          <w:sz w:val="20"/>
          <w:szCs w:val="20"/>
          <w:color w:val="auto"/>
        </w:rPr>
      </w:pPr>
    </w:p>
    <w:p>
      <w:pPr>
        <w:ind w:left="740" w:right="140" w:hanging="424"/>
        <w:spacing w:after="0" w:line="239" w:lineRule="auto"/>
        <w:tabs>
          <w:tab w:leader="none" w:pos="740" w:val="left"/>
        </w:tabs>
        <w:numPr>
          <w:ilvl w:val="0"/>
          <w:numId w:val="61"/>
        </w:numPr>
        <w:rPr>
          <w:rFonts w:ascii="Calibri" w:cs="Calibri" w:eastAsia="Calibri" w:hAnsi="Calibri"/>
          <w:sz w:val="17"/>
          <w:szCs w:val="17"/>
          <w:color w:val="auto"/>
        </w:rPr>
      </w:pPr>
      <w:r>
        <w:rPr>
          <w:rFonts w:ascii="Calibri" w:cs="Calibri" w:eastAsia="Calibri" w:hAnsi="Calibri"/>
          <w:sz w:val="17"/>
          <w:szCs w:val="17"/>
          <w:color w:val="auto"/>
        </w:rPr>
        <w:t>the date on which such Purchase Right is granted will be the “Ofering Date” of such Purchase Right for all purposes, including determinaton of the exercise price of such Purchase Right;</w:t>
      </w:r>
    </w:p>
    <w:p>
      <w:pPr>
        <w:spacing w:after="0" w:line="118" w:lineRule="exact"/>
        <w:rPr>
          <w:rFonts w:ascii="Calibri" w:cs="Calibri" w:eastAsia="Calibri" w:hAnsi="Calibri"/>
          <w:sz w:val="17"/>
          <w:szCs w:val="17"/>
          <w:color w:val="auto"/>
        </w:rPr>
      </w:pPr>
    </w:p>
    <w:p>
      <w:pPr>
        <w:ind w:left="740" w:hanging="424"/>
        <w:spacing w:after="0"/>
        <w:tabs>
          <w:tab w:leader="none" w:pos="740" w:val="left"/>
        </w:tabs>
        <w:numPr>
          <w:ilvl w:val="0"/>
          <w:numId w:val="61"/>
        </w:numPr>
        <w:rPr>
          <w:rFonts w:ascii="Calibri" w:cs="Calibri" w:eastAsia="Calibri" w:hAnsi="Calibri"/>
          <w:sz w:val="17"/>
          <w:szCs w:val="17"/>
          <w:color w:val="auto"/>
        </w:rPr>
      </w:pPr>
      <w:r>
        <w:rPr>
          <w:rFonts w:ascii="Calibri" w:cs="Calibri" w:eastAsia="Calibri" w:hAnsi="Calibri"/>
          <w:sz w:val="17"/>
          <w:szCs w:val="17"/>
          <w:color w:val="auto"/>
        </w:rPr>
        <w:t>the period of the Ofering with respect to such Purchase Right will begin on its Ofering Date and end coincident with the end of such Ofering; and</w:t>
      </w:r>
    </w:p>
    <w:p>
      <w:pPr>
        <w:spacing w:after="0" w:line="119" w:lineRule="exact"/>
        <w:rPr>
          <w:rFonts w:ascii="Calibri" w:cs="Calibri" w:eastAsia="Calibri" w:hAnsi="Calibri"/>
          <w:sz w:val="17"/>
          <w:szCs w:val="17"/>
          <w:color w:val="auto"/>
        </w:rPr>
      </w:pPr>
    </w:p>
    <w:p>
      <w:pPr>
        <w:ind w:left="740" w:right="160" w:hanging="424"/>
        <w:spacing w:after="0" w:line="239" w:lineRule="auto"/>
        <w:tabs>
          <w:tab w:leader="none" w:pos="740" w:val="left"/>
        </w:tabs>
        <w:numPr>
          <w:ilvl w:val="0"/>
          <w:numId w:val="61"/>
        </w:numPr>
        <w:rPr>
          <w:rFonts w:ascii="Calibri" w:cs="Calibri" w:eastAsia="Calibri" w:hAnsi="Calibri"/>
          <w:sz w:val="17"/>
          <w:szCs w:val="17"/>
          <w:color w:val="auto"/>
        </w:rPr>
      </w:pPr>
      <w:r>
        <w:rPr>
          <w:rFonts w:ascii="Calibri" w:cs="Calibri" w:eastAsia="Calibri" w:hAnsi="Calibri"/>
          <w:sz w:val="17"/>
          <w:szCs w:val="17"/>
          <w:color w:val="auto"/>
        </w:rPr>
        <w:t>the Commitee may provide that if such person frst becomes an Eligible Employee within a specifed period of tme before the end of the Ofering, he or she will not receive any Purchase Right under that Ofering.</w:t>
      </w:r>
    </w:p>
    <w:p>
      <w:pPr>
        <w:spacing w:after="0" w:line="314" w:lineRule="exact"/>
        <w:rPr>
          <w:sz w:val="20"/>
          <w:szCs w:val="20"/>
          <w:color w:val="auto"/>
        </w:rPr>
      </w:pPr>
    </w:p>
    <w:p>
      <w:pPr>
        <w:ind w:left="520" w:hanging="204"/>
        <w:spacing w:after="0"/>
        <w:tabs>
          <w:tab w:leader="none" w:pos="520" w:val="left"/>
        </w:tabs>
        <w:numPr>
          <w:ilvl w:val="0"/>
          <w:numId w:val="62"/>
        </w:numPr>
        <w:rPr>
          <w:rFonts w:ascii="Calibri" w:cs="Calibri" w:eastAsia="Calibri" w:hAnsi="Calibri"/>
          <w:sz w:val="17"/>
          <w:szCs w:val="17"/>
          <w:color w:val="auto"/>
        </w:rPr>
      </w:pPr>
      <w:r>
        <w:rPr>
          <w:rFonts w:ascii="Calibri" w:cs="Calibri" w:eastAsia="Calibri" w:hAnsi="Calibri"/>
          <w:sz w:val="17"/>
          <w:szCs w:val="17"/>
          <w:color w:val="auto"/>
        </w:rPr>
        <w:t>No Employee will be eligible for the grant of any Purchase Rights if, immediately afer any such Purchase Rights are granted, such Employee owns</w:t>
      </w:r>
    </w:p>
    <w:p>
      <w:pPr>
        <w:spacing w:after="0" w:line="2" w:lineRule="exact"/>
        <w:rPr>
          <w:rFonts w:ascii="Calibri" w:cs="Calibri" w:eastAsia="Calibri" w:hAnsi="Calibri"/>
          <w:sz w:val="17"/>
          <w:szCs w:val="17"/>
          <w:color w:val="auto"/>
        </w:rPr>
      </w:pPr>
    </w:p>
    <w:p>
      <w:pPr>
        <w:ind w:left="320" w:right="260"/>
        <w:spacing w:after="0" w:line="239" w:lineRule="auto"/>
        <w:rPr>
          <w:rFonts w:ascii="Calibri" w:cs="Calibri" w:eastAsia="Calibri" w:hAnsi="Calibri"/>
          <w:sz w:val="17"/>
          <w:szCs w:val="17"/>
          <w:color w:val="auto"/>
        </w:rPr>
      </w:pPr>
      <w:r>
        <w:rPr>
          <w:rFonts w:ascii="Calibri" w:cs="Calibri" w:eastAsia="Calibri" w:hAnsi="Calibri"/>
          <w:sz w:val="17"/>
          <w:szCs w:val="17"/>
          <w:color w:val="auto"/>
        </w:rPr>
        <w:t>shares possessing 5% or more of the total combined votng power or value of all classes of all shares of the Company or of any Related Corporaton. For purposes of this Secton 5(c), the rules of Secton 424(d) of the Code will apply in determining the share ownership of any Employee, and shares which such Employee may purchase under all outstanding Purchase Rights and optons will be treated as shares owned by such Employee.</w:t>
      </w:r>
    </w:p>
    <w:p>
      <w:pPr>
        <w:spacing w:after="0" w:line="316" w:lineRule="exact"/>
        <w:rPr>
          <w:rFonts w:ascii="Calibri" w:cs="Calibri" w:eastAsia="Calibri" w:hAnsi="Calibri"/>
          <w:sz w:val="17"/>
          <w:szCs w:val="17"/>
          <w:color w:val="auto"/>
        </w:rPr>
      </w:pPr>
    </w:p>
    <w:p>
      <w:pPr>
        <w:ind w:left="320" w:right="80" w:hanging="4"/>
        <w:spacing w:after="0" w:line="239" w:lineRule="auto"/>
        <w:tabs>
          <w:tab w:leader="none" w:pos="550" w:val="left"/>
        </w:tabs>
        <w:numPr>
          <w:ilvl w:val="0"/>
          <w:numId w:val="62"/>
        </w:numPr>
        <w:rPr>
          <w:rFonts w:ascii="Calibri" w:cs="Calibri" w:eastAsia="Calibri" w:hAnsi="Calibri"/>
          <w:sz w:val="17"/>
          <w:szCs w:val="17"/>
          <w:color w:val="auto"/>
        </w:rPr>
      </w:pPr>
      <w:r>
        <w:rPr>
          <w:rFonts w:ascii="Calibri" w:cs="Calibri" w:eastAsia="Calibri" w:hAnsi="Calibri"/>
          <w:sz w:val="17"/>
          <w:szCs w:val="17"/>
          <w:color w:val="auto"/>
        </w:rPr>
        <w:t>As specifed by Secton 423(b)(8) of the Code, an Eligible Employee may be granted Purchase Rights only if such Purchase Rights, together with any other rights granted under all Employee Stock Purchase Plans of the Company and any Related Corporatons, do not permit such Eligible Employee’s rights to purchase shares of the Company or any Related Corporaton to</w:t>
      </w:r>
    </w:p>
    <w:p>
      <w:pPr>
        <w:spacing w:after="0" w:line="129"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131</w:t>
            </w:r>
          </w:p>
        </w:tc>
      </w:tr>
    </w:tbl>
    <w:p>
      <w:pPr>
        <w:sectPr>
          <w:pgSz w:w="11900" w:h="16838" w:orient="portrait"/>
          <w:cols w:equalWidth="0" w:num="1">
            <w:col w:w="10940"/>
          </w:cols>
          <w:pgMar w:left="320" w:top="445" w:right="6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Annex A</w:t>
      </w:r>
    </w:p>
    <w:p>
      <w:pPr>
        <w:spacing w:after="0" w:line="140" w:lineRule="exact"/>
        <w:rPr>
          <w:sz w:val="20"/>
          <w:szCs w:val="20"/>
          <w:color w:val="auto"/>
        </w:rPr>
      </w:pPr>
    </w:p>
    <w:p>
      <w:pPr>
        <w:ind w:left="320"/>
        <w:spacing w:after="0" w:line="239" w:lineRule="auto"/>
        <w:rPr>
          <w:sz w:val="20"/>
          <w:szCs w:val="20"/>
          <w:color w:val="auto"/>
        </w:rPr>
      </w:pPr>
      <w:r>
        <w:rPr>
          <w:rFonts w:ascii="Calibri" w:cs="Calibri" w:eastAsia="Calibri" w:hAnsi="Calibri"/>
          <w:sz w:val="17"/>
          <w:szCs w:val="17"/>
          <w:color w:val="auto"/>
        </w:rPr>
        <w:t>accrue at a rate which, when aggregated, exceeds U.S. $25,000 of Fair Market Value of such shares (determined at the tme such rights are granted, and which, with respect to the Plan, will be determined as of their respectve Ofering Dates) for each calendar year in which such rights are outstanding at any tme.</w:t>
      </w:r>
    </w:p>
    <w:p>
      <w:pPr>
        <w:spacing w:after="0" w:line="317" w:lineRule="exact"/>
        <w:rPr>
          <w:sz w:val="20"/>
          <w:szCs w:val="20"/>
          <w:color w:val="auto"/>
        </w:rPr>
      </w:pPr>
    </w:p>
    <w:p>
      <w:pPr>
        <w:ind w:left="320" w:right="40" w:hanging="4"/>
        <w:spacing w:after="0" w:line="239" w:lineRule="auto"/>
        <w:tabs>
          <w:tab w:leader="none" w:pos="545" w:val="left"/>
        </w:tabs>
        <w:numPr>
          <w:ilvl w:val="0"/>
          <w:numId w:val="63"/>
        </w:numPr>
        <w:rPr>
          <w:rFonts w:ascii="Calibri" w:cs="Calibri" w:eastAsia="Calibri" w:hAnsi="Calibri"/>
          <w:sz w:val="17"/>
          <w:szCs w:val="17"/>
          <w:color w:val="auto"/>
        </w:rPr>
      </w:pPr>
      <w:r>
        <w:rPr>
          <w:rFonts w:ascii="Calibri" w:cs="Calibri" w:eastAsia="Calibri" w:hAnsi="Calibri"/>
          <w:sz w:val="17"/>
          <w:szCs w:val="17"/>
          <w:color w:val="auto"/>
        </w:rPr>
        <w:t>Ofcers of the Company and any designated Related Corporaton, if they are otherwise Eligible Employees, will be eligible to partcipate in Oferings under the Plan. Notwithstanding the foregoing, the Commitee may provide in an Ofering that Employees who are highly compensated Employees within the meaning of Secton 423(b)(4)(D) of the Code will not be eligible to partcipate.</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6. PURCHASE RIGHTS; PURCHASE PRICE.</w:t>
      </w:r>
    </w:p>
    <w:p>
      <w:pPr>
        <w:spacing w:after="0" w:line="114" w:lineRule="exact"/>
        <w:rPr>
          <w:sz w:val="20"/>
          <w:szCs w:val="20"/>
          <w:color w:val="auto"/>
        </w:rPr>
      </w:pPr>
    </w:p>
    <w:p>
      <w:pPr>
        <w:ind w:left="320" w:right="80" w:hanging="4"/>
        <w:spacing w:after="0"/>
        <w:tabs>
          <w:tab w:leader="none" w:pos="542" w:val="left"/>
        </w:tabs>
        <w:numPr>
          <w:ilvl w:val="0"/>
          <w:numId w:val="64"/>
        </w:numPr>
        <w:rPr>
          <w:rFonts w:ascii="Calibri" w:cs="Calibri" w:eastAsia="Calibri" w:hAnsi="Calibri"/>
          <w:sz w:val="17"/>
          <w:szCs w:val="17"/>
          <w:color w:val="auto"/>
        </w:rPr>
      </w:pPr>
      <w:r>
        <w:rPr>
          <w:rFonts w:ascii="Calibri" w:cs="Calibri" w:eastAsia="Calibri" w:hAnsi="Calibri"/>
          <w:sz w:val="17"/>
          <w:szCs w:val="17"/>
          <w:color w:val="auto"/>
        </w:rPr>
        <w:t>On each Ofering Date, each Eligible Employee, pursuant to an Ofering made under the Plan, will be granted a Purchase Right to purchase up to that number of shares of Common Stock purchasable either with a percentage or with a maximum dollar amount, as designated by the Commitee, but in either case not exceeding 15% of such Employee’s compensaton (as defned by the Commitee in each Ofering) during the period that begins on the Ofering Date (or such later date as the Commitee determines for a partcular Ofering) and ends on the date stated in the Ofering, which date will be no later than the end of the Ofering.</w:t>
      </w:r>
    </w:p>
    <w:p>
      <w:pPr>
        <w:spacing w:after="0" w:line="315" w:lineRule="exact"/>
        <w:rPr>
          <w:rFonts w:ascii="Calibri" w:cs="Calibri" w:eastAsia="Calibri" w:hAnsi="Calibri"/>
          <w:sz w:val="17"/>
          <w:szCs w:val="17"/>
          <w:color w:val="auto"/>
        </w:rPr>
      </w:pPr>
    </w:p>
    <w:p>
      <w:pPr>
        <w:ind w:left="320" w:right="160" w:hanging="4"/>
        <w:spacing w:after="0" w:line="239" w:lineRule="auto"/>
        <w:tabs>
          <w:tab w:leader="none" w:pos="550" w:val="left"/>
        </w:tabs>
        <w:numPr>
          <w:ilvl w:val="0"/>
          <w:numId w:val="64"/>
        </w:numPr>
        <w:rPr>
          <w:rFonts w:ascii="Calibri" w:cs="Calibri" w:eastAsia="Calibri" w:hAnsi="Calibri"/>
          <w:sz w:val="17"/>
          <w:szCs w:val="17"/>
          <w:color w:val="auto"/>
        </w:rPr>
      </w:pPr>
      <w:r>
        <w:rPr>
          <w:rFonts w:ascii="Calibri" w:cs="Calibri" w:eastAsia="Calibri" w:hAnsi="Calibri"/>
          <w:sz w:val="17"/>
          <w:szCs w:val="17"/>
          <w:color w:val="auto"/>
        </w:rPr>
        <w:t>The Commitee will establish one (or more than one, if the Commitee deems advisable) Purchase Dates during an Ofering on which Purchase Rights granted for that Ofering will be exercised and shares of Common Stock will be purchased in accordance with such Ofering.</w:t>
      </w:r>
    </w:p>
    <w:p>
      <w:pPr>
        <w:spacing w:after="0" w:line="315" w:lineRule="exact"/>
        <w:rPr>
          <w:rFonts w:ascii="Calibri" w:cs="Calibri" w:eastAsia="Calibri" w:hAnsi="Calibri"/>
          <w:sz w:val="17"/>
          <w:szCs w:val="17"/>
          <w:color w:val="auto"/>
        </w:rPr>
      </w:pPr>
    </w:p>
    <w:p>
      <w:pPr>
        <w:ind w:left="320" w:right="100" w:hanging="4"/>
        <w:spacing w:after="0"/>
        <w:tabs>
          <w:tab w:leader="none" w:pos="532" w:val="left"/>
        </w:tabs>
        <w:numPr>
          <w:ilvl w:val="0"/>
          <w:numId w:val="64"/>
        </w:numPr>
        <w:rPr>
          <w:rFonts w:ascii="Calibri" w:cs="Calibri" w:eastAsia="Calibri" w:hAnsi="Calibri"/>
          <w:sz w:val="17"/>
          <w:szCs w:val="17"/>
          <w:color w:val="auto"/>
        </w:rPr>
      </w:pPr>
      <w:r>
        <w:rPr>
          <w:rFonts w:ascii="Calibri" w:cs="Calibri" w:eastAsia="Calibri" w:hAnsi="Calibri"/>
          <w:sz w:val="17"/>
          <w:szCs w:val="17"/>
          <w:color w:val="auto"/>
        </w:rPr>
        <w:t>In connecton with each Ofering made under the Plan, the Commitee may specify (i) a maximum number of shares of Common Stock that may be purchased by any Partcipant on any Purchase Date during such Ofering, (ii) a maximum aggregate number of shares of Common Stock that may be purchased by all Partcipants pursuant to such Ofering, (iii) a maximum aggregate number of shares of Common Stock that may be purchased by all Partcipants on any Purchase Date under the Ofering, and/or (iv) a maximum and/or minimum Contributon. If the aggregate purchase of Common Stock issuable upon exercise of Purchase Rights granted under the Ofering would exceed any such maximum aggregate number, then, in the absence of any Commitee acton otherwise, a pro rata (based on each Partcipant’s accumulated Contributons) allocaton of the shares of Common Stock available will be made in as nearly a uniform manner as will be practcable and equitable.</w:t>
      </w:r>
    </w:p>
    <w:p>
      <w:pPr>
        <w:spacing w:after="0" w:line="315" w:lineRule="exact"/>
        <w:rPr>
          <w:rFonts w:ascii="Calibri" w:cs="Calibri" w:eastAsia="Calibri" w:hAnsi="Calibri"/>
          <w:sz w:val="17"/>
          <w:szCs w:val="17"/>
          <w:color w:val="auto"/>
        </w:rPr>
      </w:pPr>
    </w:p>
    <w:p>
      <w:pPr>
        <w:ind w:left="540" w:hanging="224"/>
        <w:spacing w:after="0"/>
        <w:tabs>
          <w:tab w:leader="none" w:pos="540" w:val="left"/>
        </w:tabs>
        <w:numPr>
          <w:ilvl w:val="0"/>
          <w:numId w:val="64"/>
        </w:numPr>
        <w:rPr>
          <w:rFonts w:ascii="Calibri" w:cs="Calibri" w:eastAsia="Calibri" w:hAnsi="Calibri"/>
          <w:sz w:val="17"/>
          <w:szCs w:val="17"/>
          <w:color w:val="auto"/>
        </w:rPr>
      </w:pPr>
      <w:r>
        <w:rPr>
          <w:rFonts w:ascii="Calibri" w:cs="Calibri" w:eastAsia="Calibri" w:hAnsi="Calibri"/>
          <w:sz w:val="17"/>
          <w:szCs w:val="17"/>
          <w:color w:val="auto"/>
        </w:rPr>
        <w:t>The purchase price of Common Stock acquired pursuant to Purchase Rights will be not less than eighty-fve percent (85%) of the lesser of:</w:t>
      </w:r>
    </w:p>
    <w:p>
      <w:pPr>
        <w:spacing w:after="0" w:line="118" w:lineRule="exact"/>
        <w:rPr>
          <w:sz w:val="20"/>
          <w:szCs w:val="20"/>
          <w:color w:val="auto"/>
        </w:rPr>
      </w:pPr>
    </w:p>
    <w:p>
      <w:pPr>
        <w:ind w:left="740" w:hanging="424"/>
        <w:spacing w:after="0"/>
        <w:tabs>
          <w:tab w:leader="none" w:pos="740" w:val="left"/>
        </w:tabs>
        <w:numPr>
          <w:ilvl w:val="0"/>
          <w:numId w:val="65"/>
        </w:numPr>
        <w:rPr>
          <w:rFonts w:ascii="Calibri" w:cs="Calibri" w:eastAsia="Calibri" w:hAnsi="Calibri"/>
          <w:sz w:val="17"/>
          <w:szCs w:val="17"/>
          <w:color w:val="auto"/>
        </w:rPr>
      </w:pPr>
      <w:r>
        <w:rPr>
          <w:rFonts w:ascii="Calibri" w:cs="Calibri" w:eastAsia="Calibri" w:hAnsi="Calibri"/>
          <w:sz w:val="17"/>
          <w:szCs w:val="17"/>
          <w:color w:val="auto"/>
        </w:rPr>
        <w:t>the Fair Market Value of the Common Stock on the Ofering Date; or</w:t>
      </w:r>
    </w:p>
    <w:p>
      <w:pPr>
        <w:spacing w:after="0" w:line="117" w:lineRule="exact"/>
        <w:rPr>
          <w:rFonts w:ascii="Calibri" w:cs="Calibri" w:eastAsia="Calibri" w:hAnsi="Calibri"/>
          <w:sz w:val="17"/>
          <w:szCs w:val="17"/>
          <w:color w:val="auto"/>
        </w:rPr>
      </w:pPr>
    </w:p>
    <w:p>
      <w:pPr>
        <w:ind w:left="740" w:hanging="424"/>
        <w:spacing w:after="0"/>
        <w:tabs>
          <w:tab w:leader="none" w:pos="740" w:val="left"/>
        </w:tabs>
        <w:numPr>
          <w:ilvl w:val="0"/>
          <w:numId w:val="65"/>
        </w:numPr>
        <w:rPr>
          <w:rFonts w:ascii="Calibri" w:cs="Calibri" w:eastAsia="Calibri" w:hAnsi="Calibri"/>
          <w:sz w:val="17"/>
          <w:szCs w:val="17"/>
          <w:color w:val="auto"/>
        </w:rPr>
      </w:pPr>
      <w:r>
        <w:rPr>
          <w:rFonts w:ascii="Calibri" w:cs="Calibri" w:eastAsia="Calibri" w:hAnsi="Calibri"/>
          <w:sz w:val="17"/>
          <w:szCs w:val="17"/>
          <w:color w:val="auto"/>
        </w:rPr>
        <w:t>the Fair Market Value of the Common Stock on the applicable Purchase Date.</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7. PARTICIPATION; WITHDRAWAL; TERMINATION.</w:t>
      </w:r>
    </w:p>
    <w:p>
      <w:pPr>
        <w:spacing w:after="0" w:line="114" w:lineRule="exact"/>
        <w:rPr>
          <w:sz w:val="20"/>
          <w:szCs w:val="20"/>
          <w:color w:val="auto"/>
        </w:rPr>
      </w:pPr>
    </w:p>
    <w:p>
      <w:pPr>
        <w:ind w:left="320" w:right="60" w:hanging="4"/>
        <w:spacing w:after="0" w:line="239" w:lineRule="auto"/>
        <w:tabs>
          <w:tab w:leader="none" w:pos="542" w:val="left"/>
        </w:tabs>
        <w:numPr>
          <w:ilvl w:val="0"/>
          <w:numId w:val="66"/>
        </w:numPr>
        <w:rPr>
          <w:rFonts w:ascii="Calibri" w:cs="Calibri" w:eastAsia="Calibri" w:hAnsi="Calibri"/>
          <w:sz w:val="17"/>
          <w:szCs w:val="17"/>
          <w:color w:val="auto"/>
        </w:rPr>
      </w:pPr>
      <w:r>
        <w:rPr>
          <w:rFonts w:ascii="Calibri" w:cs="Calibri" w:eastAsia="Calibri" w:hAnsi="Calibri"/>
          <w:sz w:val="17"/>
          <w:szCs w:val="17"/>
          <w:color w:val="auto"/>
        </w:rPr>
        <w:t>An Eligible Employee may elect to partcipate in an Ofering and authorize payroll deductons as the means of making Contributons by completng and delivering to the Company, within the tme specifed in the Ofering, an enrollment form provided</w:t>
      </w:r>
    </w:p>
    <w:p>
      <w:pPr>
        <w:spacing w:after="0" w:line="127"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132</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00"/>
          </w:cols>
          <w:pgMar w:left="320" w:top="445" w:right="6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Annex A</w:t>
      </w:r>
    </w:p>
    <w:p>
      <w:pPr>
        <w:spacing w:after="0" w:line="140" w:lineRule="exact"/>
        <w:rPr>
          <w:sz w:val="20"/>
          <w:szCs w:val="20"/>
          <w:color w:val="auto"/>
        </w:rPr>
      </w:pPr>
    </w:p>
    <w:p>
      <w:pPr>
        <w:ind w:left="320" w:right="20"/>
        <w:spacing w:after="0"/>
        <w:rPr>
          <w:sz w:val="20"/>
          <w:szCs w:val="20"/>
          <w:color w:val="auto"/>
        </w:rPr>
      </w:pPr>
      <w:r>
        <w:rPr>
          <w:rFonts w:ascii="Calibri" w:cs="Calibri" w:eastAsia="Calibri" w:hAnsi="Calibri"/>
          <w:sz w:val="17"/>
          <w:szCs w:val="17"/>
          <w:color w:val="auto"/>
        </w:rPr>
        <w:t>by the Company. The enrollment form will specify the amount of Contributons not to exceed the maximum amount specifed by the Commitee. Each Partcipant’s Contributons will be credited to a bookkeeping account for such Partcipant under the Plan and will be deposited with the general funds of the Company except where Applicable Law requires that Contributons be deposited with a third party. If permited in the Ofering, a Partcipant may begin such Contributons with the frst practcable payroll occurring on or afer the Ofering Date (or, in the case of a payroll date that occurs afer the end of the prior Ofering but before the Ofering Date of the next new Ofering, Contributons from such payroll will be included in the new Ofering). If permited in the Ofering, a Partcipant may thereafer reduce (including to zero) or increase his or her Contributons. If required under Applicable Law or specifcally provided in the Ofering, in additon to or instead of making Contributons by payroll deductons, a Partcipant may make Contributons through the payment by cash, check or wire transfer prior to a Purchase Date.</w:t>
      </w:r>
    </w:p>
    <w:p>
      <w:pPr>
        <w:spacing w:after="0" w:line="317" w:lineRule="exact"/>
        <w:rPr>
          <w:sz w:val="20"/>
          <w:szCs w:val="20"/>
          <w:color w:val="auto"/>
        </w:rPr>
      </w:pPr>
    </w:p>
    <w:p>
      <w:pPr>
        <w:ind w:left="320" w:right="200" w:hanging="4"/>
        <w:spacing w:after="0"/>
        <w:tabs>
          <w:tab w:leader="none" w:pos="550"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During an Ofering, a Partcipant may cease making Contributons and withdraw from the Ofering by delivering to the Company a withdrawal form provided by the Company. The Company may impose a deadline before a Purchase Date for withdrawing. Upon such withdrawal, such Partcipant’s Purchase Right in that Ofering will immediately terminate and the Company will distribute as soon as practcable to such Partcipant all of his or her accumulated but unused Contributons and such Partcipant’s Purchase Right in that Ofering shall thereupon terminate. A Partcipant’s withdrawal from that Ofering will have no efect upon his or her eligibility to partcipate in any other Oferings under the Plan, but such Partcipant will be required to deliver a new enrollment form to partcipate in subsequent Oferings.</w:t>
      </w:r>
    </w:p>
    <w:p>
      <w:pPr>
        <w:spacing w:after="0" w:line="315" w:lineRule="exact"/>
        <w:rPr>
          <w:rFonts w:ascii="Calibri" w:cs="Calibri" w:eastAsia="Calibri" w:hAnsi="Calibri"/>
          <w:sz w:val="17"/>
          <w:szCs w:val="17"/>
          <w:color w:val="auto"/>
        </w:rPr>
      </w:pPr>
    </w:p>
    <w:p>
      <w:pPr>
        <w:ind w:left="320" w:right="280" w:hanging="4"/>
        <w:spacing w:after="0" w:line="239" w:lineRule="auto"/>
        <w:tabs>
          <w:tab w:leader="none" w:pos="532" w:val="left"/>
        </w:tabs>
        <w:numPr>
          <w:ilvl w:val="0"/>
          <w:numId w:val="67"/>
        </w:numPr>
        <w:rPr>
          <w:rFonts w:ascii="Calibri" w:cs="Calibri" w:eastAsia="Calibri" w:hAnsi="Calibri"/>
          <w:sz w:val="17"/>
          <w:szCs w:val="17"/>
          <w:color w:val="auto"/>
        </w:rPr>
      </w:pPr>
      <w:r>
        <w:rPr>
          <w:rFonts w:ascii="Calibri" w:cs="Calibri" w:eastAsia="Calibri" w:hAnsi="Calibri"/>
          <w:sz w:val="17"/>
          <w:szCs w:val="17"/>
          <w:color w:val="auto"/>
        </w:rPr>
        <w:t>Unless otherwise required by Applicable Law, Purchase Rights granted pursuant to any Ofering under the Plan will terminate immediately if the Partcipant either (i) is no longer an Employee for any reason or for no reason (subject to any post-employment partcipaton period required by law) or</w:t>
      </w:r>
    </w:p>
    <w:p>
      <w:pPr>
        <w:spacing w:after="0" w:line="2" w:lineRule="exact"/>
        <w:rPr>
          <w:rFonts w:ascii="Calibri" w:cs="Calibri" w:eastAsia="Calibri" w:hAnsi="Calibri"/>
          <w:sz w:val="17"/>
          <w:szCs w:val="17"/>
          <w:color w:val="auto"/>
        </w:rPr>
      </w:pPr>
    </w:p>
    <w:p>
      <w:pPr>
        <w:ind w:left="320" w:right="20" w:hanging="4"/>
        <w:spacing w:after="0"/>
        <w:tabs>
          <w:tab w:leader="none" w:pos="539" w:val="left"/>
        </w:tabs>
        <w:numPr>
          <w:ilvl w:val="0"/>
          <w:numId w:val="68"/>
        </w:numPr>
        <w:rPr>
          <w:rFonts w:ascii="Calibri" w:cs="Calibri" w:eastAsia="Calibri" w:hAnsi="Calibri"/>
          <w:sz w:val="17"/>
          <w:szCs w:val="17"/>
          <w:color w:val="auto"/>
        </w:rPr>
      </w:pPr>
      <w:r>
        <w:rPr>
          <w:rFonts w:ascii="Calibri" w:cs="Calibri" w:eastAsia="Calibri" w:hAnsi="Calibri"/>
          <w:sz w:val="17"/>
          <w:szCs w:val="17"/>
          <w:color w:val="auto"/>
        </w:rPr>
        <w:t>is otherwise no longer eligible to partcipate. The Company will distribute to such individual as soon as practcable all of his or her accumulated but unused Contributons. For purposes of this Plan, a Partcipant’s employment will be considered terminated as of the date that partcipant is no longer actvely providing services as an employee and will not be extended by any notce period (i.e., actve service would not include any contractual notce period or any period of “garden leave” or similar period mandated under employment laws in the jurisdicton where partcipant is employed or the terms of partcipant’s employment agreement, if any, but is not actvely providing services); the Commitee shall have the exclusive discreton to determine when the partcipant is no longer actvely providing services for purposes of partcipaton in the Plan.</w:t>
      </w:r>
    </w:p>
    <w:p>
      <w:pPr>
        <w:spacing w:after="0" w:line="315" w:lineRule="exact"/>
        <w:rPr>
          <w:rFonts w:ascii="Calibri" w:cs="Calibri" w:eastAsia="Calibri" w:hAnsi="Calibri"/>
          <w:sz w:val="17"/>
          <w:szCs w:val="17"/>
          <w:color w:val="auto"/>
        </w:rPr>
      </w:pPr>
    </w:p>
    <w:p>
      <w:pPr>
        <w:ind w:left="320" w:right="180" w:hanging="4"/>
        <w:spacing w:after="0" w:line="239" w:lineRule="auto"/>
        <w:tabs>
          <w:tab w:leader="none" w:pos="550" w:val="left"/>
        </w:tabs>
        <w:numPr>
          <w:ilvl w:val="0"/>
          <w:numId w:val="69"/>
        </w:numPr>
        <w:rPr>
          <w:rFonts w:ascii="Calibri" w:cs="Calibri" w:eastAsia="Calibri" w:hAnsi="Calibri"/>
          <w:sz w:val="17"/>
          <w:szCs w:val="17"/>
          <w:color w:val="auto"/>
        </w:rPr>
      </w:pPr>
      <w:r>
        <w:rPr>
          <w:rFonts w:ascii="Calibri" w:cs="Calibri" w:eastAsia="Calibri" w:hAnsi="Calibri"/>
          <w:sz w:val="17"/>
          <w:szCs w:val="17"/>
          <w:color w:val="auto"/>
        </w:rPr>
        <w:t>Unless otherwise determined by the Commitee, a Partcipant whose employment transfers or whose employment terminates with an immediate rehire (with no break in service) by or between the Company and a Related Corporaton that has been designated for partcipaton in the Plan will not be treated as having terminated employment for purposes of partcipatng in the Plan or an Ofering.</w:t>
      </w:r>
    </w:p>
    <w:p>
      <w:pPr>
        <w:spacing w:after="0" w:line="316" w:lineRule="exact"/>
        <w:rPr>
          <w:rFonts w:ascii="Calibri" w:cs="Calibri" w:eastAsia="Calibri" w:hAnsi="Calibri"/>
          <w:sz w:val="17"/>
          <w:szCs w:val="17"/>
          <w:color w:val="auto"/>
        </w:rPr>
      </w:pPr>
    </w:p>
    <w:p>
      <w:pPr>
        <w:ind w:left="320" w:right="60" w:hanging="4"/>
        <w:spacing w:after="0" w:line="239" w:lineRule="auto"/>
        <w:tabs>
          <w:tab w:leader="none" w:pos="545" w:val="left"/>
        </w:tabs>
        <w:numPr>
          <w:ilvl w:val="0"/>
          <w:numId w:val="69"/>
        </w:numPr>
        <w:rPr>
          <w:rFonts w:ascii="Calibri" w:cs="Calibri" w:eastAsia="Calibri" w:hAnsi="Calibri"/>
          <w:sz w:val="17"/>
          <w:szCs w:val="17"/>
          <w:color w:val="auto"/>
        </w:rPr>
      </w:pPr>
      <w:r>
        <w:rPr>
          <w:rFonts w:ascii="Calibri" w:cs="Calibri" w:eastAsia="Calibri" w:hAnsi="Calibri"/>
          <w:sz w:val="17"/>
          <w:szCs w:val="17"/>
          <w:color w:val="auto"/>
        </w:rPr>
        <w:t>During a Partcipant’s lifetme, Purchase Rights will be exercisable only by such Partcipant. Purchase Rights are not transferable by a Partcipant, except by will, by the laws of descent and distributon, or, if permited by the Company, by a benefciary designaton as described in Secton 10.</w:t>
      </w:r>
    </w:p>
    <w:p>
      <w:pPr>
        <w:spacing w:after="0" w:line="315" w:lineRule="exact"/>
        <w:rPr>
          <w:rFonts w:ascii="Calibri" w:cs="Calibri" w:eastAsia="Calibri" w:hAnsi="Calibri"/>
          <w:sz w:val="17"/>
          <w:szCs w:val="17"/>
          <w:color w:val="auto"/>
        </w:rPr>
      </w:pPr>
    </w:p>
    <w:p>
      <w:pPr>
        <w:ind w:left="320" w:right="880" w:hanging="4"/>
        <w:spacing w:after="0" w:line="239" w:lineRule="auto"/>
        <w:tabs>
          <w:tab w:leader="none" w:pos="515" w:val="left"/>
        </w:tabs>
        <w:numPr>
          <w:ilvl w:val="0"/>
          <w:numId w:val="69"/>
        </w:numPr>
        <w:rPr>
          <w:rFonts w:ascii="Calibri" w:cs="Calibri" w:eastAsia="Calibri" w:hAnsi="Calibri"/>
          <w:sz w:val="17"/>
          <w:szCs w:val="17"/>
          <w:color w:val="auto"/>
        </w:rPr>
      </w:pPr>
      <w:r>
        <w:rPr>
          <w:rFonts w:ascii="Calibri" w:cs="Calibri" w:eastAsia="Calibri" w:hAnsi="Calibri"/>
          <w:sz w:val="17"/>
          <w:szCs w:val="17"/>
          <w:color w:val="auto"/>
        </w:rPr>
        <w:t>Unless otherwise specifed in the Ofering or required by Applicable Law, the Company will have no obligaton to pay interest or earnings on Contributons.</w:t>
      </w:r>
    </w:p>
    <w:p>
      <w:pPr>
        <w:spacing w:after="0" w:line="127"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133</w:t>
            </w:r>
          </w:p>
        </w:tc>
      </w:tr>
    </w:tbl>
    <w:p>
      <w:pPr>
        <w:sectPr>
          <w:pgSz w:w="11900" w:h="16838" w:orient="portrait"/>
          <w:cols w:equalWidth="0" w:num="1">
            <w:col w:w="10940"/>
          </w:cols>
          <w:pgMar w:left="320" w:top="445" w:right="6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Annex A</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8. EXERCISE OF PURCHASE RIGHTS.</w:t>
      </w:r>
    </w:p>
    <w:p>
      <w:pPr>
        <w:spacing w:after="0" w:line="114" w:lineRule="exact"/>
        <w:rPr>
          <w:sz w:val="20"/>
          <w:szCs w:val="20"/>
          <w:color w:val="auto"/>
        </w:rPr>
      </w:pPr>
    </w:p>
    <w:p>
      <w:pPr>
        <w:ind w:left="320" w:right="20" w:hanging="4"/>
        <w:spacing w:after="0" w:line="239" w:lineRule="auto"/>
        <w:tabs>
          <w:tab w:leader="none" w:pos="542" w:val="left"/>
        </w:tabs>
        <w:numPr>
          <w:ilvl w:val="0"/>
          <w:numId w:val="70"/>
        </w:numPr>
        <w:rPr>
          <w:rFonts w:ascii="Calibri" w:cs="Calibri" w:eastAsia="Calibri" w:hAnsi="Calibri"/>
          <w:sz w:val="17"/>
          <w:szCs w:val="17"/>
          <w:color w:val="auto"/>
        </w:rPr>
      </w:pPr>
      <w:r>
        <w:rPr>
          <w:rFonts w:ascii="Calibri" w:cs="Calibri" w:eastAsia="Calibri" w:hAnsi="Calibri"/>
          <w:sz w:val="17"/>
          <w:szCs w:val="17"/>
          <w:color w:val="auto"/>
        </w:rPr>
        <w:t>On each Purchase Date, each Partcipant’s accumulated Contributons will be applied to the purchase of Common Stock, up to the maximum number of shares of Common Stock permited by the Plan and the applicable Ofering, at the purchase price specifed in the Ofering. No fractonal shares will be issued unless provided for in the Ofering.</w:t>
      </w:r>
    </w:p>
    <w:p>
      <w:pPr>
        <w:spacing w:after="0" w:line="316" w:lineRule="exact"/>
        <w:rPr>
          <w:rFonts w:ascii="Calibri" w:cs="Calibri" w:eastAsia="Calibri" w:hAnsi="Calibri"/>
          <w:sz w:val="17"/>
          <w:szCs w:val="17"/>
          <w:color w:val="auto"/>
        </w:rPr>
      </w:pPr>
    </w:p>
    <w:p>
      <w:pPr>
        <w:ind w:left="320" w:right="20" w:hanging="4"/>
        <w:spacing w:after="0"/>
        <w:tabs>
          <w:tab w:leader="none" w:pos="550" w:val="left"/>
        </w:tabs>
        <w:numPr>
          <w:ilvl w:val="0"/>
          <w:numId w:val="70"/>
        </w:numPr>
        <w:rPr>
          <w:rFonts w:ascii="Calibri" w:cs="Calibri" w:eastAsia="Calibri" w:hAnsi="Calibri"/>
          <w:sz w:val="17"/>
          <w:szCs w:val="17"/>
          <w:color w:val="auto"/>
        </w:rPr>
      </w:pPr>
      <w:r>
        <w:rPr>
          <w:rFonts w:ascii="Calibri" w:cs="Calibri" w:eastAsia="Calibri" w:hAnsi="Calibri"/>
          <w:sz w:val="17"/>
          <w:szCs w:val="17"/>
          <w:color w:val="auto"/>
        </w:rPr>
        <w:t>Unless otherwise provided in the Ofering, if any amount of accumulated Contributons remains in a Partcipant’s account afer the purchase of Common Stock and such remaining amount is less than the amount required to purchase one share of Common Stock on the fnal Purchase Date of an Ofering, then such remaining amount will be held in such Partcipant’s account for the purchase of Common Stock under the next Ofering under the Plan, unless such Partcipant withdraws from or is not eligible to partcipate in such next Ofering, in which case such amount will be distributed to such Partcipant afer the fnal Purchase Date without interest (unless the payment of interest is otherwise required by Applicable Law). Unless otherwise provided in the Ofering, if the amount of Contributons remaining in a Partcipant’s account afer the purchase of Common Stock is at least equal to the amount required to purchase one (1) whole share of Common Stock on the fnal Purchase Date of an Ofering, then such remaining amount will be distributed in full to such Partcipant afer the fnal Purchase Date of such Ofering without interest (unless the payment of interest is otherwise required by Applicable Law), unless such Partcipant elects to have such amounts held in such Partcipant’s account for the purchase of Common Stock under the next Ofering under the Plan and such Partcipant is eligible to partcipate in such next Ofering.</w:t>
      </w:r>
    </w:p>
    <w:p>
      <w:pPr>
        <w:spacing w:after="0" w:line="318" w:lineRule="exact"/>
        <w:rPr>
          <w:rFonts w:ascii="Calibri" w:cs="Calibri" w:eastAsia="Calibri" w:hAnsi="Calibri"/>
          <w:sz w:val="17"/>
          <w:szCs w:val="17"/>
          <w:color w:val="auto"/>
        </w:rPr>
      </w:pPr>
    </w:p>
    <w:p>
      <w:pPr>
        <w:ind w:left="320" w:hanging="4"/>
        <w:spacing w:after="0"/>
        <w:tabs>
          <w:tab w:leader="none" w:pos="532" w:val="left"/>
        </w:tabs>
        <w:numPr>
          <w:ilvl w:val="0"/>
          <w:numId w:val="70"/>
        </w:numPr>
        <w:rPr>
          <w:rFonts w:ascii="Calibri" w:cs="Calibri" w:eastAsia="Calibri" w:hAnsi="Calibri"/>
          <w:sz w:val="17"/>
          <w:szCs w:val="17"/>
          <w:color w:val="auto"/>
        </w:rPr>
      </w:pPr>
      <w:r>
        <w:rPr>
          <w:rFonts w:ascii="Calibri" w:cs="Calibri" w:eastAsia="Calibri" w:hAnsi="Calibri"/>
          <w:sz w:val="17"/>
          <w:szCs w:val="17"/>
          <w:color w:val="auto"/>
        </w:rPr>
        <w:t>No Purchase Rights may be exercised to any extent unless the Common Stock to be issued upon such exercise under the Plan are covered by an efectve registraton statement pursuant to the Securites Act and the Plan is in material compliance with all applicable U.S. federal and state, foreign and other securites, exchange control and other laws applicable to the Plan. If on a Purchase Date the Common Stock is not so registered or the Plan is not in such compliance, no Purchase Rights will be exercised on such Purchase Date, and the Purchase Date will be delayed untl the Common Stock is subject to such an efectve registraton statement and the Plan is in material compliance, except that the Purchase Date will in no event be more than 6 months from the Ofering Date. If, on the Purchase Date, as delayed to the maximum extent permissible, the Common Stock is not registered and the Plan is not in material compliance with all Applicable Laws, as determined by the Company in its sole discreton, no Purchase Rights will be exercised and all accumulated but unused Contributons will be distributed as soon as practcable to the Partcipants without interest (unless the payment of interest is otherwise required by Applicable Law).</w:t>
      </w:r>
    </w:p>
    <w:p>
      <w:pPr>
        <w:spacing w:after="0" w:line="317" w:lineRule="exact"/>
        <w:rPr>
          <w:rFonts w:ascii="Calibri" w:cs="Calibri" w:eastAsia="Calibri" w:hAnsi="Calibri"/>
          <w:sz w:val="17"/>
          <w:szCs w:val="17"/>
          <w:color w:val="auto"/>
        </w:rPr>
      </w:pPr>
    </w:p>
    <w:p>
      <w:pPr>
        <w:ind w:left="320" w:right="120" w:hanging="4"/>
        <w:spacing w:after="0"/>
        <w:tabs>
          <w:tab w:leader="none" w:pos="550" w:val="left"/>
        </w:tabs>
        <w:numPr>
          <w:ilvl w:val="0"/>
          <w:numId w:val="70"/>
        </w:numPr>
        <w:rPr>
          <w:rFonts w:ascii="Calibri" w:cs="Calibri" w:eastAsia="Calibri" w:hAnsi="Calibri"/>
          <w:sz w:val="17"/>
          <w:szCs w:val="17"/>
          <w:color w:val="auto"/>
        </w:rPr>
      </w:pPr>
      <w:r>
        <w:rPr>
          <w:rFonts w:ascii="Calibri" w:cs="Calibri" w:eastAsia="Calibri" w:hAnsi="Calibri"/>
          <w:sz w:val="17"/>
          <w:szCs w:val="17"/>
          <w:color w:val="auto"/>
        </w:rPr>
        <w:t>If the Common Stock available for purchase for any Ofering is insufcient to cover the number of whole shares of Common Stock which Partcipants have elected to purchase, then each Partcipant’s Purchase Rights for such Ofering Period shall be reduced to the number of whole shares of Common Stock which the Commitee shall determine by multplying the number of shares of Common Stock available for the Ofering by a fracton, the numerator of which shall be the number of shares of Common Stock for which such Partcipant would have been granted a Purchase Right if sufcient shares were available and the denominator of which shall be the total number of shares of Common Stock for which Purchase Rights would have been granted to all Partcipants if sufcient shares were available.</w:t>
      </w:r>
    </w:p>
    <w:p>
      <w:pPr>
        <w:spacing w:after="0" w:line="128"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134</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20"/>
          </w:cols>
          <w:pgMar w:left="320" w:top="445" w:right="6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460"/>
        <w:spacing w:after="0"/>
        <w:rPr>
          <w:sz w:val="20"/>
          <w:szCs w:val="20"/>
          <w:color w:val="auto"/>
        </w:rPr>
      </w:pPr>
      <w:r>
        <w:rPr>
          <w:rFonts w:ascii="Calibri" w:cs="Calibri" w:eastAsia="Calibri" w:hAnsi="Calibri"/>
          <w:sz w:val="13"/>
          <w:szCs w:val="13"/>
          <w:b w:val="1"/>
          <w:bCs w:val="1"/>
          <w:color w:val="D8D8D8"/>
        </w:rPr>
        <w:t>Annex A</w:t>
      </w:r>
    </w:p>
    <w:p>
      <w:pPr>
        <w:spacing w:after="0" w:line="144"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9. AUTHORIZATIONS.</w:t>
      </w:r>
    </w:p>
    <w:p>
      <w:pPr>
        <w:spacing w:after="0" w:line="114" w:lineRule="exact"/>
        <w:rPr>
          <w:sz w:val="20"/>
          <w:szCs w:val="20"/>
          <w:color w:val="auto"/>
        </w:rPr>
      </w:pPr>
    </w:p>
    <w:p>
      <w:pPr>
        <w:ind w:left="320" w:right="220"/>
        <w:spacing w:after="0"/>
        <w:rPr>
          <w:sz w:val="20"/>
          <w:szCs w:val="20"/>
          <w:color w:val="auto"/>
        </w:rPr>
      </w:pPr>
      <w:r>
        <w:rPr>
          <w:rFonts w:ascii="Calibri" w:cs="Calibri" w:eastAsia="Calibri" w:hAnsi="Calibri"/>
          <w:sz w:val="17"/>
          <w:szCs w:val="17"/>
          <w:color w:val="auto"/>
        </w:rPr>
        <w:t>With respect to Non-U.S. Partcipants the Company may, but is not obligated to, seek to obtain from each Governing Entty such authority as may be required to grant Purchase Rights and issue and sell Common Stock thereunder to such Partcipants. If the Company does not obtain the authority that counsel for the Company deems necessary for the grant of Purchase Rights or the lawful issuance and sale of Common Stock under the Plan to Non-U.S. Partcipants, the Company will be relieved from any liability for failure to grant Purchase Rights and/or to issue and sell Common Stock upon exercise of such Purchase Rights to such Partcipants.</w:t>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10. DESIGNATION OF BENEFICIARY.</w:t>
      </w:r>
    </w:p>
    <w:p>
      <w:pPr>
        <w:spacing w:after="0" w:line="114" w:lineRule="exact"/>
        <w:rPr>
          <w:sz w:val="20"/>
          <w:szCs w:val="20"/>
          <w:color w:val="auto"/>
        </w:rPr>
      </w:pPr>
    </w:p>
    <w:p>
      <w:pPr>
        <w:ind w:left="320" w:right="20" w:hanging="4"/>
        <w:spacing w:after="0"/>
        <w:tabs>
          <w:tab w:leader="none" w:pos="542" w:val="left"/>
        </w:tabs>
        <w:numPr>
          <w:ilvl w:val="0"/>
          <w:numId w:val="71"/>
        </w:numPr>
        <w:rPr>
          <w:rFonts w:ascii="Calibri" w:cs="Calibri" w:eastAsia="Calibri" w:hAnsi="Calibri"/>
          <w:sz w:val="17"/>
          <w:szCs w:val="17"/>
          <w:color w:val="auto"/>
        </w:rPr>
      </w:pPr>
      <w:r>
        <w:rPr>
          <w:rFonts w:ascii="Calibri" w:cs="Calibri" w:eastAsia="Calibri" w:hAnsi="Calibri"/>
          <w:sz w:val="17"/>
          <w:szCs w:val="17"/>
          <w:color w:val="auto"/>
        </w:rPr>
        <w:t>The Company may, but is not obligated to, permit a Partcipant to submit a form designatng a benefciary who will receive any Common Stock and/or Contributons from the Partcipant’s account under the Plan if the Partcipant dies before such shares and/or Contributons are delivered to the Partcipant. The Company may, but is not obligated to, permit the Partcipant to change such designaton of benefciary. Any such designaton and/or change must be on a form approved by the Company.</w:t>
      </w:r>
    </w:p>
    <w:p>
      <w:pPr>
        <w:spacing w:after="0" w:line="314" w:lineRule="exact"/>
        <w:rPr>
          <w:rFonts w:ascii="Calibri" w:cs="Calibri" w:eastAsia="Calibri" w:hAnsi="Calibri"/>
          <w:sz w:val="17"/>
          <w:szCs w:val="17"/>
          <w:color w:val="auto"/>
        </w:rPr>
      </w:pPr>
    </w:p>
    <w:p>
      <w:pPr>
        <w:ind w:left="320" w:right="100" w:hanging="4"/>
        <w:spacing w:after="0"/>
        <w:tabs>
          <w:tab w:leader="none" w:pos="550" w:val="left"/>
        </w:tabs>
        <w:numPr>
          <w:ilvl w:val="0"/>
          <w:numId w:val="71"/>
        </w:numPr>
        <w:rPr>
          <w:rFonts w:ascii="Calibri" w:cs="Calibri" w:eastAsia="Calibri" w:hAnsi="Calibri"/>
          <w:sz w:val="17"/>
          <w:szCs w:val="17"/>
          <w:color w:val="auto"/>
        </w:rPr>
      </w:pPr>
      <w:r>
        <w:rPr>
          <w:rFonts w:ascii="Calibri" w:cs="Calibri" w:eastAsia="Calibri" w:hAnsi="Calibri"/>
          <w:sz w:val="17"/>
          <w:szCs w:val="17"/>
          <w:color w:val="auto"/>
        </w:rPr>
        <w:t>If a Partcipant dies, and in the absence of a valid benefciary designaton, the Company will deliver any Common Stock and/or Contributons to the executor or administrator of the estate of the Partcipant. If no executor or administrator has been appointed (to the knowledge of the Company), the Company, in its sole discreton, may deliver such Common Stock and/or Contributons without interest (unless the payment of interest is otherwise required by Applicable Law), to the Partcipant’s spouse, dependents or relatves, or if no spouse, dependent or relatve is known to the Company, then to such other person as the Company may designate.</w:t>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11. ADJUSTMENTS UPON CHANGES IN COMMON STOCK; CORPORATE TRANSACTIONS.</w:t>
      </w:r>
    </w:p>
    <w:p>
      <w:pPr>
        <w:spacing w:after="0" w:line="114" w:lineRule="exact"/>
        <w:rPr>
          <w:sz w:val="20"/>
          <w:szCs w:val="20"/>
          <w:color w:val="auto"/>
        </w:rPr>
      </w:pPr>
    </w:p>
    <w:p>
      <w:pPr>
        <w:ind w:left="320" w:right="180" w:hanging="4"/>
        <w:spacing w:after="0"/>
        <w:tabs>
          <w:tab w:leader="none" w:pos="542"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In the event of a Capitalizaton Adjustment, the Commitee will appropriately and proportonately adjust: (i) the class(es) and maximum number of securites subject to the Plan pursuant to Secton 3(a), (ii) the class(es) and number of securites subject to, and the purchase price applicable to outstanding Oferings and Purchase Rights, and (iii) the class(es) and number of securites that are the subject of the purchase limits under each ongoing Ofering. The Commitee will make these adjustments, and its determinaton will be fnal, binding and conclusive.</w:t>
      </w:r>
    </w:p>
    <w:p>
      <w:pPr>
        <w:spacing w:after="0" w:line="314" w:lineRule="exact"/>
        <w:rPr>
          <w:rFonts w:ascii="Calibri" w:cs="Calibri" w:eastAsia="Calibri" w:hAnsi="Calibri"/>
          <w:sz w:val="17"/>
          <w:szCs w:val="17"/>
          <w:color w:val="auto"/>
        </w:rPr>
      </w:pPr>
    </w:p>
    <w:p>
      <w:pPr>
        <w:ind w:left="320" w:hanging="4"/>
        <w:spacing w:after="0"/>
        <w:tabs>
          <w:tab w:leader="none" w:pos="550" w:val="left"/>
        </w:tabs>
        <w:numPr>
          <w:ilvl w:val="0"/>
          <w:numId w:val="72"/>
        </w:numPr>
        <w:rPr>
          <w:rFonts w:ascii="Calibri" w:cs="Calibri" w:eastAsia="Calibri" w:hAnsi="Calibri"/>
          <w:sz w:val="17"/>
          <w:szCs w:val="17"/>
          <w:color w:val="auto"/>
        </w:rPr>
      </w:pPr>
      <w:r>
        <w:rPr>
          <w:rFonts w:ascii="Calibri" w:cs="Calibri" w:eastAsia="Calibri" w:hAnsi="Calibri"/>
          <w:sz w:val="17"/>
          <w:szCs w:val="17"/>
          <w:color w:val="auto"/>
        </w:rPr>
        <w:t>In the event of a Corporate Transacton, then: (i) any surviving corporaton or acquiring corporaton (or the surviving or acquiring corporaton’s parent company) may assume or contnue outstanding Purchase Rights or may substtute similar rights (including a right to acquire the same consideraton paid to the stockholders in the Corporate Transacton) for outstanding Purchase Rights, or (ii) if any surviving or acquiring corporaton (or its parent company) does not assume or contnue such Purchase Rights or does not substtute similar rights for such Purchase Rights, then the Partcipants’ accumulated Contributons will be used to purchase Common Stock within ten business days prior to the Corporate Transacton under the outstanding Purchase Rights, and the Purchase Rights and this Plan will terminate immediately afer such purchase.</w:t>
      </w:r>
    </w:p>
    <w:p>
      <w:pPr>
        <w:spacing w:after="0" w:line="128"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135</w:t>
            </w:r>
          </w:p>
        </w:tc>
      </w:tr>
    </w:tbl>
    <w:p>
      <w:pPr>
        <w:sectPr>
          <w:pgSz w:w="11900" w:h="16838" w:orient="portrait"/>
          <w:cols w:equalWidth="0" w:num="1">
            <w:col w:w="10940"/>
          </w:cols>
          <w:pgMar w:left="320" w:top="445" w:right="6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Annex A</w:t>
      </w:r>
    </w:p>
    <w:p>
      <w:pPr>
        <w:spacing w:after="0" w:line="13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12. DELIVERY OF SHARES; HOLDING PERIOD.</w:t>
      </w:r>
    </w:p>
    <w:p>
      <w:pPr>
        <w:spacing w:after="0" w:line="114" w:lineRule="exact"/>
        <w:rPr>
          <w:sz w:val="20"/>
          <w:szCs w:val="20"/>
          <w:color w:val="auto"/>
        </w:rPr>
      </w:pPr>
    </w:p>
    <w:p>
      <w:pPr>
        <w:ind w:left="320" w:hanging="4"/>
        <w:spacing w:after="0"/>
        <w:tabs>
          <w:tab w:leader="none" w:pos="542" w:val="left"/>
        </w:tabs>
        <w:numPr>
          <w:ilvl w:val="0"/>
          <w:numId w:val="73"/>
        </w:numPr>
        <w:rPr>
          <w:rFonts w:ascii="Calibri" w:cs="Calibri" w:eastAsia="Calibri" w:hAnsi="Calibri"/>
          <w:sz w:val="17"/>
          <w:szCs w:val="17"/>
          <w:color w:val="auto"/>
        </w:rPr>
      </w:pPr>
      <w:r>
        <w:rPr>
          <w:rFonts w:ascii="Calibri" w:cs="Calibri" w:eastAsia="Calibri" w:hAnsi="Calibri"/>
          <w:sz w:val="17"/>
          <w:szCs w:val="17"/>
          <w:color w:val="auto"/>
        </w:rPr>
        <w:t>Whole shares of Common Stock purchased upon the exercise of Purchase Right under the Plan may be registered in book entry form or represented in certfcate form and shall be held for the Partcipant in an investment account maintained by the Plan’s third-party custodian. The shares of Common Stock in a Partcipant’s investment account shall be registered in the Partcipant’s name (or, to the extent permited under procedures established by the third-party custodian, jointly in the names of the Partcipant and the Partcipant’s spouse or benefciary). No Partcipant (or any person who makes a claim through a Partcipant) shall have any interest in any shares of Common Stock subject to a Purchase Right untl such Purchase Right has been exercised and the related shares of Common Stock have been registered in the Partcipant’s investment account. The Commitee may impose restrictons on the sale or transfer of shares held in a Partcipant’s investment account, in accordance with Code secton 423, with respect to any shares of Stock purchased under the Plan if the purchase discount exceeds 5%.</w:t>
      </w:r>
    </w:p>
    <w:p>
      <w:pPr>
        <w:spacing w:after="0" w:line="317" w:lineRule="exact"/>
        <w:rPr>
          <w:rFonts w:ascii="Calibri" w:cs="Calibri" w:eastAsia="Calibri" w:hAnsi="Calibri"/>
          <w:sz w:val="17"/>
          <w:szCs w:val="17"/>
          <w:color w:val="auto"/>
        </w:rPr>
      </w:pPr>
    </w:p>
    <w:p>
      <w:pPr>
        <w:ind w:left="320" w:hanging="4"/>
        <w:spacing w:after="0" w:line="239" w:lineRule="auto"/>
        <w:tabs>
          <w:tab w:leader="none" w:pos="550" w:val="left"/>
        </w:tabs>
        <w:numPr>
          <w:ilvl w:val="0"/>
          <w:numId w:val="73"/>
        </w:numPr>
        <w:rPr>
          <w:rFonts w:ascii="Calibri" w:cs="Calibri" w:eastAsia="Calibri" w:hAnsi="Calibri"/>
          <w:sz w:val="17"/>
          <w:szCs w:val="17"/>
          <w:color w:val="auto"/>
        </w:rPr>
      </w:pPr>
      <w:r>
        <w:rPr>
          <w:rFonts w:ascii="Calibri" w:cs="Calibri" w:eastAsia="Calibri" w:hAnsi="Calibri"/>
          <w:sz w:val="17"/>
          <w:szCs w:val="17"/>
          <w:color w:val="auto"/>
        </w:rPr>
        <w:t>In additon, unless otherwise provided by the Commitee, no shares of Common Stock purchased in any Ofering under the Plan may be transferred out of the Partcipant’s Plan investment account to any other brokerage account designated by the Partcipant for twelve (12) months afer the Purchase Date on which such shares were purchased. Any fees associated with the sale or transfer of any shares of Common Stock shall be borne by the Partcipant.</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13. AMENDMENT, TERMINATION OR SUSPENSION OF THE PLAN.</w:t>
      </w:r>
    </w:p>
    <w:p>
      <w:pPr>
        <w:spacing w:after="0" w:line="114" w:lineRule="exact"/>
        <w:rPr>
          <w:sz w:val="20"/>
          <w:szCs w:val="20"/>
          <w:color w:val="auto"/>
        </w:rPr>
      </w:pPr>
    </w:p>
    <w:p>
      <w:pPr>
        <w:ind w:left="320" w:right="100"/>
        <w:spacing w:after="0" w:line="239" w:lineRule="auto"/>
        <w:rPr>
          <w:sz w:val="20"/>
          <w:szCs w:val="20"/>
          <w:color w:val="auto"/>
        </w:rPr>
      </w:pPr>
      <w:r>
        <w:rPr>
          <w:rFonts w:ascii="Calibri" w:cs="Calibri" w:eastAsia="Calibri" w:hAnsi="Calibri"/>
          <w:sz w:val="17"/>
          <w:szCs w:val="17"/>
          <w:color w:val="auto"/>
        </w:rPr>
        <w:t>(a) The Commitee may amend the Plan at any tme in any respect the Commitee deems necessary or advisable. However, except as provided in Secton 11(a) relatng to Capitalizaton Adjustments, stockholder approval will be required for any amendment of the Plan for which stockholder approval is required by Applicable Law.</w:t>
      </w:r>
    </w:p>
    <w:p>
      <w:pPr>
        <w:spacing w:after="0" w:line="317" w:lineRule="exact"/>
        <w:rPr>
          <w:sz w:val="20"/>
          <w:szCs w:val="20"/>
          <w:color w:val="auto"/>
        </w:rPr>
      </w:pPr>
    </w:p>
    <w:p>
      <w:pPr>
        <w:ind w:left="320" w:hanging="4"/>
        <w:spacing w:after="0" w:line="239" w:lineRule="auto"/>
        <w:tabs>
          <w:tab w:leader="none" w:pos="550" w:val="left"/>
        </w:tabs>
        <w:numPr>
          <w:ilvl w:val="0"/>
          <w:numId w:val="74"/>
        </w:numPr>
        <w:rPr>
          <w:rFonts w:ascii="Calibri" w:cs="Calibri" w:eastAsia="Calibri" w:hAnsi="Calibri"/>
          <w:sz w:val="17"/>
          <w:szCs w:val="17"/>
          <w:color w:val="auto"/>
        </w:rPr>
      </w:pPr>
      <w:r>
        <w:rPr>
          <w:rFonts w:ascii="Calibri" w:cs="Calibri" w:eastAsia="Calibri" w:hAnsi="Calibri"/>
          <w:sz w:val="17"/>
          <w:szCs w:val="17"/>
          <w:color w:val="auto"/>
        </w:rPr>
        <w:t>The Commitee may suspend or terminate the Plan at any tme. No Purchase Rights may be granted under the Plan while the Plan is suspended or afer it is terminated.</w:t>
      </w:r>
    </w:p>
    <w:p>
      <w:pPr>
        <w:spacing w:after="0" w:line="315" w:lineRule="exact"/>
        <w:rPr>
          <w:rFonts w:ascii="Calibri" w:cs="Calibri" w:eastAsia="Calibri" w:hAnsi="Calibri"/>
          <w:sz w:val="17"/>
          <w:szCs w:val="17"/>
          <w:color w:val="auto"/>
        </w:rPr>
      </w:pPr>
    </w:p>
    <w:p>
      <w:pPr>
        <w:ind w:left="320" w:hanging="4"/>
        <w:spacing w:after="0"/>
        <w:tabs>
          <w:tab w:leader="none" w:pos="532" w:val="left"/>
        </w:tabs>
        <w:numPr>
          <w:ilvl w:val="0"/>
          <w:numId w:val="74"/>
        </w:numPr>
        <w:rPr>
          <w:rFonts w:ascii="Calibri" w:cs="Calibri" w:eastAsia="Calibri" w:hAnsi="Calibri"/>
          <w:sz w:val="17"/>
          <w:szCs w:val="17"/>
          <w:color w:val="auto"/>
        </w:rPr>
      </w:pPr>
      <w:r>
        <w:rPr>
          <w:rFonts w:ascii="Calibri" w:cs="Calibri" w:eastAsia="Calibri" w:hAnsi="Calibri"/>
          <w:sz w:val="17"/>
          <w:szCs w:val="17"/>
          <w:color w:val="auto"/>
        </w:rPr>
        <w:t>Any benefts, privileges, enttlements and obligatons under any outstanding Purchase Rights granted before an amendment, suspension or terminaton of the Plan will not be materially impaired by any such amendment, suspension or terminaton except (i) with the consent of the person to whom such Purchase Rights were granted, (ii) as necessary to comply with any laws, listng requirements, or governmental regulatons (including, without limitaton, the provisions of Secton 423 of the Code and the regulatons and other interpretve guidance issued thereunder relatng to Employee Stock Purchase Plans) including without limitaton any such regulatons or other guidance that may be issued or amended afer the date the Plan is adopted by the Commitee, or (iii) as necessary to obtain or maintain favorable tax, listng, or regulatory treatment. To be clear, the Commitee may amend outstanding Purchase Rights without a Partcipant’s consent if such amendment is necessary to ensure that the Purchase Right and/or the Plan complies with the requirements of Secton 423 of the Code or with respect to other Applicable Laws. Notwithstanding anything in the Plan or any Ofering Document to the contrary, the Commitee will be enttled to: (i) establish the exchange rato applicable to amounts withheld in a currency other than U.S. dollars; (ii) permit Contributons in excess of the amount designated by a Partcipant in order to adjust for mistakes in the Company’s processing of properly completed Contributon electons; (iii) establish reasonable waitng and adjustment periods and/or accountng and creditng procedures to ensure that amounts applied toward the purchase of Common Stock for each Partcipant properly correspond with</w:t>
      </w:r>
    </w:p>
    <w:p>
      <w:pPr>
        <w:spacing w:after="0" w:line="132"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136</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00"/>
          </w:cols>
          <w:pgMar w:left="320" w:top="445" w:right="6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Annex A</w:t>
      </w:r>
    </w:p>
    <w:p>
      <w:pPr>
        <w:spacing w:after="0" w:line="140" w:lineRule="exact"/>
        <w:rPr>
          <w:sz w:val="20"/>
          <w:szCs w:val="20"/>
          <w:color w:val="auto"/>
        </w:rPr>
      </w:pPr>
    </w:p>
    <w:p>
      <w:pPr>
        <w:jc w:val="both"/>
        <w:ind w:left="320" w:right="180"/>
        <w:spacing w:after="0"/>
        <w:rPr>
          <w:sz w:val="20"/>
          <w:szCs w:val="20"/>
          <w:color w:val="auto"/>
        </w:rPr>
      </w:pPr>
      <w:r>
        <w:rPr>
          <w:rFonts w:ascii="Calibri" w:cs="Calibri" w:eastAsia="Calibri" w:hAnsi="Calibri"/>
          <w:sz w:val="17"/>
          <w:szCs w:val="17"/>
          <w:color w:val="auto"/>
        </w:rPr>
        <w:t>amounts withheld from the Partcipant’s Contributons; (iv) amend any outstanding Purchase Rights or clarify any ambiguites regarding the terms of any Ofering to enable the Purchase Rights to qualify under and/or comply with Secton 423 of the Code; and (v) establish other limitatons or procedures as the Commitee determines in its sole discreton advisable that are consistent with the Plan. The actons of the Commitee pursuant to this paragraph will not be considered to alter or impair any Purchase Rights granted under an Ofering as they are part of the inital terms of each Ofering and the Purchase Rights granted under each Ofering.</w:t>
      </w: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14. TAX QUALIFICATION; TAX WITHHOLDING.</w:t>
      </w:r>
    </w:p>
    <w:p>
      <w:pPr>
        <w:spacing w:after="0" w:line="114" w:lineRule="exact"/>
        <w:rPr>
          <w:sz w:val="20"/>
          <w:szCs w:val="20"/>
          <w:color w:val="auto"/>
        </w:rPr>
      </w:pPr>
    </w:p>
    <w:p>
      <w:pPr>
        <w:ind w:left="320" w:right="100" w:hanging="4"/>
        <w:spacing w:after="0"/>
        <w:tabs>
          <w:tab w:leader="none" w:pos="542" w:val="left"/>
        </w:tabs>
        <w:numPr>
          <w:ilvl w:val="0"/>
          <w:numId w:val="75"/>
        </w:numPr>
        <w:rPr>
          <w:rFonts w:ascii="Calibri" w:cs="Calibri" w:eastAsia="Calibri" w:hAnsi="Calibri"/>
          <w:sz w:val="17"/>
          <w:szCs w:val="17"/>
          <w:color w:val="auto"/>
        </w:rPr>
      </w:pPr>
      <w:r>
        <w:rPr>
          <w:rFonts w:ascii="Calibri" w:cs="Calibri" w:eastAsia="Calibri" w:hAnsi="Calibri"/>
          <w:sz w:val="17"/>
          <w:szCs w:val="17"/>
          <w:color w:val="auto"/>
        </w:rPr>
        <w:t>Although the Company may endeavor to (i) qualify a Purchase Right for special tax treatment under the laws of the United States or jurisdictons outside of the United States or (ii) avoid adverse tax treatment, the Company makes no representaton to that efect and expressly disavows any covenant to maintain special or to avoid unfavorable tax treatment, notwithstanding anything to the contrary in this Plan. The Company will be unconstrained in its corporate actvites without regard to the potental negatve tax impact on Partcipants.</w:t>
      </w:r>
    </w:p>
    <w:p>
      <w:pPr>
        <w:spacing w:after="0" w:line="314" w:lineRule="exact"/>
        <w:rPr>
          <w:rFonts w:ascii="Calibri" w:cs="Calibri" w:eastAsia="Calibri" w:hAnsi="Calibri"/>
          <w:sz w:val="17"/>
          <w:szCs w:val="17"/>
          <w:color w:val="auto"/>
        </w:rPr>
      </w:pPr>
    </w:p>
    <w:p>
      <w:pPr>
        <w:ind w:left="320" w:right="160" w:hanging="4"/>
        <w:spacing w:after="0"/>
        <w:tabs>
          <w:tab w:leader="none" w:pos="550" w:val="left"/>
        </w:tabs>
        <w:numPr>
          <w:ilvl w:val="0"/>
          <w:numId w:val="75"/>
        </w:numPr>
        <w:rPr>
          <w:rFonts w:ascii="Calibri" w:cs="Calibri" w:eastAsia="Calibri" w:hAnsi="Calibri"/>
          <w:sz w:val="17"/>
          <w:szCs w:val="17"/>
          <w:color w:val="auto"/>
        </w:rPr>
      </w:pPr>
      <w:r>
        <w:rPr>
          <w:rFonts w:ascii="Calibri" w:cs="Calibri" w:eastAsia="Calibri" w:hAnsi="Calibri"/>
          <w:sz w:val="17"/>
          <w:szCs w:val="17"/>
          <w:color w:val="auto"/>
        </w:rPr>
        <w:t>Each Partcipant will make arrangements, satsfactory to the Company and any applicable Related Corporaton, to enable the Company or the Related Corporaton to fulfll any withholding obligaton for Tax-Related Items. Without limitaton to the foregoing, the amount necessary to satsfy such withholding obligaton may be withheld (i) from the Partcipant’s salary or any other cash payment due to the Partcipant from the Company or a Related Corporaton or (ii) from the proceeds of the sale of Common Stock acquired under the Plan.</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15. EFFECTIVE DATE OF PLAN.</w:t>
      </w:r>
    </w:p>
    <w:p>
      <w:pPr>
        <w:spacing w:after="0" w:line="114" w:lineRule="exact"/>
        <w:rPr>
          <w:sz w:val="20"/>
          <w:szCs w:val="20"/>
          <w:color w:val="auto"/>
        </w:rPr>
      </w:pPr>
    </w:p>
    <w:p>
      <w:pPr>
        <w:ind w:left="320" w:right="280"/>
        <w:spacing w:after="0" w:line="239" w:lineRule="auto"/>
        <w:rPr>
          <w:sz w:val="20"/>
          <w:szCs w:val="20"/>
          <w:color w:val="auto"/>
        </w:rPr>
      </w:pPr>
      <w:r>
        <w:rPr>
          <w:rFonts w:ascii="Calibri" w:cs="Calibri" w:eastAsia="Calibri" w:hAnsi="Calibri"/>
          <w:sz w:val="17"/>
          <w:szCs w:val="17"/>
          <w:color w:val="auto"/>
        </w:rPr>
        <w:t>The Plan will become efectve upon the Efectve Date. No Purchase Rights will be exercised unless and untl the Plan has been approved by the stockholders of the Company, which approval must be within 12 months before or afer the date the Plan is adopted (or if required under Secton 12(a) above, materially amended) by the Commitee.</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16. MISCELLANEOUS PROVISIONS.</w:t>
      </w:r>
    </w:p>
    <w:p>
      <w:pPr>
        <w:spacing w:after="0" w:line="113" w:lineRule="exact"/>
        <w:rPr>
          <w:sz w:val="20"/>
          <w:szCs w:val="20"/>
          <w:color w:val="auto"/>
        </w:rPr>
      </w:pPr>
    </w:p>
    <w:p>
      <w:pPr>
        <w:ind w:left="540" w:hanging="224"/>
        <w:spacing w:after="0"/>
        <w:tabs>
          <w:tab w:leader="none" w:pos="540" w:val="left"/>
        </w:tabs>
        <w:numPr>
          <w:ilvl w:val="0"/>
          <w:numId w:val="76"/>
        </w:numPr>
        <w:rPr>
          <w:rFonts w:ascii="Calibri" w:cs="Calibri" w:eastAsia="Calibri" w:hAnsi="Calibri"/>
          <w:sz w:val="17"/>
          <w:szCs w:val="17"/>
          <w:color w:val="auto"/>
        </w:rPr>
      </w:pPr>
      <w:r>
        <w:rPr>
          <w:rFonts w:ascii="Calibri" w:cs="Calibri" w:eastAsia="Calibri" w:hAnsi="Calibri"/>
          <w:sz w:val="17"/>
          <w:szCs w:val="17"/>
          <w:color w:val="auto"/>
        </w:rPr>
        <w:t>Proceeds from the sale of Common Stock pursuant to Purchase Rights will consttute general funds of the Company.</w:t>
      </w:r>
    </w:p>
    <w:p>
      <w:pPr>
        <w:spacing w:after="0" w:line="314" w:lineRule="exact"/>
        <w:rPr>
          <w:rFonts w:ascii="Calibri" w:cs="Calibri" w:eastAsia="Calibri" w:hAnsi="Calibri"/>
          <w:sz w:val="17"/>
          <w:szCs w:val="17"/>
          <w:color w:val="auto"/>
        </w:rPr>
      </w:pPr>
    </w:p>
    <w:p>
      <w:pPr>
        <w:ind w:left="320" w:right="280" w:hanging="4"/>
        <w:spacing w:after="0" w:line="239" w:lineRule="auto"/>
        <w:tabs>
          <w:tab w:leader="none" w:pos="550" w:val="left"/>
        </w:tabs>
        <w:numPr>
          <w:ilvl w:val="0"/>
          <w:numId w:val="76"/>
        </w:numPr>
        <w:rPr>
          <w:rFonts w:ascii="Calibri" w:cs="Calibri" w:eastAsia="Calibri" w:hAnsi="Calibri"/>
          <w:sz w:val="17"/>
          <w:szCs w:val="17"/>
          <w:color w:val="auto"/>
        </w:rPr>
      </w:pPr>
      <w:r>
        <w:rPr>
          <w:rFonts w:ascii="Calibri" w:cs="Calibri" w:eastAsia="Calibri" w:hAnsi="Calibri"/>
          <w:sz w:val="17"/>
          <w:szCs w:val="17"/>
          <w:color w:val="auto"/>
        </w:rPr>
        <w:t>A Partcipant will not be deemed to be the holder of, or to have any of the rights of a holder with respect to, any shares of Common Stock subject to Purchase Rights unless and untl the Partcipant’s shares of Common Stock acquired upon exercise of Purchase Rights are recorded in the books of the Company (or its transfer agent).</w:t>
      </w:r>
    </w:p>
    <w:p>
      <w:pPr>
        <w:spacing w:after="0" w:line="316" w:lineRule="exact"/>
        <w:rPr>
          <w:rFonts w:ascii="Calibri" w:cs="Calibri" w:eastAsia="Calibri" w:hAnsi="Calibri"/>
          <w:sz w:val="17"/>
          <w:szCs w:val="17"/>
          <w:color w:val="auto"/>
        </w:rPr>
      </w:pPr>
    </w:p>
    <w:p>
      <w:pPr>
        <w:ind w:left="320" w:right="40" w:hanging="4"/>
        <w:spacing w:after="0" w:line="239" w:lineRule="auto"/>
        <w:tabs>
          <w:tab w:leader="none" w:pos="532" w:val="left"/>
        </w:tabs>
        <w:numPr>
          <w:ilvl w:val="0"/>
          <w:numId w:val="76"/>
        </w:numPr>
        <w:rPr>
          <w:rFonts w:ascii="Calibri" w:cs="Calibri" w:eastAsia="Calibri" w:hAnsi="Calibri"/>
          <w:sz w:val="17"/>
          <w:szCs w:val="17"/>
          <w:color w:val="auto"/>
        </w:rPr>
      </w:pPr>
      <w:r>
        <w:rPr>
          <w:rFonts w:ascii="Calibri" w:cs="Calibri" w:eastAsia="Calibri" w:hAnsi="Calibri"/>
          <w:sz w:val="17"/>
          <w:szCs w:val="17"/>
          <w:color w:val="auto"/>
        </w:rPr>
        <w:t>The Plan and Ofering do not consttute an employment contract. Nothing in the Plan or in the Ofering will in any way alter the nature of a Partcipant’s employment or be deemed to create in any way whatsoever any obligaton on the part of any Partcipant to contnue in the employ of the Company or a Related Corporaton, or on the part of the Company or a Related Corporaton to contnue the employment of a Partcipant.</w:t>
      </w:r>
    </w:p>
    <w:p>
      <w:pPr>
        <w:spacing w:after="0" w:line="129"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137</w:t>
            </w:r>
          </w:p>
        </w:tc>
      </w:tr>
    </w:tbl>
    <w:p>
      <w:pPr>
        <w:sectPr>
          <w:pgSz w:w="11900" w:h="16838" w:orient="portrait"/>
          <w:cols w:equalWidth="0" w:num="1">
            <w:col w:w="10940"/>
          </w:cols>
          <w:pgMar w:left="320" w:top="445" w:right="6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Annex A</w:t>
      </w:r>
    </w:p>
    <w:p>
      <w:pPr>
        <w:spacing w:after="0" w:line="140" w:lineRule="exact"/>
        <w:rPr>
          <w:sz w:val="20"/>
          <w:szCs w:val="20"/>
          <w:color w:val="auto"/>
        </w:rPr>
      </w:pPr>
    </w:p>
    <w:p>
      <w:pPr>
        <w:ind w:left="320" w:right="160" w:hanging="4"/>
        <w:spacing w:after="0" w:line="239" w:lineRule="auto"/>
        <w:tabs>
          <w:tab w:leader="none" w:pos="550" w:val="left"/>
        </w:tabs>
        <w:numPr>
          <w:ilvl w:val="0"/>
          <w:numId w:val="77"/>
        </w:numPr>
        <w:rPr>
          <w:rFonts w:ascii="Calibri" w:cs="Calibri" w:eastAsia="Calibri" w:hAnsi="Calibri"/>
          <w:sz w:val="17"/>
          <w:szCs w:val="17"/>
          <w:color w:val="auto"/>
        </w:rPr>
      </w:pPr>
      <w:r>
        <w:rPr>
          <w:rFonts w:ascii="Calibri" w:cs="Calibri" w:eastAsia="Calibri" w:hAnsi="Calibri"/>
          <w:sz w:val="17"/>
          <w:szCs w:val="17"/>
          <w:color w:val="auto"/>
        </w:rPr>
        <w:t>The provisions of the Plan will be governed by the laws of the State of Delaware, without resort to that state’s confict of laws rules. This Plan shall be interpreted and construed in accordance with the laws of the State of Delaware.</w:t>
      </w:r>
    </w:p>
    <w:p>
      <w:pPr>
        <w:spacing w:after="0" w:line="315" w:lineRule="exact"/>
        <w:rPr>
          <w:rFonts w:ascii="Calibri" w:cs="Calibri" w:eastAsia="Calibri" w:hAnsi="Calibri"/>
          <w:sz w:val="17"/>
          <w:szCs w:val="17"/>
          <w:color w:val="auto"/>
        </w:rPr>
      </w:pPr>
    </w:p>
    <w:p>
      <w:pPr>
        <w:jc w:val="both"/>
        <w:ind w:left="320" w:right="340" w:hanging="4"/>
        <w:spacing w:after="0" w:line="239" w:lineRule="auto"/>
        <w:tabs>
          <w:tab w:leader="none" w:pos="545" w:val="left"/>
        </w:tabs>
        <w:numPr>
          <w:ilvl w:val="0"/>
          <w:numId w:val="77"/>
        </w:numPr>
        <w:rPr>
          <w:rFonts w:ascii="Calibri" w:cs="Calibri" w:eastAsia="Calibri" w:hAnsi="Calibri"/>
          <w:sz w:val="17"/>
          <w:szCs w:val="17"/>
          <w:color w:val="auto"/>
        </w:rPr>
      </w:pPr>
      <w:r>
        <w:rPr>
          <w:rFonts w:ascii="Calibri" w:cs="Calibri" w:eastAsia="Calibri" w:hAnsi="Calibri"/>
          <w:sz w:val="17"/>
          <w:szCs w:val="17"/>
          <w:color w:val="auto"/>
        </w:rPr>
        <w:t>To the extent permited by applicable law and in the discreton of the Commitee, an Eligible Employee may submit any form or notce as set forth herein by means of an electronic form approved by the Commitee. Before the commencement of an Ofering, the Commitee may prescribe the tme limits within which any such electronic form shall be submited to the Commitee with respect to such Ofering in order to be a valid electon.</w:t>
      </w:r>
    </w:p>
    <w:p>
      <w:pPr>
        <w:spacing w:after="0" w:line="316" w:lineRule="exact"/>
        <w:rPr>
          <w:rFonts w:ascii="Calibri" w:cs="Calibri" w:eastAsia="Calibri" w:hAnsi="Calibri"/>
          <w:sz w:val="17"/>
          <w:szCs w:val="17"/>
          <w:color w:val="auto"/>
        </w:rPr>
      </w:pPr>
    </w:p>
    <w:p>
      <w:pPr>
        <w:ind w:left="320" w:hanging="4"/>
        <w:spacing w:after="0" w:line="239" w:lineRule="auto"/>
        <w:tabs>
          <w:tab w:leader="none" w:pos="515" w:val="left"/>
        </w:tabs>
        <w:numPr>
          <w:ilvl w:val="0"/>
          <w:numId w:val="77"/>
        </w:numPr>
        <w:rPr>
          <w:rFonts w:ascii="Calibri" w:cs="Calibri" w:eastAsia="Calibri" w:hAnsi="Calibri"/>
          <w:sz w:val="17"/>
          <w:szCs w:val="17"/>
          <w:color w:val="auto"/>
        </w:rPr>
      </w:pPr>
      <w:r>
        <w:rPr>
          <w:rFonts w:ascii="Calibri" w:cs="Calibri" w:eastAsia="Calibri" w:hAnsi="Calibri"/>
          <w:sz w:val="17"/>
          <w:szCs w:val="17"/>
          <w:color w:val="auto"/>
        </w:rPr>
        <w:t>The cost, if any, for the delivery of shares of Common Stock to a Partcipant or commissions upon the sale of Common Stock shall be paid by the Partcipant using such service. Other expenses associated with the Plan, if any, at the discreton of the Commitee, will be allocated as deemed appropriate by the Commitee.</w:t>
      </w:r>
    </w:p>
    <w:p>
      <w:pPr>
        <w:spacing w:after="0" w:line="316" w:lineRule="exact"/>
        <w:rPr>
          <w:rFonts w:ascii="Calibri" w:cs="Calibri" w:eastAsia="Calibri" w:hAnsi="Calibri"/>
          <w:sz w:val="17"/>
          <w:szCs w:val="17"/>
          <w:color w:val="auto"/>
        </w:rPr>
      </w:pPr>
    </w:p>
    <w:p>
      <w:pPr>
        <w:ind w:left="320" w:right="340" w:hanging="4"/>
        <w:spacing w:after="0" w:line="239" w:lineRule="auto"/>
        <w:tabs>
          <w:tab w:leader="none" w:pos="541" w:val="left"/>
        </w:tabs>
        <w:numPr>
          <w:ilvl w:val="0"/>
          <w:numId w:val="77"/>
        </w:numPr>
        <w:rPr>
          <w:rFonts w:ascii="Calibri" w:cs="Calibri" w:eastAsia="Calibri" w:hAnsi="Calibri"/>
          <w:sz w:val="17"/>
          <w:szCs w:val="17"/>
          <w:color w:val="auto"/>
        </w:rPr>
      </w:pPr>
      <w:r>
        <w:rPr>
          <w:rFonts w:ascii="Calibri" w:cs="Calibri" w:eastAsia="Calibri" w:hAnsi="Calibri"/>
          <w:sz w:val="17"/>
          <w:szCs w:val="17"/>
          <w:color w:val="auto"/>
        </w:rPr>
        <w:t>All payroll deducton authorizatons and other communicatons from a Partcipant to the Commitee under, or in connecton with, the Plan shall be deemed to have been fled with the Commitee when actually received in the form specifed by the Commitee at the locaton, or by the person, designated by the Commitee for the receipt of such authorizatons and communicatons.</w:t>
      </w:r>
    </w:p>
    <w:p>
      <w:pPr>
        <w:spacing w:after="0" w:line="316" w:lineRule="exact"/>
        <w:rPr>
          <w:rFonts w:ascii="Calibri" w:cs="Calibri" w:eastAsia="Calibri" w:hAnsi="Calibri"/>
          <w:sz w:val="17"/>
          <w:szCs w:val="17"/>
          <w:color w:val="auto"/>
        </w:rPr>
      </w:pPr>
    </w:p>
    <w:p>
      <w:pPr>
        <w:ind w:left="320" w:right="120" w:hanging="4"/>
        <w:spacing w:after="0" w:line="239" w:lineRule="auto"/>
        <w:tabs>
          <w:tab w:leader="none" w:pos="550" w:val="left"/>
        </w:tabs>
        <w:numPr>
          <w:ilvl w:val="0"/>
          <w:numId w:val="77"/>
        </w:numPr>
        <w:rPr>
          <w:rFonts w:ascii="Calibri" w:cs="Calibri" w:eastAsia="Calibri" w:hAnsi="Calibri"/>
          <w:sz w:val="17"/>
          <w:szCs w:val="17"/>
          <w:color w:val="auto"/>
        </w:rPr>
      </w:pPr>
      <w:r>
        <w:rPr>
          <w:rFonts w:ascii="Calibri" w:cs="Calibri" w:eastAsia="Calibri" w:hAnsi="Calibri"/>
          <w:sz w:val="17"/>
          <w:szCs w:val="17"/>
          <w:color w:val="auto"/>
        </w:rPr>
        <w:t>Neither the grantng of a Purchase Right to an employee, nor the deductons from his or her pay shall cause such employee to be a stockholder of the Common Stock covered by a Purchase Right untl such shares of Common Stock have been purchased by and issued to him or her.</w:t>
      </w: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alibri" w:cs="Calibri" w:eastAsia="Calibri" w:hAnsi="Calibri"/>
          <w:sz w:val="24"/>
          <w:szCs w:val="24"/>
          <w:color w:val="auto"/>
        </w:rPr>
        <w:t>17. DEFINITIONS.</w:t>
      </w:r>
    </w:p>
    <w:p>
      <w:pPr>
        <w:spacing w:after="0" w:line="113" w:lineRule="exact"/>
        <w:rPr>
          <w:sz w:val="20"/>
          <w:szCs w:val="20"/>
          <w:color w:val="auto"/>
        </w:rPr>
      </w:pPr>
    </w:p>
    <w:p>
      <w:pPr>
        <w:ind w:left="320"/>
        <w:spacing w:after="0"/>
        <w:rPr>
          <w:sz w:val="20"/>
          <w:szCs w:val="20"/>
          <w:color w:val="auto"/>
        </w:rPr>
      </w:pPr>
      <w:r>
        <w:rPr>
          <w:rFonts w:ascii="Calibri" w:cs="Calibri" w:eastAsia="Calibri" w:hAnsi="Calibri"/>
          <w:sz w:val="17"/>
          <w:szCs w:val="17"/>
          <w:color w:val="auto"/>
        </w:rPr>
        <w:t>As used in the Plan, the following defnitons will apply to the capitalized terms indicated below:</w:t>
      </w:r>
    </w:p>
    <w:p>
      <w:pPr>
        <w:spacing w:after="0" w:line="314" w:lineRule="exact"/>
        <w:rPr>
          <w:sz w:val="20"/>
          <w:szCs w:val="20"/>
          <w:color w:val="auto"/>
        </w:rPr>
      </w:pPr>
    </w:p>
    <w:p>
      <w:pPr>
        <w:ind w:left="320" w:right="120" w:hanging="4"/>
        <w:spacing w:after="0"/>
        <w:tabs>
          <w:tab w:leader="none" w:pos="542" w:val="left"/>
        </w:tabs>
        <w:numPr>
          <w:ilvl w:val="0"/>
          <w:numId w:val="78"/>
        </w:numPr>
        <w:rPr>
          <w:rFonts w:ascii="Calibri" w:cs="Calibri" w:eastAsia="Calibri" w:hAnsi="Calibri"/>
          <w:sz w:val="17"/>
          <w:szCs w:val="17"/>
          <w:color w:val="auto"/>
        </w:rPr>
      </w:pPr>
      <w:r>
        <w:rPr>
          <w:rFonts w:ascii="Calibri" w:cs="Calibri" w:eastAsia="Calibri" w:hAnsi="Calibri"/>
          <w:sz w:val="17"/>
          <w:szCs w:val="17"/>
          <w:color w:val="auto"/>
        </w:rPr>
        <w:t>“Applicable Law” means shall mean any applicable securites, federal, state, foreign, material local or municipal or other law, statute, consttuton, principle of common law, resoluton, ordinance, code, edict, decree, rule, listng rule, regulaton, judicial decision, ruling or requirement issued, enacted, adopted, promulgated, implemented or otherwise put into efect by or under the authority of any Governmental Body (or under the authority of Nasdaq or the Financial Industry Regulatory Authority).</w:t>
      </w:r>
    </w:p>
    <w:p>
      <w:pPr>
        <w:spacing w:after="0" w:line="313" w:lineRule="exact"/>
        <w:rPr>
          <w:rFonts w:ascii="Calibri" w:cs="Calibri" w:eastAsia="Calibri" w:hAnsi="Calibri"/>
          <w:sz w:val="17"/>
          <w:szCs w:val="17"/>
          <w:color w:val="auto"/>
        </w:rPr>
      </w:pPr>
    </w:p>
    <w:p>
      <w:pPr>
        <w:ind w:left="540" w:hanging="224"/>
        <w:spacing w:after="0"/>
        <w:tabs>
          <w:tab w:leader="none" w:pos="540" w:val="left"/>
        </w:tabs>
        <w:numPr>
          <w:ilvl w:val="0"/>
          <w:numId w:val="78"/>
        </w:numPr>
        <w:rPr>
          <w:rFonts w:ascii="Calibri" w:cs="Calibri" w:eastAsia="Calibri" w:hAnsi="Calibri"/>
          <w:sz w:val="17"/>
          <w:szCs w:val="17"/>
          <w:color w:val="auto"/>
        </w:rPr>
      </w:pPr>
      <w:r>
        <w:rPr>
          <w:rFonts w:ascii="Calibri" w:cs="Calibri" w:eastAsia="Calibri" w:hAnsi="Calibri"/>
          <w:sz w:val="17"/>
          <w:szCs w:val="17"/>
          <w:color w:val="auto"/>
        </w:rPr>
        <w:t>“Board” means the Board of Directors of the Company.</w:t>
      </w:r>
    </w:p>
    <w:p>
      <w:pPr>
        <w:spacing w:after="0" w:line="314" w:lineRule="exact"/>
        <w:rPr>
          <w:rFonts w:ascii="Calibri" w:cs="Calibri" w:eastAsia="Calibri" w:hAnsi="Calibri"/>
          <w:sz w:val="17"/>
          <w:szCs w:val="17"/>
          <w:color w:val="auto"/>
        </w:rPr>
      </w:pPr>
    </w:p>
    <w:p>
      <w:pPr>
        <w:ind w:left="320" w:right="120" w:hanging="4"/>
        <w:spacing w:after="0"/>
        <w:tabs>
          <w:tab w:leader="none" w:pos="532" w:val="left"/>
        </w:tabs>
        <w:numPr>
          <w:ilvl w:val="0"/>
          <w:numId w:val="78"/>
        </w:numPr>
        <w:rPr>
          <w:rFonts w:ascii="Calibri" w:cs="Calibri" w:eastAsia="Calibri" w:hAnsi="Calibri"/>
          <w:sz w:val="17"/>
          <w:szCs w:val="17"/>
          <w:color w:val="auto"/>
        </w:rPr>
      </w:pPr>
      <w:r>
        <w:rPr>
          <w:rFonts w:ascii="Calibri" w:cs="Calibri" w:eastAsia="Calibri" w:hAnsi="Calibri"/>
          <w:sz w:val="17"/>
          <w:szCs w:val="17"/>
          <w:color w:val="auto"/>
        </w:rPr>
        <w:t>“Capitalizaton Adjustment” means any change that is made in, or other events that occur with respect to, the shares of Common Stock subject to the Plan or subject to any Purchase Right afer the date the Plan is adopted by the Commitee without the receipt of consideraton by the Company through merger, consolidaton, reorganizaton, recapitalizaton, reincorporaton, share dividend, dividend in property other than cash, large nonrecurring cash dividend, share split, liquidatng dividend, combinaton of shares, exchange of shares, change in corporate structure or other similar equity restructuring transacton, as that term is used in Financial Accountng Standards Board Accountng Standards Codifcaton Topic 718 (or any successor thereto). Notwithstanding the foregoing, the conversion of any convertble securites of the Company will not be treated as a Capitalizaton Adjustment.</w:t>
      </w:r>
    </w:p>
    <w:p>
      <w:pPr>
        <w:spacing w:after="0" w:line="128"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138</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900"/>
          </w:cols>
          <w:pgMar w:left="320" w:top="445" w:right="6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Annex A</w:t>
      </w:r>
    </w:p>
    <w:p>
      <w:pPr>
        <w:spacing w:after="0" w:line="139" w:lineRule="exact"/>
        <w:rPr>
          <w:sz w:val="20"/>
          <w:szCs w:val="20"/>
          <w:color w:val="auto"/>
        </w:rPr>
      </w:pPr>
    </w:p>
    <w:p>
      <w:pPr>
        <w:ind w:left="540" w:hanging="224"/>
        <w:spacing w:after="0"/>
        <w:tabs>
          <w:tab w:leader="none" w:pos="540" w:val="left"/>
        </w:tabs>
        <w:numPr>
          <w:ilvl w:val="0"/>
          <w:numId w:val="79"/>
        </w:numPr>
        <w:rPr>
          <w:rFonts w:ascii="Calibri" w:cs="Calibri" w:eastAsia="Calibri" w:hAnsi="Calibri"/>
          <w:sz w:val="17"/>
          <w:szCs w:val="17"/>
          <w:color w:val="auto"/>
        </w:rPr>
      </w:pPr>
      <w:r>
        <w:rPr>
          <w:rFonts w:ascii="Calibri" w:cs="Calibri" w:eastAsia="Calibri" w:hAnsi="Calibri"/>
          <w:sz w:val="17"/>
          <w:szCs w:val="17"/>
          <w:color w:val="auto"/>
        </w:rPr>
        <w:t>“Code” means the U.S. Internal Revenue Code of 1986, as amended, including any applicable regulatons and guidance thereunder.</w:t>
      </w:r>
    </w:p>
    <w:p>
      <w:pPr>
        <w:spacing w:after="0" w:line="312" w:lineRule="exact"/>
        <w:rPr>
          <w:rFonts w:ascii="Calibri" w:cs="Calibri" w:eastAsia="Calibri" w:hAnsi="Calibri"/>
          <w:sz w:val="17"/>
          <w:szCs w:val="17"/>
          <w:color w:val="auto"/>
        </w:rPr>
      </w:pPr>
    </w:p>
    <w:p>
      <w:pPr>
        <w:ind w:left="540" w:hanging="224"/>
        <w:spacing w:after="0"/>
        <w:tabs>
          <w:tab w:leader="none" w:pos="540" w:val="left"/>
        </w:tabs>
        <w:numPr>
          <w:ilvl w:val="0"/>
          <w:numId w:val="79"/>
        </w:numPr>
        <w:rPr>
          <w:rFonts w:ascii="Calibri" w:cs="Calibri" w:eastAsia="Calibri" w:hAnsi="Calibri"/>
          <w:sz w:val="17"/>
          <w:szCs w:val="17"/>
          <w:color w:val="auto"/>
        </w:rPr>
      </w:pPr>
      <w:r>
        <w:rPr>
          <w:rFonts w:ascii="Calibri" w:cs="Calibri" w:eastAsia="Calibri" w:hAnsi="Calibri"/>
          <w:sz w:val="17"/>
          <w:szCs w:val="17"/>
          <w:color w:val="auto"/>
        </w:rPr>
        <w:t>“Commitee” means the Compensaton Commitee of the Board.</w:t>
      </w:r>
    </w:p>
    <w:p>
      <w:pPr>
        <w:spacing w:after="0" w:line="312" w:lineRule="exact"/>
        <w:rPr>
          <w:rFonts w:ascii="Calibri" w:cs="Calibri" w:eastAsia="Calibri" w:hAnsi="Calibri"/>
          <w:sz w:val="17"/>
          <w:szCs w:val="17"/>
          <w:color w:val="auto"/>
        </w:rPr>
      </w:pPr>
    </w:p>
    <w:p>
      <w:pPr>
        <w:ind w:left="520" w:hanging="204"/>
        <w:spacing w:after="0"/>
        <w:tabs>
          <w:tab w:leader="none" w:pos="520" w:val="left"/>
        </w:tabs>
        <w:numPr>
          <w:ilvl w:val="0"/>
          <w:numId w:val="79"/>
        </w:numPr>
        <w:rPr>
          <w:rFonts w:ascii="Calibri" w:cs="Calibri" w:eastAsia="Calibri" w:hAnsi="Calibri"/>
          <w:sz w:val="17"/>
          <w:szCs w:val="17"/>
          <w:color w:val="auto"/>
        </w:rPr>
      </w:pPr>
      <w:r>
        <w:rPr>
          <w:rFonts w:ascii="Calibri" w:cs="Calibri" w:eastAsia="Calibri" w:hAnsi="Calibri"/>
          <w:sz w:val="17"/>
          <w:szCs w:val="17"/>
          <w:color w:val="auto"/>
        </w:rPr>
        <w:t>“Common Stock” means the shares of common stock of the Company par value $0.001 per share.</w:t>
      </w:r>
    </w:p>
    <w:p>
      <w:pPr>
        <w:spacing w:after="0" w:line="312" w:lineRule="exact"/>
        <w:rPr>
          <w:rFonts w:ascii="Calibri" w:cs="Calibri" w:eastAsia="Calibri" w:hAnsi="Calibri"/>
          <w:sz w:val="17"/>
          <w:szCs w:val="17"/>
          <w:color w:val="auto"/>
        </w:rPr>
      </w:pPr>
    </w:p>
    <w:p>
      <w:pPr>
        <w:ind w:left="540" w:hanging="224"/>
        <w:spacing w:after="0"/>
        <w:tabs>
          <w:tab w:leader="none" w:pos="540" w:val="left"/>
        </w:tabs>
        <w:numPr>
          <w:ilvl w:val="0"/>
          <w:numId w:val="79"/>
        </w:numPr>
        <w:rPr>
          <w:rFonts w:ascii="Calibri" w:cs="Calibri" w:eastAsia="Calibri" w:hAnsi="Calibri"/>
          <w:sz w:val="17"/>
          <w:szCs w:val="17"/>
          <w:color w:val="auto"/>
        </w:rPr>
      </w:pPr>
      <w:r>
        <w:rPr>
          <w:rFonts w:ascii="Calibri" w:cs="Calibri" w:eastAsia="Calibri" w:hAnsi="Calibri"/>
          <w:sz w:val="17"/>
          <w:szCs w:val="17"/>
          <w:color w:val="auto"/>
        </w:rPr>
        <w:t>“Company” means ExlService Holdings, Inc., a Delaware corporaton, and any successor corporaton thereto.</w:t>
      </w:r>
    </w:p>
    <w:p>
      <w:pPr>
        <w:spacing w:after="0" w:line="314" w:lineRule="exact"/>
        <w:rPr>
          <w:rFonts w:ascii="Calibri" w:cs="Calibri" w:eastAsia="Calibri" w:hAnsi="Calibri"/>
          <w:sz w:val="17"/>
          <w:szCs w:val="17"/>
          <w:color w:val="auto"/>
        </w:rPr>
      </w:pPr>
    </w:p>
    <w:p>
      <w:pPr>
        <w:jc w:val="both"/>
        <w:ind w:left="320" w:right="180" w:hanging="4"/>
        <w:spacing w:after="0" w:line="239" w:lineRule="auto"/>
        <w:tabs>
          <w:tab w:leader="none" w:pos="550" w:val="left"/>
        </w:tabs>
        <w:numPr>
          <w:ilvl w:val="0"/>
          <w:numId w:val="79"/>
        </w:numPr>
        <w:rPr>
          <w:rFonts w:ascii="Calibri" w:cs="Calibri" w:eastAsia="Calibri" w:hAnsi="Calibri"/>
          <w:sz w:val="17"/>
          <w:szCs w:val="17"/>
          <w:color w:val="auto"/>
        </w:rPr>
      </w:pPr>
      <w:r>
        <w:rPr>
          <w:rFonts w:ascii="Calibri" w:cs="Calibri" w:eastAsia="Calibri" w:hAnsi="Calibri"/>
          <w:sz w:val="17"/>
          <w:szCs w:val="17"/>
          <w:color w:val="auto"/>
        </w:rPr>
        <w:t>“Contributons” means the payroll deductons and other additonal payments specifcally provided for in the Ofering that a Partcipant contributes to fund the exercise of a Purchase Right. A Partcipant may make additonal payments into his or her account if specifcally provided for in the Ofering, and then only if the Partcipant has not already had the maximum permited amount withheld during the Ofering through payroll deductons.</w:t>
      </w:r>
    </w:p>
    <w:p>
      <w:pPr>
        <w:spacing w:after="0" w:line="316" w:lineRule="exact"/>
        <w:rPr>
          <w:rFonts w:ascii="Calibri" w:cs="Calibri" w:eastAsia="Calibri" w:hAnsi="Calibri"/>
          <w:sz w:val="17"/>
          <w:szCs w:val="17"/>
          <w:color w:val="auto"/>
        </w:rPr>
      </w:pPr>
    </w:p>
    <w:p>
      <w:pPr>
        <w:ind w:left="320" w:right="40" w:hanging="4"/>
        <w:spacing w:after="0"/>
        <w:tabs>
          <w:tab w:leader="none" w:pos="500" w:val="left"/>
        </w:tabs>
        <w:numPr>
          <w:ilvl w:val="0"/>
          <w:numId w:val="79"/>
        </w:numPr>
        <w:rPr>
          <w:rFonts w:ascii="Calibri" w:cs="Calibri" w:eastAsia="Calibri" w:hAnsi="Calibri"/>
          <w:sz w:val="17"/>
          <w:szCs w:val="17"/>
          <w:color w:val="auto"/>
        </w:rPr>
      </w:pPr>
      <w:r>
        <w:rPr>
          <w:rFonts w:ascii="Calibri" w:cs="Calibri" w:eastAsia="Calibri" w:hAnsi="Calibri"/>
          <w:sz w:val="17"/>
          <w:szCs w:val="17"/>
          <w:color w:val="auto"/>
        </w:rPr>
        <w:t>“Corporate Transacton” means the consummaton, in a single transacton or in a series of related transactons, of any one or more of the following events: (i) a sale or other dispositon of all or substantally all, as determined by the Board in its sole discreton, of the consolidated assets of the Company and its Subsidiaries; (ii) a sale or other dispositon of more than 50% of the outstanding securites of the Company; (iii) a merger, consolidaton or similar transacton following which the Company is not the surviving corporaton; or (iv) a merger, consolidaton or similar transacton following which the Company is the surviving corporaton but the shares of Common Stock outstanding immediately preceding the merger, consolidaton or similar transacton are converted or exchanged by virtue of the merger, consolidaton or similar transacton into other property, whether in the form of securites, cash or otherwise.</w:t>
      </w:r>
    </w:p>
    <w:p>
      <w:pPr>
        <w:spacing w:after="0" w:line="315" w:lineRule="exact"/>
        <w:rPr>
          <w:rFonts w:ascii="Calibri" w:cs="Calibri" w:eastAsia="Calibri" w:hAnsi="Calibri"/>
          <w:sz w:val="17"/>
          <w:szCs w:val="17"/>
          <w:color w:val="auto"/>
        </w:rPr>
      </w:pPr>
    </w:p>
    <w:p>
      <w:pPr>
        <w:ind w:left="500" w:hanging="184"/>
        <w:spacing w:after="0"/>
        <w:tabs>
          <w:tab w:leader="none" w:pos="500" w:val="left"/>
        </w:tabs>
        <w:numPr>
          <w:ilvl w:val="0"/>
          <w:numId w:val="79"/>
        </w:numPr>
        <w:rPr>
          <w:rFonts w:ascii="Calibri" w:cs="Calibri" w:eastAsia="Calibri" w:hAnsi="Calibri"/>
          <w:sz w:val="17"/>
          <w:szCs w:val="17"/>
          <w:color w:val="auto"/>
        </w:rPr>
      </w:pPr>
      <w:r>
        <w:rPr>
          <w:rFonts w:ascii="Calibri" w:cs="Calibri" w:eastAsia="Calibri" w:hAnsi="Calibri"/>
          <w:sz w:val="17"/>
          <w:szCs w:val="17"/>
          <w:color w:val="auto"/>
        </w:rPr>
        <w:t>“Director” means a member of the Board.</w:t>
      </w:r>
    </w:p>
    <w:p>
      <w:pPr>
        <w:spacing w:after="0" w:line="314" w:lineRule="exact"/>
        <w:rPr>
          <w:rFonts w:ascii="Calibri" w:cs="Calibri" w:eastAsia="Calibri" w:hAnsi="Calibri"/>
          <w:sz w:val="17"/>
          <w:szCs w:val="17"/>
          <w:color w:val="auto"/>
        </w:rPr>
      </w:pPr>
    </w:p>
    <w:p>
      <w:pPr>
        <w:ind w:left="320" w:right="620" w:hanging="4"/>
        <w:spacing w:after="0" w:line="239" w:lineRule="auto"/>
        <w:tabs>
          <w:tab w:leader="none" w:pos="538" w:val="left"/>
        </w:tabs>
        <w:numPr>
          <w:ilvl w:val="0"/>
          <w:numId w:val="79"/>
        </w:numPr>
        <w:rPr>
          <w:rFonts w:ascii="Calibri" w:cs="Calibri" w:eastAsia="Calibri" w:hAnsi="Calibri"/>
          <w:sz w:val="17"/>
          <w:szCs w:val="17"/>
          <w:color w:val="auto"/>
        </w:rPr>
      </w:pPr>
      <w:r>
        <w:rPr>
          <w:rFonts w:ascii="Calibri" w:cs="Calibri" w:eastAsia="Calibri" w:hAnsi="Calibri"/>
          <w:sz w:val="17"/>
          <w:szCs w:val="17"/>
          <w:color w:val="auto"/>
        </w:rPr>
        <w:t>“Efectve Date” means the date of the annual meetng of stockholders of the Company held in 2022, provided that this Plan is approved by the Company’s stockholders at such meetng.</w:t>
      </w:r>
    </w:p>
    <w:p>
      <w:pPr>
        <w:spacing w:after="0" w:line="315" w:lineRule="exact"/>
        <w:rPr>
          <w:rFonts w:ascii="Calibri" w:cs="Calibri" w:eastAsia="Calibri" w:hAnsi="Calibri"/>
          <w:sz w:val="17"/>
          <w:szCs w:val="17"/>
          <w:color w:val="auto"/>
        </w:rPr>
      </w:pPr>
    </w:p>
    <w:p>
      <w:pPr>
        <w:ind w:left="320" w:right="80" w:hanging="4"/>
        <w:spacing w:after="0" w:line="239" w:lineRule="auto"/>
        <w:tabs>
          <w:tab w:leader="none" w:pos="500" w:val="left"/>
        </w:tabs>
        <w:numPr>
          <w:ilvl w:val="0"/>
          <w:numId w:val="79"/>
        </w:numPr>
        <w:rPr>
          <w:rFonts w:ascii="Calibri" w:cs="Calibri" w:eastAsia="Calibri" w:hAnsi="Calibri"/>
          <w:sz w:val="17"/>
          <w:szCs w:val="17"/>
          <w:color w:val="auto"/>
        </w:rPr>
      </w:pPr>
      <w:r>
        <w:rPr>
          <w:rFonts w:ascii="Calibri" w:cs="Calibri" w:eastAsia="Calibri" w:hAnsi="Calibri"/>
          <w:sz w:val="17"/>
          <w:szCs w:val="17"/>
          <w:color w:val="auto"/>
        </w:rPr>
        <w:t>“Eligible Employee” means an Employee who meets the requirements set forth in the document(s) governing the Ofering for eligibility to partcipate in the Ofering, provided that such Employee also meets the requirements for eligibility to partcipate set forth in the Plan.</w:t>
      </w:r>
    </w:p>
    <w:p>
      <w:pPr>
        <w:spacing w:after="0" w:line="315" w:lineRule="exact"/>
        <w:rPr>
          <w:rFonts w:ascii="Calibri" w:cs="Calibri" w:eastAsia="Calibri" w:hAnsi="Calibri"/>
          <w:sz w:val="17"/>
          <w:szCs w:val="17"/>
          <w:color w:val="auto"/>
        </w:rPr>
      </w:pPr>
    </w:p>
    <w:p>
      <w:pPr>
        <w:jc w:val="both"/>
        <w:ind w:left="320" w:right="80" w:hanging="4"/>
        <w:spacing w:after="0" w:line="239" w:lineRule="auto"/>
        <w:tabs>
          <w:tab w:leader="none" w:pos="596" w:val="left"/>
        </w:tabs>
        <w:numPr>
          <w:ilvl w:val="0"/>
          <w:numId w:val="79"/>
        </w:numPr>
        <w:rPr>
          <w:rFonts w:ascii="Calibri" w:cs="Calibri" w:eastAsia="Calibri" w:hAnsi="Calibri"/>
          <w:sz w:val="17"/>
          <w:szCs w:val="17"/>
          <w:color w:val="auto"/>
        </w:rPr>
      </w:pPr>
      <w:r>
        <w:rPr>
          <w:rFonts w:ascii="Calibri" w:cs="Calibri" w:eastAsia="Calibri" w:hAnsi="Calibri"/>
          <w:sz w:val="17"/>
          <w:szCs w:val="17"/>
          <w:color w:val="auto"/>
        </w:rPr>
        <w:t>“Employee” means any person, including an Ofcer or Director, who is “employed” for purposes of Secton 423(b)(4) of the Code by the Company or a Related Corporaton. However, service solely as a Director, or payment of a fee for such services, will not cause a Director to be considered an “Employee” for purposes of the Plan.</w:t>
      </w:r>
    </w:p>
    <w:p>
      <w:pPr>
        <w:spacing w:after="0" w:line="316" w:lineRule="exact"/>
        <w:rPr>
          <w:rFonts w:ascii="Calibri" w:cs="Calibri" w:eastAsia="Calibri" w:hAnsi="Calibri"/>
          <w:sz w:val="17"/>
          <w:szCs w:val="17"/>
          <w:color w:val="auto"/>
        </w:rPr>
      </w:pPr>
    </w:p>
    <w:p>
      <w:pPr>
        <w:ind w:left="320" w:right="100" w:hanging="4"/>
        <w:spacing w:after="0" w:line="239" w:lineRule="auto"/>
        <w:tabs>
          <w:tab w:leader="none" w:pos="550" w:val="left"/>
        </w:tabs>
        <w:numPr>
          <w:ilvl w:val="0"/>
          <w:numId w:val="79"/>
        </w:numPr>
        <w:rPr>
          <w:rFonts w:ascii="Calibri" w:cs="Calibri" w:eastAsia="Calibri" w:hAnsi="Calibri"/>
          <w:sz w:val="17"/>
          <w:szCs w:val="17"/>
          <w:color w:val="auto"/>
        </w:rPr>
      </w:pPr>
      <w:r>
        <w:rPr>
          <w:rFonts w:ascii="Calibri" w:cs="Calibri" w:eastAsia="Calibri" w:hAnsi="Calibri"/>
          <w:sz w:val="17"/>
          <w:szCs w:val="17"/>
          <w:color w:val="auto"/>
        </w:rPr>
        <w:t>“Employee Stock Purchase Plan” means a plan that grants Purchase Rights intended to be optons issued under an “Employee Stock Purchase Plan,” as that term is defned in Secton 423(b) of the Code.</w:t>
      </w:r>
    </w:p>
    <w:p>
      <w:pPr>
        <w:spacing w:after="0" w:line="127"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139</w:t>
            </w:r>
          </w:p>
        </w:tc>
      </w:tr>
    </w:tbl>
    <w:p>
      <w:pPr>
        <w:sectPr>
          <w:pgSz w:w="11900" w:h="16838" w:orient="portrait"/>
          <w:cols w:equalWidth="0" w:num="1">
            <w:col w:w="10940"/>
          </w:cols>
          <w:pgMar w:left="320" w:top="445" w:right="6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99" w:lineRule="exact"/>
        <w:rPr>
          <w:sz w:val="20"/>
          <w:szCs w:val="20"/>
          <w:color w:val="auto"/>
        </w:rPr>
      </w:pPr>
    </w:p>
    <w:p>
      <w:pPr>
        <w:ind w:left="320"/>
        <w:spacing w:after="0"/>
        <w:rPr>
          <w:sz w:val="20"/>
          <w:szCs w:val="20"/>
          <w:color w:val="auto"/>
        </w:rPr>
      </w:pPr>
      <w:r>
        <w:rPr>
          <w:rFonts w:ascii="Calibri" w:cs="Calibri" w:eastAsia="Calibri" w:hAnsi="Calibri"/>
          <w:sz w:val="14"/>
          <w:szCs w:val="14"/>
          <w:b w:val="1"/>
          <w:bCs w:val="1"/>
          <w:color w:val="D8D8D8"/>
        </w:rPr>
        <w:t>Annex A</w:t>
      </w:r>
    </w:p>
    <w:p>
      <w:pPr>
        <w:spacing w:after="0" w:line="139" w:lineRule="exact"/>
        <w:rPr>
          <w:sz w:val="20"/>
          <w:szCs w:val="20"/>
          <w:color w:val="auto"/>
        </w:rPr>
      </w:pPr>
    </w:p>
    <w:p>
      <w:pPr>
        <w:ind w:left="540" w:hanging="224"/>
        <w:spacing w:after="0"/>
        <w:tabs>
          <w:tab w:leader="none" w:pos="540" w:val="left"/>
        </w:tabs>
        <w:numPr>
          <w:ilvl w:val="0"/>
          <w:numId w:val="80"/>
        </w:numPr>
        <w:rPr>
          <w:rFonts w:ascii="Calibri" w:cs="Calibri" w:eastAsia="Calibri" w:hAnsi="Calibri"/>
          <w:sz w:val="17"/>
          <w:szCs w:val="17"/>
          <w:color w:val="auto"/>
        </w:rPr>
      </w:pPr>
      <w:r>
        <w:rPr>
          <w:rFonts w:ascii="Calibri" w:cs="Calibri" w:eastAsia="Calibri" w:hAnsi="Calibri"/>
          <w:sz w:val="17"/>
          <w:szCs w:val="17"/>
          <w:color w:val="auto"/>
        </w:rPr>
        <w:t>“Exchange Act” means the U.S. Securites Exchange Act of 1934, as amended and the rules and regulatons promulgated thereunder.</w:t>
      </w:r>
    </w:p>
    <w:p>
      <w:pPr>
        <w:spacing w:after="0" w:line="312" w:lineRule="exact"/>
        <w:rPr>
          <w:rFonts w:ascii="Calibri" w:cs="Calibri" w:eastAsia="Calibri" w:hAnsi="Calibri"/>
          <w:sz w:val="17"/>
          <w:szCs w:val="17"/>
          <w:color w:val="auto"/>
        </w:rPr>
      </w:pPr>
    </w:p>
    <w:p>
      <w:pPr>
        <w:ind w:left="540" w:hanging="224"/>
        <w:spacing w:after="0"/>
        <w:tabs>
          <w:tab w:leader="none" w:pos="540" w:val="left"/>
        </w:tabs>
        <w:numPr>
          <w:ilvl w:val="0"/>
          <w:numId w:val="80"/>
        </w:numPr>
        <w:rPr>
          <w:rFonts w:ascii="Calibri" w:cs="Calibri" w:eastAsia="Calibri" w:hAnsi="Calibri"/>
          <w:sz w:val="17"/>
          <w:szCs w:val="17"/>
          <w:color w:val="auto"/>
        </w:rPr>
      </w:pPr>
      <w:r>
        <w:rPr>
          <w:rFonts w:ascii="Calibri" w:cs="Calibri" w:eastAsia="Calibri" w:hAnsi="Calibri"/>
          <w:sz w:val="17"/>
          <w:szCs w:val="17"/>
          <w:color w:val="auto"/>
        </w:rPr>
        <w:t>“Fair Market Value” means, as of any date, the value of the Common Stock determined as follows:</w:t>
      </w:r>
    </w:p>
    <w:p>
      <w:pPr>
        <w:spacing w:after="0" w:line="119" w:lineRule="exact"/>
        <w:rPr>
          <w:sz w:val="20"/>
          <w:szCs w:val="20"/>
          <w:color w:val="auto"/>
        </w:rPr>
      </w:pPr>
    </w:p>
    <w:p>
      <w:pPr>
        <w:ind w:left="740" w:right="120" w:hanging="424"/>
        <w:spacing w:after="0"/>
        <w:tabs>
          <w:tab w:leader="none" w:pos="740" w:val="left"/>
        </w:tabs>
        <w:numPr>
          <w:ilvl w:val="0"/>
          <w:numId w:val="81"/>
        </w:numPr>
        <w:rPr>
          <w:rFonts w:ascii="Calibri" w:cs="Calibri" w:eastAsia="Calibri" w:hAnsi="Calibri"/>
          <w:sz w:val="17"/>
          <w:szCs w:val="17"/>
          <w:color w:val="auto"/>
        </w:rPr>
      </w:pPr>
      <w:r>
        <w:rPr>
          <w:rFonts w:ascii="Calibri" w:cs="Calibri" w:eastAsia="Calibri" w:hAnsi="Calibri"/>
          <w:sz w:val="17"/>
          <w:szCs w:val="17"/>
          <w:color w:val="auto"/>
        </w:rPr>
        <w:t>If the Common Stock is listed on any established exchange or traded on any established market, the Fair Market Value of a share of Common Stock will be, unless otherwise determined by the Commitee, the closing sales price for such Common Stock as quoted on such exchange or market (or the exchange or market with the greatest volume of trading in the Common Stock) on the date of determinaton, as reported in such source as the Commitee deems reliable. Unless otherwise provided by the Commitee, if there is no closing sales price for the Common Stock on the date of determinaton, then the Fair Market Value will be the closing sales price on the last preceding date for which such quotaton exists.</w:t>
      </w:r>
    </w:p>
    <w:p>
      <w:pPr>
        <w:spacing w:after="0" w:line="120" w:lineRule="exact"/>
        <w:rPr>
          <w:rFonts w:ascii="Calibri" w:cs="Calibri" w:eastAsia="Calibri" w:hAnsi="Calibri"/>
          <w:sz w:val="17"/>
          <w:szCs w:val="17"/>
          <w:color w:val="auto"/>
        </w:rPr>
      </w:pPr>
    </w:p>
    <w:p>
      <w:pPr>
        <w:ind w:left="740" w:right="60" w:hanging="424"/>
        <w:spacing w:after="0" w:line="239" w:lineRule="auto"/>
        <w:tabs>
          <w:tab w:leader="none" w:pos="740" w:val="left"/>
        </w:tabs>
        <w:numPr>
          <w:ilvl w:val="0"/>
          <w:numId w:val="81"/>
        </w:numPr>
        <w:rPr>
          <w:rFonts w:ascii="Calibri" w:cs="Calibri" w:eastAsia="Calibri" w:hAnsi="Calibri"/>
          <w:sz w:val="17"/>
          <w:szCs w:val="17"/>
          <w:color w:val="auto"/>
        </w:rPr>
      </w:pPr>
      <w:r>
        <w:rPr>
          <w:rFonts w:ascii="Calibri" w:cs="Calibri" w:eastAsia="Calibri" w:hAnsi="Calibri"/>
          <w:sz w:val="17"/>
          <w:szCs w:val="17"/>
          <w:color w:val="auto"/>
        </w:rPr>
        <w:t>In the absence of such markets for the Common Stock, the Fair Market Value will be determined by the Commitee in good faith in compliance with Applicable Law and in a manner that complies with Sectons 409A of the Code.</w:t>
      </w:r>
    </w:p>
    <w:p>
      <w:pPr>
        <w:spacing w:after="0" w:line="315" w:lineRule="exact"/>
        <w:rPr>
          <w:sz w:val="20"/>
          <w:szCs w:val="20"/>
          <w:color w:val="auto"/>
        </w:rPr>
      </w:pPr>
    </w:p>
    <w:p>
      <w:pPr>
        <w:ind w:left="540" w:hanging="224"/>
        <w:spacing w:after="0"/>
        <w:tabs>
          <w:tab w:leader="none" w:pos="540" w:val="left"/>
        </w:tabs>
        <w:numPr>
          <w:ilvl w:val="0"/>
          <w:numId w:val="82"/>
        </w:numPr>
        <w:rPr>
          <w:rFonts w:ascii="Calibri" w:cs="Calibri" w:eastAsia="Calibri" w:hAnsi="Calibri"/>
          <w:sz w:val="16"/>
          <w:szCs w:val="16"/>
          <w:color w:val="auto"/>
        </w:rPr>
      </w:pPr>
      <w:r>
        <w:rPr>
          <w:rFonts w:ascii="Calibri" w:cs="Calibri" w:eastAsia="Calibri" w:hAnsi="Calibri"/>
          <w:sz w:val="16"/>
          <w:szCs w:val="16"/>
          <w:color w:val="auto"/>
        </w:rPr>
        <w:t>“Governmental Body” means any: (a) naton, state, commonwealth, province, territory, county, municipality, district or other jurisdicton of any nature;</w:t>
      </w:r>
    </w:p>
    <w:p>
      <w:pPr>
        <w:spacing w:after="0" w:line="12" w:lineRule="exact"/>
        <w:rPr>
          <w:rFonts w:ascii="Calibri" w:cs="Calibri" w:eastAsia="Calibri" w:hAnsi="Calibri"/>
          <w:sz w:val="16"/>
          <w:szCs w:val="16"/>
          <w:color w:val="auto"/>
        </w:rPr>
      </w:pPr>
    </w:p>
    <w:p>
      <w:pPr>
        <w:ind w:left="320" w:hanging="4"/>
        <w:spacing w:after="0"/>
        <w:tabs>
          <w:tab w:leader="none" w:pos="550" w:val="left"/>
        </w:tabs>
        <w:numPr>
          <w:ilvl w:val="0"/>
          <w:numId w:val="83"/>
        </w:numPr>
        <w:rPr>
          <w:rFonts w:ascii="Calibri" w:cs="Calibri" w:eastAsia="Calibri" w:hAnsi="Calibri"/>
          <w:sz w:val="17"/>
          <w:szCs w:val="17"/>
          <w:color w:val="auto"/>
        </w:rPr>
      </w:pPr>
      <w:r>
        <w:rPr>
          <w:rFonts w:ascii="Calibri" w:cs="Calibri" w:eastAsia="Calibri" w:hAnsi="Calibri"/>
          <w:sz w:val="17"/>
          <w:szCs w:val="17"/>
          <w:color w:val="auto"/>
        </w:rPr>
        <w:t>federal, state, local, municipal, foreign or other government; (c) governmental or regulatory body, or quasi-governmental body of any nature (including any governmental division, department, administratve agency or bureau, commission, authority, instrumentality, ofcial, ministry, fund, foundaton, center, organizaton, unit, body or Governing Entty and any court or other tribunal, and for the avoidance of doubt, any Tax authority) or other body exercising similar powers or authority; or (d) self-regulatory organizaton (including Nasdaq and the Financial Industry Regulatory Authority).</w:t>
      </w:r>
    </w:p>
    <w:p>
      <w:pPr>
        <w:spacing w:after="0" w:line="313" w:lineRule="exact"/>
        <w:rPr>
          <w:rFonts w:ascii="Calibri" w:cs="Calibri" w:eastAsia="Calibri" w:hAnsi="Calibri"/>
          <w:sz w:val="17"/>
          <w:szCs w:val="17"/>
          <w:color w:val="auto"/>
        </w:rPr>
      </w:pPr>
    </w:p>
    <w:p>
      <w:pPr>
        <w:ind w:left="520" w:hanging="204"/>
        <w:spacing w:after="0"/>
        <w:tabs>
          <w:tab w:leader="none" w:pos="520" w:val="left"/>
        </w:tabs>
        <w:numPr>
          <w:ilvl w:val="0"/>
          <w:numId w:val="84"/>
        </w:numPr>
        <w:rPr>
          <w:rFonts w:ascii="Calibri" w:cs="Calibri" w:eastAsia="Calibri" w:hAnsi="Calibri"/>
          <w:sz w:val="17"/>
          <w:szCs w:val="17"/>
          <w:color w:val="auto"/>
        </w:rPr>
      </w:pPr>
      <w:r>
        <w:rPr>
          <w:rFonts w:ascii="Calibri" w:cs="Calibri" w:eastAsia="Calibri" w:hAnsi="Calibri"/>
          <w:sz w:val="17"/>
          <w:szCs w:val="17"/>
          <w:color w:val="auto"/>
        </w:rPr>
        <w:t>“Governing Entty” means each U.S. federal or state, foreign or other regulatory commission or agency having jurisdicton over the Plan.</w:t>
      </w:r>
    </w:p>
    <w:p>
      <w:pPr>
        <w:spacing w:after="0" w:line="312" w:lineRule="exact"/>
        <w:rPr>
          <w:rFonts w:ascii="Calibri" w:cs="Calibri" w:eastAsia="Calibri" w:hAnsi="Calibri"/>
          <w:sz w:val="17"/>
          <w:szCs w:val="17"/>
          <w:color w:val="auto"/>
        </w:rPr>
      </w:pPr>
    </w:p>
    <w:p>
      <w:pPr>
        <w:ind w:left="520" w:hanging="204"/>
        <w:spacing w:after="0"/>
        <w:tabs>
          <w:tab w:leader="none" w:pos="520" w:val="left"/>
        </w:tabs>
        <w:numPr>
          <w:ilvl w:val="0"/>
          <w:numId w:val="84"/>
        </w:numPr>
        <w:rPr>
          <w:rFonts w:ascii="Calibri" w:cs="Calibri" w:eastAsia="Calibri" w:hAnsi="Calibri"/>
          <w:sz w:val="17"/>
          <w:szCs w:val="17"/>
          <w:color w:val="auto"/>
        </w:rPr>
      </w:pPr>
      <w:r>
        <w:rPr>
          <w:rFonts w:ascii="Calibri" w:cs="Calibri" w:eastAsia="Calibri" w:hAnsi="Calibri"/>
          <w:sz w:val="17"/>
          <w:szCs w:val="17"/>
          <w:color w:val="auto"/>
        </w:rPr>
        <w:t>“Non-U.S. Partcipants” means Partcipants employed by any Related Corporaton that is not incorporated or organized in the United States.</w:t>
      </w:r>
    </w:p>
    <w:p>
      <w:pPr>
        <w:spacing w:after="0" w:line="314" w:lineRule="exact"/>
        <w:rPr>
          <w:rFonts w:ascii="Calibri" w:cs="Calibri" w:eastAsia="Calibri" w:hAnsi="Calibri"/>
          <w:sz w:val="17"/>
          <w:szCs w:val="17"/>
          <w:color w:val="auto"/>
        </w:rPr>
      </w:pPr>
    </w:p>
    <w:p>
      <w:pPr>
        <w:ind w:left="320" w:right="20" w:hanging="4"/>
        <w:spacing w:after="0" w:line="239" w:lineRule="auto"/>
        <w:tabs>
          <w:tab w:leader="none" w:pos="518" w:val="left"/>
        </w:tabs>
        <w:numPr>
          <w:ilvl w:val="0"/>
          <w:numId w:val="84"/>
        </w:numPr>
        <w:rPr>
          <w:rFonts w:ascii="Calibri" w:cs="Calibri" w:eastAsia="Calibri" w:hAnsi="Calibri"/>
          <w:sz w:val="17"/>
          <w:szCs w:val="17"/>
          <w:color w:val="auto"/>
        </w:rPr>
      </w:pPr>
      <w:r>
        <w:rPr>
          <w:rFonts w:ascii="Calibri" w:cs="Calibri" w:eastAsia="Calibri" w:hAnsi="Calibri"/>
          <w:sz w:val="17"/>
          <w:szCs w:val="17"/>
          <w:color w:val="auto"/>
        </w:rPr>
        <w:t>“Ofering” means the grant to Eligible Employees of Purchase Rights, with the exercise of those Purchase Rights automatcally occurring at the end of one or more Purchase Periods. The terms and conditons of an Ofering will generally be set forth in the “Ofering Document” approved by the Commitee for that Ofering.</w:t>
      </w:r>
    </w:p>
    <w:p>
      <w:pPr>
        <w:spacing w:after="0" w:line="315" w:lineRule="exact"/>
        <w:rPr>
          <w:rFonts w:ascii="Calibri" w:cs="Calibri" w:eastAsia="Calibri" w:hAnsi="Calibri"/>
          <w:sz w:val="17"/>
          <w:szCs w:val="17"/>
          <w:color w:val="auto"/>
        </w:rPr>
      </w:pPr>
    </w:p>
    <w:p>
      <w:pPr>
        <w:ind w:left="540" w:hanging="224"/>
        <w:spacing w:after="0"/>
        <w:tabs>
          <w:tab w:leader="none" w:pos="540" w:val="left"/>
        </w:tabs>
        <w:numPr>
          <w:ilvl w:val="0"/>
          <w:numId w:val="84"/>
        </w:numPr>
        <w:rPr>
          <w:rFonts w:ascii="Calibri" w:cs="Calibri" w:eastAsia="Calibri" w:hAnsi="Calibri"/>
          <w:sz w:val="17"/>
          <w:szCs w:val="17"/>
          <w:color w:val="auto"/>
        </w:rPr>
      </w:pPr>
      <w:r>
        <w:rPr>
          <w:rFonts w:ascii="Calibri" w:cs="Calibri" w:eastAsia="Calibri" w:hAnsi="Calibri"/>
          <w:sz w:val="17"/>
          <w:szCs w:val="17"/>
          <w:color w:val="auto"/>
        </w:rPr>
        <w:t>“Ofering Date” means a date selected by the Commitee for an Ofering to commence.</w:t>
      </w:r>
    </w:p>
    <w:p>
      <w:pPr>
        <w:spacing w:after="0" w:line="312" w:lineRule="exact"/>
        <w:rPr>
          <w:rFonts w:ascii="Calibri" w:cs="Calibri" w:eastAsia="Calibri" w:hAnsi="Calibri"/>
          <w:sz w:val="17"/>
          <w:szCs w:val="17"/>
          <w:color w:val="auto"/>
        </w:rPr>
      </w:pPr>
    </w:p>
    <w:p>
      <w:pPr>
        <w:ind w:left="540" w:hanging="224"/>
        <w:spacing w:after="0"/>
        <w:tabs>
          <w:tab w:leader="none" w:pos="540" w:val="left"/>
        </w:tabs>
        <w:numPr>
          <w:ilvl w:val="0"/>
          <w:numId w:val="84"/>
        </w:numPr>
        <w:rPr>
          <w:rFonts w:ascii="Calibri" w:cs="Calibri" w:eastAsia="Calibri" w:hAnsi="Calibri"/>
          <w:sz w:val="17"/>
          <w:szCs w:val="17"/>
          <w:color w:val="auto"/>
        </w:rPr>
      </w:pPr>
      <w:r>
        <w:rPr>
          <w:rFonts w:ascii="Calibri" w:cs="Calibri" w:eastAsia="Calibri" w:hAnsi="Calibri"/>
          <w:sz w:val="17"/>
          <w:szCs w:val="17"/>
          <w:color w:val="auto"/>
        </w:rPr>
        <w:t>“Ofcer” means a person who is an ofcer of the Company or a Related Corporaton within the meaning of Secton 16 of the Exchange Act.</w:t>
      </w:r>
    </w:p>
    <w:p>
      <w:pPr>
        <w:spacing w:after="0" w:line="312" w:lineRule="exact"/>
        <w:rPr>
          <w:rFonts w:ascii="Calibri" w:cs="Calibri" w:eastAsia="Calibri" w:hAnsi="Calibri"/>
          <w:sz w:val="17"/>
          <w:szCs w:val="17"/>
          <w:color w:val="auto"/>
        </w:rPr>
      </w:pPr>
    </w:p>
    <w:p>
      <w:pPr>
        <w:ind w:left="580" w:hanging="264"/>
        <w:spacing w:after="0"/>
        <w:tabs>
          <w:tab w:leader="none" w:pos="580" w:val="left"/>
        </w:tabs>
        <w:numPr>
          <w:ilvl w:val="0"/>
          <w:numId w:val="84"/>
        </w:numPr>
        <w:rPr>
          <w:rFonts w:ascii="Calibri" w:cs="Calibri" w:eastAsia="Calibri" w:hAnsi="Calibri"/>
          <w:sz w:val="17"/>
          <w:szCs w:val="17"/>
          <w:color w:val="auto"/>
        </w:rPr>
      </w:pPr>
      <w:r>
        <w:rPr>
          <w:rFonts w:ascii="Calibri" w:cs="Calibri" w:eastAsia="Calibri" w:hAnsi="Calibri"/>
          <w:sz w:val="17"/>
          <w:szCs w:val="17"/>
          <w:color w:val="auto"/>
        </w:rPr>
        <w:t>“Partcipant” means an Eligible Employee who holds an outstanding Purchase Right.</w:t>
      </w:r>
    </w:p>
    <w:p>
      <w:pPr>
        <w:spacing w:after="0" w:line="312" w:lineRule="exact"/>
        <w:rPr>
          <w:rFonts w:ascii="Calibri" w:cs="Calibri" w:eastAsia="Calibri" w:hAnsi="Calibri"/>
          <w:sz w:val="17"/>
          <w:szCs w:val="17"/>
          <w:color w:val="auto"/>
        </w:rPr>
      </w:pPr>
    </w:p>
    <w:p>
      <w:pPr>
        <w:ind w:left="540" w:hanging="224"/>
        <w:spacing w:after="0"/>
        <w:tabs>
          <w:tab w:leader="none" w:pos="540" w:val="left"/>
        </w:tabs>
        <w:numPr>
          <w:ilvl w:val="0"/>
          <w:numId w:val="84"/>
        </w:numPr>
        <w:rPr>
          <w:rFonts w:ascii="Calibri" w:cs="Calibri" w:eastAsia="Calibri" w:hAnsi="Calibri"/>
          <w:sz w:val="17"/>
          <w:szCs w:val="17"/>
          <w:color w:val="auto"/>
        </w:rPr>
      </w:pPr>
      <w:r>
        <w:rPr>
          <w:rFonts w:ascii="Calibri" w:cs="Calibri" w:eastAsia="Calibri" w:hAnsi="Calibri"/>
          <w:sz w:val="17"/>
          <w:szCs w:val="17"/>
          <w:color w:val="auto"/>
        </w:rPr>
        <w:t>“Plan” means this ExlService Holdings, Inc. 2022 Employee Stock Purchase Plan, as amended from tme to tme.</w:t>
      </w:r>
    </w:p>
    <w:p>
      <w:pPr>
        <w:spacing w:after="0" w:line="127" w:lineRule="exact"/>
        <w:rPr>
          <w:sz w:val="20"/>
          <w:szCs w:val="20"/>
          <w:color w:val="auto"/>
        </w:rPr>
      </w:pPr>
    </w:p>
    <w:p>
      <w:pPr>
        <w:ind w:left="960"/>
        <w:spacing w:after="0"/>
        <w:tabs>
          <w:tab w:leader="none" w:pos="1460" w:val="left"/>
          <w:tab w:leader="none" w:pos="1800" w:val="left"/>
        </w:tabs>
        <w:rPr>
          <w:sz w:val="20"/>
          <w:szCs w:val="20"/>
          <w:color w:val="auto"/>
        </w:rPr>
      </w:pPr>
      <w:r>
        <w:rPr>
          <w:rFonts w:ascii="Calibri" w:cs="Calibri" w:eastAsia="Calibri" w:hAnsi="Calibri"/>
          <w:sz w:val="17"/>
          <w:szCs w:val="17"/>
          <w:b w:val="1"/>
          <w:bCs w:val="1"/>
          <w:color w:val="auto"/>
        </w:rPr>
        <w:t>140</w:t>
      </w:r>
      <w:r>
        <w:rPr>
          <w:sz w:val="20"/>
          <w:szCs w:val="20"/>
          <w:color w:val="auto"/>
        </w:rPr>
        <w:tab/>
      </w:r>
      <w:r>
        <w:rPr>
          <w:rFonts w:ascii="Calibri" w:cs="Calibri" w:eastAsia="Calibri" w:hAnsi="Calibri"/>
          <w:sz w:val="28"/>
          <w:szCs w:val="28"/>
          <w:b w:val="1"/>
          <w:bCs w:val="1"/>
          <w:color w:val="FB4E0B"/>
        </w:rPr>
        <w:t>/</w:t>
      </w:r>
      <w:r>
        <w:rPr>
          <w:sz w:val="20"/>
          <w:szCs w:val="20"/>
          <w:color w:val="auto"/>
        </w:rPr>
        <w:tab/>
      </w:r>
      <w:r>
        <w:rPr>
          <w:rFonts w:ascii="Calibri" w:cs="Calibri" w:eastAsia="Calibri" w:hAnsi="Calibri"/>
          <w:sz w:val="12"/>
          <w:szCs w:val="12"/>
          <w:color w:val="auto"/>
        </w:rPr>
        <w:t>EXL 2022 Proxy Statement</w:t>
      </w:r>
    </w:p>
    <w:p>
      <w:pPr>
        <w:sectPr>
          <w:pgSz w:w="11900" w:h="16838" w:orient="portrait"/>
          <w:cols w:equalWidth="0" w:num="1">
            <w:col w:w="10880"/>
          </w:cols>
          <w:pgMar w:left="320" w:top="445" w:right="6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939280" cy="6527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3928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Calibri" w:cs="Calibri" w:eastAsia="Calibri" w:hAnsi="Calibri"/>
          <w:sz w:val="14"/>
          <w:szCs w:val="14"/>
          <w:b w:val="1"/>
          <w:bCs w:val="1"/>
          <w:color w:val="D8D8D8"/>
        </w:rPr>
        <w:t>Annex A</w:t>
      </w:r>
    </w:p>
    <w:p>
      <w:pPr>
        <w:spacing w:after="0" w:line="140" w:lineRule="exact"/>
        <w:rPr>
          <w:sz w:val="20"/>
          <w:szCs w:val="20"/>
          <w:color w:val="auto"/>
        </w:rPr>
      </w:pPr>
    </w:p>
    <w:p>
      <w:pPr>
        <w:ind w:left="320" w:right="400" w:hanging="4"/>
        <w:spacing w:after="0" w:line="239" w:lineRule="auto"/>
        <w:tabs>
          <w:tab w:leader="none" w:pos="537" w:val="left"/>
        </w:tabs>
        <w:numPr>
          <w:ilvl w:val="0"/>
          <w:numId w:val="85"/>
        </w:numPr>
        <w:rPr>
          <w:rFonts w:ascii="Calibri" w:cs="Calibri" w:eastAsia="Calibri" w:hAnsi="Calibri"/>
          <w:sz w:val="17"/>
          <w:szCs w:val="17"/>
          <w:color w:val="auto"/>
        </w:rPr>
      </w:pPr>
      <w:r>
        <w:rPr>
          <w:rFonts w:ascii="Calibri" w:cs="Calibri" w:eastAsia="Calibri" w:hAnsi="Calibri"/>
          <w:sz w:val="17"/>
          <w:szCs w:val="17"/>
          <w:color w:val="auto"/>
        </w:rPr>
        <w:t>“Purchase Date” means one or more dates during an Ofering selected by the Commitee on which Purchase Rights will be exercised and on which purchases of Common Stock will be carried out in accordance with such Ofering.</w:t>
      </w:r>
    </w:p>
    <w:p>
      <w:pPr>
        <w:spacing w:after="0" w:line="315" w:lineRule="exact"/>
        <w:rPr>
          <w:rFonts w:ascii="Calibri" w:cs="Calibri" w:eastAsia="Calibri" w:hAnsi="Calibri"/>
          <w:sz w:val="17"/>
          <w:szCs w:val="17"/>
          <w:color w:val="auto"/>
        </w:rPr>
      </w:pPr>
    </w:p>
    <w:p>
      <w:pPr>
        <w:ind w:left="320" w:right="60" w:hanging="4"/>
        <w:spacing w:after="0" w:line="239" w:lineRule="auto"/>
        <w:tabs>
          <w:tab w:leader="none" w:pos="528" w:val="left"/>
        </w:tabs>
        <w:numPr>
          <w:ilvl w:val="0"/>
          <w:numId w:val="85"/>
        </w:numPr>
        <w:rPr>
          <w:rFonts w:ascii="Calibri" w:cs="Calibri" w:eastAsia="Calibri" w:hAnsi="Calibri"/>
          <w:sz w:val="17"/>
          <w:szCs w:val="17"/>
          <w:color w:val="auto"/>
        </w:rPr>
      </w:pPr>
      <w:r>
        <w:rPr>
          <w:rFonts w:ascii="Calibri" w:cs="Calibri" w:eastAsia="Calibri" w:hAnsi="Calibri"/>
          <w:sz w:val="17"/>
          <w:szCs w:val="17"/>
          <w:color w:val="auto"/>
        </w:rPr>
        <w:t>“Purchase Period” means a period of tme specifed within an Ofering, generally beginning on the Ofering Date or on the frst Trading Day following an Ofering Date, and ending on a Purchase Date. An Ofering may consist of one or more Purchase Periods.</w:t>
      </w:r>
    </w:p>
    <w:p>
      <w:pPr>
        <w:spacing w:after="0" w:line="314" w:lineRule="exact"/>
        <w:rPr>
          <w:sz w:val="20"/>
          <w:szCs w:val="20"/>
          <w:color w:val="auto"/>
        </w:rPr>
      </w:pPr>
    </w:p>
    <w:p>
      <w:pPr>
        <w:ind w:left="620" w:hanging="304"/>
        <w:spacing w:after="0"/>
        <w:tabs>
          <w:tab w:leader="none" w:pos="620" w:val="left"/>
        </w:tabs>
        <w:numPr>
          <w:ilvl w:val="0"/>
          <w:numId w:val="86"/>
        </w:numPr>
        <w:rPr>
          <w:rFonts w:ascii="Calibri" w:cs="Calibri" w:eastAsia="Calibri" w:hAnsi="Calibri"/>
          <w:sz w:val="17"/>
          <w:szCs w:val="17"/>
          <w:color w:val="auto"/>
        </w:rPr>
      </w:pPr>
      <w:r>
        <w:rPr>
          <w:rFonts w:ascii="Calibri" w:cs="Calibri" w:eastAsia="Calibri" w:hAnsi="Calibri"/>
          <w:sz w:val="17"/>
          <w:szCs w:val="17"/>
          <w:color w:val="auto"/>
        </w:rPr>
        <w:t>“Purchase Right” means an opton to purchase Common Stock granted pursuant to the Plan.</w:t>
      </w:r>
    </w:p>
    <w:p>
      <w:pPr>
        <w:spacing w:after="0" w:line="314" w:lineRule="exact"/>
        <w:rPr>
          <w:rFonts w:ascii="Calibri" w:cs="Calibri" w:eastAsia="Calibri" w:hAnsi="Calibri"/>
          <w:sz w:val="17"/>
          <w:szCs w:val="17"/>
          <w:color w:val="auto"/>
        </w:rPr>
      </w:pPr>
    </w:p>
    <w:p>
      <w:pPr>
        <w:ind w:left="320" w:right="360" w:hanging="4"/>
        <w:spacing w:after="0" w:line="239" w:lineRule="auto"/>
        <w:tabs>
          <w:tab w:leader="none" w:pos="639" w:val="left"/>
        </w:tabs>
        <w:numPr>
          <w:ilvl w:val="0"/>
          <w:numId w:val="86"/>
        </w:numPr>
        <w:rPr>
          <w:rFonts w:ascii="Calibri" w:cs="Calibri" w:eastAsia="Calibri" w:hAnsi="Calibri"/>
          <w:sz w:val="17"/>
          <w:szCs w:val="17"/>
          <w:color w:val="auto"/>
        </w:rPr>
      </w:pPr>
      <w:r>
        <w:rPr>
          <w:rFonts w:ascii="Calibri" w:cs="Calibri" w:eastAsia="Calibri" w:hAnsi="Calibri"/>
          <w:sz w:val="17"/>
          <w:szCs w:val="17"/>
          <w:color w:val="auto"/>
        </w:rPr>
        <w:t>“Related Corporaton” means any “parent corporaton” or “subsidiary corporaton” of the Company whether now or subsequently established, as those terms are defned in Sectons 424(e) and (f), respectvely, of the Code.</w:t>
      </w:r>
    </w:p>
    <w:p>
      <w:pPr>
        <w:spacing w:after="0" w:line="313" w:lineRule="exact"/>
        <w:rPr>
          <w:rFonts w:ascii="Calibri" w:cs="Calibri" w:eastAsia="Calibri" w:hAnsi="Calibri"/>
          <w:sz w:val="17"/>
          <w:szCs w:val="17"/>
          <w:color w:val="auto"/>
        </w:rPr>
      </w:pPr>
    </w:p>
    <w:p>
      <w:pPr>
        <w:ind w:left="600" w:hanging="284"/>
        <w:spacing w:after="0"/>
        <w:tabs>
          <w:tab w:leader="none" w:pos="600" w:val="left"/>
        </w:tabs>
        <w:numPr>
          <w:ilvl w:val="0"/>
          <w:numId w:val="86"/>
        </w:numPr>
        <w:rPr>
          <w:rFonts w:ascii="Calibri" w:cs="Calibri" w:eastAsia="Calibri" w:hAnsi="Calibri"/>
          <w:sz w:val="17"/>
          <w:szCs w:val="17"/>
          <w:color w:val="auto"/>
        </w:rPr>
      </w:pPr>
      <w:r>
        <w:rPr>
          <w:rFonts w:ascii="Calibri" w:cs="Calibri" w:eastAsia="Calibri" w:hAnsi="Calibri"/>
          <w:sz w:val="17"/>
          <w:szCs w:val="17"/>
          <w:color w:val="auto"/>
        </w:rPr>
        <w:t>“Securites Act” means the U.S. Securites Act of 1933, as amended.</w:t>
      </w:r>
    </w:p>
    <w:p>
      <w:pPr>
        <w:spacing w:after="0" w:line="314" w:lineRule="exact"/>
        <w:rPr>
          <w:rFonts w:ascii="Calibri" w:cs="Calibri" w:eastAsia="Calibri" w:hAnsi="Calibri"/>
          <w:sz w:val="17"/>
          <w:szCs w:val="17"/>
          <w:color w:val="auto"/>
        </w:rPr>
      </w:pPr>
    </w:p>
    <w:p>
      <w:pPr>
        <w:ind w:left="320" w:right="140" w:hanging="4"/>
        <w:spacing w:after="0"/>
        <w:tabs>
          <w:tab w:leader="none" w:pos="639" w:val="left"/>
        </w:tabs>
        <w:numPr>
          <w:ilvl w:val="0"/>
          <w:numId w:val="86"/>
        </w:numPr>
        <w:rPr>
          <w:rFonts w:ascii="Calibri" w:cs="Calibri" w:eastAsia="Calibri" w:hAnsi="Calibri"/>
          <w:sz w:val="17"/>
          <w:szCs w:val="17"/>
          <w:color w:val="auto"/>
        </w:rPr>
      </w:pPr>
      <w:r>
        <w:rPr>
          <w:rFonts w:ascii="Calibri" w:cs="Calibri" w:eastAsia="Calibri" w:hAnsi="Calibri"/>
          <w:sz w:val="17"/>
          <w:szCs w:val="17"/>
          <w:color w:val="auto"/>
        </w:rPr>
        <w:t>“Subsidiary” means, with respect to the Company, (i) any corporaton of which more than ffy percent (50%) of the outstanding share capital having ordinary votng power to elect a majority of the board of directors of such corporaton (irrespectve of whether, at the tme, shares of any other class or classes of such corporaton will have or might have votng power by reason of the happening of any contngency) is at the tme, directly or indirectly, Owned by the Company, and (ii) any partnership, limited liability company or other entty in which the Company has a direct or indirect interest (whether in the form of votng or partcipaton in profts or capital contributon) of more than ffy percent (50%). For purposes of the foregoing clause (i), the Company will be deemed to “Own” or have “Owned” such securites if the Company, directly or indirectly, through any contract, arrangement, understanding, relatonship or otherwise, has or shares votng power, which includes the power to vote or to direct the votng, with respect to such securites.</w:t>
      </w:r>
    </w:p>
    <w:p>
      <w:pPr>
        <w:spacing w:after="0" w:line="317" w:lineRule="exact"/>
        <w:rPr>
          <w:rFonts w:ascii="Calibri" w:cs="Calibri" w:eastAsia="Calibri" w:hAnsi="Calibri"/>
          <w:sz w:val="17"/>
          <w:szCs w:val="17"/>
          <w:color w:val="auto"/>
        </w:rPr>
      </w:pPr>
    </w:p>
    <w:p>
      <w:pPr>
        <w:jc w:val="both"/>
        <w:ind w:left="320" w:right="120" w:hanging="4"/>
        <w:spacing w:after="0" w:line="239" w:lineRule="auto"/>
        <w:tabs>
          <w:tab w:leader="none" w:pos="629" w:val="left"/>
        </w:tabs>
        <w:numPr>
          <w:ilvl w:val="0"/>
          <w:numId w:val="86"/>
        </w:numPr>
        <w:rPr>
          <w:rFonts w:ascii="Calibri" w:cs="Calibri" w:eastAsia="Calibri" w:hAnsi="Calibri"/>
          <w:sz w:val="17"/>
          <w:szCs w:val="17"/>
          <w:color w:val="auto"/>
        </w:rPr>
      </w:pPr>
      <w:r>
        <w:rPr>
          <w:rFonts w:ascii="Calibri" w:cs="Calibri" w:eastAsia="Calibri" w:hAnsi="Calibri"/>
          <w:sz w:val="17"/>
          <w:szCs w:val="17"/>
          <w:color w:val="auto"/>
        </w:rPr>
        <w:t>“Tax-Related Items” means any income tax, social insurance, payroll tax, fringe beneft tax, payment on account or other tax-related items arising out of or in relaton to a Partcipant’s partcipaton in the Plan, including, but not limited to, the exercise of a Purchase Right and the receipt of Common Stock or the sale or other dispositon of Common Stock acquired under the Plan.</w:t>
      </w:r>
    </w:p>
    <w:p>
      <w:pPr>
        <w:spacing w:after="0" w:line="317" w:lineRule="exact"/>
        <w:rPr>
          <w:sz w:val="20"/>
          <w:szCs w:val="20"/>
          <w:color w:val="auto"/>
        </w:rPr>
      </w:pPr>
    </w:p>
    <w:p>
      <w:pPr>
        <w:ind w:left="320" w:right="220" w:hanging="4"/>
        <w:spacing w:after="0" w:line="239" w:lineRule="auto"/>
        <w:tabs>
          <w:tab w:leader="none" w:pos="562" w:val="left"/>
        </w:tabs>
        <w:numPr>
          <w:ilvl w:val="0"/>
          <w:numId w:val="87"/>
        </w:numPr>
        <w:rPr>
          <w:rFonts w:ascii="Calibri" w:cs="Calibri" w:eastAsia="Calibri" w:hAnsi="Calibri"/>
          <w:sz w:val="17"/>
          <w:szCs w:val="17"/>
          <w:color w:val="auto"/>
        </w:rPr>
      </w:pPr>
      <w:r>
        <w:rPr>
          <w:rFonts w:ascii="Calibri" w:cs="Calibri" w:eastAsia="Calibri" w:hAnsi="Calibri"/>
          <w:sz w:val="17"/>
          <w:szCs w:val="17"/>
          <w:color w:val="auto"/>
        </w:rPr>
        <w:t>“Trading Day” means any day on which the exchange(s) or market(s) on which Common Stock is listed, including but not limited to the NYSE, Nasdaq Global Select Market, the Nasdaq Global Market, the Nasdaq Capital Market or any successors thereto, is open for trading.</w:t>
      </w:r>
    </w:p>
    <w:p>
      <w:pPr>
        <w:spacing w:after="0" w:line="127" w:lineRule="exact"/>
        <w:rPr>
          <w:sz w:val="20"/>
          <w:szCs w:val="20"/>
          <w:color w:val="auto"/>
        </w:rPr>
      </w:pPr>
    </w:p>
    <w:tbl>
      <w:tblPr>
        <w:tblLayout w:type="fixed"/>
        <w:tblInd w:w="8020" w:type="dxa"/>
        <w:tblCellMar>
          <w:top w:w="0" w:type="dxa"/>
          <w:left w:w="0" w:type="dxa"/>
          <w:bottom w:w="0" w:type="dxa"/>
          <w:right w:w="0" w:type="dxa"/>
        </w:tblCellMar>
      </w:tblPr>
      <w:tr>
        <w:trPr>
          <w:trHeight w:val="342"/>
        </w:trPr>
        <w:tc>
          <w:tcPr>
            <w:tcW w:w="1860" w:type="dxa"/>
            <w:vAlign w:val="bottom"/>
          </w:tcPr>
          <w:p>
            <w:pPr>
              <w:spacing w:after="0"/>
              <w:rPr>
                <w:sz w:val="20"/>
                <w:szCs w:val="20"/>
                <w:color w:val="auto"/>
              </w:rPr>
            </w:pPr>
            <w:r>
              <w:rPr>
                <w:rFonts w:ascii="Calibri" w:cs="Calibri" w:eastAsia="Calibri" w:hAnsi="Calibri"/>
                <w:sz w:val="13"/>
                <w:szCs w:val="13"/>
                <w:color w:val="auto"/>
                <w:w w:val="99"/>
              </w:rPr>
              <w:t>EXL 2022 Proxy Statement</w:t>
            </w:r>
            <w:r>
              <w:rPr>
                <w:rFonts w:ascii="Calibri" w:cs="Calibri" w:eastAsia="Calibri" w:hAnsi="Calibri"/>
                <w:sz w:val="28"/>
                <w:szCs w:val="28"/>
                <w:b w:val="1"/>
                <w:bCs w:val="1"/>
                <w:color w:val="FB4E0B"/>
                <w:w w:val="99"/>
              </w:rPr>
              <w:t>/</w:t>
            </w:r>
          </w:p>
        </w:tc>
        <w:tc>
          <w:tcPr>
            <w:tcW w:w="400" w:type="dxa"/>
            <w:vAlign w:val="bottom"/>
          </w:tcPr>
          <w:p>
            <w:pPr>
              <w:jc w:val="right"/>
              <w:spacing w:after="0"/>
              <w:rPr>
                <w:sz w:val="20"/>
                <w:szCs w:val="20"/>
                <w:color w:val="auto"/>
              </w:rPr>
            </w:pPr>
            <w:r>
              <w:rPr>
                <w:rFonts w:ascii="Calibri" w:cs="Calibri" w:eastAsia="Calibri" w:hAnsi="Calibri"/>
                <w:sz w:val="17"/>
                <w:szCs w:val="17"/>
                <w:b w:val="1"/>
                <w:bCs w:val="1"/>
                <w:color w:val="auto"/>
              </w:rPr>
              <w:t>141</w:t>
            </w:r>
          </w:p>
        </w:tc>
      </w:tr>
    </w:tbl>
    <w:p>
      <w:pPr>
        <w:sectPr>
          <w:pgSz w:w="11900" w:h="16838" w:orient="portrait"/>
          <w:cols w:equalWidth="0" w:num="1">
            <w:col w:w="10940"/>
          </w:cols>
          <w:pgMar w:left="320" w:top="445" w:right="6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7000240" cy="91198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87649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773545" cy="876490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6773545" cy="87649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773545" cy="8764905"/>
                    </a:xfrm>
                    <a:prstGeom prst="rect">
                      <a:avLst/>
                    </a:prstGeom>
                    <a:noFill/>
                  </pic:spPr>
                </pic:pic>
              </a:graphicData>
            </a:graphic>
          </wp:anchor>
        </w:drawing>
      </w:r>
    </w:p>
    <w:sectPr>
      <w:pgSz w:w="11900" w:h="16838" w:orient="portrait"/>
      <w:cols w:equalWidth="0" w:num="1">
        <w:col w:w="10139"/>
      </w:cols>
      <w:pgMar w:left="320" w:top="4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lvl w:ilvl="1">
      <w:lvlJc w:val="left"/>
      <w:lvlText w:val="\endash "/>
      <w:numFmt w:val="bullet"/>
      <w:start w:val="1"/>
    </w:lvl>
  </w:abstractNum>
  <w:abstractNum w:abstractNumId="12">
    <w:nsid w:val="749ABB43"/>
    <w:multiLevelType w:val="hybridMultilevel"/>
    <w:lvl w:ilvl="0">
      <w:lvlJc w:val="left"/>
      <w:lvlText w:val="(%1)"/>
      <w:numFmt w:val="lowerRoman"/>
      <w:start w:val="1"/>
    </w:lvl>
  </w:abstractNum>
  <w:abstractNum w:abstractNumId="13">
    <w:nsid w:val="3DC240FB"/>
    <w:multiLevelType w:val="hybridMultilevel"/>
    <w:lvl w:ilvl="0">
      <w:lvlJc w:val="left"/>
      <w:lvlText w:val="(%1)"/>
      <w:numFmt w:val="lowerRoman"/>
      <w:start w:val="4"/>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4"/>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lvl w:ilvl="1">
      <w:lvlJc w:val="left"/>
      <w:lvlText w:val="\endash "/>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1)"/>
      <w:numFmt w:val="decimal"/>
      <w:start w:val="1"/>
    </w:lvl>
  </w:abstractNum>
  <w:abstractNum w:abstractNumId="23">
    <w:nsid w:val="649BB77C"/>
    <w:multiLevelType w:val="hybridMultilevel"/>
    <w:lvl w:ilvl="0">
      <w:lvlJc w:val="left"/>
      <w:lvlText w:val="•"/>
      <w:numFmt w:val="bullet"/>
      <w:start w:val="1"/>
    </w:lvl>
    <w:lvl w:ilvl="1">
      <w:lvlJc w:val="left"/>
      <w:lvlText w:val="\endash "/>
      <w:numFmt w:val="bullet"/>
      <w:start w:val="1"/>
    </w:lvl>
  </w:abstractNum>
  <w:abstractNum w:abstractNumId="24">
    <w:nsid w:val="275AC794"/>
    <w:multiLevelType w:val="hybridMultilevel"/>
    <w:lvl w:ilvl="0">
      <w:lvlJc w:val="left"/>
      <w:lvlText w:val="\endash "/>
      <w:numFmt w:val="bullet"/>
      <w:start w:val="1"/>
    </w:lvl>
  </w:abstractNum>
  <w:abstractNum w:abstractNumId="25">
    <w:nsid w:val="39386575"/>
    <w:multiLevelType w:val="hybridMultilevel"/>
    <w:lvl w:ilvl="0">
      <w:lvlJc w:val="left"/>
      <w:lvlText w:val="\endash "/>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decimal"/>
      <w:start w:val="3"/>
    </w:lvl>
  </w:abstractNum>
  <w:abstractNum w:abstractNumId="29">
    <w:nsid w:val="47398C89"/>
    <w:multiLevelType w:val="hybridMultilevel"/>
    <w:lvl w:ilvl="0">
      <w:lvlJc w:val="left"/>
      <w:lvlText w:val="(%1)"/>
      <w:numFmt w:val="decimal"/>
      <w:start w:val="1"/>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1)"/>
      <w:numFmt w:val="decimal"/>
      <w:start w:val="2"/>
    </w:lvl>
    <w:lvl w:ilvl="1">
      <w:lvlJc w:val="left"/>
      <w:lvlText w:val="(%2)"/>
      <w:numFmt w:val="lowerLetter"/>
      <w:start w:val="1"/>
    </w:lvl>
  </w:abstractNum>
  <w:abstractNum w:abstractNumId="32">
    <w:nsid w:val="741226BB"/>
    <w:multiLevelType w:val="hybridMultilevel"/>
    <w:lvl w:ilvl="0">
      <w:lvlJc w:val="left"/>
      <w:lvlText w:val="(%1)"/>
      <w:numFmt w:val="decimal"/>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1)"/>
      <w:numFmt w:val="decimal"/>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1)"/>
      <w:numFmt w:val="decimal"/>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decimal"/>
      <w:start w:val="4"/>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1)"/>
      <w:numFmt w:val="decimal"/>
      <w:start w:val="1"/>
    </w:lvl>
  </w:abstractNum>
  <w:abstractNum w:abstractNumId="44">
    <w:nsid w:val="1DBABF00"/>
    <w:multiLevelType w:val="hybridMultilevel"/>
    <w:lvl w:ilvl="0">
      <w:lvlJc w:val="left"/>
      <w:lvlText w:val="(%1)"/>
      <w:numFmt w:val="decimal"/>
      <w:start w:val="8"/>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1)"/>
      <w:numFmt w:val="lowerRoman"/>
      <w:start w:val="1"/>
    </w:lvl>
  </w:abstractNum>
  <w:abstractNum w:abstractNumId="47">
    <w:nsid w:val="1381823A"/>
    <w:multiLevelType w:val="hybridMultilevel"/>
    <w:lvl w:ilvl="0">
      <w:lvlJc w:val="left"/>
      <w:lvlText w:val="(%1)"/>
      <w:numFmt w:val="lowerRoman"/>
      <w:start w:val="3"/>
    </w:lvl>
  </w:abstractNum>
  <w:abstractNum w:abstractNumId="48">
    <w:nsid w:val="5DB70AE5"/>
    <w:multiLevelType w:val="hybridMultilevel"/>
    <w:lvl w:ilvl="0">
      <w:lvlJc w:val="left"/>
      <w:lvlText w:val="(%1)"/>
      <w:numFmt w:val="lowerRoman"/>
      <w:start w:val="1"/>
    </w:lvl>
    <w:lvl w:ilvl="1">
      <w:lvlJc w:val="left"/>
      <w:lvlText w:val="(%2)"/>
      <w:numFmt w:val="upperLetter"/>
      <w:start w:val="1"/>
    </w:lvl>
  </w:abstractNum>
  <w:abstractNum w:abstractNumId="49">
    <w:nsid w:val="100F8FCA"/>
    <w:multiLevelType w:val="hybridMultilevel"/>
    <w:lvl w:ilvl="0">
      <w:lvlJc w:val="left"/>
      <w:lvlText w:val="(%1)"/>
      <w:numFmt w:val="lowerRoman"/>
      <w:start w:val="2"/>
    </w:lvl>
  </w:abstractNum>
  <w:abstractNum w:abstractNumId="50">
    <w:nsid w:val="6590700B"/>
    <w:multiLevelType w:val="hybridMultilevel"/>
    <w:lvl w:ilvl="0">
      <w:lvlJc w:val="left"/>
      <w:lvlText w:val="(%1)"/>
      <w:numFmt w:val="lowerRoman"/>
      <w:start w:val="3"/>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1)"/>
      <w:numFmt w:val="lowerLetter"/>
      <w:start w:val="1"/>
    </w:lvl>
  </w:abstractNum>
  <w:abstractNum w:abstractNumId="54">
    <w:nsid w:val="799D0247"/>
    <w:multiLevelType w:val="hybridMultilevel"/>
    <w:lvl w:ilvl="0">
      <w:lvlJc w:val="left"/>
      <w:lvlText w:val="(%1)"/>
      <w:numFmt w:val="lowerLetter"/>
      <w:start w:val="1"/>
    </w:lvl>
  </w:abstractNum>
  <w:abstractNum w:abstractNumId="55">
    <w:nsid w:val="6B94764"/>
    <w:multiLevelType w:val="hybridMultilevel"/>
    <w:lvl w:ilvl="0">
      <w:lvlJc w:val="left"/>
      <w:lvlText w:val="(%1)"/>
      <w:numFmt w:val="lowerRoman"/>
      <w:start w:val="1"/>
    </w:lvl>
  </w:abstractNum>
  <w:abstractNum w:abstractNumId="56">
    <w:nsid w:val="42C296BD"/>
    <w:multiLevelType w:val="hybridMultilevel"/>
    <w:lvl w:ilvl="0">
      <w:lvlJc w:val="left"/>
      <w:lvlText w:val="(%1)"/>
      <w:numFmt w:val="lowerRoman"/>
      <w:start w:val="7"/>
    </w:lvl>
  </w:abstractNum>
  <w:abstractNum w:abstractNumId="57">
    <w:nsid w:val="168E121F"/>
    <w:multiLevelType w:val="hybridMultilevel"/>
    <w:lvl w:ilvl="0">
      <w:lvlJc w:val="left"/>
      <w:lvlText w:val="(%1)"/>
      <w:numFmt w:val="lowerLetter"/>
      <w:start w:val="3"/>
    </w:lvl>
  </w:abstractNum>
  <w:abstractNum w:abstractNumId="58">
    <w:nsid w:val="1EBA5D23"/>
    <w:multiLevelType w:val="hybridMultilevel"/>
    <w:lvl w:ilvl="0">
      <w:lvlJc w:val="left"/>
      <w:lvlText w:val="(%1)"/>
      <w:numFmt w:val="lowerLetter"/>
      <w:start w:val="1"/>
    </w:lvl>
  </w:abstractNum>
  <w:abstractNum w:abstractNumId="59">
    <w:nsid w:val="661E3F1E"/>
    <w:multiLevelType w:val="hybridMultilevel"/>
    <w:lvl w:ilvl="0">
      <w:lvlJc w:val="left"/>
      <w:lvlText w:val="(%1)"/>
      <w:numFmt w:val="lowerLetter"/>
      <w:start w:val="1"/>
    </w:lvl>
  </w:abstractNum>
  <w:abstractNum w:abstractNumId="60">
    <w:nsid w:val="5DC79EA8"/>
    <w:multiLevelType w:val="hybridMultilevel"/>
    <w:lvl w:ilvl="0">
      <w:lvlJc w:val="left"/>
      <w:lvlText w:val="(%1)"/>
      <w:numFmt w:val="lowerRoman"/>
      <w:start w:val="1"/>
    </w:lvl>
  </w:abstractNum>
  <w:abstractNum w:abstractNumId="61">
    <w:nsid w:val="540A471C"/>
    <w:multiLevelType w:val="hybridMultilevel"/>
    <w:lvl w:ilvl="0">
      <w:lvlJc w:val="left"/>
      <w:lvlText w:val="(%1)"/>
      <w:numFmt w:val="lowerLetter"/>
      <w:start w:val="3"/>
    </w:lvl>
  </w:abstractNum>
  <w:abstractNum w:abstractNumId="62">
    <w:nsid w:val="7BD3EE7B"/>
    <w:multiLevelType w:val="hybridMultilevel"/>
    <w:lvl w:ilvl="0">
      <w:lvlJc w:val="left"/>
      <w:lvlText w:val="(%1)"/>
      <w:numFmt w:val="lowerLetter"/>
      <w:start w:val="5"/>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lowerRoman"/>
      <w:start w:val="1"/>
    </w:lvl>
  </w:abstractNum>
  <w:abstractNum w:abstractNumId="65">
    <w:nsid w:val="BF72B14"/>
    <w:multiLevelType w:val="hybridMultilevel"/>
    <w:lvl w:ilvl="0">
      <w:lvlJc w:val="left"/>
      <w:lvlText w:val="(%1)"/>
      <w:numFmt w:val="lowerLetter"/>
      <w:start w:val="1"/>
    </w:lvl>
  </w:abstractNum>
  <w:abstractNum w:abstractNumId="66">
    <w:nsid w:val="11447B73"/>
    <w:multiLevelType w:val="hybridMultilevel"/>
    <w:lvl w:ilvl="0">
      <w:lvlJc w:val="left"/>
      <w:lvlText w:val="(%1)"/>
      <w:numFmt w:val="lowerLetter"/>
      <w:start w:val="2"/>
    </w:lvl>
  </w:abstractNum>
  <w:abstractNum w:abstractNumId="67">
    <w:nsid w:val="42963E5A"/>
    <w:multiLevelType w:val="hybridMultilevel"/>
    <w:lvl w:ilvl="0">
      <w:lvlJc w:val="left"/>
      <w:lvlText w:val="(%1)"/>
      <w:numFmt w:val="lowerLetter"/>
      <w:start w:val="35"/>
    </w:lvl>
  </w:abstractNum>
  <w:abstractNum w:abstractNumId="68">
    <w:nsid w:val="A0382C5"/>
    <w:multiLevelType w:val="hybridMultilevel"/>
    <w:lvl w:ilvl="0">
      <w:lvlJc w:val="left"/>
      <w:lvlText w:val="(%1)"/>
      <w:numFmt w:val="lowerLetter"/>
      <w:start w:val="4"/>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1"/>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lowerLetter"/>
      <w:start w:val="2"/>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1"/>
    </w:lvl>
  </w:abstractNum>
  <w:abstractNum w:abstractNumId="76">
    <w:nsid w:val="14330624"/>
    <w:multiLevelType w:val="hybridMultilevel"/>
    <w:lvl w:ilvl="0">
      <w:lvlJc w:val="left"/>
      <w:lvlText w:val="(%1)"/>
      <w:numFmt w:val="lowerLetter"/>
      <w:start w:val="4"/>
    </w:lvl>
  </w:abstractNum>
  <w:abstractNum w:abstractNumId="77">
    <w:nsid w:val="7FFFCA11"/>
    <w:multiLevelType w:val="hybridMultilevel"/>
    <w:lvl w:ilvl="0">
      <w:lvlJc w:val="left"/>
      <w:lvlText w:val="(%1)"/>
      <w:numFmt w:val="lowerLetter"/>
      <w:start w:val="1"/>
    </w:lvl>
  </w:abstractNum>
  <w:abstractNum w:abstractNumId="78">
    <w:nsid w:val="1A27709E"/>
    <w:multiLevelType w:val="hybridMultilevel"/>
    <w:lvl w:ilvl="0">
      <w:lvlJc w:val="left"/>
      <w:lvlText w:val="(%1)"/>
      <w:numFmt w:val="lowerLetter"/>
      <w:start w:val="4"/>
    </w:lvl>
  </w:abstractNum>
  <w:abstractNum w:abstractNumId="79">
    <w:nsid w:val="71EA1109"/>
    <w:multiLevelType w:val="hybridMultilevel"/>
    <w:lvl w:ilvl="0">
      <w:lvlJc w:val="left"/>
      <w:lvlText w:val="(%1)"/>
      <w:numFmt w:val="lowerLetter"/>
      <w:start w:val="15"/>
    </w:lvl>
  </w:abstractNum>
  <w:abstractNum w:abstractNumId="80">
    <w:nsid w:val="100F59DC"/>
    <w:multiLevelType w:val="hybridMultilevel"/>
    <w:lvl w:ilvl="0">
      <w:lvlJc w:val="left"/>
      <w:lvlText w:val="(%1)"/>
      <w:numFmt w:val="lowerRoman"/>
      <w:start w:val="1"/>
    </w:lvl>
  </w:abstractNum>
  <w:abstractNum w:abstractNumId="81">
    <w:nsid w:val="7FB7E0AA"/>
    <w:multiLevelType w:val="hybridMultilevel"/>
    <w:lvl w:ilvl="0">
      <w:lvlJc w:val="left"/>
      <w:lvlText w:val="(%1)"/>
      <w:numFmt w:val="lowerLetter"/>
      <w:start w:val="17"/>
    </w:lvl>
  </w:abstractNum>
  <w:abstractNum w:abstractNumId="82">
    <w:nsid w:val="6EB5BD4"/>
    <w:multiLevelType w:val="hybridMultilevel"/>
    <w:lvl w:ilvl="0">
      <w:lvlJc w:val="left"/>
      <w:lvlText w:val="(%1)"/>
      <w:numFmt w:val="lowerLetter"/>
      <w:start w:val="2"/>
    </w:lvl>
  </w:abstractNum>
  <w:abstractNum w:abstractNumId="83">
    <w:nsid w:val="6F6DD9AC"/>
    <w:multiLevelType w:val="hybridMultilevel"/>
    <w:lvl w:ilvl="0">
      <w:lvlJc w:val="left"/>
      <w:lvlText w:val="(%1)"/>
      <w:numFmt w:val="lowerLetter"/>
      <w:start w:val="18"/>
    </w:lvl>
  </w:abstractNum>
  <w:abstractNum w:abstractNumId="84">
    <w:nsid w:val="94211F2"/>
    <w:multiLevelType w:val="hybridMultilevel"/>
    <w:lvl w:ilvl="0">
      <w:lvlJc w:val="left"/>
      <w:lvlText w:val="(%1)"/>
      <w:numFmt w:val="lowerLetter"/>
      <w:start w:val="25"/>
    </w:lvl>
  </w:abstractNum>
  <w:abstractNum w:abstractNumId="85">
    <w:nsid w:val="885E1B"/>
    <w:multiLevelType w:val="hybridMultilevel"/>
    <w:lvl w:ilvl="0">
      <w:lvlJc w:val="left"/>
      <w:lvlText w:val="(%1)"/>
      <w:numFmt w:val="lowerLetter"/>
      <w:start w:val="27"/>
    </w:lvl>
  </w:abstractNum>
  <w:abstractNum w:abstractNumId="86">
    <w:nsid w:val="76272110"/>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2022-04-28T18:29:07Z</dcterms:created>
  <dcterms:modified xsi:type="dcterms:W3CDTF">2022-04-28T18:29:07Z</dcterms:modified>
</cp:coreProperties>
</file>