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COO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1,250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0000FF"/>
              </w:rPr>
              <w:t>102,703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433</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47.92</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102,270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1,250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02/26/2016</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1,250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20"/>
              <w:spacing w:after="0" w:line="149" w:lineRule="exact"/>
              <w:rPr>
                <w:sz w:val="20"/>
                <w:szCs w:val="20"/>
                <w:color w:val="auto"/>
              </w:rPr>
            </w:pPr>
            <w:r>
              <w:rPr>
                <w:rFonts w:ascii="Arial" w:cs="Arial" w:eastAsia="Arial" w:hAnsi="Arial"/>
                <w:sz w:val="14"/>
                <w:szCs w:val="14"/>
                <w:color w:val="0000FF"/>
                <w:w w:val="83"/>
              </w:rPr>
              <w:t>11,250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12,500 restricted stock units, 10 percent of the restricted stock units became vested on February 26, 2016, an additional 20 percent of the restricted stock units will vest on February 26, 2017, an additional 30 percent of the restricted stock units will vest on February 26, 2018, and the remaining balance i/n/o 5,000 shares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03/01/2016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2019-12-08T01:56:21Z</dcterms:created>
  <dcterms:modified xsi:type="dcterms:W3CDTF">2019-12-08T01:56:21Z</dcterms:modified>
</cp:coreProperties>
</file>