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AYYAPPAN AJAY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01/31/2022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25"/>
        <w:spacing w:after="0"/>
        <w:rPr>
          <w:sz w:val="20"/>
          <w:szCs w:val="20"/>
          <w:color w:val="auto"/>
        </w:rPr>
      </w:pPr>
      <w:r>
        <w:rPr>
          <w:rFonts w:ascii="Arial" w:cs="Arial" w:eastAsia="Arial" w:hAnsi="Arial"/>
          <w:sz w:val="16"/>
          <w:szCs w:val="16"/>
          <w:color w:val="0000FF"/>
        </w:rPr>
        <w:t>SVP &amp; Gen Counsel/Corp. Sec'y.</w:t>
      </w:r>
    </w:p>
    <w:p>
      <w:pPr>
        <w:spacing w:after="0" w:line="34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6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7"/>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460" w:type="dxa"/>
            <w:vAlign w:val="bottom"/>
            <w:gridSpan w:val="2"/>
            <w:vMerge w:val="restart"/>
          </w:tcPr>
          <w:p>
            <w:pPr>
              <w:ind w:left="480"/>
              <w:spacing w:after="0"/>
              <w:rPr>
                <w:sz w:val="20"/>
                <w:szCs w:val="20"/>
                <w:color w:val="auto"/>
              </w:rPr>
            </w:pPr>
            <w:r>
              <w:rPr>
                <w:rFonts w:ascii="Arial" w:cs="Arial" w:eastAsia="Arial" w:hAnsi="Arial"/>
                <w:sz w:val="17"/>
                <w:szCs w:val="17"/>
                <w:color w:val="0000FF"/>
              </w:rPr>
              <w:t>01/31/2022</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ind w:left="120"/>
              <w:spacing w:after="0"/>
              <w:rPr>
                <w:sz w:val="20"/>
                <w:szCs w:val="20"/>
                <w:color w:val="auto"/>
              </w:rPr>
            </w:pPr>
            <w:r>
              <w:rPr>
                <w:rFonts w:ascii="Arial" w:cs="Arial" w:eastAsia="Arial" w:hAnsi="Arial"/>
                <w:sz w:val="13"/>
                <w:szCs w:val="13"/>
                <w:color w:val="0000FF"/>
              </w:rPr>
              <w:t>M</w:t>
            </w:r>
          </w:p>
        </w:tc>
        <w:tc>
          <w:tcPr>
            <w:tcW w:w="760" w:type="dxa"/>
            <w:vAlign w:val="bottom"/>
            <w:vMerge w:val="restart"/>
          </w:tcPr>
          <w:p>
            <w:pPr>
              <w:jc w:val="right"/>
              <w:ind w:right="132"/>
              <w:spacing w:after="0"/>
              <w:rPr>
                <w:sz w:val="20"/>
                <w:szCs w:val="20"/>
                <w:color w:val="auto"/>
              </w:rPr>
            </w:pPr>
            <w:r>
              <w:rPr>
                <w:rFonts w:ascii="Arial" w:cs="Arial" w:eastAsia="Arial" w:hAnsi="Arial"/>
                <w:sz w:val="17"/>
                <w:szCs w:val="17"/>
                <w:color w:val="0000FF"/>
              </w:rPr>
              <w:t>2,751</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660" w:type="dxa"/>
            <w:vAlign w:val="bottom"/>
            <w:gridSpan w:val="2"/>
            <w:vMerge w:val="restart"/>
          </w:tcPr>
          <w:p>
            <w:pPr>
              <w:jc w:val="center"/>
              <w:ind w:right="40"/>
              <w:spacing w:after="0"/>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(1)</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vMerge w:val="restart"/>
          </w:tcPr>
          <w:p>
            <w:pPr>
              <w:spacing w:after="0"/>
              <w:rPr>
                <w:sz w:val="20"/>
                <w:szCs w:val="20"/>
                <w:color w:val="auto"/>
              </w:rPr>
            </w:pPr>
            <w:r>
              <w:rPr>
                <w:rFonts w:ascii="Arial" w:cs="Arial" w:eastAsia="Arial" w:hAnsi="Arial"/>
                <w:sz w:val="17"/>
                <w:szCs w:val="17"/>
                <w:color w:val="0000FF"/>
              </w:rPr>
              <w:t>4,111</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460" w:type="dxa"/>
            <w:vAlign w:val="bottom"/>
            <w:gridSpan w:val="2"/>
            <w:vMerge w:val="restart"/>
          </w:tcPr>
          <w:p>
            <w:pPr>
              <w:ind w:left="480"/>
              <w:spacing w:after="0"/>
              <w:rPr>
                <w:sz w:val="20"/>
                <w:szCs w:val="20"/>
                <w:color w:val="auto"/>
              </w:rPr>
            </w:pPr>
            <w:r>
              <w:rPr>
                <w:rFonts w:ascii="Arial" w:cs="Arial" w:eastAsia="Arial" w:hAnsi="Arial"/>
                <w:sz w:val="17"/>
                <w:szCs w:val="17"/>
                <w:color w:val="0000FF"/>
              </w:rPr>
              <w:t>01/31/2022</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ind w:left="140"/>
              <w:spacing w:after="0"/>
              <w:rPr>
                <w:sz w:val="20"/>
                <w:szCs w:val="20"/>
                <w:color w:val="auto"/>
              </w:rPr>
            </w:pPr>
            <w:r>
              <w:rPr>
                <w:rFonts w:ascii="Arial" w:cs="Arial" w:eastAsia="Arial" w:hAnsi="Arial"/>
                <w:sz w:val="13"/>
                <w:szCs w:val="13"/>
                <w:color w:val="0000FF"/>
              </w:rPr>
              <w:t>F</w:t>
            </w:r>
          </w:p>
        </w:tc>
        <w:tc>
          <w:tcPr>
            <w:tcW w:w="760" w:type="dxa"/>
            <w:vAlign w:val="bottom"/>
            <w:vMerge w:val="restart"/>
          </w:tcPr>
          <w:p>
            <w:pPr>
              <w:jc w:val="right"/>
              <w:ind w:right="132"/>
              <w:spacing w:after="0"/>
              <w:rPr>
                <w:sz w:val="20"/>
                <w:szCs w:val="20"/>
                <w:color w:val="auto"/>
              </w:rPr>
            </w:pPr>
            <w:r>
              <w:rPr>
                <w:rFonts w:ascii="Arial" w:cs="Arial" w:eastAsia="Arial" w:hAnsi="Arial"/>
                <w:sz w:val="17"/>
                <w:szCs w:val="17"/>
                <w:color w:val="0000FF"/>
              </w:rPr>
              <w:t>1,492</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118.09</w:t>
            </w:r>
            <w:r>
              <w:rPr>
                <w:rFonts w:ascii="Arial" w:cs="Arial" w:eastAsia="Arial" w:hAnsi="Arial"/>
                <w:sz w:val="22"/>
                <w:szCs w:val="22"/>
                <w:color w:val="008000"/>
                <w:w w:val="98"/>
                <w:vertAlign w:val="superscript"/>
              </w:rPr>
              <w:t>(2)</w:t>
            </w:r>
          </w:p>
        </w:tc>
        <w:tc>
          <w:tcPr>
            <w:tcW w:w="380" w:type="dxa"/>
            <w:vAlign w:val="bottom"/>
          </w:tcPr>
          <w:p>
            <w:pPr>
              <w:spacing w:after="0"/>
              <w:rPr>
                <w:sz w:val="22"/>
                <w:szCs w:val="22"/>
                <w:color w:val="auto"/>
              </w:rPr>
            </w:pPr>
          </w:p>
        </w:tc>
        <w:tc>
          <w:tcPr>
            <w:tcW w:w="820" w:type="dxa"/>
            <w:vAlign w:val="bottom"/>
            <w:vMerge w:val="restart"/>
          </w:tcPr>
          <w:p>
            <w:pPr>
              <w:spacing w:after="0"/>
              <w:rPr>
                <w:sz w:val="20"/>
                <w:szCs w:val="20"/>
                <w:color w:val="auto"/>
              </w:rPr>
            </w:pPr>
            <w:r>
              <w:rPr>
                <w:rFonts w:ascii="Arial" w:cs="Arial" w:eastAsia="Arial" w:hAnsi="Arial"/>
                <w:sz w:val="17"/>
                <w:szCs w:val="17"/>
                <w:color w:val="0000FF"/>
              </w:rPr>
              <w:t>2,619</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10"/>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shares of common stock, par value $0.001 per share (the "Common Stock") reported in this report were earned pursuant to the performance restricted stock units ("PRSUs") of ExlService Holdings, Inc. (the "Company") granted on February 20, 2019. Such shares of Common Stock were deemed earned on January 31, 2022 based on the Compensation Committee of the Board of Directors administering the award certifying the achievement of performance targets applicable to the PRSUs for the performance period ending on December 31, 2021.</w:t>
      </w:r>
    </w:p>
    <w:p>
      <w:pPr>
        <w:spacing w:after="0" w:line="8" w:lineRule="exact"/>
        <w:rPr>
          <w:rFonts w:ascii="Arial" w:cs="Arial" w:eastAsia="Arial" w:hAnsi="Arial"/>
          <w:sz w:val="12"/>
          <w:szCs w:val="12"/>
          <w:color w:val="008000"/>
        </w:rPr>
      </w:pPr>
    </w:p>
    <w:p>
      <w:pPr>
        <w:ind w:left="40" w:right="3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ExlService Holdings, Inc. 2018 Omnibus Incentive Plan, pursuant to which such PRSUs were granted, the closing price of the Common Stock on the Nasdaq Global Select Market on the preceding day is used for purposes of computing tax reporting and withholding.</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58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209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2022-02-02T16:16:12Z</dcterms:created>
  <dcterms:modified xsi:type="dcterms:W3CDTF">2022-02-02T16:16:12Z</dcterms:modified>
</cp:coreProperties>
</file>