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189"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7" w:lineRule="exact"/>
        <w:rPr>
          <w:sz w:val="24"/>
          <w:szCs w:val="24"/>
          <w:color w:val="auto"/>
        </w:rPr>
      </w:pPr>
    </w:p>
    <w:p>
      <w:pPr>
        <w:jc w:val="center"/>
        <w:ind w:right="-55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57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Registrant as Specified in its Charter)</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720" w:right="2880" w:hanging="361"/>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60" w:lineRule="exact"/>
        <w:rPr>
          <w:rFonts w:ascii="Arial" w:cs="Arial" w:eastAsia="Arial" w:hAnsi="Arial"/>
          <w:sz w:val="17"/>
          <w:szCs w:val="17"/>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5" w:lineRule="exact"/>
        <w:rPr>
          <w:rFonts w:ascii="MS PGothic" w:cs="MS PGothic" w:eastAsia="MS PGothic" w:hAnsi="MS PGothic"/>
          <w:sz w:val="18"/>
          <w:szCs w:val="18"/>
          <w:color w:val="auto"/>
        </w:rPr>
      </w:pPr>
    </w:p>
    <w:p>
      <w:pPr>
        <w:ind w:left="360" w:hanging="352"/>
        <w:spacing w:after="0" w:line="274" w:lineRule="auto"/>
        <w:tabs>
          <w:tab w:leader="none" w:pos="3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152400</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-130175</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-413385</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-695960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-1253490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-1545590</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-1828165</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-2111375</wp:posOffset>
            </wp:positionV>
            <wp:extent cx="6800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-2531745</wp:posOffset>
            </wp:positionV>
            <wp:extent cx="6800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-2814320</wp:posOffset>
            </wp:positionV>
            <wp:extent cx="6800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4" w:right="77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Meeting to Be Held on 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135255</wp:posOffset>
            </wp:positionV>
            <wp:extent cx="3550285" cy="130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13036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right"/>
        <w:ind w:right="760"/>
        <w:spacing w:after="0"/>
        <w:rPr>
          <w:sz w:val="20"/>
          <w:szCs w:val="20"/>
          <w:color w:val="auto"/>
        </w:rPr>
      </w:pPr>
      <w:r>
        <w:rPr>
          <w:rFonts w:ascii="Arial" w:cs="Arial" w:eastAsia="Arial" w:hAnsi="Arial"/>
          <w:sz w:val="22"/>
          <w:szCs w:val="22"/>
          <w:b w:val="1"/>
          <w:bCs w:val="1"/>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EXLSERVICE HOLDINGS, INC.</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280 PARK AVENUE, 38TH FLOOR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NEW YORK, NY 10017</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ATTN: ACCOUNTS PAYABLE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Meeting Information</w:t>
            </w:r>
          </w:p>
        </w:tc>
      </w:tr>
      <w:tr>
        <w:trPr>
          <w:trHeight w:val="268"/>
        </w:trPr>
        <w:tc>
          <w:tcPr>
            <w:tcW w:w="16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080" w:type="dxa"/>
            <w:vAlign w:val="bottom"/>
          </w:tcPr>
          <w:p>
            <w:pPr>
              <w:ind w:left="180"/>
              <w:spacing w:after="0"/>
              <w:rPr>
                <w:sz w:val="20"/>
                <w:szCs w:val="20"/>
                <w:color w:val="auto"/>
              </w:rPr>
            </w:pPr>
            <w:r>
              <w:rPr>
                <w:rFonts w:ascii="Arial" w:cs="Arial" w:eastAsia="Arial" w:hAnsi="Arial"/>
                <w:sz w:val="18"/>
                <w:szCs w:val="18"/>
                <w:color w:val="auto"/>
              </w:rPr>
              <w:t>Annual Meeting</w:t>
            </w:r>
          </w:p>
        </w:tc>
      </w:tr>
      <w:tr>
        <w:trPr>
          <w:trHeight w:val="230"/>
        </w:trPr>
        <w:tc>
          <w:tcPr>
            <w:tcW w:w="168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2080" w:type="dxa"/>
            <w:vAlign w:val="bottom"/>
          </w:tcPr>
          <w:p>
            <w:pPr>
              <w:ind w:left="180"/>
              <w:spacing w:after="0"/>
              <w:rPr>
                <w:sz w:val="20"/>
                <w:szCs w:val="20"/>
                <w:color w:val="auto"/>
              </w:rPr>
            </w:pPr>
            <w:r>
              <w:rPr>
                <w:rFonts w:ascii="Arial" w:cs="Arial" w:eastAsia="Arial" w:hAnsi="Arial"/>
                <w:sz w:val="18"/>
                <w:szCs w:val="18"/>
                <w:color w:val="auto"/>
              </w:rPr>
              <w:t>April 21, 2016</w:t>
            </w:r>
          </w:p>
        </w:tc>
      </w:tr>
      <w:tr>
        <w:trPr>
          <w:trHeight w:val="225"/>
        </w:trPr>
        <w:tc>
          <w:tcPr>
            <w:tcW w:w="168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17, 2016</w:t>
            </w:r>
          </w:p>
        </w:tc>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ET</w:t>
            </w:r>
          </w:p>
        </w:tc>
      </w:tr>
    </w:tbl>
    <w:p>
      <w:pPr>
        <w:ind w:left="80"/>
        <w:spacing w:after="0" w:line="234" w:lineRule="auto"/>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ExlService Holdings, Inc.</w:t>
      </w:r>
    </w:p>
    <w:p>
      <w:pPr>
        <w:ind w:left="1020"/>
        <w:spacing w:after="0" w:line="235" w:lineRule="auto"/>
        <w:rPr>
          <w:sz w:val="20"/>
          <w:szCs w:val="20"/>
          <w:color w:val="auto"/>
        </w:rPr>
      </w:pPr>
      <w:r>
        <w:rPr>
          <w:rFonts w:ascii="Arial" w:cs="Arial" w:eastAsia="Arial" w:hAnsi="Arial"/>
          <w:sz w:val="18"/>
          <w:szCs w:val="18"/>
          <w:color w:val="auto"/>
        </w:rPr>
        <w:t>280 Park Avenue, 38th Floor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10017</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Meeting Directions: </w:t>
      </w:r>
      <w:r>
        <w:rPr>
          <w:rFonts w:ascii="Arial" w:cs="Arial" w:eastAsia="Arial" w:hAnsi="Arial"/>
          <w:sz w:val="18"/>
          <w:szCs w:val="18"/>
          <w:color w:val="auto"/>
        </w:rPr>
        <w:t>For directions, please call (212) 277-7100</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354203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2030" cy="445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693" w:right="239" w:bottom="1440" w:gutter="0" w:footer="0" w:header="0"/>
          <w:type w:val="continuous"/>
        </w:sectPr>
      </w:pPr>
    </w:p>
    <w:p>
      <w:pPr>
        <w:spacing w:after="0" w:line="73" w:lineRule="exact"/>
        <w:rPr>
          <w:sz w:val="20"/>
          <w:szCs w:val="20"/>
          <w:color w:val="auto"/>
        </w:rPr>
      </w:pPr>
    </w:p>
    <w:p>
      <w:pPr>
        <w:ind w:left="5960"/>
        <w:spacing w:after="0"/>
        <w:rPr>
          <w:sz w:val="20"/>
          <w:szCs w:val="20"/>
          <w:color w:val="auto"/>
        </w:rPr>
      </w:pPr>
      <w:r>
        <w:rPr>
          <w:rFonts w:ascii="Arial" w:cs="Arial" w:eastAsia="Arial" w:hAnsi="Arial"/>
          <w:sz w:val="22"/>
          <w:szCs w:val="22"/>
          <w:b w:val="1"/>
          <w:bCs w:val="1"/>
          <w:color w:val="FFFFFF"/>
        </w:rPr>
        <w:t>See the reverse side of this notice to obtain proxy</w:t>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22"/>
          <w:szCs w:val="22"/>
          <w:b w:val="1"/>
          <w:bCs w:val="1"/>
          <w:color w:val="FFFFFF"/>
        </w:rPr>
        <w:t>materials and voting instructions.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E09384-P74132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520" w:type="dxa"/>
            <w:vAlign w:val="bottom"/>
            <w:vMerge w:val="restart"/>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Before You Vote</w:t>
            </w:r>
          </w:p>
        </w:tc>
        <w:tc>
          <w:tcPr>
            <w:tcW w:w="440" w:type="dxa"/>
            <w:vAlign w:val="bottom"/>
            <w:tcBorders>
              <w:bottom w:val="single" w:sz="8" w:color="auto"/>
            </w:tcBorders>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40" w:type="dxa"/>
            <w:vAlign w:val="bottom"/>
            <w:gridSpan w:val="3"/>
          </w:tcPr>
          <w:p>
            <w:pPr>
              <w:jc w:val="center"/>
              <w:ind w:right="20"/>
              <w:spacing w:after="0"/>
              <w:rPr>
                <w:sz w:val="20"/>
                <w:szCs w:val="20"/>
                <w:color w:val="auto"/>
              </w:rPr>
            </w:pPr>
            <w:r>
              <w:rPr>
                <w:rFonts w:ascii="Arial" w:cs="Arial" w:eastAsia="Arial" w:hAnsi="Arial"/>
                <w:sz w:val="22"/>
                <w:szCs w:val="22"/>
                <w:color w:val="auto"/>
                <w:w w:val="98"/>
              </w:rPr>
              <w:t>How to Access the Proxy Materials</w:t>
            </w:r>
          </w:p>
        </w:tc>
        <w:tc>
          <w:tcPr>
            <w:tcW w:w="3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7540" w:type="dxa"/>
            <w:vAlign w:val="bottom"/>
            <w:tcBorders>
              <w:bottom w:val="single" w:sz="8" w:color="auto"/>
            </w:tcBorders>
            <w:gridSpan w:val="5"/>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gridSpan w:val="5"/>
          </w:tcPr>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80" w:type="dxa"/>
            <w:vAlign w:val="bottom"/>
          </w:tcPr>
          <w:p>
            <w:pPr>
              <w:ind w:left="240"/>
              <w:spacing w:after="0"/>
              <w:rPr>
                <w:sz w:val="20"/>
                <w:szCs w:val="20"/>
                <w:color w:val="auto"/>
              </w:rPr>
            </w:pPr>
            <w:r>
              <w:rPr>
                <w:rFonts w:ascii="Arial" w:cs="Arial" w:eastAsia="Arial" w:hAnsi="Arial"/>
                <w:sz w:val="18"/>
                <w:szCs w:val="18"/>
                <w:color w:val="auto"/>
              </w:rPr>
              <w:t>NOTICE AND PROXY STATEMENT</w:t>
            </w:r>
          </w:p>
        </w:tc>
        <w:tc>
          <w:tcPr>
            <w:tcW w:w="4160" w:type="dxa"/>
            <w:vAlign w:val="bottom"/>
            <w:gridSpan w:val="4"/>
          </w:tcPr>
          <w:p>
            <w:pPr>
              <w:ind w:left="240"/>
              <w:spacing w:after="0"/>
              <w:rPr>
                <w:sz w:val="20"/>
                <w:szCs w:val="20"/>
                <w:color w:val="auto"/>
              </w:rPr>
            </w:pPr>
            <w:r>
              <w:rPr>
                <w:rFonts w:ascii="Arial" w:cs="Arial" w:eastAsia="Arial" w:hAnsi="Arial"/>
                <w:sz w:val="18"/>
                <w:szCs w:val="18"/>
                <w:color w:val="auto"/>
              </w:rPr>
              <w:t>ANNUAL REPORT</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2538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538730"/>
                    </a:xfrm>
                    <a:prstGeom prst="rect">
                      <a:avLst/>
                    </a:prstGeom>
                    <a:noFill/>
                  </pic:spPr>
                </pic:pic>
              </a:graphicData>
            </a:graphic>
          </wp:anchor>
        </w:drawing>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View Online:</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037590" cy="857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857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ind w:left="240"/>
        <w:spacing w:after="0"/>
        <w:rPr>
          <w:sz w:val="20"/>
          <w:szCs w:val="20"/>
          <w:color w:val="auto"/>
        </w:rPr>
      </w:pPr>
      <w:r>
        <w:rPr>
          <w:rFonts w:ascii="Arial" w:cs="Arial" w:eastAsia="Arial" w:hAnsi="Arial"/>
          <w:sz w:val="18"/>
          <w:szCs w:val="18"/>
          <w:i w:val="1"/>
          <w:iCs w:val="1"/>
          <w:color w:val="auto"/>
        </w:rPr>
        <w:t>www.proxyvote.com.</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tbl>
      <w:tblPr>
        <w:tblLayout w:type="fixed"/>
        <w:tblInd w:w="1960" w:type="dxa"/>
        <w:tblCellMar>
          <w:top w:w="0" w:type="dxa"/>
          <w:left w:w="0" w:type="dxa"/>
          <w:bottom w:w="0" w:type="dxa"/>
          <w:right w:w="0" w:type="dxa"/>
        </w:tblCellMar>
      </w:tblPr>
      <w:tr>
        <w:trPr>
          <w:trHeight w:val="194"/>
        </w:trPr>
        <w:tc>
          <w:tcPr>
            <w:tcW w:w="240" w:type="dxa"/>
            <w:vAlign w:val="bottom"/>
          </w:tcPr>
          <w:p>
            <w:pPr>
              <w:jc w:val="right"/>
              <w:spacing w:after="0" w:line="194" w:lineRule="exact"/>
              <w:rPr>
                <w:sz w:val="20"/>
                <w:szCs w:val="20"/>
                <w:color w:val="auto"/>
              </w:rPr>
            </w:pPr>
            <w:r>
              <w:rPr>
                <w:rFonts w:ascii="Arial" w:cs="Arial" w:eastAsia="Arial" w:hAnsi="Arial"/>
                <w:sz w:val="18"/>
                <w:szCs w:val="18"/>
                <w:color w:val="auto"/>
                <w:w w:val="87"/>
              </w:rPr>
              <w:t>1)</w:t>
            </w:r>
          </w:p>
        </w:tc>
        <w:tc>
          <w:tcPr>
            <w:tcW w:w="1800" w:type="dxa"/>
            <w:vAlign w:val="bottom"/>
          </w:tcPr>
          <w:p>
            <w:pPr>
              <w:ind w:left="100"/>
              <w:spacing w:after="0" w:line="194"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640" w:type="dxa"/>
            <w:vAlign w:val="bottom"/>
          </w:tcPr>
          <w:p>
            <w:pPr>
              <w:ind w:left="240"/>
              <w:spacing w:after="0" w:line="194" w:lineRule="exact"/>
              <w:rPr>
                <w:sz w:val="20"/>
                <w:szCs w:val="20"/>
                <w:color w:val="auto"/>
              </w:rPr>
            </w:pPr>
            <w:r>
              <w:rPr>
                <w:rFonts w:ascii="Arial" w:cs="Arial" w:eastAsia="Arial" w:hAnsi="Arial"/>
                <w:sz w:val="18"/>
                <w:szCs w:val="18"/>
                <w:color w:val="auto"/>
              </w:rPr>
              <w:t>www.proxyvote.com</w:t>
            </w:r>
          </w:p>
        </w:tc>
      </w:tr>
      <w:tr>
        <w:trPr>
          <w:trHeight w:val="203"/>
        </w:trPr>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800" w:type="dxa"/>
            <w:vAlign w:val="bottom"/>
          </w:tcPr>
          <w:p>
            <w:pPr>
              <w:ind w:left="10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640" w:type="dxa"/>
            <w:vAlign w:val="bottom"/>
          </w:tcPr>
          <w:p>
            <w:pPr>
              <w:ind w:left="24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24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800" w:type="dxa"/>
            <w:vAlign w:val="bottom"/>
          </w:tcPr>
          <w:p>
            <w:pPr>
              <w:ind w:left="10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w w:val="99"/>
              </w:rPr>
              <w:t>sendmaterial@proxyvote.com</w:t>
            </w:r>
          </w:p>
        </w:tc>
      </w:tr>
    </w:tbl>
    <w:p>
      <w:pPr>
        <w:spacing w:after="0" w:line="148" w:lineRule="exact"/>
        <w:rPr>
          <w:sz w:val="20"/>
          <w:szCs w:val="20"/>
          <w:color w:val="auto"/>
        </w:rPr>
      </w:pPr>
    </w:p>
    <w:p>
      <w:pPr>
        <w:ind w:left="240" w:right="240"/>
        <w:spacing w:after="0" w:line="246" w:lineRule="auto"/>
        <w:rPr>
          <w:sz w:val="20"/>
          <w:szCs w:val="20"/>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037590"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7590" cy="85725"/>
                    </a:xfrm>
                    <a:prstGeom prst="rect">
                      <a:avLst/>
                    </a:prstGeom>
                    <a:noFill/>
                    <a:ln>
                      <a:noFill/>
                    </a:ln>
                  </pic:spPr>
                </pic:pic>
              </a:graphicData>
            </a:graphic>
          </wp:inline>
        </w:drawing>
        <w:drawing>
          <wp:inline distT="0" distB="0" distL="0" distR="0">
            <wp:extent cx="21590" cy="104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104775"/>
                    </a:xfrm>
                    <a:prstGeom prst="rect">
                      <a:avLst/>
                    </a:prstGeom>
                    <a:noFill/>
                    <a:ln>
                      <a:noFill/>
                    </a:ln>
                  </pic:spPr>
                </pic:pic>
              </a:graphicData>
            </a:graphic>
          </wp:inline>
        </w:drawing>
      </w:r>
      <w:r>
        <w:rPr>
          <w:rFonts w:ascii="Arial" w:cs="Arial" w:eastAsia="Arial" w:hAnsi="Arial"/>
          <w:sz w:val="18"/>
          <w:szCs w:val="18"/>
          <w:color w:val="auto"/>
        </w:rPr>
        <w:t>(located on the following page) in the subject line.</w:t>
      </w:r>
    </w:p>
    <w:p>
      <w:pPr>
        <w:spacing w:after="0" w:line="170" w:lineRule="exact"/>
        <w:rPr>
          <w:sz w:val="20"/>
          <w:szCs w:val="20"/>
          <w:color w:val="auto"/>
        </w:rPr>
      </w:pPr>
    </w:p>
    <w:p>
      <w:pPr>
        <w:ind w:left="240" w:right="24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June 3, 2016 to facilitate timely delivery.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-112395</wp:posOffset>
            </wp:positionV>
            <wp:extent cx="283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-112395</wp:posOffset>
            </wp:positionV>
            <wp:extent cx="291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166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166495"/>
                    </a:xfrm>
                    <a:prstGeom prst="rect">
                      <a:avLst/>
                    </a:prstGeom>
                    <a:noFill/>
                  </pic:spPr>
                </pic:pic>
              </a:graphicData>
            </a:graphic>
          </wp:anchor>
        </w:drawing>
      </w:r>
    </w:p>
    <w:p>
      <w:pPr>
        <w:spacing w:after="0" w:line="183" w:lineRule="exact"/>
        <w:rPr>
          <w:sz w:val="20"/>
          <w:szCs w:val="20"/>
          <w:color w:val="auto"/>
        </w:rPr>
      </w:pPr>
    </w:p>
    <w:p>
      <w:pPr>
        <w:jc w:val="both"/>
        <w:ind w:left="240" w:right="36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037590" cy="85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7590" cy="857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76" w:lineRule="exact"/>
        <w:rPr>
          <w:sz w:val="20"/>
          <w:szCs w:val="20"/>
          <w:color w:val="auto"/>
        </w:rPr>
      </w:pPr>
    </w:p>
    <w:p>
      <w:pPr>
        <w:jc w:val="both"/>
        <w:ind w:left="240" w:right="360"/>
        <w:spacing w:after="0" w:line="271" w:lineRule="auto"/>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form of proxy (known as a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E09385-P74132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3" w:name="page4"/>
    <w:bookmarkEnd w:id="3"/>
    <w:p>
      <w:pPr>
        <w:ind w:left="7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253873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154305"/>
                    </a:xfrm>
                    <a:prstGeom prst="rect">
                      <a:avLst/>
                    </a:prstGeom>
                    <a:noFill/>
                  </pic:spPr>
                </pic:pic>
              </a:graphicData>
            </a:graphic>
          </wp:anchor>
        </w:drawing>
        <w:t>Voting Items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following:</w:t>
      </w:r>
    </w:p>
    <w:p>
      <w:pPr>
        <w:spacing w:after="0" w:line="16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45"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81"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Rohit Kapoor</w:t>
      </w:r>
    </w:p>
    <w:p>
      <w:pPr>
        <w:spacing w:after="0" w:line="1"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Anne Minto</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8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ratification of the selection of Ernst &amp; Young LLP as the independent registered public accounting firm of the Company for fiscal year 2016</w:t>
      </w:r>
    </w:p>
    <w:p>
      <w:pPr>
        <w:spacing w:after="0" w:line="203" w:lineRule="exact"/>
        <w:rPr>
          <w:rFonts w:ascii="Arial" w:cs="Arial" w:eastAsia="Arial" w:hAnsi="Arial"/>
          <w:sz w:val="14"/>
          <w:szCs w:val="14"/>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approval of the compensation of the named executive officers of the Company</w:t>
      </w:r>
    </w:p>
    <w:p>
      <w:pPr>
        <w:spacing w:after="0" w:line="145" w:lineRule="exact"/>
        <w:rPr>
          <w:sz w:val="20"/>
          <w:szCs w:val="20"/>
          <w:color w:val="auto"/>
        </w:rPr>
      </w:pPr>
    </w:p>
    <w:p>
      <w:pPr>
        <w:spacing w:after="0" w:line="58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 adjournment or postponement thereof</w:t>
      </w:r>
      <w:r>
        <w:rPr>
          <w:rFonts w:ascii="Arial" w:cs="Arial" w:eastAsia="Arial" w:hAnsi="Arial"/>
          <w:sz w:val="14"/>
          <w:szCs w:val="14"/>
          <w:b w:val="1"/>
          <w:bCs w:val="1"/>
          <w:color w:val="auto"/>
        </w:rPr>
        <w:t xml:space="preserve"> </w:t>
      </w:r>
      <w:r>
        <w:rPr>
          <w:rFonts w:ascii="Arial" w:cs="Arial" w:eastAsia="Arial" w:hAnsi="Arial"/>
          <w:sz w:val="14"/>
          <w:szCs w:val="14"/>
          <w:color w:val="auto"/>
        </w:rPr>
        <w:t>E09386-P74132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360"/>
      </w:cols>
      <w:pgMar w:left="240" w:top="85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2019-12-08T02:22:45Z</dcterms:created>
  <dcterms:modified xsi:type="dcterms:W3CDTF">2019-12-08T02:22:45Z</dcterms:modified>
</cp:coreProperties>
</file>