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54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54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Miglani Nalin Kumar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02/20/2020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83"/>
        <w:spacing w:after="0"/>
        <w:rPr>
          <w:sz w:val="20"/>
          <w:szCs w:val="20"/>
          <w:color w:val="auto"/>
        </w:rPr>
      </w:pPr>
      <w:r>
        <w:rPr>
          <w:rFonts w:ascii="Arial" w:cs="Arial" w:eastAsia="Arial" w:hAnsi="Arial"/>
          <w:sz w:val="18"/>
          <w:szCs w:val="18"/>
          <w:color w:val="0000FF"/>
        </w:rPr>
        <w:t>EVP and Chief HR Officer</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gridSpan w:val="2"/>
          </w:tcPr>
          <w:p>
            <w:pPr>
              <w:ind w:left="200"/>
              <w:spacing w:after="0"/>
              <w:rPr>
                <w:sz w:val="20"/>
                <w:szCs w:val="20"/>
                <w:color w:val="auto"/>
              </w:rPr>
            </w:pPr>
            <w:r>
              <w:rPr>
                <w:rFonts w:ascii="Arial" w:cs="Arial" w:eastAsia="Arial" w:hAnsi="Arial"/>
                <w:sz w:val="18"/>
                <w:szCs w:val="18"/>
                <w:color w:val="0000FF"/>
              </w:rPr>
              <w:t>02/20/2020</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7"/>
              <w:spacing w:after="0"/>
              <w:rPr>
                <w:sz w:val="20"/>
                <w:szCs w:val="20"/>
                <w:color w:val="auto"/>
              </w:rPr>
            </w:pPr>
            <w:r>
              <w:rPr>
                <w:rFonts w:ascii="Arial" w:cs="Arial" w:eastAsia="Arial" w:hAnsi="Arial"/>
                <w:sz w:val="14"/>
                <w:szCs w:val="14"/>
                <w:color w:val="0000FF"/>
              </w:rPr>
              <w:t>M</w:t>
            </w:r>
          </w:p>
        </w:tc>
        <w:tc>
          <w:tcPr>
            <w:tcW w:w="720" w:type="dxa"/>
            <w:vAlign w:val="bottom"/>
          </w:tcPr>
          <w:p>
            <w:pPr>
              <w:ind w:left="260"/>
              <w:spacing w:after="0"/>
              <w:rPr>
                <w:sz w:val="20"/>
                <w:szCs w:val="20"/>
                <w:color w:val="auto"/>
              </w:rPr>
            </w:pPr>
            <w:r>
              <w:rPr>
                <w:rFonts w:ascii="Arial" w:cs="Arial" w:eastAsia="Arial" w:hAnsi="Arial"/>
                <w:sz w:val="18"/>
                <w:szCs w:val="18"/>
                <w:color w:val="0000FF"/>
                <w:w w:val="97"/>
              </w:rPr>
              <w:t>1,543</w:t>
            </w:r>
          </w:p>
        </w:tc>
        <w:tc>
          <w:tcPr>
            <w:tcW w:w="700" w:type="dxa"/>
            <w:vAlign w:val="bottom"/>
          </w:tcPr>
          <w:p>
            <w:pPr>
              <w:jc w:val="right"/>
              <w:ind w:right="154"/>
              <w:spacing w:after="0"/>
              <w:rPr>
                <w:sz w:val="20"/>
                <w:szCs w:val="20"/>
                <w:color w:val="auto"/>
              </w:rPr>
            </w:pPr>
            <w:r>
              <w:rPr>
                <w:rFonts w:ascii="Arial" w:cs="Arial" w:eastAsia="Arial" w:hAnsi="Arial"/>
                <w:sz w:val="18"/>
                <w:szCs w:val="18"/>
                <w:color w:val="0000FF"/>
              </w:rPr>
              <w:t>A</w:t>
            </w:r>
          </w:p>
        </w:tc>
        <w:tc>
          <w:tcPr>
            <w:tcW w:w="540" w:type="dxa"/>
            <w:vAlign w:val="bottom"/>
          </w:tcPr>
          <w:p>
            <w:pPr>
              <w:jc w:val="right"/>
              <w:ind w:right="54"/>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3"/>
                <w:szCs w:val="23"/>
                <w:color w:val="auto"/>
              </w:rPr>
            </w:pPr>
          </w:p>
        </w:tc>
        <w:tc>
          <w:tcPr>
            <w:tcW w:w="1360" w:type="dxa"/>
            <w:vAlign w:val="bottom"/>
            <w:gridSpan w:val="3"/>
          </w:tcPr>
          <w:p>
            <w:pPr>
              <w:jc w:val="right"/>
              <w:ind w:right="356"/>
              <w:spacing w:after="0"/>
              <w:rPr>
                <w:sz w:val="20"/>
                <w:szCs w:val="20"/>
                <w:color w:val="auto"/>
              </w:rPr>
            </w:pPr>
            <w:r>
              <w:rPr>
                <w:rFonts w:ascii="Arial" w:cs="Arial" w:eastAsia="Arial" w:hAnsi="Arial"/>
                <w:sz w:val="18"/>
                <w:szCs w:val="18"/>
                <w:color w:val="0000FF"/>
              </w:rPr>
              <w:t>1,543</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gridSpan w:val="4"/>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02/20/2020</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7"/>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590</w:t>
            </w:r>
          </w:p>
        </w:tc>
        <w:tc>
          <w:tcPr>
            <w:tcW w:w="700" w:type="dxa"/>
            <w:vAlign w:val="bottom"/>
            <w:tcBorders>
              <w:bottom w:val="single" w:sz="8" w:color="2C2C2C"/>
            </w:tcBorders>
          </w:tcPr>
          <w:p>
            <w:pPr>
              <w:jc w:val="right"/>
              <w:ind w:right="154"/>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78.56</w:t>
            </w:r>
            <w:r>
              <w:rPr>
                <w:rFonts w:ascii="Arial" w:cs="Arial" w:eastAsia="Arial" w:hAnsi="Arial"/>
                <w:sz w:val="22"/>
                <w:szCs w:val="22"/>
                <w:color w:val="008000"/>
                <w:w w:val="87"/>
                <w:vertAlign w:val="superscript"/>
              </w:rPr>
              <w:t>(2)</w:t>
            </w: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right"/>
              <w:ind w:right="436"/>
              <w:spacing w:after="0"/>
              <w:rPr>
                <w:sz w:val="20"/>
                <w:szCs w:val="20"/>
                <w:color w:val="auto"/>
              </w:rPr>
            </w:pPr>
            <w:r>
              <w:rPr>
                <w:rFonts w:ascii="Arial" w:cs="Arial" w:eastAsia="Arial" w:hAnsi="Arial"/>
                <w:sz w:val="18"/>
                <w:szCs w:val="18"/>
                <w:color w:val="0000FF"/>
                <w:w w:val="79"/>
              </w:rPr>
              <w:t>953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4"/>
          </w:tcPr>
          <w:p>
            <w:pPr>
              <w:jc w:val="center"/>
              <w:ind w:left="9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80" w:type="dxa"/>
            <w:vAlign w:val="bottom"/>
            <w:gridSpan w:val="10"/>
          </w:tcPr>
          <w:p>
            <w:pPr>
              <w:ind w:left="1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10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(3)</w:t>
            </w:r>
          </w:p>
        </w:tc>
        <w:tc>
          <w:tcPr>
            <w:tcW w:w="700" w:type="dxa"/>
            <w:vAlign w:val="bottom"/>
          </w:tcPr>
          <w:p>
            <w:pPr>
              <w:jc w:val="right"/>
              <w:ind w:right="154"/>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1,543</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2"/>
              <w:spacing w:after="0" w:line="149" w:lineRule="exact"/>
              <w:rPr>
                <w:sz w:val="20"/>
                <w:szCs w:val="20"/>
                <w:color w:val="auto"/>
              </w:rPr>
            </w:pPr>
            <w:r>
              <w:rPr>
                <w:rFonts w:ascii="Arial" w:cs="Arial" w:eastAsia="Arial" w:hAnsi="Arial"/>
                <w:sz w:val="14"/>
                <w:szCs w:val="14"/>
                <w:color w:val="0000FF"/>
              </w:rPr>
              <w:t>02/20/2020</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12"/>
                <w:szCs w:val="12"/>
                <w:color w:val="auto"/>
              </w:rPr>
            </w:pPr>
          </w:p>
        </w:tc>
        <w:tc>
          <w:tcPr>
            <w:tcW w:w="820" w:type="dxa"/>
            <w:vAlign w:val="bottom"/>
          </w:tcPr>
          <w:p>
            <w:pPr>
              <w:ind w:left="400"/>
              <w:spacing w:after="0" w:line="149" w:lineRule="exact"/>
              <w:rPr>
                <w:sz w:val="20"/>
                <w:szCs w:val="20"/>
                <w:color w:val="auto"/>
              </w:rPr>
            </w:pPr>
            <w:r>
              <w:rPr>
                <w:rFonts w:ascii="Arial" w:cs="Arial" w:eastAsia="Arial" w:hAnsi="Arial"/>
                <w:sz w:val="14"/>
                <w:szCs w:val="14"/>
                <w:color w:val="0000FF"/>
              </w:rPr>
              <w:t>1,543</w:t>
            </w:r>
          </w:p>
        </w:tc>
        <w:tc>
          <w:tcPr>
            <w:tcW w:w="82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00" w:type="dxa"/>
            <w:vAlign w:val="bottom"/>
          </w:tcPr>
          <w:p>
            <w:pPr>
              <w:ind w:left="6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60" w:type="dxa"/>
            <w:vAlign w:val="bottom"/>
          </w:tcPr>
          <w:p>
            <w:pPr>
              <w:ind w:left="400"/>
              <w:spacing w:after="0" w:line="149" w:lineRule="exact"/>
              <w:rPr>
                <w:sz w:val="20"/>
                <w:szCs w:val="20"/>
                <w:color w:val="auto"/>
              </w:rPr>
            </w:pPr>
            <w:r>
              <w:rPr>
                <w:rFonts w:ascii="Arial" w:cs="Arial" w:eastAsia="Arial" w:hAnsi="Arial"/>
                <w:sz w:val="14"/>
                <w:szCs w:val="14"/>
                <w:color w:val="0000FF"/>
                <w:w w:val="96"/>
              </w:rPr>
              <w:t>4,632</w:t>
            </w:r>
          </w:p>
        </w:tc>
        <w:tc>
          <w:tcPr>
            <w:tcW w:w="28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jc w:val="right"/>
              <w:ind w:right="134"/>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3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20, 2020. 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jc w:val="both"/>
        <w:ind w:left="40" w:right="280" w:firstLine="9"/>
        <w:spacing w:after="0" w:line="28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February 20, 2019, the reporting person was granted 6,175 restricted stock units, vesting in four annual installments beginning on the first anniversary of the grant date. 25 percent of the restricted stock units became vested on February 20, 2020, an additional twenty-five percent of the restricted stock units will vest on February 20, 2021, an additional twenty-five percent of the restricted stock units will vest on February 20, 2022; and the remaining balance of twenty-five percent of the restricted stock units will vest on February 20, 2023</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02/24/2020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27017"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2020-02-24T16:46:12Z</dcterms:created>
  <dcterms:modified xsi:type="dcterms:W3CDTF">2020-02-24T16:46:12Z</dcterms:modified>
</cp:coreProperties>
</file>