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17, 2025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ExlService Holdings, Inc.</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9" w:lineRule="exact"/>
        <w:rPr>
          <w:sz w:val="24"/>
          <w:szCs w:val="24"/>
          <w:color w:val="auto"/>
        </w:rPr>
      </w:pPr>
    </w:p>
    <w:p>
      <w:pPr>
        <w:jc w:val="center"/>
        <w:ind w:left="720" w:right="60"/>
        <w:spacing w:after="0" w:line="250" w:lineRule="auto"/>
        <w:rPr>
          <w:sz w:val="20"/>
          <w:szCs w:val="20"/>
          <w:color w:val="auto"/>
        </w:rPr>
      </w:pPr>
      <w:r>
        <w:rPr>
          <w:rFonts w:ascii="Times New Roman" w:cs="Times New Roman" w:eastAsia="Times New Roman" w:hAnsi="Times New Roman"/>
          <w:sz w:val="18"/>
          <w:szCs w:val="18"/>
          <w:color w:val="auto"/>
        </w:rPr>
        <w:t>(State or other jurisdiction of incorporation or organization)  </w:t>
      </w:r>
    </w:p>
    <w:p>
      <w:pPr>
        <w:spacing w:after="0" w:line="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tabs>
          <w:tab w:leader="none" w:pos="52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b w:val="1"/>
          <w:bCs w:val="1"/>
          <w:color w:val="auto"/>
        </w:rPr>
        <w:t>82-0572194</w:t>
      </w:r>
    </w:p>
    <w:p>
      <w:pPr>
        <w:spacing w:after="0" w:line="31" w:lineRule="exact"/>
        <w:rPr>
          <w:sz w:val="24"/>
          <w:szCs w:val="24"/>
          <w:color w:val="auto"/>
        </w:rPr>
      </w:pP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 w:lineRule="exact"/>
        <w:rPr>
          <w:sz w:val="24"/>
          <w:szCs w:val="24"/>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ind w:left="820"/>
        <w:spacing w:after="0" w:line="185" w:lineRule="auto"/>
        <w:tabs>
          <w:tab w:leader="none" w:pos="3800" w:val="left"/>
        </w:tabs>
        <w:rPr>
          <w:sz w:val="20"/>
          <w:szCs w:val="20"/>
          <w:color w:val="auto"/>
        </w:rPr>
      </w:pPr>
      <w:r>
        <w:rPr>
          <w:rFonts w:ascii="Times New Roman" w:cs="Times New Roman" w:eastAsia="Times New Roman" w:hAnsi="Times New Roman"/>
          <w:sz w:val="18"/>
          <w:szCs w:val="18"/>
          <w:b w:val="1"/>
          <w:bCs w:val="1"/>
          <w:color w:val="auto"/>
        </w:rPr>
        <w:t>320 Park Avenue, 29</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r>
        <w:rPr>
          <w:sz w:val="20"/>
          <w:szCs w:val="20"/>
          <w:color w:val="auto"/>
        </w:rPr>
        <w:tab/>
      </w:r>
      <w:r>
        <w:rPr>
          <w:rFonts w:ascii="Times New Roman" w:cs="Times New Roman" w:eastAsia="Times New Roman" w:hAnsi="Times New Roman"/>
          <w:sz w:val="30"/>
          <w:szCs w:val="30"/>
          <w:color w:val="auto"/>
          <w:vertAlign w:val="superscript"/>
        </w:rPr>
        <w:t> </w:t>
      </w:r>
    </w:p>
    <w:p>
      <w:pPr>
        <w:ind w:left="860"/>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7" w:lineRule="exact"/>
        <w:rPr>
          <w:sz w:val="24"/>
          <w:szCs w:val="24"/>
          <w:color w:val="auto"/>
        </w:rPr>
      </w:pPr>
    </w:p>
    <w:p>
      <w:pPr>
        <w:sectPr>
          <w:pgSz w:w="11900" w:h="16838" w:orient="portrait"/>
          <w:cols w:equalWidth="0" w:num="2">
            <w:col w:w="3000" w:space="720"/>
            <w:col w:w="7520"/>
          </w:cols>
          <w:pgMar w:left="320" w:top="225"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Omnibus Incentive Plan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2018 Omnibus Incentive Plan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Ajay Ayyappan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Corporate Secretary</w:t>
      </w:r>
    </w:p>
    <w:p>
      <w:pPr>
        <w:jc w:val="center"/>
        <w:ind w:right="-19"/>
        <w:spacing w:after="0" w:line="192" w:lineRule="auto"/>
        <w:rPr>
          <w:sz w:val="20"/>
          <w:szCs w:val="20"/>
          <w:color w:val="auto"/>
        </w:rPr>
      </w:pPr>
      <w:r>
        <w:rPr>
          <w:rFonts w:ascii="Times New Roman" w:cs="Times New Roman" w:eastAsia="Times New Roman" w:hAnsi="Times New Roman"/>
          <w:sz w:val="18"/>
          <w:szCs w:val="18"/>
          <w:b w:val="1"/>
          <w:bCs w:val="1"/>
          <w:color w:val="auto"/>
        </w:rPr>
        <w:t>320 Park Avenue, 29</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277-7100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 </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Rakesh Gopalan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Troutman Pepper Locke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301 S. College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Charlotte, North Carolina 28202</w:t>
      </w:r>
    </w:p>
    <w:p>
      <w:pPr>
        <w:spacing w:after="0" w:line="9"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998-4050</w:t>
      </w:r>
    </w:p>
    <w:p>
      <w:pPr>
        <w:spacing w:after="0" w:line="9" w:lineRule="exact"/>
        <w:rPr>
          <w:rFonts w:ascii="Times New Roman" w:cs="Times New Roman" w:eastAsia="Times New Roman" w:hAnsi="Times New Roman"/>
          <w:sz w:val="18"/>
          <w:szCs w:val="18"/>
          <w:b w:val="1"/>
          <w:bCs w:val="1"/>
          <w:color w:val="auto"/>
        </w:rPr>
      </w:pPr>
    </w:p>
    <w:p>
      <w:pPr>
        <w:ind w:left="5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63"/>
        </w:trPr>
        <w:tc>
          <w:tcPr>
            <w:tcW w:w="604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 </w:t>
            </w:r>
          </w:p>
        </w:tc>
        <w:tc>
          <w:tcPr>
            <w:tcW w:w="3100" w:type="dxa"/>
            <w:vAlign w:val="bottom"/>
            <w:vMerge w:val="restart"/>
          </w:tcPr>
          <w:p>
            <w:pPr>
              <w:ind w:left="940"/>
              <w:spacing w:after="0" w:line="207" w:lineRule="exact"/>
              <w:rPr>
                <w:sz w:val="20"/>
                <w:szCs w:val="20"/>
                <w:color w:val="auto"/>
              </w:rPr>
            </w:pPr>
            <w:r>
              <w:rPr>
                <w:rFonts w:ascii="Times New Roman" w:cs="Times New Roman" w:eastAsia="Times New Roman" w:hAnsi="Times New Roman"/>
                <w:sz w:val="18"/>
                <w:szCs w:val="18"/>
                <w:color w:val="auto"/>
              </w:rPr>
              <w:t>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Large accelerated filer </w:t>
            </w:r>
            <w:r>
              <w:rPr>
                <w:rFonts w:ascii="MS PGothic" w:cs="MS PGothic" w:eastAsia="MS PGothic" w:hAnsi="MS PGothic"/>
                <w:sz w:val="18"/>
                <w:szCs w:val="18"/>
                <w:color w:val="auto"/>
              </w:rPr>
              <w:t>☒</w:t>
            </w:r>
          </w:p>
        </w:tc>
        <w:tc>
          <w:tcPr>
            <w:tcW w:w="3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(Do not check if a smaller reporting company)</w:t>
            </w:r>
          </w:p>
        </w:tc>
        <w:tc>
          <w:tcPr>
            <w:tcW w:w="3100" w:type="dxa"/>
            <w:vAlign w:val="bottom"/>
          </w:tcPr>
          <w:p>
            <w:pPr>
              <w:ind w:left="940"/>
              <w:spacing w:after="0" w:line="207" w:lineRule="exact"/>
              <w:rPr>
                <w:sz w:val="20"/>
                <w:szCs w:val="20"/>
                <w:color w:val="auto"/>
              </w:rPr>
            </w:pPr>
            <w:r>
              <w:rPr>
                <w:rFonts w:ascii="Times New Roman" w:cs="Times New Roman" w:eastAsia="Times New Roman" w:hAnsi="Times New Roman"/>
                <w:sz w:val="18"/>
                <w:szCs w:val="18"/>
                <w:color w:val="auto"/>
                <w:w w:val="97"/>
              </w:rPr>
              <w:t>Smaller reporting company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252"/>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100" w:type="dxa"/>
            <w:vAlign w:val="bottom"/>
          </w:tcPr>
          <w:p>
            <w:pPr>
              <w:ind w:left="940"/>
              <w:spacing w:after="0" w:line="207" w:lineRule="exact"/>
              <w:rPr>
                <w:sz w:val="20"/>
                <w:szCs w:val="20"/>
                <w:color w:val="auto"/>
              </w:rPr>
            </w:pPr>
            <w:r>
              <w:rPr>
                <w:rFonts w:ascii="Times New Roman" w:cs="Times New Roman" w:eastAsia="Times New Roman" w:hAnsi="Times New Roman"/>
                <w:sz w:val="18"/>
                <w:szCs w:val="18"/>
                <w:color w:val="auto"/>
                <w:w w:val="97"/>
              </w:rPr>
              <w:t>Emerging growth company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 (the “Registrant”) is filing this Registration Statement on Form S-8 with the Securities and Exchange Commission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to register 8,951,281 shares of its common stock, par value $0.001 per share, that (i) may be issued under the ExlService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2025 Omnibus Incentive Plan (the “2025 Plan”), consisting of 6,800,000 shares of common stock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one share of common stock for every one share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subject to an award granted after March 1, 2025 under the Registrant’s 2018 Omnibus Incentive Plan (the “2018 Plan”) and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Plan’s adoption by the Registrant’s stockholders, (ii) an estimated 1,100,000 shares of common stock that have or may again become available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with respect to awards under the 2025 Plan pursuant to the share counting, share recycling and other terms and conditions of the 2025 Plan;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253,982 shares of common stock issuable to eligible persons under the 2018 Plan that became available for future grant under the 2018 Plan through March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2025, including pursuant to each award that expired or terminated or was forfeited or settled in cash, or pursuant to shares of common stock delivered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withheld in full or partial satisfaction of applicable tax withholding obligations (other than options or stock appreciation rights); and (iv) an estimated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800,000 shares of common stock that have or may again become available for delivery with respect to awards under the 2018 Plan pursuant to the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counting, share recycling and other terms and conditions of the 2018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 </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or given to participants in the Plan as specified by Rule 428(b)(1) (§230.428(b)(1)) under the Securities Act of 1933, as amended (the “Securities Act”). Such documents are not being filed with the Securities and Exchange Commission, but constitute, along with the documents incorporated by reference into this Registration Statement, a prospectus that meets the requirements of Section 10(a) of the Securities Act.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will furnish without charge to each person to whom the prospectus is delivered, upon the written or oral request of such person, a copy of any and all of the documents incorporated by reference in Item 3 of Part II of this Registration Statement, other than exhibits to such documents (unless such exhibits are specifically incorporated by reference to the information that is incorporated). Those documents are incorporated by reference in the Section 10(a) prospectus. Requests should be directed to ExlService Holdings, Inc., 320 Park Avenue, 29th Floor, New York, New York 10022, Attention: General Counsel; Telephone number (212) 277-7100.</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incorporated herein by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auto"/>
          </w:rPr>
          <w:t xml:space="preserve">The Registrant’s </w:t>
        </w:r>
        <w:r>
          <w:rPr>
            <w:rFonts w:ascii="Times New Roman" w:cs="Times New Roman" w:eastAsia="Times New Roman" w:hAnsi="Times New Roman"/>
            <w:sz w:val="18"/>
            <w:szCs w:val="18"/>
            <w:u w:val="single" w:color="auto"/>
            <w:color w:val="0000EE"/>
          </w:rPr>
          <w:t>Annual Report on Form 10-K for the year ended December 31, 2024, as filed with the Commission on February 25, 2025 (the</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“Annual Report”)</w:t>
        </w:r>
        <w:r>
          <w:rPr>
            <w:rFonts w:ascii="Times New Roman" w:cs="Times New Roman" w:eastAsia="Times New Roman" w:hAnsi="Times New Roman"/>
            <w:sz w:val="18"/>
            <w:szCs w:val="18"/>
            <w:color w:val="000000"/>
          </w:rPr>
          <w:t>;</w:t>
        </w:r>
      </w:hyperlink>
    </w:p>
    <w:p>
      <w:pPr>
        <w:ind w:left="660"/>
        <w:spacing w:after="0"/>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0000EE"/>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auto"/>
          </w:rPr>
          <w:t xml:space="preserve">The portions of the Registrant’s </w:t>
        </w:r>
        <w:r>
          <w:rPr>
            <w:rFonts w:ascii="Times New Roman" w:cs="Times New Roman" w:eastAsia="Times New Roman" w:hAnsi="Times New Roman"/>
            <w:sz w:val="18"/>
            <w:szCs w:val="18"/>
            <w:u w:val="single" w:color="auto"/>
            <w:color w:val="0000EE"/>
          </w:rPr>
          <w:t>Definitive Proxy Statement on Schedule 14A, as filed with the Commission on April 29, 2025, that are</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incorporated by reference into the Annual Report</w:t>
        </w:r>
        <w:r>
          <w:rPr>
            <w:rFonts w:ascii="Times New Roman" w:cs="Times New Roman" w:eastAsia="Times New Roman" w:hAnsi="Times New Roman"/>
            <w:sz w:val="18"/>
            <w:szCs w:val="18"/>
            <w:color w:val="000000"/>
          </w:rPr>
          <w:t>;</w:t>
        </w:r>
      </w:hyperlink>
    </w:p>
    <w:p>
      <w:pPr>
        <w:ind w:left="660"/>
        <w:spacing w:after="0"/>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16">
        <w:r>
          <w:rPr>
            <w:rFonts w:ascii="Times New Roman" w:cs="Times New Roman" w:eastAsia="Times New Roman" w:hAnsi="Times New Roman"/>
            <w:sz w:val="18"/>
            <w:szCs w:val="18"/>
            <w:u w:val="single" w:color="auto"/>
            <w:color w:val="0000EE"/>
          </w:rPr>
          <w:t>Quarterly Report on Form 10-Q for the quarter ended March 31, 2025, as filed with the Commission on April 29, 2025</w:t>
        </w:r>
      </w:hyperlink>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as filed with the Commission on </w:t>
      </w:r>
      <w:hyperlink r:id="rId17">
        <w:r>
          <w:rPr>
            <w:rFonts w:ascii="Times New Roman" w:cs="Times New Roman" w:eastAsia="Times New Roman" w:hAnsi="Times New Roman"/>
            <w:sz w:val="18"/>
            <w:szCs w:val="18"/>
            <w:u w:val="single" w:color="auto"/>
            <w:color w:val="0000EE"/>
          </w:rPr>
          <w:t>March 18, 2025</w:t>
        </w:r>
      </w:hyperlink>
      <w:r>
        <w:rPr>
          <w:rFonts w:ascii="Times New Roman" w:cs="Times New Roman" w:eastAsia="Times New Roman" w:hAnsi="Times New Roman"/>
          <w:sz w:val="18"/>
          <w:szCs w:val="18"/>
          <w:color w:val="auto"/>
        </w:rPr>
        <w:t xml:space="preserve">, and </w:t>
      </w:r>
      <w:hyperlink r:id="rId18">
        <w:r>
          <w:rPr>
            <w:rFonts w:ascii="Times New Roman" w:cs="Times New Roman" w:eastAsia="Times New Roman" w:hAnsi="Times New Roman"/>
            <w:sz w:val="18"/>
            <w:szCs w:val="18"/>
            <w:u w:val="single" w:color="auto"/>
            <w:color w:val="0000EE"/>
          </w:rPr>
          <w:t>June 17, 2025</w:t>
        </w:r>
      </w:hyperlink>
      <w:r>
        <w:rPr>
          <w:rFonts w:ascii="Times New Roman" w:cs="Times New Roman" w:eastAsia="Times New Roman" w:hAnsi="Times New Roman"/>
          <w:sz w:val="18"/>
          <w:szCs w:val="18"/>
          <w:color w:val="auto"/>
        </w:rPr>
        <w:t>; and</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contained in Exhibit 4.2 to the Annual Report and all amendments and reports filed for the</w:t>
      </w:r>
    </w:p>
    <w:p>
      <w:pPr>
        <w:spacing w:after="0" w:line="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purpose of updating such description.</w:t>
      </w:r>
    </w:p>
    <w:p>
      <w:pPr>
        <w:spacing w:after="0" w:line="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or 15(d) of the Securities Exchange Act of 1934, as amended (the “Exchange Act”) after the date of this Registration Statement and prior to the filing of a post-effective amendment that indicates that all securities offered hereby have been sold or which deregisters all securities then remaining unsold, are incorporated by reference in this Registration Statement and are a part hereof from the date of filing of such documents; except as to any portion of any future annual or quarterly report to stockholders or document or current report furnished under current Items 2.02 or 7.01 of Form 8-K that is not deemed filed under such provisions.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4"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145(a) of the General Corporation Law of the State of Delaware (the “DGCL”) provides, in general, that a corporation has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such person acted in good faith and in a manner the person reasonably believed to be in or not opposed to the best interests of the corporation, and with respect to any criminal action or proceeding, had no reasonable cause to believe the person’s conduct was unlawful.  </w:t>
      </w:r>
    </w:p>
    <w:p>
      <w:pPr>
        <w:spacing w:after="0" w:line="21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has the power to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any other enterprise, against any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Registrant’s fourth amended and restated certificate of incorporation and sixth amended and restated by-laws provide that the Registrant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indemnify and hold harmless, to the fullest extent permitted by applicable law as it presently exists or may hereafter be amended, any person who was or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or is threatened to be made a party or is otherwise involved in any action, suit or proceeding, whether civil, criminal, administrative or investigative,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Registrant refers to as a proceeding, by reason of the fact that he or she, or a person for whom he or she is the legal representative, is or was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or officer of the Registrant or, while a director or officer of the Registrant, is or was serving at the request of the Registrant as a director,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or agent of another corporation or of a partnership, joint venture, trust, enterprise or nonprofit entity, including service with respect to employee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plans, against all liability and loss suffered and expenses (including attorneys’ fees) reasonably incurred by such person;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shall be required to indemnify a person in connection with a proceeding (or part thereof) initiated by such person only if the commencement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proceeding (or part thereof) was authorized by 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102 of the DGCL permits, and the Registrant’s fourth amended and restated certificate of incorporation provides for, the limitation of directors’ or officers’ personal liability to the corporation or its stockholders for monetary damages for breach of fiduciary duties as a director or officer, except for (i) any breach of the director’s or officer’s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(iv) any transaction from which the director or officer derived an improper personal benefit, and (v) with respect to officers only, in any action by or in the right of the Registrant (i.e., derivative actions).  </w:t>
      </w:r>
    </w:p>
    <w:p>
      <w:pPr>
        <w:spacing w:after="0" w:line="208"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  </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Registrant maintains directors’ and officers’ liability insurance for its officers and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3"/>
        </w:trPr>
        <w:tc>
          <w:tcPr>
            <w:tcW w:w="920" w:type="dxa"/>
            <w:vAlign w:val="bottom"/>
            <w:gridSpan w:val="3"/>
          </w:tcPr>
          <w:p>
            <w:pPr>
              <w:jc w:val="right"/>
              <w:ind w:right="80"/>
              <w:spacing w:after="0" w:line="203" w:lineRule="exact"/>
              <w:rPr>
                <w:sz w:val="20"/>
                <w:szCs w:val="20"/>
                <w:color w:val="auto"/>
              </w:rPr>
            </w:pPr>
            <w:r>
              <w:rPr>
                <w:rFonts w:ascii="Times New Roman" w:cs="Times New Roman" w:eastAsia="Times New Roman" w:hAnsi="Times New Roman"/>
                <w:sz w:val="18"/>
                <w:szCs w:val="18"/>
                <w:b w:val="1"/>
                <w:bCs w:val="1"/>
                <w:color w:val="auto"/>
              </w:rPr>
              <w:t>Exhibit </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80" w:type="dxa"/>
            <w:vAlign w:val="bottom"/>
            <w:gridSpan w:val="10"/>
          </w:tcPr>
          <w:p>
            <w:pPr>
              <w:ind w:left="2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9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bottom w:val="single" w:sz="8" w:color="auto"/>
            </w:tcBorders>
          </w:tcPr>
          <w:p>
            <w:pPr>
              <w:spacing w:after="0"/>
              <w:rPr>
                <w:sz w:val="20"/>
                <w:szCs w:val="20"/>
                <w:color w:val="auto"/>
              </w:rPr>
            </w:pP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620" w:type="dxa"/>
            <w:vAlign w:val="bottom"/>
            <w:gridSpan w:val="2"/>
          </w:tcPr>
          <w:p>
            <w:pPr>
              <w:jc w:val="center"/>
              <w:ind w:left="310"/>
              <w:spacing w:after="0" w:line="169" w:lineRule="exact"/>
              <w:rPr>
                <w:rFonts w:ascii="Times New Roman" w:cs="Times New Roman" w:eastAsia="Times New Roman" w:hAnsi="Times New Roman"/>
                <w:sz w:val="18"/>
                <w:szCs w:val="18"/>
                <w:color w:val="0000EE"/>
                <w:w w:val="97"/>
              </w:rPr>
            </w:pPr>
            <w:hyperlink r:id="rId2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10100" w:type="dxa"/>
            <w:vAlign w:val="bottom"/>
            <w:gridSpan w:val="9"/>
          </w:tcPr>
          <w:p>
            <w:pPr>
              <w:spacing w:after="0" w:line="169"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Fourth Amended and Restated Certificate of Incorporation of the Registrant (incorporated by reference to Exhibit 3.1 of the Registrant’s</w:t>
              </w:r>
            </w:hyperlink>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Current Report on Form 8-K (File No. 1-33089) filed on June 25, 2024)</w:t>
              </w:r>
            </w:hyperlink>
          </w:p>
        </w:tc>
        <w:tc>
          <w:tcPr>
            <w:tcW w:w="4920" w:type="dxa"/>
            <w:vAlign w:val="bottom"/>
            <w:tcBorders>
              <w:top w:val="single" w:sz="8" w:color="0000EE"/>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jc w:val="center"/>
              <w:ind w:left="310"/>
              <w:spacing w:after="0" w:line="196" w:lineRule="exact"/>
              <w:rPr>
                <w:rFonts w:ascii="Times New Roman" w:cs="Times New Roman" w:eastAsia="Times New Roman" w:hAnsi="Times New Roman"/>
                <w:sz w:val="18"/>
                <w:szCs w:val="18"/>
                <w:color w:val="0000EE"/>
                <w:w w:val="97"/>
              </w:rPr>
            </w:pPr>
            <w:hyperlink r:id="rId2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300" w:type="dxa"/>
            <w:vAlign w:val="bottom"/>
          </w:tcPr>
          <w:p>
            <w:pPr>
              <w:spacing w:after="0"/>
              <w:rPr>
                <w:sz w:val="17"/>
                <w:szCs w:val="17"/>
                <w:color w:val="auto"/>
              </w:rPr>
            </w:pP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75"/>
              </w:rPr>
              <w:t> </w:t>
            </w:r>
          </w:p>
        </w:tc>
        <w:tc>
          <w:tcPr>
            <w:tcW w:w="8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Sixth Amended and Restated By-laws of the Registrant, as in effect as of the date hereof (incorporated by reference to Exhibit 3.2 of the</w:t>
              </w:r>
            </w:hyperlink>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Registrant Current Report on Form 8-K (File No. 1-33089) filed on June 21, 2023)</w:t>
              </w:r>
            </w:hyperlink>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300" w:type="dxa"/>
            <w:vAlign w:val="bottom"/>
          </w:tcPr>
          <w:p>
            <w:pPr>
              <w:spacing w:after="0"/>
              <w:rPr>
                <w:sz w:val="17"/>
                <w:szCs w:val="17"/>
                <w:color w:val="auto"/>
              </w:rPr>
            </w:pP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75"/>
              </w:rPr>
              <w:t> </w:t>
            </w:r>
          </w:p>
        </w:tc>
        <w:tc>
          <w:tcPr>
            <w:tcW w:w="80" w:type="dxa"/>
            <w:vAlign w:val="bottom"/>
          </w:tcPr>
          <w:p>
            <w:pPr>
              <w:spacing w:after="0"/>
              <w:rPr>
                <w:sz w:val="17"/>
                <w:szCs w:val="17"/>
                <w:color w:val="auto"/>
              </w:rPr>
            </w:pPr>
          </w:p>
        </w:tc>
        <w:tc>
          <w:tcPr>
            <w:tcW w:w="59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Opinion of Troutman Pepper Locke LLP*</w:t>
            </w:r>
          </w:p>
        </w:tc>
        <w:tc>
          <w:tcPr>
            <w:tcW w:w="4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300" w:type="dxa"/>
            <w:vAlign w:val="bottom"/>
          </w:tcPr>
          <w:p>
            <w:pPr>
              <w:spacing w:after="0"/>
              <w:rPr>
                <w:sz w:val="17"/>
                <w:szCs w:val="17"/>
                <w:color w:val="auto"/>
              </w:rPr>
            </w:pP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75"/>
              </w:rPr>
              <w:t> </w:t>
            </w:r>
          </w:p>
        </w:tc>
        <w:tc>
          <w:tcPr>
            <w:tcW w:w="80" w:type="dxa"/>
            <w:vAlign w:val="bottom"/>
          </w:tcPr>
          <w:p>
            <w:pPr>
              <w:spacing w:after="0"/>
              <w:rPr>
                <w:sz w:val="17"/>
                <w:szCs w:val="17"/>
                <w:color w:val="auto"/>
              </w:rPr>
            </w:pPr>
          </w:p>
        </w:tc>
        <w:tc>
          <w:tcPr>
            <w:tcW w:w="10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 Deloitte &amp; Touche LLP*</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300" w:type="dxa"/>
            <w:vAlign w:val="bottom"/>
          </w:tcPr>
          <w:p>
            <w:pPr>
              <w:spacing w:after="0"/>
              <w:rPr>
                <w:sz w:val="17"/>
                <w:szCs w:val="17"/>
                <w:color w:val="auto"/>
              </w:rPr>
            </w:pP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75"/>
              </w:rPr>
              <w:t> </w:t>
            </w:r>
          </w:p>
        </w:tc>
        <w:tc>
          <w:tcPr>
            <w:tcW w:w="80" w:type="dxa"/>
            <w:vAlign w:val="bottom"/>
          </w:tcPr>
          <w:p>
            <w:pPr>
              <w:spacing w:after="0"/>
              <w:rPr>
                <w:sz w:val="17"/>
                <w:szCs w:val="17"/>
                <w:color w:val="auto"/>
              </w:rPr>
            </w:pPr>
          </w:p>
        </w:tc>
        <w:tc>
          <w:tcPr>
            <w:tcW w:w="10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Consent of Troutman Pepper Locke LLP (included in Exhibit 5.1)*</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300" w:type="dxa"/>
            <w:vAlign w:val="bottom"/>
          </w:tcPr>
          <w:p>
            <w:pPr>
              <w:spacing w:after="0"/>
              <w:rPr>
                <w:sz w:val="17"/>
                <w:szCs w:val="17"/>
                <w:color w:val="auto"/>
              </w:rPr>
            </w:pP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75"/>
              </w:rPr>
              <w:t> </w:t>
            </w:r>
          </w:p>
        </w:tc>
        <w:tc>
          <w:tcPr>
            <w:tcW w:w="80" w:type="dxa"/>
            <w:vAlign w:val="bottom"/>
          </w:tcPr>
          <w:p>
            <w:pPr>
              <w:spacing w:after="0"/>
              <w:rPr>
                <w:sz w:val="17"/>
                <w:szCs w:val="17"/>
                <w:color w:val="auto"/>
              </w:rPr>
            </w:pPr>
          </w:p>
        </w:tc>
        <w:tc>
          <w:tcPr>
            <w:tcW w:w="10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(included in signature page hereof)*</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jc w:val="center"/>
              <w:ind w:left="210"/>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300" w:type="dxa"/>
            <w:vAlign w:val="bottom"/>
          </w:tcPr>
          <w:p>
            <w:pPr>
              <w:spacing w:after="0"/>
              <w:rPr>
                <w:sz w:val="17"/>
                <w:szCs w:val="17"/>
                <w:color w:val="auto"/>
              </w:rPr>
            </w:pP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75"/>
              </w:rPr>
              <w:t> </w:t>
            </w:r>
          </w:p>
        </w:tc>
        <w:tc>
          <w:tcPr>
            <w:tcW w:w="8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2025 Omnibus Incentive Plan (incorporated by reference to Exhibit 10.1 to the Registrant’s Current Report on Form 8-K (File No. 1-33089)</w:t>
              </w:r>
            </w:hyperlink>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filed on June 17, 2025)</w:t>
              </w:r>
            </w:hyperlink>
          </w:p>
        </w:tc>
        <w:tc>
          <w:tcPr>
            <w:tcW w:w="0" w:type="dxa"/>
            <w:vAlign w:val="bottom"/>
          </w:tcPr>
          <w:p>
            <w:pPr>
              <w:spacing w:after="0"/>
              <w:rPr>
                <w:sz w:val="1"/>
                <w:szCs w:val="1"/>
                <w:color w:val="auto"/>
              </w:rPr>
            </w:pPr>
          </w:p>
        </w:tc>
      </w:tr>
      <w:tr>
        <w:trPr>
          <w:trHeight w:val="196"/>
        </w:trPr>
        <w:tc>
          <w:tcPr>
            <w:tcW w:w="620" w:type="dxa"/>
            <w:vAlign w:val="bottom"/>
            <w:gridSpan w:val="2"/>
          </w:tcPr>
          <w:p>
            <w:pPr>
              <w:jc w:val="center"/>
              <w:ind w:left="270"/>
              <w:spacing w:after="0" w:line="196" w:lineRule="exact"/>
              <w:rPr>
                <w:sz w:val="20"/>
                <w:szCs w:val="20"/>
                <w:color w:val="auto"/>
              </w:rPr>
            </w:pPr>
            <w:r>
              <w:rPr>
                <w:rFonts w:ascii="Times New Roman" w:cs="Times New Roman" w:eastAsia="Times New Roman" w:hAnsi="Times New Roman"/>
                <w:sz w:val="18"/>
                <w:szCs w:val="18"/>
                <w:color w:val="0000EE"/>
                <w:w w:val="96"/>
              </w:rPr>
              <w:t>107</w:t>
            </w:r>
          </w:p>
        </w:tc>
        <w:tc>
          <w:tcPr>
            <w:tcW w:w="300" w:type="dxa"/>
            <w:vAlign w:val="bottom"/>
          </w:tcPr>
          <w:p>
            <w:pPr>
              <w:spacing w:after="0"/>
              <w:rPr>
                <w:sz w:val="17"/>
                <w:szCs w:val="17"/>
                <w:color w:val="auto"/>
              </w:rPr>
            </w:pP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75"/>
              </w:rPr>
              <w:t> </w:t>
            </w:r>
          </w:p>
        </w:tc>
        <w:tc>
          <w:tcPr>
            <w:tcW w:w="80" w:type="dxa"/>
            <w:vAlign w:val="bottom"/>
          </w:tcPr>
          <w:p>
            <w:pPr>
              <w:spacing w:after="0"/>
              <w:rPr>
                <w:sz w:val="17"/>
                <w:szCs w:val="17"/>
                <w:color w:val="auto"/>
              </w:rPr>
            </w:pPr>
          </w:p>
        </w:tc>
        <w:tc>
          <w:tcPr>
            <w:tcW w:w="16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Filing Fee Table*</w:t>
            </w:r>
          </w:p>
        </w:tc>
        <w:tc>
          <w:tcPr>
            <w:tcW w:w="84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1" w:lineRule="exact"/>
        <w:rPr>
          <w:sz w:val="20"/>
          <w:szCs w:val="20"/>
          <w:color w:val="auto"/>
        </w:rPr>
      </w:pPr>
    </w:p>
    <w:p>
      <w:pPr>
        <w:ind w:left="140" w:hanging="132"/>
        <w:spacing w:after="0"/>
        <w:tabs>
          <w:tab w:leader="none" w:pos="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right="4400"/>
        <w:spacing w:after="0" w:line="250" w:lineRule="auto"/>
        <w:rPr>
          <w:sz w:val="20"/>
          <w:szCs w:val="20"/>
          <w:color w:val="auto"/>
        </w:rPr>
      </w:pPr>
      <w:r>
        <w:rPr>
          <w:rFonts w:ascii="Times New Roman" w:cs="Times New Roman" w:eastAsia="Times New Roman" w:hAnsi="Times New Roman"/>
          <w:sz w:val="18"/>
          <w:szCs w:val="18"/>
          <w:color w:val="auto"/>
        </w:rPr>
        <w:t>(i)       To include any prospectus required by Section 10(a)(3) of the Securities Act;  </w:t>
      </w:r>
    </w:p>
    <w:p>
      <w:pPr>
        <w:spacing w:after="0" w:line="1" w:lineRule="exact"/>
        <w:rPr>
          <w:sz w:val="20"/>
          <w:szCs w:val="20"/>
          <w:color w:val="auto"/>
        </w:rPr>
      </w:pPr>
    </w:p>
    <w:p>
      <w:pPr>
        <w:jc w:val="both"/>
        <w:ind w:left="660" w:firstLine="324"/>
        <w:spacing w:after="0" w:line="250" w:lineRule="auto"/>
        <w:rPr>
          <w:sz w:val="20"/>
          <w:szCs w:val="20"/>
          <w:color w:val="auto"/>
        </w:rPr>
      </w:pPr>
      <w:r>
        <w:rPr>
          <w:rFonts w:ascii="Times New Roman" w:cs="Times New Roman" w:eastAsia="Times New Roman" w:hAnsi="Times New Roman"/>
          <w:sz w:val="18"/>
          <w:szCs w:val="18"/>
          <w:color w:val="auto"/>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Filing Fee Tables” in the effective Registration Statement;</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324"/>
        <w:spacing w:after="0" w:line="250" w:lineRule="auto"/>
        <w:rPr>
          <w:sz w:val="20"/>
          <w:szCs w:val="20"/>
          <w:color w:val="auto"/>
        </w:rPr>
      </w:pPr>
      <w:r>
        <w:rPr>
          <w:rFonts w:ascii="Times New Roman" w:cs="Times New Roman" w:eastAsia="Times New Roman" w:hAnsi="Times New Roman"/>
          <w:sz w:val="18"/>
          <w:szCs w:val="18"/>
          <w:color w:val="auto"/>
        </w:rPr>
        <w:t>(iii)     To include any material information with respect to the plan of distribution not previously disclosed in this Registration Statement or any material change to such information in this Registration Statement;</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of this Item 9 do not apply if registration statement is on Form S-8, and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  </w:t>
      </w:r>
    </w:p>
    <w:p>
      <w:pPr>
        <w:spacing w:after="0" w:line="204" w:lineRule="exact"/>
        <w:rPr>
          <w:sz w:val="20"/>
          <w:szCs w:val="20"/>
          <w:color w:val="auto"/>
        </w:rPr>
      </w:pPr>
    </w:p>
    <w:p>
      <w:pPr>
        <w:ind w:left="340" w:right="40" w:firstLine="324"/>
        <w:spacing w:after="0" w:line="250" w:lineRule="auto"/>
        <w:rPr>
          <w:sz w:val="20"/>
          <w:szCs w:val="20"/>
          <w:color w:val="auto"/>
        </w:rPr>
      </w:pPr>
      <w:r>
        <w:rPr>
          <w:rFonts w:ascii="Times New Roman" w:cs="Times New Roman" w:eastAsia="Times New Roman" w:hAnsi="Times New Roman"/>
          <w:sz w:val="18"/>
          <w:szCs w:val="18"/>
          <w:color w:val="auto"/>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right="340" w:firstLine="324"/>
        <w:spacing w:after="0" w:line="250" w:lineRule="auto"/>
        <w:rPr>
          <w:sz w:val="20"/>
          <w:szCs w:val="20"/>
          <w:color w:val="auto"/>
        </w:rPr>
      </w:pPr>
      <w:r>
        <w:rPr>
          <w:rFonts w:ascii="Times New Roman" w:cs="Times New Roman" w:eastAsia="Times New Roman" w:hAnsi="Times New Roman"/>
          <w:sz w:val="18"/>
          <w:szCs w:val="18"/>
          <w:color w:val="auto"/>
        </w:rPr>
        <w:t>(3)    To remove from the registration by means of a post-effective amendment any of the securities being registered which remain unsold at the termination of the offering.</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the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2025.</w:t>
      </w:r>
    </w:p>
    <w:tbl>
      <w:tblPr>
        <w:tblLayout w:type="fixed"/>
        <w:tblInd w:w="0" w:type="dxa"/>
        <w:tblCellMar>
          <w:top w:w="0" w:type="dxa"/>
          <w:left w:w="0" w:type="dxa"/>
          <w:bottom w:w="0" w:type="dxa"/>
          <w:right w:w="0" w:type="dxa"/>
        </w:tblCellMar>
      </w:tblPr>
      <w:tr>
        <w:trPr>
          <w:trHeight w:val="198"/>
        </w:trPr>
        <w:tc>
          <w:tcPr>
            <w:tcW w:w="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1040" w:type="dxa"/>
            <w:vAlign w:val="bottom"/>
            <w:gridSpan w:val="2"/>
            <w:vMerge w:val="restart"/>
          </w:tcPr>
          <w:p>
            <w:pPr>
              <w:ind w:left="544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8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040" w:type="dxa"/>
            <w:vAlign w:val="bottom"/>
            <w:gridSpan w:val="2"/>
          </w:tcPr>
          <w:p>
            <w:pPr>
              <w:ind w:left="5440"/>
              <w:spacing w:after="0"/>
              <w:rPr>
                <w:sz w:val="20"/>
                <w:szCs w:val="20"/>
                <w:color w:val="auto"/>
              </w:rPr>
            </w:pPr>
            <w:r>
              <w:rPr>
                <w:rFonts w:ascii="Times New Roman" w:cs="Times New Roman" w:eastAsia="Times New Roman" w:hAnsi="Times New Roman"/>
                <w:sz w:val="18"/>
                <w:szCs w:val="18"/>
                <w:color w:val="auto"/>
              </w:rPr>
              <w:t>By: /s/ Maurizio Nicolelli</w:t>
            </w:r>
          </w:p>
        </w:tc>
        <w:tc>
          <w:tcPr>
            <w:tcW w:w="0" w:type="dxa"/>
            <w:vAlign w:val="bottom"/>
          </w:tcPr>
          <w:p>
            <w:pPr>
              <w:spacing w:after="0"/>
              <w:rPr>
                <w:sz w:val="1"/>
                <w:szCs w:val="1"/>
                <w:color w:val="auto"/>
              </w:rPr>
            </w:pPr>
          </w:p>
        </w:tc>
      </w:tr>
      <w:tr>
        <w:trPr>
          <w:trHeight w:val="191"/>
        </w:trPr>
        <w:tc>
          <w:tcPr>
            <w:tcW w:w="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780" w:type="dxa"/>
            <w:vAlign w:val="bottom"/>
          </w:tcPr>
          <w:p>
            <w:pPr>
              <w:ind w:left="544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Maurizio Nicolelli</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8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hereby constitutes and appoints each of Rohit Kapoor, Maurizio Nicolelli and Ajay Ayyappan, and each of them acting individually, as his or her true and lawful attorney-in-fact and agent, with power to act without any other and with full and several power of substitution, for him or her and in his or her name, place and stead, to sign, in his or her capacity or capacities as shown below, any and all amendments to this Registration Statement on Form S-8 (including post-effective amendments),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connection with any such amendments, as fully for all intents and purposes as he or she might or could do in person, and does hereby ratify and confirm all that said attorneys-in-fact and agents, or either of them, or their substitutes, may lawfully do or cause to be done by virtue hereof.  </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dates indicated.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191"/>
        </w:trPr>
        <w:tc>
          <w:tcPr>
            <w:tcW w:w="3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5180" w:type="dxa"/>
            <w:vAlign w:val="bottom"/>
          </w:tcPr>
          <w:p>
            <w:pPr>
              <w:spacing w:after="0"/>
              <w:rPr>
                <w:sz w:val="16"/>
                <w:szCs w:val="16"/>
                <w:color w:val="auto"/>
              </w:rPr>
            </w:pPr>
          </w:p>
        </w:tc>
        <w:tc>
          <w:tcPr>
            <w:tcW w:w="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ROHIT KAPOOR</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Chief Executive Officer and Chairman of the Board of Directors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2025</w:t>
            </w:r>
          </w:p>
        </w:tc>
      </w:tr>
      <w:tr>
        <w:trPr>
          <w:trHeight w:val="191"/>
        </w:trPr>
        <w:tc>
          <w:tcPr>
            <w:tcW w:w="3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Rohit Kapoor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MAURIZIO NICOLELLI</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Chief Financial Officer (Principal Financial and Accounting Officer)</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2025</w:t>
            </w:r>
          </w:p>
        </w:tc>
      </w:tr>
      <w:tr>
        <w:trPr>
          <w:trHeight w:val="191"/>
        </w:trPr>
        <w:tc>
          <w:tcPr>
            <w:tcW w:w="3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Rohit Kapoor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18"/>
                <w:szCs w:val="18"/>
                <w:color w:val="auto"/>
              </w:rPr>
            </w:pPr>
          </w:p>
        </w:tc>
      </w:tr>
      <w:tr>
        <w:trPr>
          <w:trHeight w:val="23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VIKRAM PANDIT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Lead Director</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2025</w:t>
            </w:r>
          </w:p>
        </w:tc>
      </w:tr>
      <w:tr>
        <w:trPr>
          <w:trHeight w:val="191"/>
        </w:trPr>
        <w:tc>
          <w:tcPr>
            <w:tcW w:w="3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Vikram Pandit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BARTLETT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2025</w:t>
            </w:r>
          </w:p>
        </w:tc>
      </w:tr>
      <w:tr>
        <w:trPr>
          <w:trHeight w:val="191"/>
        </w:trPr>
        <w:tc>
          <w:tcPr>
            <w:tcW w:w="3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Thomas Bartlett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ANDREAS FIBIG</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2025</w:t>
            </w:r>
          </w:p>
        </w:tc>
      </w:tr>
      <w:tr>
        <w:trPr>
          <w:trHeight w:val="191"/>
        </w:trPr>
        <w:tc>
          <w:tcPr>
            <w:tcW w:w="3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Andreas Fibig</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KRISTY PIPES</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2025</w:t>
            </w:r>
          </w:p>
        </w:tc>
      </w:tr>
      <w:tr>
        <w:trPr>
          <w:trHeight w:val="191"/>
        </w:trPr>
        <w:tc>
          <w:tcPr>
            <w:tcW w:w="3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Kristy Pipes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NITIN SAHNEY</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2025</w:t>
            </w:r>
          </w:p>
        </w:tc>
      </w:tr>
      <w:tr>
        <w:trPr>
          <w:trHeight w:val="191"/>
        </w:trPr>
        <w:tc>
          <w:tcPr>
            <w:tcW w:w="3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Nitin Sahney</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SARAH WILLIAMSON</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2025</w:t>
            </w:r>
          </w:p>
        </w:tc>
      </w:tr>
      <w:tr>
        <w:trPr>
          <w:trHeight w:val="191"/>
        </w:trPr>
        <w:tc>
          <w:tcPr>
            <w:tcW w:w="3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Sarah Williamson</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 Pepper Hamilton Sanders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-119380</wp:posOffset>
            </wp:positionV>
            <wp:extent cx="1834515" cy="677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834515" cy="6775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301 S. College Street, 34th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NC 28202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troutman.com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17,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05" w:lineRule="auto"/>
        <w:rPr>
          <w:sz w:val="20"/>
          <w:szCs w:val="20"/>
          <w:color w:val="auto"/>
        </w:rPr>
      </w:pPr>
      <w:r>
        <w:rPr>
          <w:rFonts w:ascii="Times New Roman" w:cs="Times New Roman" w:eastAsia="Times New Roman" w:hAnsi="Times New Roman"/>
          <w:sz w:val="18"/>
          <w:szCs w:val="18"/>
          <w:color w:val="auto"/>
        </w:rPr>
        <w:t>320 Park Avenue,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acted as counsel to ExlService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that is being filed on the date hereof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by the Company pursuant to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relating to the registration of 7,897,299 shares (the “</w:t>
      </w:r>
      <w:r>
        <w:rPr>
          <w:rFonts w:ascii="Times New Roman" w:cs="Times New Roman" w:eastAsia="Times New Roman" w:hAnsi="Times New Roman"/>
          <w:sz w:val="18"/>
          <w:szCs w:val="18"/>
          <w:b w:val="1"/>
          <w:bCs w:val="1"/>
          <w:color w:val="auto"/>
        </w:rPr>
        <w:t>2025 Shares</w:t>
      </w:r>
      <w:r>
        <w:rPr>
          <w:rFonts w:ascii="Times New Roman" w:cs="Times New Roman" w:eastAsia="Times New Roman" w:hAnsi="Times New Roman"/>
          <w:sz w:val="18"/>
          <w:szCs w:val="18"/>
          <w:color w:val="auto"/>
        </w:rPr>
        <w:t>”) of the Company’s common stock, par value $0.001 per share, available for future issuance under the ExlService Holdings, Inc. 2025 Omnibus Incentive Plan (the “</w:t>
      </w:r>
      <w:r>
        <w:rPr>
          <w:rFonts w:ascii="Times New Roman" w:cs="Times New Roman" w:eastAsia="Times New Roman" w:hAnsi="Times New Roman"/>
          <w:sz w:val="18"/>
          <w:szCs w:val="18"/>
          <w:b w:val="1"/>
          <w:bCs w:val="1"/>
          <w:color w:val="auto"/>
        </w:rPr>
        <w:t>2025 Plan</w:t>
      </w:r>
      <w:r>
        <w:rPr>
          <w:rFonts w:ascii="Times New Roman" w:cs="Times New Roman" w:eastAsia="Times New Roman" w:hAnsi="Times New Roman"/>
          <w:sz w:val="18"/>
          <w:szCs w:val="18"/>
          <w:color w:val="auto"/>
        </w:rPr>
        <w:t>”) and 1,053,982 Shares (the “</w:t>
      </w:r>
      <w:r>
        <w:rPr>
          <w:rFonts w:ascii="Times New Roman" w:cs="Times New Roman" w:eastAsia="Times New Roman" w:hAnsi="Times New Roman"/>
          <w:sz w:val="18"/>
          <w:szCs w:val="18"/>
          <w:b w:val="1"/>
          <w:bCs w:val="1"/>
          <w:color w:val="auto"/>
        </w:rPr>
        <w:t>2018 Shares,</w:t>
      </w:r>
      <w:r>
        <w:rPr>
          <w:rFonts w:ascii="Times New Roman" w:cs="Times New Roman" w:eastAsia="Times New Roman" w:hAnsi="Times New Roman"/>
          <w:sz w:val="18"/>
          <w:szCs w:val="18"/>
          <w:color w:val="auto"/>
        </w:rPr>
        <w:t>” and together with the 2025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common stock that may be available for future issuance under the ExlService Holdings, Inc. 2018 Omnibus Incentive Plan (the “</w:t>
      </w:r>
      <w:r>
        <w:rPr>
          <w:rFonts w:ascii="Times New Roman" w:cs="Times New Roman" w:eastAsia="Times New Roman" w:hAnsi="Times New Roman"/>
          <w:sz w:val="18"/>
          <w:szCs w:val="18"/>
          <w:b w:val="1"/>
          <w:bCs w:val="1"/>
          <w:color w:val="auto"/>
        </w:rPr>
        <w:t>2018 Plan</w:t>
      </w:r>
      <w:r>
        <w:rPr>
          <w:rFonts w:ascii="Times New Roman" w:cs="Times New Roman" w:eastAsia="Times New Roman" w:hAnsi="Times New Roman"/>
          <w:sz w:val="18"/>
          <w:szCs w:val="18"/>
          <w:color w:val="auto"/>
        </w:rPr>
        <w:t>,” and together with the 2025 Plan, the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 which Shares include amounts currently authorized and that may become authorized for issuance under each Plan in the future upon the cancellation, termination, or net or cash settlement of outstanding awards.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this opinion letter, 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all purposes of the opinion expressed herein, we have assumed, without independent investigation, the following: (a) to the extent that we have reviewed and relied upon certificates of the Company or authorized representatives thereof and certificates and assurances from public officials, all of such certificates, representations and assurances are accurate with regard to factual matters; (b) all documents submitted to us as originals are authentic, complete and accurate, and all documents submitted to us as copies conform to authentic original documents; (c) the genuineness of all signatures; and (d) the Registration Statement will be effective under the Securities Act.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and subject to the foregoing and the exclusions, qualifications, limitations and other assumptions set forth in this opinion letter, we are of the opinion that the Shares have been validly authorized and, when issued and paid for in accordance with and upon the terms and conditions of the Plans, will be validly issued, fully paid and nonassessable.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opinion is limited to the General Corporation Law of the State of Delaware (including statutory provisions, all applicable provisions of the Delaware Constitution and reported judicial decisions interpreting the foregoing), as in effect on the date hereof, and we do not express any opinion concerning any other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-119380</wp:posOffset>
            </wp:positionV>
            <wp:extent cx="1834515" cy="677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834515" cy="6775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opinion is being furnished only for the purpose referred to in the first paragraph of this opinion letter. We hereby consent to the filing of this opinion as Exhibit 5.1 to the Registration Statement. In giving this consent, we do not admit that we are within the category of persons whose consent is required by Section 7 of the Securities Act or the rules and regulations of the SEC promulgated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Troutman Pepper Locke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routman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epper</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ocke</w:t>
      </w:r>
      <w:r>
        <w:rPr>
          <w:rFonts w:ascii="Times New Roman" w:cs="Times New Roman" w:eastAsia="Times New Roman" w:hAnsi="Times New Roman"/>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25, 2025, relating to the financial statements of ExlService Holdings, Inc. and the effectiveness of ExlService Holdings, Inc.'s internal control over financial reporting, appearing in the Annual Report on Form 10-K of ExlService Holdings, Inc.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ind w:left="2840"/>
        <w:spacing w:after="0"/>
        <w:rPr>
          <w:sz w:val="20"/>
          <w:szCs w:val="20"/>
          <w:color w:val="auto"/>
        </w:rPr>
      </w:pPr>
      <w:r>
        <w:rPr>
          <w:rFonts w:ascii="Arial" w:cs="Arial" w:eastAsia="Arial" w:hAnsi="Arial"/>
          <w:sz w:val="36"/>
          <w:szCs w:val="36"/>
          <w:b w:val="1"/>
          <w:bCs w:val="1"/>
          <w:color w:val="auto"/>
        </w:rPr>
        <w:t>Calculation of Filing Fee Tables</w:t>
      </w:r>
    </w:p>
    <w:p>
      <w:pPr>
        <w:spacing w:after="0" w:line="221" w:lineRule="exact"/>
        <w:rPr>
          <w:sz w:val="20"/>
          <w:szCs w:val="20"/>
          <w:color w:val="auto"/>
        </w:rPr>
      </w:pPr>
    </w:p>
    <w:p>
      <w:pPr>
        <w:ind w:left="5220"/>
        <w:spacing w:after="0"/>
        <w:rPr>
          <w:sz w:val="20"/>
          <w:szCs w:val="20"/>
          <w:color w:val="auto"/>
        </w:rPr>
      </w:pPr>
      <w:r>
        <w:rPr>
          <w:rFonts w:ascii="Arial" w:cs="Arial" w:eastAsia="Arial" w:hAnsi="Arial"/>
          <w:sz w:val="36"/>
          <w:szCs w:val="36"/>
          <w:b w:val="1"/>
          <w:bCs w:val="1"/>
          <w:color w:val="auto"/>
        </w:rPr>
        <w:t>S-8</w:t>
      </w:r>
    </w:p>
    <w:p>
      <w:pPr>
        <w:spacing w:after="0" w:line="126" w:lineRule="exact"/>
        <w:rPr>
          <w:sz w:val="20"/>
          <w:szCs w:val="20"/>
          <w:color w:val="auto"/>
        </w:rPr>
      </w:pPr>
    </w:p>
    <w:p>
      <w:pPr>
        <w:jc w:val="center"/>
        <w:ind w:right="120"/>
        <w:spacing w:after="0"/>
        <w:rPr>
          <w:sz w:val="20"/>
          <w:szCs w:val="20"/>
          <w:color w:val="auto"/>
        </w:rPr>
      </w:pPr>
      <w:r>
        <w:rPr>
          <w:rFonts w:ascii="Arial" w:cs="Arial" w:eastAsia="Arial" w:hAnsi="Arial"/>
          <w:sz w:val="36"/>
          <w:szCs w:val="36"/>
          <w:b w:val="1"/>
          <w:bCs w:val="1"/>
          <w:color w:val="auto"/>
        </w:rPr>
        <w:t>ExlService Holdings, Inc.</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Table 1: Newly Registered Securities</w:t>
      </w:r>
    </w:p>
    <w:p>
      <w:pPr>
        <w:spacing w:after="0" w:line="45"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Proposed</w:t>
            </w:r>
          </w:p>
        </w:tc>
        <w:tc>
          <w:tcPr>
            <w:tcW w:w="20" w:type="dxa"/>
            <w:vAlign w:val="bottom"/>
          </w:tcPr>
          <w:p>
            <w:pPr>
              <w:spacing w:after="0"/>
              <w:rPr>
                <w:sz w:val="19"/>
                <w:szCs w:val="19"/>
                <w:color w:val="auto"/>
              </w:rPr>
            </w:pPr>
          </w:p>
        </w:tc>
        <w:tc>
          <w:tcPr>
            <w:tcW w:w="1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Security</w:t>
            </w:r>
          </w:p>
        </w:tc>
        <w:tc>
          <w:tcPr>
            <w:tcW w:w="40" w:type="dxa"/>
            <w:vAlign w:val="bottom"/>
          </w:tcPr>
          <w:p>
            <w:pPr>
              <w:spacing w:after="0"/>
              <w:rPr>
                <w:sz w:val="21"/>
                <w:szCs w:val="21"/>
                <w:color w:val="auto"/>
              </w:rPr>
            </w:pPr>
          </w:p>
        </w:tc>
        <w:tc>
          <w:tcPr>
            <w:tcW w:w="94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9"/>
              </w:rPr>
              <w:t>Security</w:t>
            </w:r>
          </w:p>
        </w:tc>
        <w:tc>
          <w:tcPr>
            <w:tcW w:w="20" w:type="dxa"/>
            <w:vAlign w:val="bottom"/>
          </w:tcPr>
          <w:p>
            <w:pPr>
              <w:spacing w:after="0"/>
              <w:rPr>
                <w:sz w:val="21"/>
                <w:szCs w:val="21"/>
                <w:color w:val="auto"/>
              </w:rPr>
            </w:pPr>
          </w:p>
        </w:tc>
        <w:tc>
          <w:tcPr>
            <w:tcW w:w="12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rPr>
              <w:t>Fee</w:t>
            </w:r>
          </w:p>
        </w:tc>
        <w:tc>
          <w:tcPr>
            <w:tcW w:w="40" w:type="dxa"/>
            <w:vAlign w:val="bottom"/>
          </w:tcPr>
          <w:p>
            <w:pPr>
              <w:spacing w:after="0"/>
              <w:rPr>
                <w:sz w:val="21"/>
                <w:szCs w:val="21"/>
                <w:color w:val="auto"/>
              </w:rPr>
            </w:pPr>
          </w:p>
        </w:tc>
        <w:tc>
          <w:tcPr>
            <w:tcW w:w="1140" w:type="dxa"/>
            <w:vAlign w:val="bottom"/>
            <w:vMerge w:val="restart"/>
            <w:shd w:val="clear" w:color="auto" w:fill="9ADAF6"/>
          </w:tcPr>
          <w:p>
            <w:pPr>
              <w:jc w:val="right"/>
              <w:ind w:right="52"/>
              <w:spacing w:after="0"/>
              <w:rPr>
                <w:sz w:val="20"/>
                <w:szCs w:val="20"/>
                <w:color w:val="auto"/>
              </w:rPr>
            </w:pPr>
            <w:r>
              <w:rPr>
                <w:rFonts w:ascii="Arial" w:cs="Arial" w:eastAsia="Arial" w:hAnsi="Arial"/>
                <w:sz w:val="22"/>
                <w:szCs w:val="22"/>
                <w:b w:val="1"/>
                <w:bCs w:val="1"/>
                <w:color w:val="auto"/>
              </w:rPr>
              <w:t>Amount</w:t>
            </w:r>
          </w:p>
        </w:tc>
        <w:tc>
          <w:tcPr>
            <w:tcW w:w="40" w:type="dxa"/>
            <w:vAlign w:val="bottom"/>
          </w:tcPr>
          <w:p>
            <w:pPr>
              <w:spacing w:after="0"/>
              <w:rPr>
                <w:sz w:val="21"/>
                <w:szCs w:val="21"/>
                <w:color w:val="auto"/>
              </w:rPr>
            </w:pPr>
          </w:p>
        </w:tc>
        <w:tc>
          <w:tcPr>
            <w:tcW w:w="13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Maximum</w:t>
            </w:r>
          </w:p>
        </w:tc>
        <w:tc>
          <w:tcPr>
            <w:tcW w:w="20" w:type="dxa"/>
            <w:vAlign w:val="bottom"/>
          </w:tcPr>
          <w:p>
            <w:pPr>
              <w:spacing w:after="0"/>
              <w:rPr>
                <w:sz w:val="21"/>
                <w:szCs w:val="21"/>
                <w:color w:val="auto"/>
              </w:rPr>
            </w:pPr>
          </w:p>
        </w:tc>
        <w:tc>
          <w:tcPr>
            <w:tcW w:w="158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Maximum</w:t>
            </w:r>
          </w:p>
        </w:tc>
        <w:tc>
          <w:tcPr>
            <w:tcW w:w="20" w:type="dxa"/>
            <w:vAlign w:val="bottom"/>
          </w:tcPr>
          <w:p>
            <w:pPr>
              <w:spacing w:after="0"/>
              <w:rPr>
                <w:sz w:val="21"/>
                <w:szCs w:val="21"/>
                <w:color w:val="auto"/>
              </w:rPr>
            </w:pPr>
          </w:p>
        </w:tc>
        <w:tc>
          <w:tcPr>
            <w:tcW w:w="10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Amount of</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Class</w:t>
            </w:r>
          </w:p>
        </w:tc>
        <w:tc>
          <w:tcPr>
            <w:tcW w:w="20" w:type="dxa"/>
            <w:vAlign w:val="bottom"/>
          </w:tcPr>
          <w:p>
            <w:pPr>
              <w:spacing w:after="0"/>
              <w:rPr>
                <w:sz w:val="18"/>
                <w:szCs w:val="18"/>
                <w:color w:val="auto"/>
              </w:rPr>
            </w:pPr>
          </w:p>
        </w:tc>
        <w:tc>
          <w:tcPr>
            <w:tcW w:w="120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9"/>
              </w:rPr>
              <w:t>Calculation</w:t>
            </w: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Offering</w:t>
            </w:r>
          </w:p>
        </w:tc>
        <w:tc>
          <w:tcPr>
            <w:tcW w:w="20" w:type="dxa"/>
            <w:vAlign w:val="bottom"/>
          </w:tcPr>
          <w:p>
            <w:pPr>
              <w:spacing w:after="0"/>
              <w:rPr>
                <w:sz w:val="18"/>
                <w:szCs w:val="18"/>
                <w:color w:val="auto"/>
              </w:rPr>
            </w:pPr>
          </w:p>
        </w:tc>
        <w:tc>
          <w:tcPr>
            <w:tcW w:w="158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7"/>
              </w:rPr>
              <w:t>Aggregate</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Fee Rate</w:t>
            </w:r>
          </w:p>
        </w:tc>
        <w:tc>
          <w:tcPr>
            <w:tcW w:w="20" w:type="dxa"/>
            <w:vAlign w:val="bottom"/>
          </w:tcPr>
          <w:p>
            <w:pPr>
              <w:spacing w:after="0"/>
              <w:rPr>
                <w:sz w:val="18"/>
                <w:szCs w:val="18"/>
                <w:color w:val="auto"/>
              </w:rPr>
            </w:pPr>
          </w:p>
        </w:tc>
        <w:tc>
          <w:tcPr>
            <w:tcW w:w="148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3"/>
              </w:rPr>
              <w:t>Type</w:t>
            </w:r>
          </w:p>
        </w:tc>
        <w:tc>
          <w:tcPr>
            <w:tcW w:w="40" w:type="dxa"/>
            <w:vAlign w:val="bottom"/>
          </w:tcPr>
          <w:p>
            <w:pPr>
              <w:spacing w:after="0"/>
              <w:rPr>
                <w:sz w:val="21"/>
                <w:szCs w:val="21"/>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Title</w:t>
            </w:r>
          </w:p>
        </w:tc>
        <w:tc>
          <w:tcPr>
            <w:tcW w:w="20" w:type="dxa"/>
            <w:vAlign w:val="bottom"/>
          </w:tcPr>
          <w:p>
            <w:pPr>
              <w:spacing w:after="0"/>
              <w:rPr>
                <w:sz w:val="21"/>
                <w:szCs w:val="21"/>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Rule</w:t>
            </w:r>
          </w:p>
        </w:tc>
        <w:tc>
          <w:tcPr>
            <w:tcW w:w="40" w:type="dxa"/>
            <w:vAlign w:val="bottom"/>
          </w:tcPr>
          <w:p>
            <w:pPr>
              <w:spacing w:after="0"/>
              <w:rPr>
                <w:sz w:val="21"/>
                <w:szCs w:val="21"/>
                <w:color w:val="auto"/>
              </w:rPr>
            </w:pPr>
          </w:p>
        </w:tc>
        <w:tc>
          <w:tcPr>
            <w:tcW w:w="1140" w:type="dxa"/>
            <w:vAlign w:val="bottom"/>
            <w:shd w:val="clear" w:color="auto" w:fill="9ADAF6"/>
          </w:tcPr>
          <w:p>
            <w:pPr>
              <w:jc w:val="right"/>
              <w:spacing w:after="0" w:line="243" w:lineRule="exact"/>
              <w:rPr>
                <w:sz w:val="20"/>
                <w:szCs w:val="20"/>
                <w:color w:val="auto"/>
              </w:rPr>
            </w:pPr>
            <w:r>
              <w:rPr>
                <w:rFonts w:ascii="Arial" w:cs="Arial" w:eastAsia="Arial" w:hAnsi="Arial"/>
                <w:sz w:val="22"/>
                <w:szCs w:val="22"/>
                <w:b w:val="1"/>
                <w:bCs w:val="1"/>
                <w:color w:val="auto"/>
                <w:w w:val="96"/>
              </w:rPr>
              <w:t>Registered</w:t>
            </w:r>
          </w:p>
        </w:tc>
        <w:tc>
          <w:tcPr>
            <w:tcW w:w="40" w:type="dxa"/>
            <w:vAlign w:val="bottom"/>
          </w:tcPr>
          <w:p>
            <w:pPr>
              <w:spacing w:after="0"/>
              <w:rPr>
                <w:sz w:val="21"/>
                <w:szCs w:val="21"/>
                <w:color w:val="auto"/>
              </w:rPr>
            </w:pPr>
          </w:p>
        </w:tc>
        <w:tc>
          <w:tcPr>
            <w:tcW w:w="13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Price Per</w:t>
            </w:r>
          </w:p>
        </w:tc>
        <w:tc>
          <w:tcPr>
            <w:tcW w:w="20" w:type="dxa"/>
            <w:vAlign w:val="bottom"/>
          </w:tcPr>
          <w:p>
            <w:pPr>
              <w:spacing w:after="0"/>
              <w:rPr>
                <w:sz w:val="21"/>
                <w:szCs w:val="21"/>
                <w:color w:val="auto"/>
              </w:rPr>
            </w:pPr>
          </w:p>
        </w:tc>
        <w:tc>
          <w:tcPr>
            <w:tcW w:w="158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Offering Price</w:t>
            </w:r>
          </w:p>
        </w:tc>
        <w:tc>
          <w:tcPr>
            <w:tcW w:w="20" w:type="dxa"/>
            <w:vAlign w:val="bottom"/>
          </w:tcPr>
          <w:p>
            <w:pPr>
              <w:spacing w:after="0"/>
              <w:rPr>
                <w:sz w:val="21"/>
                <w:szCs w:val="21"/>
                <w:color w:val="auto"/>
              </w:rPr>
            </w:pPr>
          </w:p>
        </w:tc>
        <w:tc>
          <w:tcPr>
            <w:tcW w:w="10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4"/>
              </w:rPr>
              <w:t>Fee</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16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vMerge w:val="continue"/>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vMerge w:val="continue"/>
            <w:shd w:val="clear" w:color="auto" w:fill="9ADAF6"/>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Unit</w:t>
            </w:r>
          </w:p>
        </w:tc>
        <w:tc>
          <w:tcPr>
            <w:tcW w:w="20" w:type="dxa"/>
            <w:vAlign w:val="bottom"/>
          </w:tcPr>
          <w:p>
            <w:pPr>
              <w:spacing w:after="0"/>
              <w:rPr>
                <w:sz w:val="24"/>
                <w:szCs w:val="24"/>
                <w:color w:val="auto"/>
              </w:rPr>
            </w:pPr>
          </w:p>
        </w:tc>
        <w:tc>
          <w:tcPr>
            <w:tcW w:w="15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ind w:left="20"/>
              <w:spacing w:after="0" w:line="230" w:lineRule="exact"/>
              <w:rPr>
                <w:sz w:val="20"/>
                <w:szCs w:val="20"/>
                <w:color w:val="auto"/>
              </w:rPr>
            </w:pPr>
            <w:r>
              <w:rPr>
                <w:rFonts w:ascii="Arial" w:cs="Arial" w:eastAsia="Arial" w:hAnsi="Arial"/>
                <w:sz w:val="22"/>
                <w:szCs w:val="22"/>
                <w:color w:val="auto"/>
              </w:rPr>
              <w:t>Common</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Stock,</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7"/>
              </w:rPr>
              <w:t>1</w:t>
            </w:r>
          </w:p>
        </w:tc>
        <w:tc>
          <w:tcPr>
            <w:tcW w:w="20" w:type="dxa"/>
            <w:vAlign w:val="bottom"/>
          </w:tcPr>
          <w:p>
            <w:pPr>
              <w:spacing w:after="0"/>
              <w:rPr>
                <w:sz w:val="10"/>
                <w:szCs w:val="1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2"/>
                <w:szCs w:val="22"/>
                <w:color w:val="auto"/>
              </w:rPr>
              <w:t>Equity</w:t>
            </w:r>
          </w:p>
        </w:tc>
        <w:tc>
          <w:tcPr>
            <w:tcW w:w="40" w:type="dxa"/>
            <w:vAlign w:val="bottom"/>
          </w:tcPr>
          <w:p>
            <w:pPr>
              <w:spacing w:after="0"/>
              <w:rPr>
                <w:sz w:val="10"/>
                <w:szCs w:val="1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2"/>
                <w:szCs w:val="22"/>
                <w:color w:val="auto"/>
                <w:w w:val="99"/>
              </w:rPr>
              <w:t>par value</w:t>
            </w:r>
          </w:p>
        </w:tc>
        <w:tc>
          <w:tcPr>
            <w:tcW w:w="20" w:type="dxa"/>
            <w:vAlign w:val="bottom"/>
          </w:tcPr>
          <w:p>
            <w:pPr>
              <w:spacing w:after="0"/>
              <w:rPr>
                <w:sz w:val="10"/>
                <w:szCs w:val="10"/>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7"/>
              </w:rPr>
              <w:t>457(a)</w:t>
            </w:r>
          </w:p>
        </w:tc>
        <w:tc>
          <w:tcPr>
            <w:tcW w:w="4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7,897,299</w:t>
            </w:r>
          </w:p>
        </w:tc>
        <w:tc>
          <w:tcPr>
            <w:tcW w:w="40" w:type="dxa"/>
            <w:vAlign w:val="bottom"/>
          </w:tcPr>
          <w:p>
            <w:pPr>
              <w:spacing w:after="0"/>
              <w:rPr>
                <w:sz w:val="10"/>
                <w:szCs w:val="10"/>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$ 47.88</w:t>
            </w:r>
          </w:p>
        </w:tc>
        <w:tc>
          <w:tcPr>
            <w:tcW w:w="20" w:type="dxa"/>
            <w:vAlign w:val="bottom"/>
          </w:tcPr>
          <w:p>
            <w:pPr>
              <w:spacing w:after="0"/>
              <w:rPr>
                <w:sz w:val="10"/>
                <w:szCs w:val="10"/>
                <w:color w:val="auto"/>
              </w:rPr>
            </w:pPr>
          </w:p>
        </w:tc>
        <w:tc>
          <w:tcPr>
            <w:tcW w:w="15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0.0001531</w:t>
            </w:r>
          </w:p>
        </w:tc>
        <w:tc>
          <w:tcPr>
            <w:tcW w:w="20" w:type="dxa"/>
            <w:vAlign w:val="bottom"/>
          </w:tcPr>
          <w:p>
            <w:pPr>
              <w:spacing w:after="0"/>
              <w:rPr>
                <w:sz w:val="10"/>
                <w:szCs w:val="1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$ 57,890.58</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shd w:val="clear" w:color="auto" w:fill="E7E7E2"/>
          </w:tcPr>
          <w:p>
            <w:pPr>
              <w:jc w:val="right"/>
              <w:spacing w:after="0" w:line="216" w:lineRule="exact"/>
              <w:rPr>
                <w:sz w:val="20"/>
                <w:szCs w:val="20"/>
                <w:color w:val="auto"/>
              </w:rPr>
            </w:pPr>
            <w:r>
              <w:rPr>
                <w:rFonts w:ascii="Arial" w:cs="Arial" w:eastAsia="Arial" w:hAnsi="Arial"/>
                <w:sz w:val="22"/>
                <w:szCs w:val="22"/>
                <w:color w:val="auto"/>
              </w:rPr>
              <w:t>378,122,676.12</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shd w:val="clear" w:color="auto" w:fill="E7E7E2"/>
          </w:tcPr>
          <w:p>
            <w:pPr>
              <w:ind w:left="20"/>
              <w:spacing w:after="0" w:line="149" w:lineRule="exact"/>
              <w:rPr>
                <w:sz w:val="20"/>
                <w:szCs w:val="20"/>
                <w:color w:val="auto"/>
              </w:rPr>
            </w:pPr>
            <w:r>
              <w:rPr>
                <w:rFonts w:ascii="Arial" w:cs="Arial" w:eastAsia="Arial" w:hAnsi="Arial"/>
                <w:sz w:val="17"/>
                <w:szCs w:val="17"/>
                <w:color w:val="auto"/>
              </w:rPr>
              <w:t>$0.01 per</w:t>
            </w:r>
          </w:p>
        </w:tc>
        <w:tc>
          <w:tcPr>
            <w:tcW w:w="20" w:type="dxa"/>
            <w:vAlign w:val="bottom"/>
          </w:tcPr>
          <w:p>
            <w:pPr>
              <w:spacing w:after="0"/>
              <w:rPr>
                <w:sz w:val="12"/>
                <w:szCs w:val="12"/>
                <w:color w:val="auto"/>
              </w:rPr>
            </w:pPr>
          </w:p>
        </w:tc>
        <w:tc>
          <w:tcPr>
            <w:tcW w:w="120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shd w:val="clear" w:color="auto" w:fill="E7E7E2"/>
          </w:tcPr>
          <w:p>
            <w:pPr>
              <w:ind w:left="20"/>
              <w:spacing w:after="0"/>
              <w:rPr>
                <w:sz w:val="20"/>
                <w:szCs w:val="20"/>
                <w:color w:val="auto"/>
              </w:rPr>
            </w:pPr>
            <w:r>
              <w:rPr>
                <w:rFonts w:ascii="Arial" w:cs="Arial" w:eastAsia="Arial" w:hAnsi="Arial"/>
                <w:sz w:val="22"/>
                <w:szCs w:val="22"/>
                <w:color w:val="auto"/>
              </w:rPr>
              <w:t>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ind w:left="20"/>
              <w:spacing w:after="0" w:line="230" w:lineRule="exact"/>
              <w:rPr>
                <w:sz w:val="20"/>
                <w:szCs w:val="20"/>
                <w:color w:val="auto"/>
              </w:rPr>
            </w:pPr>
            <w:r>
              <w:rPr>
                <w:rFonts w:ascii="Arial" w:cs="Arial" w:eastAsia="Arial" w:hAnsi="Arial"/>
                <w:sz w:val="22"/>
                <w:szCs w:val="22"/>
                <w:color w:val="auto"/>
              </w:rPr>
              <w:t>Common</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Stock,</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7"/>
              </w:rPr>
              <w:t>2</w:t>
            </w:r>
          </w:p>
        </w:tc>
        <w:tc>
          <w:tcPr>
            <w:tcW w:w="20" w:type="dxa"/>
            <w:vAlign w:val="bottom"/>
          </w:tcPr>
          <w:p>
            <w:pPr>
              <w:spacing w:after="0"/>
              <w:rPr>
                <w:sz w:val="10"/>
                <w:szCs w:val="1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2"/>
                <w:szCs w:val="22"/>
                <w:color w:val="auto"/>
              </w:rPr>
              <w:t>Equity</w:t>
            </w:r>
          </w:p>
        </w:tc>
        <w:tc>
          <w:tcPr>
            <w:tcW w:w="40" w:type="dxa"/>
            <w:vAlign w:val="bottom"/>
          </w:tcPr>
          <w:p>
            <w:pPr>
              <w:spacing w:after="0"/>
              <w:rPr>
                <w:sz w:val="10"/>
                <w:szCs w:val="1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2"/>
                <w:szCs w:val="22"/>
                <w:color w:val="auto"/>
                <w:w w:val="99"/>
              </w:rPr>
              <w:t>par value</w:t>
            </w:r>
          </w:p>
        </w:tc>
        <w:tc>
          <w:tcPr>
            <w:tcW w:w="20" w:type="dxa"/>
            <w:vAlign w:val="bottom"/>
          </w:tcPr>
          <w:p>
            <w:pPr>
              <w:spacing w:after="0"/>
              <w:rPr>
                <w:sz w:val="10"/>
                <w:szCs w:val="10"/>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7"/>
              </w:rPr>
              <w:t>457(a)</w:t>
            </w:r>
          </w:p>
        </w:tc>
        <w:tc>
          <w:tcPr>
            <w:tcW w:w="4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1,053,982</w:t>
            </w:r>
          </w:p>
        </w:tc>
        <w:tc>
          <w:tcPr>
            <w:tcW w:w="40" w:type="dxa"/>
            <w:vAlign w:val="bottom"/>
          </w:tcPr>
          <w:p>
            <w:pPr>
              <w:spacing w:after="0"/>
              <w:rPr>
                <w:sz w:val="10"/>
                <w:szCs w:val="10"/>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$ 47.88</w:t>
            </w:r>
          </w:p>
        </w:tc>
        <w:tc>
          <w:tcPr>
            <w:tcW w:w="20" w:type="dxa"/>
            <w:vAlign w:val="bottom"/>
          </w:tcPr>
          <w:p>
            <w:pPr>
              <w:spacing w:after="0"/>
              <w:rPr>
                <w:sz w:val="10"/>
                <w:szCs w:val="10"/>
                <w:color w:val="auto"/>
              </w:rPr>
            </w:pPr>
          </w:p>
        </w:tc>
        <w:tc>
          <w:tcPr>
            <w:tcW w:w="15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0.0001531</w:t>
            </w:r>
          </w:p>
        </w:tc>
        <w:tc>
          <w:tcPr>
            <w:tcW w:w="20" w:type="dxa"/>
            <w:vAlign w:val="bottom"/>
          </w:tcPr>
          <w:p>
            <w:pPr>
              <w:spacing w:after="0"/>
              <w:rPr>
                <w:sz w:val="10"/>
                <w:szCs w:val="1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$ 7,726.14</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shd w:val="clear" w:color="auto" w:fill="E7E7E2"/>
          </w:tcPr>
          <w:p>
            <w:pPr>
              <w:jc w:val="right"/>
              <w:spacing w:after="0" w:line="216" w:lineRule="exact"/>
              <w:rPr>
                <w:sz w:val="20"/>
                <w:szCs w:val="20"/>
                <w:color w:val="auto"/>
              </w:rPr>
            </w:pPr>
            <w:r>
              <w:rPr>
                <w:rFonts w:ascii="Arial" w:cs="Arial" w:eastAsia="Arial" w:hAnsi="Arial"/>
                <w:sz w:val="22"/>
                <w:szCs w:val="22"/>
                <w:color w:val="auto"/>
              </w:rPr>
              <w:t>50,464,658.00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shd w:val="clear" w:color="auto" w:fill="E7E7E2"/>
          </w:tcPr>
          <w:p>
            <w:pPr>
              <w:ind w:left="20"/>
              <w:spacing w:after="0" w:line="149" w:lineRule="exact"/>
              <w:rPr>
                <w:sz w:val="20"/>
                <w:szCs w:val="20"/>
                <w:color w:val="auto"/>
              </w:rPr>
            </w:pPr>
            <w:r>
              <w:rPr>
                <w:rFonts w:ascii="Arial" w:cs="Arial" w:eastAsia="Arial" w:hAnsi="Arial"/>
                <w:sz w:val="17"/>
                <w:szCs w:val="17"/>
                <w:color w:val="auto"/>
              </w:rPr>
              <w:t>$0.01 per</w:t>
            </w:r>
          </w:p>
        </w:tc>
        <w:tc>
          <w:tcPr>
            <w:tcW w:w="20" w:type="dxa"/>
            <w:vAlign w:val="bottom"/>
          </w:tcPr>
          <w:p>
            <w:pPr>
              <w:spacing w:after="0"/>
              <w:rPr>
                <w:sz w:val="12"/>
                <w:szCs w:val="12"/>
                <w:color w:val="auto"/>
              </w:rPr>
            </w:pPr>
          </w:p>
        </w:tc>
        <w:tc>
          <w:tcPr>
            <w:tcW w:w="120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shd w:val="clear" w:color="auto" w:fill="E7E7E2"/>
          </w:tcPr>
          <w:p>
            <w:pPr>
              <w:ind w:left="20"/>
              <w:spacing w:after="0"/>
              <w:rPr>
                <w:sz w:val="20"/>
                <w:szCs w:val="20"/>
                <w:color w:val="auto"/>
              </w:rPr>
            </w:pPr>
            <w:r>
              <w:rPr>
                <w:rFonts w:ascii="Arial" w:cs="Arial" w:eastAsia="Arial" w:hAnsi="Arial"/>
                <w:sz w:val="22"/>
                <w:szCs w:val="22"/>
                <w:color w:val="auto"/>
              </w:rPr>
              <w:t>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Total Offering Amounts:</w:t>
            </w: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$ 65,616.72</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428,587,334.12</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Total Fee Offsets:</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Net Fee Due:</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$ 65,616.72</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Offering Note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80" w:lineRule="exact"/>
        <w:rPr>
          <w:sz w:val="20"/>
          <w:szCs w:val="20"/>
          <w:color w:val="auto"/>
        </w:rPr>
      </w:pPr>
    </w:p>
    <w:p>
      <w:pPr>
        <w:ind w:left="240" w:hanging="2"/>
        <w:spacing w:after="0" w:line="233" w:lineRule="auto"/>
        <w:tabs>
          <w:tab w:leader="none" w:pos="564" w:val="left"/>
        </w:tabs>
        <w:numPr>
          <w:ilvl w:val="0"/>
          <w:numId w:val="4"/>
        </w:numPr>
        <w:rPr>
          <w:rFonts w:ascii="Arial" w:cs="Arial" w:eastAsia="Arial" w:hAnsi="Arial"/>
          <w:sz w:val="22"/>
          <w:szCs w:val="22"/>
          <w:color w:val="auto"/>
        </w:rPr>
      </w:pPr>
      <w:r>
        <w:rPr>
          <w:rFonts w:ascii="Arial" w:cs="Arial" w:eastAsia="Arial" w:hAnsi="Arial"/>
          <w:sz w:val="22"/>
          <w:szCs w:val="22"/>
          <w:color w:val="auto"/>
        </w:rPr>
        <w:t>Pursuant to Rule 416(a) under the Securities Act of 1933, as amended (the "Securities Act"), this registration statement covers an indeterminate number of securities as may become issuable pursuant to the provisions of the ExlService Holdings, Inc. 2018 Omnibus Incentive Plan (the "2018 Plan") and the ExlService Holdings, Inc. 2025 Omnibus Incentive Plan (the "2025 Plan") by reason of any stock dividend, stock split, recapitalization or any other similar transaction effected without the Registrant's receipt of consideration which results in an increase in the number of outstanding shares of common stock.</w:t>
      </w:r>
    </w:p>
    <w:p>
      <w:pPr>
        <w:spacing w:after="0" w:line="4" w:lineRule="exact"/>
        <w:rPr>
          <w:rFonts w:ascii="Arial" w:cs="Arial" w:eastAsia="Arial" w:hAnsi="Arial"/>
          <w:sz w:val="22"/>
          <w:szCs w:val="22"/>
          <w:color w:val="auto"/>
        </w:rPr>
      </w:pPr>
    </w:p>
    <w:p>
      <w:pPr>
        <w:ind w:left="240" w:right="140" w:hanging="2"/>
        <w:spacing w:after="0" w:line="230" w:lineRule="auto"/>
        <w:tabs>
          <w:tab w:leader="none" w:pos="564" w:val="left"/>
        </w:tabs>
        <w:numPr>
          <w:ilvl w:val="0"/>
          <w:numId w:val="4"/>
        </w:numPr>
        <w:rPr>
          <w:rFonts w:ascii="Arial" w:cs="Arial" w:eastAsia="Arial" w:hAnsi="Arial"/>
          <w:sz w:val="22"/>
          <w:szCs w:val="22"/>
          <w:color w:val="auto"/>
        </w:rPr>
      </w:pPr>
      <w:r>
        <w:rPr>
          <w:rFonts w:ascii="Arial" w:cs="Arial" w:eastAsia="Arial" w:hAnsi="Arial"/>
          <w:sz w:val="22"/>
          <w:szCs w:val="22"/>
          <w:color w:val="auto"/>
        </w:rPr>
        <w:t>Represents (i) 6,797,299 shares reserved for issuance under the 2025 Plan, plus (ii) 1,100,000 shares, which represents the estimated number of shares that will become authorized for issuance under the 2025 Plan upon the cancellation, termination, or net or cash settlement of awards.</w:t>
      </w:r>
    </w:p>
    <w:p>
      <w:pPr>
        <w:spacing w:after="0" w:line="1" w:lineRule="exact"/>
        <w:rPr>
          <w:rFonts w:ascii="Arial" w:cs="Arial" w:eastAsia="Arial" w:hAnsi="Arial"/>
          <w:sz w:val="22"/>
          <w:szCs w:val="22"/>
          <w:color w:val="auto"/>
        </w:rPr>
      </w:pPr>
    </w:p>
    <w:p>
      <w:pPr>
        <w:ind w:left="240" w:right="80" w:hanging="2"/>
        <w:spacing w:after="0" w:line="235" w:lineRule="auto"/>
        <w:tabs>
          <w:tab w:leader="none" w:pos="564" w:val="left"/>
        </w:tabs>
        <w:numPr>
          <w:ilvl w:val="0"/>
          <w:numId w:val="4"/>
        </w:numPr>
        <w:rPr>
          <w:rFonts w:ascii="Arial" w:cs="Arial" w:eastAsia="Arial" w:hAnsi="Arial"/>
          <w:sz w:val="22"/>
          <w:szCs w:val="22"/>
          <w:color w:val="auto"/>
        </w:rPr>
      </w:pPr>
      <w:r>
        <w:rPr>
          <w:rFonts w:ascii="Arial" w:cs="Arial" w:eastAsia="Arial" w:hAnsi="Arial"/>
          <w:sz w:val="22"/>
          <w:szCs w:val="22"/>
          <w:color w:val="auto"/>
        </w:rPr>
        <w:t>Estimated solely for the purpose of calculating the registration fee in accordance with Rules 457(c) and 457(h) of the Securities Act. The amount of the registration fee is based on a price of $47.88 per share, which is the average of the high and low prices of the Registrant's common stock as reported by the Nasdaq Global Select Market on June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82550</wp:posOffset>
            </wp:positionV>
            <wp:extent cx="697738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6977380" cy="42545"/>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80" w:lineRule="exact"/>
        <w:rPr>
          <w:sz w:val="20"/>
          <w:szCs w:val="20"/>
          <w:color w:val="auto"/>
        </w:rPr>
      </w:pPr>
    </w:p>
    <w:p>
      <w:pPr>
        <w:ind w:left="240" w:hanging="2"/>
        <w:spacing w:after="0" w:line="233" w:lineRule="auto"/>
        <w:tabs>
          <w:tab w:leader="none" w:pos="564" w:val="left"/>
        </w:tabs>
        <w:numPr>
          <w:ilvl w:val="0"/>
          <w:numId w:val="5"/>
        </w:numPr>
        <w:rPr>
          <w:rFonts w:ascii="Arial" w:cs="Arial" w:eastAsia="Arial" w:hAnsi="Arial"/>
          <w:sz w:val="22"/>
          <w:szCs w:val="22"/>
          <w:color w:val="auto"/>
        </w:rPr>
      </w:pPr>
      <w:r>
        <w:rPr>
          <w:rFonts w:ascii="Arial" w:cs="Arial" w:eastAsia="Arial" w:hAnsi="Arial"/>
          <w:sz w:val="22"/>
          <w:szCs w:val="22"/>
          <w:color w:val="auto"/>
        </w:rPr>
        <w:t>Pursuant to Rule 416(a) under the Securities Act of 1933, as amended (the "Securities Act"), this registration statement covers an indeterminate number of securities as may become issuable pursuant to the provisions of the ExlService Holdings, Inc. 2018 Omnibus Incentive Plan (the "2018 Plan") and the ExlService Holdings, Inc. 2025 Omnibus Incentive Plan (the "2025 Plan") by reason of any stock dividend, stock split, recapitalization or any other similar transaction effected without the Registrant's receipt of consideration which results in an increase in the number of outstanding shares of common stock.</w:t>
      </w:r>
    </w:p>
    <w:p>
      <w:pPr>
        <w:spacing w:after="0" w:line="4" w:lineRule="exact"/>
        <w:rPr>
          <w:rFonts w:ascii="Arial" w:cs="Arial" w:eastAsia="Arial" w:hAnsi="Arial"/>
          <w:sz w:val="22"/>
          <w:szCs w:val="22"/>
          <w:color w:val="auto"/>
        </w:rPr>
      </w:pPr>
    </w:p>
    <w:p>
      <w:pPr>
        <w:ind w:left="240" w:right="220" w:hanging="2"/>
        <w:spacing w:after="0" w:line="230" w:lineRule="auto"/>
        <w:tabs>
          <w:tab w:leader="none" w:pos="564" w:val="left"/>
        </w:tabs>
        <w:numPr>
          <w:ilvl w:val="0"/>
          <w:numId w:val="5"/>
        </w:numPr>
        <w:rPr>
          <w:rFonts w:ascii="Arial" w:cs="Arial" w:eastAsia="Arial" w:hAnsi="Arial"/>
          <w:sz w:val="22"/>
          <w:szCs w:val="22"/>
          <w:color w:val="auto"/>
        </w:rPr>
      </w:pPr>
      <w:r>
        <w:rPr>
          <w:rFonts w:ascii="Arial" w:cs="Arial" w:eastAsia="Arial" w:hAnsi="Arial"/>
          <w:sz w:val="22"/>
          <w:szCs w:val="22"/>
          <w:color w:val="auto"/>
        </w:rPr>
        <w:t>Represents (i) 253,982 shares available for future issuance under the 2018 Plan by reason of additional shares made available for issuance pursuant to the 2018 Plan, plus (ii) 800,000 shares, which represents the estimated number of shares that will become authorized for issuance under the 2018 Plan in the future upon the cancellation, termination, or net or cash settlement of outstanding awards.</w:t>
      </w:r>
    </w:p>
    <w:p>
      <w:pPr>
        <w:spacing w:after="0" w:line="2" w:lineRule="exact"/>
        <w:rPr>
          <w:rFonts w:ascii="Arial" w:cs="Arial" w:eastAsia="Arial" w:hAnsi="Arial"/>
          <w:sz w:val="22"/>
          <w:szCs w:val="22"/>
          <w:color w:val="auto"/>
        </w:rPr>
      </w:pPr>
    </w:p>
    <w:p>
      <w:pPr>
        <w:ind w:left="240" w:right="80" w:hanging="2"/>
        <w:spacing w:after="0" w:line="235" w:lineRule="auto"/>
        <w:tabs>
          <w:tab w:leader="none" w:pos="564" w:val="left"/>
        </w:tabs>
        <w:numPr>
          <w:ilvl w:val="0"/>
          <w:numId w:val="5"/>
        </w:numPr>
        <w:rPr>
          <w:rFonts w:ascii="Arial" w:cs="Arial" w:eastAsia="Arial" w:hAnsi="Arial"/>
          <w:sz w:val="22"/>
          <w:szCs w:val="22"/>
          <w:color w:val="auto"/>
        </w:rPr>
      </w:pPr>
      <w:r>
        <w:rPr>
          <w:rFonts w:ascii="Arial" w:cs="Arial" w:eastAsia="Arial" w:hAnsi="Arial"/>
          <w:sz w:val="22"/>
          <w:szCs w:val="22"/>
          <w:color w:val="auto"/>
        </w:rPr>
        <w:t>Estimated solely for the purpose of calculating the registration fee in accordance with Rules 457(c) and 457(h) of the Securities Act. The amount of the registration fee is based on a price of $47.88 per share, which is the average of the high and low prices of the Registrant's common stock as reported by the Nasdaq Global Select Market on June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82550</wp:posOffset>
            </wp:positionV>
            <wp:extent cx="697738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6977380" cy="42545"/>
                    </a:xfrm>
                    <a:prstGeom prst="rect">
                      <a:avLst/>
                    </a:prstGeom>
                    <a:noFill/>
                  </pic:spPr>
                </pic:pic>
              </a:graphicData>
            </a:graphic>
          </wp:anchor>
        </w:drawing>
      </w:r>
    </w:p>
    <w:sectPr>
      <w:pgSz w:w="11900" w:h="16838" w:orient="portrait"/>
      <w:cols w:equalWidth="0" w:num="1">
        <w:col w:w="11140"/>
      </w:cols>
      <w:pgMar w:left="360" w:top="142" w:right="399" w:bottom="96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70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jpeg"/><Relationship Id="rId28" Type="http://schemas.openxmlformats.org/officeDocument/2006/relationships/image" Target="media/image13.png"/><Relationship Id="rId29" Type="http://schemas.openxmlformats.org/officeDocument/2006/relationships/image" Target="media/image14.jpe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14" Type="http://schemas.openxmlformats.org/officeDocument/2006/relationships/hyperlink" Target="https://www.sec.gov/ix?doc=/Archives/edgar/data/1297989/000129798925000002/exls-20241231.htm" TargetMode="External"/><Relationship Id="rId15" Type="http://schemas.openxmlformats.org/officeDocument/2006/relationships/hyperlink" Target="https://www.sec.gov/ix?doc=/Archives/edgar/data/1297989/000119312525103261/d141102ddef14a.htm" TargetMode="External"/><Relationship Id="rId16" Type="http://schemas.openxmlformats.org/officeDocument/2006/relationships/hyperlink" Target="https://www.sec.gov/ix?doc=/Archives/edgar/data/1297989/000129798925000008/exls-20250331.htm" TargetMode="External"/><Relationship Id="rId17" Type="http://schemas.openxmlformats.org/officeDocument/2006/relationships/hyperlink" Target="https://www.sec.gov/ix?doc=/Archives/edgar/data/1297989/000119312525056722/d891608d8k.htm" TargetMode="External"/><Relationship Id="rId18" Type="http://schemas.openxmlformats.org/officeDocument/2006/relationships/hyperlink" Target="https://www.sec.gov/ix?doc=/Archives/edgar/data/1297989/000110465925060321/tm2518188d1_8k.htm" TargetMode="External"/><Relationship Id="rId21" Type="http://schemas.openxmlformats.org/officeDocument/2006/relationships/hyperlink" Target="https://www.sec.gov/Archives/edgar/data/1297989/000110465924074734/tm2417789d1_ex3-1.htm" TargetMode="External"/><Relationship Id="rId22" Type="http://schemas.openxmlformats.org/officeDocument/2006/relationships/hyperlink" Target="https://www.sec.gov/Archives/edgar/data/1297989/000119312523171321/d523950dex32.htm" TargetMode="External"/><Relationship Id="rId23" Type="http://schemas.openxmlformats.org/officeDocument/2006/relationships/hyperlink" Target="https://www.sec.gov/Archives/edgar/data/1297989/000110465925060321/tm251818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2025-06-17T16:31:09Z</dcterms:created>
  <dcterms:modified xsi:type="dcterms:W3CDTF">2025-06-17T16:31:09Z</dcterms:modified>
</cp:coreProperties>
</file>