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gridSpan w:val="2"/>
          </w:tcPr>
          <w:p>
            <w:pPr>
              <w:jc w:val="right"/>
              <w:ind w:right="118"/>
              <w:spacing w:after="0"/>
              <w:rPr>
                <w:sz w:val="20"/>
                <w:szCs w:val="20"/>
                <w:color w:val="auto"/>
              </w:rPr>
            </w:pPr>
            <w:r>
              <w:rPr>
                <w:rFonts w:ascii="Arial" w:cs="Arial" w:eastAsia="Arial" w:hAnsi="Arial"/>
                <w:sz w:val="18"/>
                <w:szCs w:val="18"/>
                <w:color w:val="0000FF"/>
              </w:rPr>
              <w:t>02/13/2018</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2,000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13,528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02/13/2018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765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57.6</w:t>
            </w:r>
            <w:r>
              <w:rPr>
                <w:rFonts w:ascii="Arial" w:cs="Arial" w:eastAsia="Arial" w:hAnsi="Arial"/>
                <w:sz w:val="22"/>
                <w:szCs w:val="22"/>
                <w:color w:val="008000"/>
                <w:w w:val="92"/>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12,763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2,000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2,000</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5,000 restricted stock units, 10 percent of the restricted stock units became vested on February 13, 2015; an additional 20 percent of the restricted stock units became vested on February 13, 2016; an additional 30 percent of the restricted stock units became vested February 13, 2017; and the remaining balance of 2,000 shares of the restricted stock units became vested on February 13,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2019-12-04T01:53:18Z</dcterms:created>
  <dcterms:modified xsi:type="dcterms:W3CDTF">2019-12-04T01:53:18Z</dcterms:modified>
</cp:coreProperties>
</file>