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8379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8379460"/>
                    </a:xfrm>
                    <a:prstGeom prst="rect">
                      <a:avLst/>
                    </a:prstGeom>
                    <a:noFill/>
                  </pic:spPr>
                </pic:pic>
              </a:graphicData>
            </a:graphic>
          </wp:anchor>
        </w:drawing>
      </w:r>
    </w:p>
    <w:p>
      <w:pPr>
        <w:spacing w:after="0" w:line="100" w:lineRule="exact"/>
        <w:rPr>
          <w:sz w:val="24"/>
          <w:szCs w:val="24"/>
          <w:color w:val="auto"/>
        </w:rPr>
      </w:pPr>
    </w:p>
    <w:p>
      <w:pPr>
        <w:sectPr>
          <w:pgSz w:w="11900" w:h="16848" w:orient="portrait"/>
          <w:cols w:equalWidth="0" w:num="2">
            <w:col w:w="2280" w:space="26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02/17/2023</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4"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4"/>
        <w:spacing w:after="0"/>
        <w:rPr>
          <w:sz w:val="20"/>
          <w:szCs w:val="20"/>
          <w:color w:val="auto"/>
        </w:rPr>
      </w:pPr>
      <w:r>
        <w:rPr>
          <w:rFonts w:ascii="Arial" w:cs="Arial" w:eastAsia="Arial" w:hAnsi="Arial"/>
          <w:sz w:val="17"/>
          <w:szCs w:val="17"/>
          <w:color w:val="0000FF"/>
        </w:rPr>
        <w:t>CEO &amp; Vice Chairman</w:t>
      </w:r>
    </w:p>
    <w:p>
      <w:pPr>
        <w:spacing w:after="0" w:line="265" w:lineRule="exact"/>
        <w:rPr>
          <w:sz w:val="24"/>
          <w:szCs w:val="24"/>
          <w:color w:val="auto"/>
        </w:rPr>
      </w:pPr>
    </w:p>
    <w:p>
      <w:pPr>
        <w:sectPr>
          <w:pgSz w:w="11900" w:h="16848" w:orient="portrait"/>
          <w:cols w:equalWidth="0" w:num="3">
            <w:col w:w="3180" w:space="720"/>
            <w:col w:w="3106" w:space="720"/>
            <w:col w:w="3354"/>
          </w:cols>
          <w:pgMar w:left="460" w:top="222" w:right="359" w:bottom="0" w:gutter="0" w:footer="0" w:header="0"/>
          <w:type w:val="continuous"/>
        </w:sectPr>
      </w:pP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420" w:type="dxa"/>
            <w:vAlign w:val="bottom"/>
            <w:tcBorders>
              <w:right w:val="single" w:sz="8" w:color="9A9A9A"/>
            </w:tcBorders>
            <w:shd w:val="clear" w:color="auto" w:fill="9A9A9A"/>
          </w:tcPr>
          <w:p>
            <w:pPr>
              <w:spacing w:after="0"/>
              <w:rPr>
                <w:sz w:val="2"/>
                <w:szCs w:val="2"/>
                <w:color w:val="auto"/>
              </w:rPr>
            </w:pPr>
          </w:p>
        </w:tc>
        <w:tc>
          <w:tcPr>
            <w:tcW w:w="368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80" w:type="dxa"/>
            <w:vAlign w:val="bottom"/>
            <w:gridSpan w:val="7"/>
            <w:vMerge w:val="continue"/>
          </w:tcPr>
          <w:p>
            <w:pPr>
              <w:spacing w:after="0"/>
              <w:rPr>
                <w:sz w:val="11"/>
                <w:szCs w:val="11"/>
                <w:color w:val="auto"/>
              </w:rPr>
            </w:pPr>
          </w:p>
        </w:tc>
        <w:tc>
          <w:tcPr>
            <w:tcW w:w="36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4"/>
          </w:tcPr>
          <w:p>
            <w:pPr>
              <w:ind w:left="300"/>
              <w:spacing w:after="0" w:line="148" w:lineRule="exact"/>
              <w:rPr>
                <w:sz w:val="20"/>
                <w:szCs w:val="20"/>
                <w:color w:val="auto"/>
              </w:rPr>
            </w:pPr>
            <w:r>
              <w:rPr>
                <w:rFonts w:ascii="Arial" w:cs="Arial" w:eastAsia="Arial" w:hAnsi="Arial"/>
                <w:sz w:val="13"/>
                <w:szCs w:val="13"/>
                <w:color w:val="auto"/>
              </w:rPr>
              <w:t>Line)</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tcPr>
          <w:p>
            <w:pPr>
              <w:spacing w:after="0"/>
              <w:rPr>
                <w:sz w:val="20"/>
                <w:szCs w:val="20"/>
                <w:color w:val="auto"/>
              </w:rPr>
            </w:pPr>
            <w:r>
              <w:rPr>
                <w:rFonts w:ascii="Arial" w:cs="Arial" w:eastAsia="Arial" w:hAnsi="Arial"/>
                <w:sz w:val="17"/>
                <w:szCs w:val="17"/>
                <w:color w:val="0000FF"/>
              </w:rPr>
              <w:t>NY</w:t>
            </w:r>
          </w:p>
        </w:tc>
        <w:tc>
          <w:tcPr>
            <w:tcW w:w="780" w:type="dxa"/>
            <w:vAlign w:val="bottom"/>
          </w:tcPr>
          <w:p>
            <w:pPr>
              <w:ind w:left="20"/>
              <w:spacing w:after="0"/>
              <w:rPr>
                <w:sz w:val="20"/>
                <w:szCs w:val="20"/>
                <w:color w:val="auto"/>
              </w:rPr>
            </w:pPr>
            <w:r>
              <w:rPr>
                <w:rFonts w:ascii="Arial" w:cs="Arial" w:eastAsia="Arial" w:hAnsi="Arial"/>
                <w:sz w:val="17"/>
                <w:szCs w:val="17"/>
                <w:color w:val="0000FF"/>
              </w:rPr>
              <w:t>10022</w:t>
            </w: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30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7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Person</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8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Price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300" w:type="dxa"/>
            <w:vAlign w:val="bottom"/>
            <w:tcBorders>
              <w:bottom w:val="single" w:sz="8" w:color="2C2C2C"/>
            </w:tcBorders>
            <w:gridSpan w:val="6"/>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3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7"/>
              </w:rPr>
              <w:t>Common Stock, par value $0.001 per share</w:t>
            </w:r>
          </w:p>
        </w:tc>
        <w:tc>
          <w:tcPr>
            <w:tcW w:w="96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7"/>
                <w:szCs w:val="17"/>
                <w:color w:val="0000FF"/>
                <w:w w:val="89"/>
              </w:rPr>
              <w:t>02/17/2023</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8"/>
              <w:spacing w:after="0"/>
              <w:rPr>
                <w:sz w:val="20"/>
                <w:szCs w:val="20"/>
                <w:color w:val="auto"/>
              </w:rPr>
            </w:pPr>
            <w:r>
              <w:rPr>
                <w:rFonts w:ascii="Arial" w:cs="Arial" w:eastAsia="Arial" w:hAnsi="Arial"/>
                <w:sz w:val="13"/>
                <w:szCs w:val="13"/>
                <w:color w:val="0000FF"/>
                <w:w w:val="91"/>
              </w:rPr>
              <w:t>M</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8,850</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jc w:val="right"/>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87"/>
              </w:rPr>
              <w:t>216,460</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3"/>
              <w:spacing w:after="0" w:line="312" w:lineRule="exact"/>
              <w:rPr>
                <w:sz w:val="20"/>
                <w:szCs w:val="20"/>
                <w:color w:val="auto"/>
              </w:rPr>
            </w:pPr>
            <w:r>
              <w:rPr>
                <w:rFonts w:ascii="Arial" w:cs="Arial" w:eastAsia="Arial" w:hAnsi="Arial"/>
                <w:sz w:val="33"/>
                <w:szCs w:val="33"/>
                <w:color w:val="0000FF"/>
                <w:w w:val="81"/>
                <w:vertAlign w:val="subscript"/>
              </w:rPr>
              <w:t>D</w:t>
            </w:r>
            <w:r>
              <w:rPr>
                <w:rFonts w:ascii="Arial" w:cs="Arial" w:eastAsia="Arial" w:hAnsi="Arial"/>
                <w:sz w:val="11"/>
                <w:szCs w:val="11"/>
                <w:color w:val="008000"/>
                <w:w w:val="81"/>
              </w:rPr>
              <w:t>(2)</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3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7"/>
              </w:rPr>
              <w:t>Common Stock, par value $0.001 per share</w:t>
            </w:r>
          </w:p>
        </w:tc>
        <w:tc>
          <w:tcPr>
            <w:tcW w:w="96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7"/>
                <w:szCs w:val="17"/>
                <w:color w:val="0000FF"/>
                <w:w w:val="89"/>
              </w:rPr>
              <w:t>02/20/2023</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8"/>
              <w:spacing w:after="0"/>
              <w:rPr>
                <w:sz w:val="20"/>
                <w:szCs w:val="20"/>
                <w:color w:val="auto"/>
              </w:rPr>
            </w:pPr>
            <w:r>
              <w:rPr>
                <w:rFonts w:ascii="Arial" w:cs="Arial" w:eastAsia="Arial" w:hAnsi="Arial"/>
                <w:sz w:val="13"/>
                <w:szCs w:val="13"/>
                <w:color w:val="0000FF"/>
                <w:w w:val="91"/>
              </w:rPr>
              <w:t>M</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7,228</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jc w:val="right"/>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87"/>
              </w:rPr>
              <w:t>223,688</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3"/>
              <w:spacing w:after="0" w:line="312" w:lineRule="exact"/>
              <w:rPr>
                <w:sz w:val="20"/>
                <w:szCs w:val="20"/>
                <w:color w:val="auto"/>
              </w:rPr>
            </w:pPr>
            <w:r>
              <w:rPr>
                <w:rFonts w:ascii="Arial" w:cs="Arial" w:eastAsia="Arial" w:hAnsi="Arial"/>
                <w:sz w:val="33"/>
                <w:szCs w:val="33"/>
                <w:color w:val="0000FF"/>
                <w:w w:val="81"/>
                <w:vertAlign w:val="subscript"/>
              </w:rPr>
              <w:t>D</w:t>
            </w:r>
            <w:r>
              <w:rPr>
                <w:rFonts w:ascii="Arial" w:cs="Arial" w:eastAsia="Arial" w:hAnsi="Arial"/>
                <w:sz w:val="11"/>
                <w:szCs w:val="11"/>
                <w:color w:val="008000"/>
                <w:w w:val="81"/>
              </w:rPr>
              <w:t>(2)</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3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7"/>
              </w:rPr>
              <w:t>Common Stock, par value $0.001 per share</w:t>
            </w:r>
          </w:p>
        </w:tc>
        <w:tc>
          <w:tcPr>
            <w:tcW w:w="96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7"/>
                <w:szCs w:val="17"/>
                <w:color w:val="0000FF"/>
                <w:w w:val="89"/>
              </w:rPr>
              <w:t>02/20/2023</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8"/>
              <w:spacing w:after="0"/>
              <w:rPr>
                <w:sz w:val="20"/>
                <w:szCs w:val="20"/>
                <w:color w:val="auto"/>
              </w:rPr>
            </w:pPr>
            <w:r>
              <w:rPr>
                <w:rFonts w:ascii="Arial" w:cs="Arial" w:eastAsia="Arial" w:hAnsi="Arial"/>
                <w:sz w:val="13"/>
                <w:szCs w:val="13"/>
                <w:color w:val="0000FF"/>
                <w:w w:val="91"/>
              </w:rPr>
              <w:t>M</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5,880</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jc w:val="right"/>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87"/>
              </w:rPr>
              <w:t>229,568</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3"/>
              <w:spacing w:after="0" w:line="312" w:lineRule="exact"/>
              <w:rPr>
                <w:sz w:val="20"/>
                <w:szCs w:val="20"/>
                <w:color w:val="auto"/>
              </w:rPr>
            </w:pPr>
            <w:r>
              <w:rPr>
                <w:rFonts w:ascii="Arial" w:cs="Arial" w:eastAsia="Arial" w:hAnsi="Arial"/>
                <w:sz w:val="33"/>
                <w:szCs w:val="33"/>
                <w:color w:val="0000FF"/>
                <w:w w:val="81"/>
                <w:vertAlign w:val="subscript"/>
              </w:rPr>
              <w:t>D</w:t>
            </w:r>
            <w:r>
              <w:rPr>
                <w:rFonts w:ascii="Arial" w:cs="Arial" w:eastAsia="Arial" w:hAnsi="Arial"/>
                <w:sz w:val="11"/>
                <w:szCs w:val="11"/>
                <w:color w:val="008000"/>
                <w:w w:val="81"/>
              </w:rPr>
              <w:t>(2)</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00" w:type="dxa"/>
            <w:vAlign w:val="bottom"/>
            <w:gridSpan w:val="6"/>
          </w:tcPr>
          <w:p>
            <w:pPr>
              <w:ind w:left="60"/>
              <w:spacing w:after="0"/>
              <w:rPr>
                <w:sz w:val="20"/>
                <w:szCs w:val="20"/>
                <w:color w:val="auto"/>
              </w:rPr>
            </w:pPr>
            <w:r>
              <w:rPr>
                <w:rFonts w:ascii="Arial" w:cs="Arial" w:eastAsia="Arial" w:hAnsi="Arial"/>
                <w:sz w:val="17"/>
                <w:szCs w:val="17"/>
                <w:color w:val="0000FF"/>
              </w:rPr>
              <w:t>Common Stock, par value $0.001 per</w:t>
            </w: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7"/>
              </w:rPr>
              <w:t>133,185</w:t>
            </w:r>
          </w:p>
        </w:tc>
        <w:tc>
          <w:tcPr>
            <w:tcW w:w="280" w:type="dxa"/>
            <w:vAlign w:val="bottom"/>
          </w:tcPr>
          <w:p>
            <w:pPr>
              <w:spacing w:after="0"/>
              <w:rPr>
                <w:sz w:val="21"/>
                <w:szCs w:val="21"/>
                <w:color w:val="auto"/>
              </w:rPr>
            </w:pPr>
          </w:p>
        </w:tc>
        <w:tc>
          <w:tcPr>
            <w:tcW w:w="580" w:type="dxa"/>
            <w:vAlign w:val="bottom"/>
            <w:vMerge w:val="restart"/>
          </w:tcPr>
          <w:p>
            <w:pPr>
              <w:jc w:val="center"/>
              <w:ind w:right="253"/>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r>
              <w:rPr>
                <w:rFonts w:ascii="Arial" w:cs="Arial" w:eastAsia="Arial" w:hAnsi="Arial"/>
                <w:sz w:val="21"/>
                <w:szCs w:val="21"/>
                <w:color w:val="008000"/>
                <w:vertAlign w:val="superscript"/>
              </w:rPr>
              <w:t>(3)</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bottom w:val="single" w:sz="8" w:color="2C2C2C"/>
            </w:tcBorders>
            <w:gridSpan w:val="2"/>
            <w:vMerge w:val="continue"/>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7"/>
              </w:rPr>
              <w:t>Common Stock, par value $0.001 per share</w:t>
            </w: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40,219</w:t>
            </w:r>
          </w:p>
        </w:tc>
        <w:tc>
          <w:tcPr>
            <w:tcW w:w="280" w:type="dxa"/>
            <w:vAlign w:val="bottom"/>
          </w:tcPr>
          <w:p>
            <w:pPr>
              <w:spacing w:after="0"/>
              <w:rPr>
                <w:sz w:val="21"/>
                <w:szCs w:val="21"/>
                <w:color w:val="auto"/>
              </w:rPr>
            </w:pPr>
          </w:p>
        </w:tc>
        <w:tc>
          <w:tcPr>
            <w:tcW w:w="580" w:type="dxa"/>
            <w:vAlign w:val="bottom"/>
            <w:vMerge w:val="restart"/>
          </w:tcPr>
          <w:p>
            <w:pPr>
              <w:jc w:val="center"/>
              <w:ind w:right="253"/>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300" w:type="dxa"/>
            <w:vAlign w:val="bottom"/>
            <w:gridSpan w:val="6"/>
            <w:vMerge w:val="continue"/>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7"/>
              </w:rPr>
              <w:t>Common Stock, par value $0.001 per share</w:t>
            </w: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7"/>
              </w:rPr>
              <w:t>177,134</w:t>
            </w:r>
          </w:p>
        </w:tc>
        <w:tc>
          <w:tcPr>
            <w:tcW w:w="280" w:type="dxa"/>
            <w:vAlign w:val="bottom"/>
          </w:tcPr>
          <w:p>
            <w:pPr>
              <w:spacing w:after="0"/>
              <w:rPr>
                <w:sz w:val="21"/>
                <w:szCs w:val="21"/>
                <w:color w:val="auto"/>
              </w:rPr>
            </w:pPr>
          </w:p>
        </w:tc>
        <w:tc>
          <w:tcPr>
            <w:tcW w:w="580" w:type="dxa"/>
            <w:vAlign w:val="bottom"/>
            <w:vMerge w:val="restart"/>
          </w:tcPr>
          <w:p>
            <w:pPr>
              <w:jc w:val="center"/>
              <w:ind w:right="253"/>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300" w:type="dxa"/>
            <w:vAlign w:val="bottom"/>
            <w:gridSpan w:val="6"/>
            <w:vMerge w:val="continue"/>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7"/>
              </w:rPr>
              <w:t>Common Stock, par value $0.001 per share</w:t>
            </w: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84,000</w:t>
            </w:r>
          </w:p>
        </w:tc>
        <w:tc>
          <w:tcPr>
            <w:tcW w:w="280" w:type="dxa"/>
            <w:vAlign w:val="bottom"/>
          </w:tcPr>
          <w:p>
            <w:pPr>
              <w:spacing w:after="0"/>
              <w:rPr>
                <w:sz w:val="21"/>
                <w:szCs w:val="21"/>
                <w:color w:val="auto"/>
              </w:rPr>
            </w:pPr>
          </w:p>
        </w:tc>
        <w:tc>
          <w:tcPr>
            <w:tcW w:w="580" w:type="dxa"/>
            <w:vAlign w:val="bottom"/>
            <w:vMerge w:val="restart"/>
          </w:tcPr>
          <w:p>
            <w:pPr>
              <w:jc w:val="center"/>
              <w:ind w:right="253"/>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300" w:type="dxa"/>
            <w:vAlign w:val="bottom"/>
            <w:gridSpan w:val="6"/>
            <w:vMerge w:val="continue"/>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7"/>
              </w:rPr>
              <w:t>Common Stock, par value $0.001 per share</w:t>
            </w: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84,000</w:t>
            </w:r>
          </w:p>
        </w:tc>
        <w:tc>
          <w:tcPr>
            <w:tcW w:w="280" w:type="dxa"/>
            <w:vAlign w:val="bottom"/>
          </w:tcPr>
          <w:p>
            <w:pPr>
              <w:spacing w:after="0"/>
              <w:rPr>
                <w:sz w:val="21"/>
                <w:szCs w:val="21"/>
                <w:color w:val="auto"/>
              </w:rPr>
            </w:pPr>
          </w:p>
        </w:tc>
        <w:tc>
          <w:tcPr>
            <w:tcW w:w="580" w:type="dxa"/>
            <w:vAlign w:val="bottom"/>
            <w:vMerge w:val="restart"/>
          </w:tcPr>
          <w:p>
            <w:pPr>
              <w:jc w:val="center"/>
              <w:ind w:right="253"/>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300" w:type="dxa"/>
            <w:vAlign w:val="bottom"/>
            <w:gridSpan w:val="6"/>
            <w:vMerge w:val="continue"/>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(7)</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0" w:type="dxa"/>
            <w:vAlign w:val="bottom"/>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80" w:type="dxa"/>
            <w:vAlign w:val="bottom"/>
            <w:gridSpan w:val="10"/>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3"/>
              </w:rPr>
              <w:t>3A. Deemed</w:t>
            </w:r>
          </w:p>
        </w:tc>
        <w:tc>
          <w:tcPr>
            <w:tcW w:w="4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4"/>
              </w:rPr>
              <w:t>Transaction(s)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6"/>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jc w:val="right"/>
              <w:ind w:right="316"/>
              <w:spacing w:after="0" w:line="130" w:lineRule="exact"/>
              <w:rPr>
                <w:sz w:val="20"/>
                <w:szCs w:val="20"/>
                <w:color w:val="auto"/>
              </w:rPr>
            </w:pPr>
            <w:r>
              <w:rPr>
                <w:rFonts w:ascii="Arial" w:cs="Arial" w:eastAsia="Arial" w:hAnsi="Arial"/>
                <w:sz w:val="12"/>
                <w:szCs w:val="12"/>
                <w:b w:val="1"/>
                <w:bCs w:val="1"/>
                <w:color w:val="auto"/>
                <w:w w:val="82"/>
              </w:rPr>
              <w:t>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6"/>
              </w:rPr>
              <w:t>Number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00" w:type="dxa"/>
            <w:vAlign w:val="bottom"/>
          </w:tcPr>
          <w:p>
            <w:pPr>
              <w:jc w:val="right"/>
              <w:ind w:right="316"/>
              <w:spacing w:after="0" w:line="130" w:lineRule="exact"/>
              <w:rPr>
                <w:sz w:val="20"/>
                <w:szCs w:val="20"/>
                <w:color w:val="auto"/>
              </w:rPr>
            </w:pPr>
            <w:r>
              <w:rPr>
                <w:rFonts w:ascii="Arial" w:cs="Arial" w:eastAsia="Arial" w:hAnsi="Arial"/>
                <w:sz w:val="12"/>
                <w:szCs w:val="12"/>
                <w:b w:val="1"/>
                <w:bCs w:val="1"/>
                <w:color w:val="auto"/>
                <w:w w:val="87"/>
              </w:rPr>
              <w:t>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jc w:val="center"/>
              <w:ind w:right="36"/>
              <w:spacing w:after="0"/>
              <w:rPr>
                <w:sz w:val="20"/>
                <w:szCs w:val="20"/>
                <w:color w:val="auto"/>
              </w:rPr>
            </w:pPr>
            <w:r>
              <w:rPr>
                <w:rFonts w:ascii="Arial" w:cs="Arial" w:eastAsia="Arial" w:hAnsi="Arial"/>
                <w:sz w:val="12"/>
                <w:szCs w:val="12"/>
                <w:b w:val="1"/>
                <w:bCs w:val="1"/>
                <w:color w:val="auto"/>
                <w:w w:val="99"/>
              </w:rPr>
              <w:t>Shares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restart"/>
          </w:tcPr>
          <w:p>
            <w:pPr>
              <w:jc w:val="center"/>
              <w:ind w:right="58"/>
              <w:spacing w:after="0"/>
              <w:rPr>
                <w:sz w:val="20"/>
                <w:szCs w:val="20"/>
                <w:color w:val="auto"/>
              </w:rPr>
            </w:pPr>
            <w:r>
              <w:rPr>
                <w:rFonts w:ascii="Arial" w:cs="Arial" w:eastAsia="Arial" w:hAnsi="Arial"/>
                <w:sz w:val="11"/>
                <w:szCs w:val="11"/>
                <w:color w:val="008000"/>
                <w:w w:val="88"/>
              </w:rPr>
              <w:t>(8)</w:t>
            </w:r>
          </w:p>
        </w:tc>
        <w:tc>
          <w:tcPr>
            <w:tcW w:w="680" w:type="dxa"/>
            <w:vAlign w:val="bottom"/>
            <w:vMerge w:val="restart"/>
          </w:tcPr>
          <w:p>
            <w:pPr>
              <w:jc w:val="center"/>
              <w:ind w:right="16"/>
              <w:spacing w:after="0"/>
              <w:rPr>
                <w:sz w:val="20"/>
                <w:szCs w:val="20"/>
                <w:color w:val="auto"/>
              </w:rPr>
            </w:pPr>
            <w:r>
              <w:rPr>
                <w:rFonts w:ascii="Arial" w:cs="Arial" w:eastAsia="Arial" w:hAnsi="Arial"/>
                <w:sz w:val="11"/>
                <w:szCs w:val="11"/>
                <w:color w:val="008000"/>
                <w:w w:val="88"/>
              </w:rPr>
              <w:t>(8)</w:t>
            </w:r>
          </w:p>
        </w:tc>
        <w:tc>
          <w:tcPr>
            <w:tcW w:w="660" w:type="dxa"/>
            <w:vAlign w:val="bottom"/>
          </w:tcPr>
          <w:p>
            <w:pPr>
              <w:jc w:val="center"/>
              <w:ind w:right="15"/>
              <w:spacing w:after="0" w:line="143" w:lineRule="exact"/>
              <w:rPr>
                <w:sz w:val="20"/>
                <w:szCs w:val="20"/>
                <w:color w:val="auto"/>
              </w:rPr>
            </w:pPr>
            <w:r>
              <w:rPr>
                <w:rFonts w:ascii="Arial" w:cs="Arial" w:eastAsia="Arial" w:hAnsi="Arial"/>
                <w:sz w:val="13"/>
                <w:szCs w:val="13"/>
                <w:color w:val="0000FF"/>
                <w:w w:val="93"/>
              </w:rPr>
              <w:t>Stock,</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89"/>
              </w:rPr>
              <w:t>8,850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3"/>
                <w:szCs w:val="13"/>
                <w:color w:val="0000FF"/>
                <w:w w:val="92"/>
              </w:rPr>
              <w:t>02/17/2023</w:t>
            </w: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ind w:left="10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Arial" w:cs="Arial" w:eastAsia="Arial" w:hAnsi="Arial"/>
                <w:sz w:val="13"/>
                <w:szCs w:val="13"/>
                <w:color w:val="0000FF"/>
              </w:rPr>
              <w:t>8,850</w:t>
            </w: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780" w:type="dxa"/>
            <w:vAlign w:val="bottom"/>
            <w:gridSpan w:val="3"/>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2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90"/>
              </w:rPr>
              <w:t>17,700</w:t>
            </w:r>
          </w:p>
        </w:tc>
        <w:tc>
          <w:tcPr>
            <w:tcW w:w="580" w:type="dxa"/>
            <w:vAlign w:val="bottom"/>
          </w:tcPr>
          <w:p>
            <w:pPr>
              <w:ind w:left="380"/>
              <w:spacing w:after="0" w:line="143" w:lineRule="exact"/>
              <w:rPr>
                <w:sz w:val="20"/>
                <w:szCs w:val="20"/>
                <w:color w:val="auto"/>
              </w:rPr>
            </w:pPr>
            <w:r>
              <w:rPr>
                <w:rFonts w:ascii="Arial" w:cs="Arial" w:eastAsia="Arial" w:hAnsi="Arial"/>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ind w:right="15"/>
              <w:spacing w:after="0" w:line="143" w:lineRule="exact"/>
              <w:rPr>
                <w:sz w:val="20"/>
                <w:szCs w:val="20"/>
                <w:color w:val="auto"/>
              </w:rPr>
            </w:pPr>
            <w:r>
              <w:rPr>
                <w:rFonts w:ascii="Arial" w:cs="Arial" w:eastAsia="Arial" w:hAnsi="Arial"/>
                <w:sz w:val="13"/>
                <w:szCs w:val="13"/>
                <w:color w:val="0000FF"/>
                <w:w w:val="85"/>
              </w:rPr>
              <w:t>$0.001</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per share</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ind w:right="15"/>
              <w:spacing w:after="0" w:line="143" w:lineRule="exact"/>
              <w:rPr>
                <w:sz w:val="20"/>
                <w:szCs w:val="20"/>
                <w:color w:val="auto"/>
              </w:rPr>
            </w:pPr>
            <w:r>
              <w:rPr>
                <w:rFonts w:ascii="Arial" w:cs="Arial" w:eastAsia="Arial" w:hAnsi="Arial"/>
                <w:sz w:val="13"/>
                <w:szCs w:val="13"/>
                <w:color w:val="0000FF"/>
                <w:w w:val="93"/>
              </w:rPr>
              <w:t>Stock,</w:t>
            </w: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Stock, par</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gridSpan w:val="2"/>
            <w:vMerge w:val="restart"/>
          </w:tcPr>
          <w:p>
            <w:pPr>
              <w:jc w:val="center"/>
              <w:ind w:right="58"/>
              <w:spacing w:after="0"/>
              <w:rPr>
                <w:sz w:val="20"/>
                <w:szCs w:val="20"/>
                <w:color w:val="auto"/>
              </w:rPr>
            </w:pPr>
            <w:r>
              <w:rPr>
                <w:rFonts w:ascii="Arial" w:cs="Arial" w:eastAsia="Arial" w:hAnsi="Arial"/>
                <w:sz w:val="11"/>
                <w:szCs w:val="11"/>
                <w:color w:val="008000"/>
                <w:w w:val="88"/>
              </w:rPr>
              <w:t>(9)</w:t>
            </w:r>
          </w:p>
        </w:tc>
        <w:tc>
          <w:tcPr>
            <w:tcW w:w="680" w:type="dxa"/>
            <w:vAlign w:val="bottom"/>
            <w:vMerge w:val="restart"/>
          </w:tcPr>
          <w:p>
            <w:pPr>
              <w:jc w:val="center"/>
              <w:ind w:right="16"/>
              <w:spacing w:after="0"/>
              <w:rPr>
                <w:sz w:val="20"/>
                <w:szCs w:val="20"/>
                <w:color w:val="auto"/>
              </w:rPr>
            </w:pPr>
            <w:r>
              <w:rPr>
                <w:rFonts w:ascii="Arial" w:cs="Arial" w:eastAsia="Arial" w:hAnsi="Arial"/>
                <w:sz w:val="11"/>
                <w:szCs w:val="11"/>
                <w:color w:val="008000"/>
                <w:w w:val="88"/>
              </w:rPr>
              <w:t>(9)</w:t>
            </w:r>
          </w:p>
        </w:tc>
        <w:tc>
          <w:tcPr>
            <w:tcW w:w="66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par value</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89"/>
              </w:rPr>
              <w:t>7,228</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value</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92"/>
              </w:rPr>
              <w:t>02/20/2023</w:t>
            </w: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Arial" w:cs="Arial" w:eastAsia="Arial" w:hAnsi="Arial"/>
                <w:sz w:val="13"/>
                <w:szCs w:val="13"/>
                <w:color w:val="0000FF"/>
              </w:rPr>
              <w:t>7,228</w:t>
            </w:r>
          </w:p>
        </w:tc>
        <w:tc>
          <w:tcPr>
            <w:tcW w:w="8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gridSpan w:val="3"/>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jc w:val="center"/>
              <w:ind w:left="220"/>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5"/>
                <w:szCs w:val="5"/>
                <w:color w:val="auto"/>
              </w:rPr>
            </w:pPr>
          </w:p>
        </w:tc>
        <w:tc>
          <w:tcPr>
            <w:tcW w:w="58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jc w:val="center"/>
              <w:ind w:right="15"/>
              <w:spacing w:after="0" w:line="126" w:lineRule="exact"/>
              <w:rPr>
                <w:sz w:val="20"/>
                <w:szCs w:val="20"/>
                <w:color w:val="auto"/>
              </w:rPr>
            </w:pPr>
            <w:r>
              <w:rPr>
                <w:rFonts w:ascii="Arial" w:cs="Arial" w:eastAsia="Arial" w:hAnsi="Arial"/>
                <w:sz w:val="13"/>
                <w:szCs w:val="13"/>
                <w:color w:val="0000FF"/>
                <w:w w:val="85"/>
              </w:rPr>
              <w:t>$0.001</w:t>
            </w:r>
          </w:p>
        </w:tc>
        <w:tc>
          <w:tcPr>
            <w:tcW w:w="500" w:type="dxa"/>
            <w:vAlign w:val="bottom"/>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$0.001 per</w:t>
            </w: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vMerge w:val="restart"/>
          </w:tcPr>
          <w:p>
            <w:pPr>
              <w:jc w:val="center"/>
              <w:ind w:right="15"/>
              <w:spacing w:after="0"/>
              <w:rPr>
                <w:sz w:val="20"/>
                <w:szCs w:val="20"/>
                <w:color w:val="auto"/>
              </w:rPr>
            </w:pPr>
            <w:r>
              <w:rPr>
                <w:rFonts w:ascii="Arial" w:cs="Arial" w:eastAsia="Arial" w:hAnsi="Arial"/>
                <w:sz w:val="13"/>
                <w:szCs w:val="13"/>
                <w:color w:val="0000FF"/>
                <w:w w:val="95"/>
              </w:rPr>
              <w:t>per</w:t>
            </w: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vMerge w:val="restart"/>
          </w:tcPr>
          <w:p>
            <w:pPr>
              <w:jc w:val="center"/>
              <w:ind w:right="15"/>
              <w:spacing w:after="0" w:line="235" w:lineRule="exact"/>
              <w:rPr>
                <w:sz w:val="20"/>
                <w:szCs w:val="20"/>
                <w:color w:val="auto"/>
              </w:rPr>
            </w:pPr>
            <w:r>
              <w:rPr>
                <w:rFonts w:ascii="Arial" w:cs="Arial" w:eastAsia="Arial" w:hAnsi="Arial"/>
                <w:sz w:val="13"/>
                <w:szCs w:val="13"/>
                <w:color w:val="0000FF"/>
                <w:w w:val="84"/>
              </w:rPr>
              <w:t>share</w:t>
            </w:r>
            <w:r>
              <w:rPr>
                <w:rFonts w:ascii="Arial" w:cs="Arial" w:eastAsia="Arial" w:hAnsi="Arial"/>
                <w:sz w:val="21"/>
                <w:szCs w:val="21"/>
                <w:color w:val="008000"/>
                <w:w w:val="84"/>
                <w:vertAlign w:val="superscript"/>
              </w:rPr>
              <w:t>(9)</w:t>
            </w: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vMerge w:val="continue"/>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w w:val="91"/>
              </w:rPr>
              <w:t>(10)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660" w:type="dxa"/>
            <w:vAlign w:val="bottom"/>
          </w:tcPr>
          <w:p>
            <w:pPr>
              <w:jc w:val="center"/>
              <w:ind w:right="15"/>
              <w:spacing w:after="0" w:line="143" w:lineRule="exact"/>
              <w:rPr>
                <w:sz w:val="20"/>
                <w:szCs w:val="20"/>
                <w:color w:val="auto"/>
              </w:rPr>
            </w:pPr>
            <w:r>
              <w:rPr>
                <w:rFonts w:ascii="Arial" w:cs="Arial" w:eastAsia="Arial" w:hAnsi="Arial"/>
                <w:sz w:val="13"/>
                <w:szCs w:val="13"/>
                <w:color w:val="0000FF"/>
                <w:w w:val="93"/>
              </w:rPr>
              <w:t>Stock,</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89"/>
              </w:rPr>
              <w:t>5,880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3"/>
                <w:szCs w:val="13"/>
                <w:color w:val="0000FF"/>
                <w:w w:val="92"/>
              </w:rPr>
              <w:t>02/20/2023</w:t>
            </w: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ind w:left="10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Arial" w:cs="Arial" w:eastAsia="Arial" w:hAnsi="Arial"/>
                <w:sz w:val="13"/>
                <w:szCs w:val="13"/>
                <w:color w:val="0000FF"/>
              </w:rPr>
              <w:t>5,880</w:t>
            </w: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780" w:type="dxa"/>
            <w:vAlign w:val="bottom"/>
            <w:gridSpan w:val="3"/>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2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85"/>
              </w:rPr>
              <w:t>5,880</w:t>
            </w:r>
          </w:p>
        </w:tc>
        <w:tc>
          <w:tcPr>
            <w:tcW w:w="580" w:type="dxa"/>
            <w:vAlign w:val="bottom"/>
          </w:tcPr>
          <w:p>
            <w:pPr>
              <w:ind w:left="380"/>
              <w:spacing w:after="0" w:line="143" w:lineRule="exact"/>
              <w:rPr>
                <w:sz w:val="20"/>
                <w:szCs w:val="20"/>
                <w:color w:val="auto"/>
              </w:rPr>
            </w:pPr>
            <w:r>
              <w:rPr>
                <w:rFonts w:ascii="Arial" w:cs="Arial" w:eastAsia="Arial" w:hAnsi="Arial"/>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ind w:right="15"/>
              <w:spacing w:after="0" w:line="143" w:lineRule="exact"/>
              <w:rPr>
                <w:sz w:val="20"/>
                <w:szCs w:val="20"/>
                <w:color w:val="auto"/>
              </w:rPr>
            </w:pPr>
            <w:r>
              <w:rPr>
                <w:rFonts w:ascii="Arial" w:cs="Arial" w:eastAsia="Arial" w:hAnsi="Arial"/>
                <w:sz w:val="13"/>
                <w:szCs w:val="13"/>
                <w:color w:val="0000FF"/>
                <w:w w:val="85"/>
              </w:rPr>
              <w:t>$0.001</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per share</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-3470910</wp:posOffset>
            </wp:positionV>
            <wp:extent cx="29210" cy="3475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47599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ectPr>
          <w:pgSz w:w="11900" w:h="16848" w:orient="portrait"/>
          <w:cols w:equalWidth="0" w:num="1">
            <w:col w:w="11080"/>
          </w:cols>
          <w:pgMar w:left="460" w:top="222" w:right="359" w:bottom="0" w:gutter="0" w:footer="0" w:header="0"/>
          <w:type w:val="continuous"/>
        </w:sectPr>
      </w:pPr>
    </w:p>
    <w:bookmarkStart w:id="1" w:name="page2"/>
    <w:bookmarkEnd w:id="1"/>
    <w:p>
      <w:pPr>
        <w:ind w:right="40" w:firstLine="3"/>
        <w:spacing w:after="0" w:line="241" w:lineRule="auto"/>
        <w:tabs>
          <w:tab w:leader="none" w:pos="13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February 17, 2021, the reporting person was granted 35,400 restricted stock units, vesting in four equal annual installments beginning on the first anniversary of the grant date. 25 percent of the restricted stock units became vested on February 17, 2022, an additional 25 percent of the restricted stock units became vested on February 17, 2023, an additional 25 percent of the restricted stock units will vest on February 17, 2024, and the remaining balance of 25 of the restricted stock units will vest on February 17, 2025.</w:t>
      </w:r>
    </w:p>
    <w:p>
      <w:pPr>
        <w:spacing w:after="0" w:line="30" w:lineRule="exact"/>
        <w:rPr>
          <w:rFonts w:ascii="Arial" w:cs="Arial" w:eastAsia="Arial" w:hAnsi="Arial"/>
          <w:sz w:val="13"/>
          <w:szCs w:val="13"/>
          <w:color w:val="008000"/>
        </w:rPr>
      </w:pPr>
    </w:p>
    <w:p>
      <w:pPr>
        <w:jc w:val="both"/>
        <w:ind w:firstLine="3"/>
        <w:spacing w:after="0" w:line="241" w:lineRule="auto"/>
        <w:tabs>
          <w:tab w:leader="none" w:pos="13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February 20, 2019, the reporting person was granted 28,910 restricted stock units, vesting in four equal annual installments beginning on the first anniversary of the grant date. 25 percent of the restricted stock units became vested on February 19, 2020 an additional 25 percent of the restricted stock units became vested on February 20, 2021, an additional 25 percent of the restricted stock units became vested on February 20, 2022, and the remaining balance of 25 of the restricted stock units became vested on February 20, 2023.</w:t>
      </w:r>
    </w:p>
    <w:p>
      <w:pPr>
        <w:spacing w:after="0" w:line="30" w:lineRule="exact"/>
        <w:rPr>
          <w:rFonts w:ascii="Arial" w:cs="Arial" w:eastAsia="Arial" w:hAnsi="Arial"/>
          <w:sz w:val="13"/>
          <w:szCs w:val="13"/>
          <w:color w:val="008000"/>
        </w:rPr>
      </w:pPr>
    </w:p>
    <w:p>
      <w:pPr>
        <w:ind w:right="420" w:firstLine="3"/>
        <w:spacing w:after="0" w:line="241" w:lineRule="auto"/>
        <w:tabs>
          <w:tab w:leader="none" w:pos="19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February 20, 2020, the reporting person was granted 23,520 restricted stock units, vesting in four equal annual installments beginning on the first anniversary of the grant date. 25 percent of the restricted stock units became vested on February 20, 2021, an additional 25 percent of the restricted stock units became vested on February 20, 2022, an additional 25 percent of the restricted stock units became vested on February 20, 2023, and the remaining balance of 25 of the restricted stock units will vest on February 20, 2024.</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008000"/>
        </w:rPr>
        <w:t>Mr. Oseni is the Company's Head of Administration and Accounts.</w:t>
      </w:r>
    </w:p>
    <w:p>
      <w:pPr>
        <w:ind w:left="656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-26670</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400" w:firstLine="3"/>
        <w:spacing w:after="0" w:line="337"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2023-02-22T17:49:01Z</dcterms:created>
  <dcterms:modified xsi:type="dcterms:W3CDTF">2023-02-22T17:49:01Z</dcterms:modified>
</cp:coreProperties>
</file>